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57"/>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县级排污许可证新申请服务指南</w:t>
      </w:r>
    </w:p>
    <w:p>
      <w:pPr>
        <w:pStyle w:val="2"/>
        <w:ind w:left="557"/>
        <w:jc w:val="right"/>
        <w:rPr>
          <w:rFonts w:hint="eastAsia" w:ascii="黑体" w:hAnsi="黑体" w:eastAsia="黑体" w:cs="黑体"/>
          <w:sz w:val="21"/>
          <w:szCs w:val="21"/>
          <w:lang w:val="en-US" w:eastAsia="zh-CN"/>
        </w:rPr>
      </w:pP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 xml:space="preserve">事项编码729615800XK7862100c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003"/>
        <w:gridCol w:w="1139"/>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4003"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39"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4003"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39"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400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法定时限：20个工作日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139"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4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40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400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39"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4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4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after="0" w:afterAutospacing="0" w:line="400" w:lineRule="exact"/>
              <w:textAlignment w:val="auto"/>
              <w:rPr>
                <w:rFonts w:hint="eastAsia"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一、《中华人民共和国环境保护法》（由中华人民共和国第十二届全国人民代表大会常务委员会第八次会议于2014年4月24日修订通过，自2015年1月1日起施行，中华人民共和国主席令 第九号）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第四十五条：“国家依照法律规定实行排污许可管理制度。实行排污许可管理的企业事业单位和其他生产经营者应当按照排污许可证的要求排放污染物；未取得排污许可证的，不得排放污染物。” 二、《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第一次修正，2000年4月29日第九届全国人民代表大会常务委员会第十五次会议第一次修订，2015年8月29日第十二届全国人民代表大会常务委员会第十六次会议第二次修订，根据2018年10月26日第十三届全国人民代表大会常务委员会第六次会议《关于修改〈中华人民共和国野生动物保护法〉等十五部法律的决定》第二次修正，中华人民共和国主席令第十六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第十九条：“排放工业废气或者本法第七十八条规定名录中所列有毒有害大气污染物的企业事业单位、集中供热设施的燃煤热源生产运营单位以及其他依法实行排污许可管理的单位，应当取得排污许可证。”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中华人民共和国水污染防治法》（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2017年6月27日中华人民共和国主席令第七十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四、《中华人民共和国土壤污染防治法》（2018年8月31日第十三届全国人民代表大会常务委员会第五次会议通过，2018年8月31日中华人民共和国主席令 第八号）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第二十一条：“...土壤污染重点监管单位应当履行下列义务:（一）严格控制有毒有害物质排放，并按年度向生态环境主管部门报告排放情况；...前款规定的义务应当在排污许可证中载明...”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after="0" w:afterAutospacing="0" w:line="400" w:lineRule="exact"/>
              <w:textAlignment w:val="auto"/>
              <w:rPr>
                <w:rFonts w:hint="eastAsia" w:ascii="黑体" w:hAnsi="黑体" w:eastAsia="黑体" w:cs="黑体"/>
                <w:kern w:val="0"/>
                <w:sz w:val="52"/>
                <w:szCs w:val="52"/>
                <w:vertAlign w:val="baseline"/>
                <w:lang w:val="en-US" w:eastAsia="zh-CN" w:bidi="ar"/>
              </w:rPr>
            </w:pPr>
            <w:r>
              <w:rPr>
                <w:rFonts w:ascii="PingFang SC" w:hAnsi="PingFang SC" w:eastAsia="PingFang SC" w:cs="PingFang SC"/>
              </w:rPr>
              <w:t>纳入固定污染源排污许可分类管理名录的企业事业单位和其他生产经营者（简称排污单位）应当按照规定的时限申请并取得排污许可证。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left"/>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default" w:asciiTheme="minorHAnsi" w:hAnsiTheme="minorHAnsi" w:eastAsiaTheme="minorEastAsia" w:cstheme="minorBidi"/>
                <w:kern w:val="2"/>
                <w:sz w:val="21"/>
                <w:szCs w:val="21"/>
                <w:lang w:val="en-US" w:eastAsia="zh-CN" w:bidi="ar-SA"/>
              </w:rPr>
              <w:t>排污许可证承诺书</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 xml:space="preserve">  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left"/>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default" w:asciiTheme="minorHAnsi" w:hAnsiTheme="minorHAnsi" w:eastAsiaTheme="minorEastAsia" w:cstheme="minorBidi"/>
                <w:kern w:val="2"/>
                <w:sz w:val="21"/>
                <w:szCs w:val="21"/>
                <w:lang w:val="en-US" w:eastAsia="zh-CN" w:bidi="ar-SA"/>
              </w:rPr>
              <w:t>排污许可证申领信息公开情况说明表</w:t>
            </w:r>
            <w:r>
              <w:rPr>
                <w:rFonts w:hint="eastAsia" w:asciiTheme="minorHAnsi" w:hAnsiTheme="minorHAnsi" w:eastAsiaTheme="minorEastAsia" w:cstheme="minorBidi"/>
                <w:kern w:val="2"/>
                <w:sz w:val="21"/>
                <w:szCs w:val="21"/>
                <w:lang w:val="en-US" w:eastAsia="zh-CN" w:bidi="ar-SA"/>
              </w:rPr>
              <w:t xml:space="preserve">   1份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left"/>
              <w:textAlignment w:val="auto"/>
              <w:outlineLvl w:val="9"/>
              <w:rPr>
                <w:rFonts w:hint="default" w:ascii="黑体" w:hAnsi="黑体" w:eastAsia="黑体" w:cs="黑体"/>
                <w:kern w:val="0"/>
                <w:sz w:val="52"/>
                <w:szCs w:val="52"/>
                <w:vertAlign w:val="baseline"/>
                <w:lang w:val="en-US" w:eastAsia="zh-CN" w:bidi="ar"/>
              </w:rPr>
            </w:pPr>
            <w:r>
              <w:rPr>
                <w:rFonts w:hint="eastAsia" w:cstheme="minorBidi"/>
                <w:kern w:val="2"/>
                <w:sz w:val="21"/>
                <w:szCs w:val="21"/>
                <w:lang w:val="en-US" w:eastAsia="zh-CN" w:bidi="ar-SA"/>
              </w:rPr>
              <w:t>3、</w:t>
            </w:r>
            <w:r>
              <w:rPr>
                <w:rFonts w:hint="default" w:asciiTheme="minorHAnsi" w:hAnsiTheme="minorHAnsi" w:eastAsiaTheme="minorEastAsia" w:cstheme="minorBidi"/>
                <w:kern w:val="2"/>
                <w:sz w:val="21"/>
                <w:szCs w:val="21"/>
                <w:lang w:val="en-US" w:eastAsia="zh-CN" w:bidi="ar-SA"/>
              </w:rPr>
              <w:t>排污许可证申请表</w:t>
            </w:r>
            <w:r>
              <w:rPr>
                <w:rFonts w:hint="eastAsia" w:asciiTheme="minorHAnsi" w:hAnsiTheme="minorHAnsi" w:eastAsiaTheme="minorEastAsia" w:cstheme="minorBidi"/>
                <w:kern w:val="2"/>
                <w:sz w:val="21"/>
                <w:szCs w:val="21"/>
                <w:lang w:val="en-US" w:eastAsia="zh-CN" w:bidi="ar-SA"/>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after="0" w:afterAutospacing="0" w:line="400" w:lineRule="exact"/>
              <w:jc w:val="lef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环节名称：审核 ；办理人：江道贵；办理时限：即时；审查标准：在受理申报材料后，由办理科室对内容进行审查；办理结果：提出初步意见，转入决定步骤；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环节名称：决定 ；办理人：石常民；办理时限：1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06A31C1"/>
    <w:rsid w:val="00E87A4E"/>
    <w:rsid w:val="02353F6A"/>
    <w:rsid w:val="024A4233"/>
    <w:rsid w:val="083F475C"/>
    <w:rsid w:val="089277D3"/>
    <w:rsid w:val="0BEF7DB4"/>
    <w:rsid w:val="10F60E64"/>
    <w:rsid w:val="113719A0"/>
    <w:rsid w:val="119E3A20"/>
    <w:rsid w:val="14D376F3"/>
    <w:rsid w:val="14EA05EB"/>
    <w:rsid w:val="1B1940BD"/>
    <w:rsid w:val="1D1641DF"/>
    <w:rsid w:val="1D4F5573"/>
    <w:rsid w:val="1F0979C2"/>
    <w:rsid w:val="2006536D"/>
    <w:rsid w:val="200A67CA"/>
    <w:rsid w:val="20B92F69"/>
    <w:rsid w:val="23E07CE7"/>
    <w:rsid w:val="25D00607"/>
    <w:rsid w:val="35590E21"/>
    <w:rsid w:val="36204895"/>
    <w:rsid w:val="37F77D69"/>
    <w:rsid w:val="383567F1"/>
    <w:rsid w:val="39FC341E"/>
    <w:rsid w:val="3AE95BB7"/>
    <w:rsid w:val="3F345010"/>
    <w:rsid w:val="40392A15"/>
    <w:rsid w:val="49CC6710"/>
    <w:rsid w:val="559603D2"/>
    <w:rsid w:val="5688094B"/>
    <w:rsid w:val="596A3DFC"/>
    <w:rsid w:val="59DD77B5"/>
    <w:rsid w:val="5B10607B"/>
    <w:rsid w:val="5F6D4605"/>
    <w:rsid w:val="604334DA"/>
    <w:rsid w:val="68410F33"/>
    <w:rsid w:val="6B633486"/>
    <w:rsid w:val="6D535020"/>
    <w:rsid w:val="6F7B2985"/>
    <w:rsid w:val="6FAA6261"/>
    <w:rsid w:val="701C4705"/>
    <w:rsid w:val="71EA6B38"/>
    <w:rsid w:val="73E11420"/>
    <w:rsid w:val="74544908"/>
    <w:rsid w:val="74641639"/>
    <w:rsid w:val="78891CF2"/>
    <w:rsid w:val="7A6F3556"/>
    <w:rsid w:val="7A9E2B4D"/>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 w:type="character" w:customStyle="1" w:styleId="23">
    <w:name w:val="hover"/>
    <w:basedOn w:val="6"/>
    <w:qFormat/>
    <w:uiPriority w:val="0"/>
    <w:rPr>
      <w:shd w:val="clear" w:fill="0B3791"/>
    </w:rPr>
  </w:style>
  <w:style w:type="character" w:customStyle="1" w:styleId="24">
    <w:name w:val="hover1"/>
    <w:basedOn w:val="6"/>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1683</Words>
  <Characters>1799</Characters>
  <Lines>0</Lines>
  <Paragraphs>0</Paragraphs>
  <TotalTime>1</TotalTime>
  <ScaleCrop>false</ScaleCrop>
  <LinksUpToDate>false</LinksUpToDate>
  <CharactersWithSpaces>1830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9021ED6ED7E74C2F854C89082F08E08D</vt:lpwstr>
  </property>
</Properties>
</file>