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afterAutospacing="0" w:line="580" w:lineRule="exact"/>
        <w:jc w:val="center"/>
        <w:textAlignment w:val="auto"/>
        <w:rPr>
          <w:rFonts w:hint="eastAsia" w:ascii="黑体" w:hAnsi="黑体" w:eastAsia="黑体" w:cs="黑体"/>
          <w:b/>
          <w:bCs/>
          <w:kern w:val="0"/>
          <w:sz w:val="32"/>
          <w:szCs w:val="32"/>
          <w:lang w:val="en-US" w:eastAsia="zh-CN" w:bidi="ar"/>
        </w:rPr>
      </w:pPr>
      <w:r>
        <w:rPr>
          <w:rFonts w:hint="eastAsia" w:ascii="黑体" w:hAnsi="黑体" w:eastAsia="黑体" w:cs="黑体"/>
          <w:b/>
          <w:bCs/>
          <w:kern w:val="0"/>
          <w:sz w:val="32"/>
          <w:szCs w:val="32"/>
          <w:lang w:val="en-US" w:eastAsia="zh-CN" w:bidi="ar"/>
        </w:rPr>
        <w:t>县级建设项目环境影响后评价报告的备案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afterAutospacing="0" w:line="580" w:lineRule="exact"/>
        <w:jc w:val="center"/>
        <w:textAlignment w:val="auto"/>
        <w:rPr>
          <w:rFonts w:hint="eastAsia" w:ascii="方正舒体" w:hAnsi="方正舒体" w:eastAsia="方正舒体" w:cs="方正舒体"/>
          <w:b/>
          <w:bCs/>
          <w:kern w:val="0"/>
          <w:sz w:val="52"/>
          <w:szCs w:val="52"/>
          <w:lang w:val="en-US" w:eastAsia="zh-CN" w:bidi="ar"/>
        </w:rPr>
      </w:pPr>
      <w:r>
        <w:rPr>
          <w:rFonts w:hint="eastAsia" w:ascii="黑体" w:hAnsi="黑体" w:eastAsia="黑体" w:cs="黑体"/>
          <w:b/>
          <w:bCs/>
          <w:kern w:val="0"/>
          <w:sz w:val="32"/>
          <w:szCs w:val="32"/>
          <w:lang w:val="en-US" w:eastAsia="zh-CN" w:bidi="ar"/>
        </w:rPr>
        <w:t>（非辐射类）</w:t>
      </w:r>
      <w:r>
        <w:rPr>
          <w:rFonts w:hint="eastAsia" w:ascii="黑体" w:hAnsi="黑体" w:eastAsia="黑体" w:cs="黑体"/>
          <w:b/>
          <w:bCs/>
          <w:kern w:val="0"/>
          <w:sz w:val="32"/>
          <w:szCs w:val="32"/>
          <w:lang w:val="en-US" w:eastAsia="zh-CN" w:bidi="ar"/>
        </w:rPr>
        <w:t>服务指南</w:t>
      </w:r>
    </w:p>
    <w:p>
      <w:pPr>
        <w:pStyle w:val="2"/>
        <w:ind w:left="557"/>
        <w:jc w:val="right"/>
        <w:rPr>
          <w:rFonts w:hint="eastAsia" w:ascii="黑体" w:hAnsi="黑体" w:eastAsia="黑体" w:cs="黑体"/>
          <w:color w:val="FF0000"/>
          <w:sz w:val="28"/>
          <w:szCs w:val="28"/>
        </w:rPr>
      </w:pPr>
      <w:r>
        <w:rPr>
          <w:rFonts w:hint="eastAsia" w:ascii="黑体" w:hAnsi="黑体" w:eastAsia="黑体" w:cs="黑体"/>
          <w:sz w:val="21"/>
          <w:szCs w:val="21"/>
          <w:lang w:val="en-US" w:eastAsia="zh-CN"/>
        </w:rPr>
        <w:t>事项编码</w:t>
      </w:r>
      <w:bookmarkStart w:id="0" w:name="_GoBack"/>
      <w:bookmarkEnd w:id="0"/>
      <w:r>
        <w:rPr>
          <w:rFonts w:hint="eastAsia" w:ascii="黑体" w:hAnsi="黑体" w:eastAsia="黑体" w:cs="黑体"/>
          <w:sz w:val="21"/>
          <w:szCs w:val="21"/>
          <w:lang w:val="en-US" w:eastAsia="zh-CN"/>
        </w:rPr>
        <w:t>729615800QT27044002</w:t>
      </w:r>
      <w:r>
        <w:rPr>
          <w:rFonts w:hint="eastAsia" w:ascii="黑体" w:hAnsi="黑体" w:eastAsia="黑体" w:cs="黑体"/>
          <w:sz w:val="28"/>
          <w:szCs w:val="28"/>
          <w:lang w:val="en-US" w:eastAsia="zh-CN"/>
        </w:rPr>
        <w:t xml:space="preserve"> </w:t>
      </w:r>
      <w:r>
        <w:rPr>
          <w:rFonts w:hint="eastAsia" w:ascii="黑体" w:hAnsi="黑体" w:eastAsia="黑体" w:cs="黑体"/>
          <w:color w:val="FF0000"/>
          <w:sz w:val="28"/>
          <w:szCs w:val="28"/>
        </w:rPr>
        <w:t xml:space="preserve"> </w:t>
      </w:r>
    </w:p>
    <w:tbl>
      <w:tblPr>
        <w:tblStyle w:val="5"/>
        <w:tblW w:w="92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4"/>
        <w:gridCol w:w="3600"/>
        <w:gridCol w:w="1542"/>
        <w:gridCol w:w="2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154"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hAnsi="黑体" w:eastAsia="黑体" w:cs="黑体"/>
                <w:kern w:val="0"/>
                <w:sz w:val="21"/>
                <w:szCs w:val="21"/>
                <w:vertAlign w:val="baseline"/>
                <w:lang w:val="en-US" w:eastAsia="zh-CN" w:bidi="ar"/>
              </w:rPr>
            </w:pPr>
            <w:r>
              <w:rPr>
                <w:rFonts w:hint="eastAsia" w:ascii="黑体" w:hAnsi="黑体" w:eastAsia="黑体" w:cs="黑体"/>
                <w:kern w:val="0"/>
                <w:sz w:val="21"/>
                <w:szCs w:val="21"/>
                <w:vertAlign w:val="baseline"/>
                <w:lang w:val="en-US" w:eastAsia="zh-CN" w:bidi="ar"/>
              </w:rPr>
              <w:t>适用范围</w:t>
            </w:r>
          </w:p>
        </w:tc>
        <w:tc>
          <w:tcPr>
            <w:tcW w:w="3600" w:type="dxa"/>
            <w:vAlign w:val="center"/>
          </w:tcPr>
          <w:p>
            <w:pPr>
              <w:pStyle w:val="2"/>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hAnsi="黑体" w:eastAsia="黑体" w:cs="黑体"/>
                <w:kern w:val="0"/>
                <w:sz w:val="21"/>
                <w:szCs w:val="21"/>
                <w:vertAlign w:val="baseline"/>
                <w:lang w:val="en-US" w:eastAsia="zh-CN" w:bidi="ar"/>
              </w:rPr>
            </w:pPr>
            <w:r>
              <w:rPr>
                <w:rFonts w:hint="eastAsia"/>
                <w:lang w:val="en-US" w:eastAsia="zh-CN"/>
              </w:rPr>
              <w:t>个人</w:t>
            </w:r>
            <w:r>
              <w:rPr>
                <w:rFonts w:hint="eastAsia"/>
              </w:rPr>
              <w:t>、法人</w:t>
            </w:r>
          </w:p>
        </w:tc>
        <w:tc>
          <w:tcPr>
            <w:tcW w:w="1542"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hAnsi="黑体" w:eastAsia="黑体" w:cs="黑体"/>
                <w:kern w:val="0"/>
                <w:sz w:val="21"/>
                <w:szCs w:val="21"/>
                <w:vertAlign w:val="baseline"/>
                <w:lang w:val="en-US" w:eastAsia="zh-CN" w:bidi="ar"/>
              </w:rPr>
            </w:pPr>
            <w:r>
              <w:rPr>
                <w:rFonts w:hint="eastAsia" w:ascii="黑体" w:hAnsi="黑体" w:eastAsia="黑体" w:cs="黑体"/>
                <w:kern w:val="0"/>
                <w:sz w:val="21"/>
                <w:szCs w:val="21"/>
                <w:vertAlign w:val="baseline"/>
                <w:lang w:val="en-US" w:eastAsia="zh-CN" w:bidi="ar"/>
              </w:rPr>
              <w:t>事项类型</w:t>
            </w:r>
          </w:p>
        </w:tc>
        <w:tc>
          <w:tcPr>
            <w:tcW w:w="2963" w:type="dxa"/>
            <w:vAlign w:val="center"/>
          </w:tcPr>
          <w:p>
            <w:pPr>
              <w:pStyle w:val="2"/>
              <w:keepNext w:val="0"/>
              <w:keepLines w:val="0"/>
              <w:pageBreakBefore w:val="0"/>
              <w:kinsoku/>
              <w:wordWrap/>
              <w:overflowPunct/>
              <w:topLinePunct w:val="0"/>
              <w:autoSpaceDE/>
              <w:autoSpaceDN/>
              <w:bidi w:val="0"/>
              <w:adjustRightInd/>
              <w:snapToGrid/>
              <w:spacing w:before="1" w:beforeAutospacing="0" w:afterAutospacing="0" w:line="300" w:lineRule="exact"/>
              <w:jc w:val="center"/>
              <w:textAlignment w:val="auto"/>
              <w:outlineLvl w:val="9"/>
              <w:rPr>
                <w:rFonts w:hint="eastAsia" w:ascii="黑体" w:hAnsi="黑体" w:eastAsia="黑体" w:cs="黑体"/>
                <w:kern w:val="0"/>
                <w:sz w:val="21"/>
                <w:szCs w:val="21"/>
                <w:vertAlign w:val="baseline"/>
                <w:lang w:val="en-US" w:eastAsia="zh-CN" w:bidi="ar"/>
              </w:rPr>
            </w:pPr>
            <w:r>
              <w:rPr>
                <w:rFonts w:hint="eastAsia" w:eastAsia="黑体"/>
                <w:spacing w:val="-2"/>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154"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hAnsi="黑体" w:eastAsia="黑体" w:cs="黑体"/>
                <w:kern w:val="0"/>
                <w:sz w:val="21"/>
                <w:szCs w:val="21"/>
                <w:vertAlign w:val="baseline"/>
                <w:lang w:val="en-US" w:eastAsia="zh-CN" w:bidi="ar"/>
              </w:rPr>
            </w:pPr>
            <w:r>
              <w:rPr>
                <w:rFonts w:hint="eastAsia" w:ascii="黑体" w:eastAsia="黑体"/>
              </w:rPr>
              <w:t>受理机构</w:t>
            </w:r>
          </w:p>
        </w:tc>
        <w:tc>
          <w:tcPr>
            <w:tcW w:w="3600"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lang w:val="en-US" w:eastAsia="zh-CN"/>
              </w:rPr>
            </w:pPr>
            <w:r>
              <w:rPr>
                <w:rFonts w:hint="eastAsia" w:asciiTheme="minorHAnsi" w:hAnsiTheme="minorHAnsi" w:eastAsiaTheme="minorEastAsia" w:cstheme="minorBidi"/>
                <w:kern w:val="2"/>
                <w:sz w:val="21"/>
                <w:szCs w:val="21"/>
                <w:lang w:val="en-US" w:eastAsia="zh-CN" w:bidi="ar-SA"/>
              </w:rPr>
              <w:t>桐柏县行政审批服务中心</w:t>
            </w:r>
          </w:p>
        </w:tc>
        <w:tc>
          <w:tcPr>
            <w:tcW w:w="1542" w:type="dxa"/>
            <w:vAlign w:val="center"/>
          </w:tcPr>
          <w:p>
            <w:pPr>
              <w:pStyle w:val="2"/>
              <w:keepNext w:val="0"/>
              <w:keepLines w:val="0"/>
              <w:pageBreakBefore w:val="0"/>
              <w:kinsoku/>
              <w:wordWrap/>
              <w:overflowPunct/>
              <w:topLinePunct w:val="0"/>
              <w:autoSpaceDE/>
              <w:autoSpaceDN/>
              <w:bidi w:val="0"/>
              <w:adjustRightInd/>
              <w:snapToGrid/>
              <w:spacing w:before="1" w:beforeAutospacing="0" w:afterAutospacing="0" w:line="300" w:lineRule="exact"/>
              <w:jc w:val="center"/>
              <w:textAlignment w:val="auto"/>
              <w:outlineLvl w:val="9"/>
              <w:rPr>
                <w:rFonts w:hint="eastAsia" w:ascii="黑体" w:hAnsi="黑体" w:eastAsia="黑体" w:cs="黑体"/>
                <w:kern w:val="0"/>
                <w:sz w:val="21"/>
                <w:szCs w:val="21"/>
                <w:vertAlign w:val="baseline"/>
                <w:lang w:val="en-US" w:eastAsia="zh-CN" w:bidi="ar"/>
              </w:rPr>
            </w:pPr>
            <w:r>
              <w:rPr>
                <w:rFonts w:hint="eastAsia" w:ascii="黑体" w:eastAsia="黑体" w:hAnsiTheme="minorHAnsi" w:cstheme="minorBidi"/>
                <w:kern w:val="2"/>
                <w:sz w:val="21"/>
                <w:szCs w:val="24"/>
                <w:lang w:val="en-US" w:eastAsia="zh-CN" w:bidi="ar-SA"/>
              </w:rPr>
              <w:t>决定机构</w:t>
            </w:r>
          </w:p>
        </w:tc>
        <w:tc>
          <w:tcPr>
            <w:tcW w:w="2963" w:type="dxa"/>
            <w:vAlign w:val="center"/>
          </w:tcPr>
          <w:p>
            <w:pPr>
              <w:pStyle w:val="2"/>
              <w:keepNext w:val="0"/>
              <w:keepLines w:val="0"/>
              <w:pageBreakBefore w:val="0"/>
              <w:kinsoku/>
              <w:wordWrap/>
              <w:overflowPunct/>
              <w:topLinePunct w:val="0"/>
              <w:autoSpaceDE/>
              <w:autoSpaceDN/>
              <w:bidi w:val="0"/>
              <w:adjustRightInd/>
              <w:snapToGrid/>
              <w:spacing w:before="7" w:beforeAutospacing="0" w:afterAutospacing="0" w:line="300" w:lineRule="exact"/>
              <w:jc w:val="center"/>
              <w:textAlignment w:val="auto"/>
              <w:outlineLvl w:val="9"/>
              <w:rPr>
                <w:rFonts w:hint="eastAsia" w:eastAsia="黑体"/>
                <w:spacing w:val="-2"/>
                <w:lang w:val="en-US" w:eastAsia="zh-CN"/>
              </w:rPr>
            </w:pPr>
            <w:r>
              <w:rPr>
                <w:rFonts w:hint="eastAsia" w:asciiTheme="minorHAnsi" w:hAnsiTheme="minorHAnsi" w:eastAsiaTheme="minorEastAsia" w:cstheme="minorBidi"/>
                <w:kern w:val="2"/>
                <w:sz w:val="21"/>
                <w:szCs w:val="21"/>
                <w:lang w:val="en-US" w:eastAsia="zh-CN" w:bidi="ar-SA"/>
              </w:rPr>
              <w:t>南阳市生态环境局桐柏分局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154"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eastAsia="黑体"/>
              </w:rPr>
            </w:pPr>
            <w:r>
              <w:rPr>
                <w:rFonts w:hint="eastAsia" w:ascii="黑体" w:hAnsi="黑体" w:eastAsia="黑体" w:cs="黑体"/>
                <w:kern w:val="0"/>
                <w:sz w:val="21"/>
                <w:szCs w:val="21"/>
                <w:vertAlign w:val="baseline"/>
                <w:lang w:val="en-US" w:eastAsia="zh-CN" w:bidi="ar"/>
              </w:rPr>
              <w:t>办理时限</w:t>
            </w:r>
          </w:p>
        </w:tc>
        <w:tc>
          <w:tcPr>
            <w:tcW w:w="3600"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cstheme="minorBidi"/>
                <w:kern w:val="2"/>
                <w:sz w:val="21"/>
                <w:szCs w:val="21"/>
                <w:lang w:val="en-US" w:eastAsia="zh-CN" w:bidi="ar-SA"/>
              </w:rPr>
            </w:pPr>
            <w:r>
              <w:rPr>
                <w:rFonts w:hint="eastAsia" w:cstheme="minorBidi"/>
                <w:kern w:val="2"/>
                <w:sz w:val="21"/>
                <w:szCs w:val="21"/>
                <w:lang w:val="en-US" w:eastAsia="zh-CN" w:bidi="ar-SA"/>
              </w:rPr>
              <w:t>法定时限：5个工作日</w:t>
            </w:r>
          </w:p>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cstheme="minorBidi"/>
                <w:kern w:val="2"/>
                <w:sz w:val="21"/>
                <w:szCs w:val="21"/>
                <w:lang w:val="en-US" w:eastAsia="zh-CN" w:bidi="ar-SA"/>
              </w:rPr>
            </w:pPr>
            <w:r>
              <w:rPr>
                <w:rFonts w:hint="eastAsia" w:cstheme="minorBidi"/>
                <w:kern w:val="2"/>
                <w:sz w:val="21"/>
                <w:szCs w:val="21"/>
                <w:lang w:val="en-US" w:eastAsia="zh-CN" w:bidi="ar-SA"/>
              </w:rPr>
              <w:t>承诺时限：1个工作日（承诺时间不包含现场勘查、专家评审、环评文件修改完善、补件、上报（转报）、公示等步骤所需要的时间）</w:t>
            </w:r>
          </w:p>
        </w:tc>
        <w:tc>
          <w:tcPr>
            <w:tcW w:w="1542" w:type="dxa"/>
            <w:vAlign w:val="center"/>
          </w:tcPr>
          <w:p>
            <w:pPr>
              <w:pStyle w:val="2"/>
              <w:keepNext w:val="0"/>
              <w:keepLines w:val="0"/>
              <w:pageBreakBefore w:val="0"/>
              <w:kinsoku/>
              <w:wordWrap/>
              <w:overflowPunct/>
              <w:topLinePunct w:val="0"/>
              <w:autoSpaceDE/>
              <w:autoSpaceDN/>
              <w:bidi w:val="0"/>
              <w:adjustRightInd/>
              <w:snapToGrid/>
              <w:spacing w:before="1" w:beforeAutospacing="0" w:afterAutospacing="0" w:line="300" w:lineRule="exact"/>
              <w:jc w:val="center"/>
              <w:textAlignment w:val="auto"/>
              <w:outlineLvl w:val="9"/>
              <w:rPr>
                <w:rFonts w:hint="eastAsia" w:ascii="黑体" w:eastAsia="黑体" w:hAnsiTheme="minorHAnsi" w:cstheme="minorBidi"/>
                <w:kern w:val="2"/>
                <w:sz w:val="21"/>
                <w:szCs w:val="24"/>
                <w:lang w:val="en-US" w:eastAsia="zh-CN" w:bidi="ar-SA"/>
              </w:rPr>
            </w:pPr>
            <w:r>
              <w:rPr>
                <w:rFonts w:hint="eastAsia" w:ascii="黑体" w:eastAsia="黑体" w:cstheme="minorBidi"/>
                <w:kern w:val="2"/>
                <w:sz w:val="21"/>
                <w:szCs w:val="24"/>
                <w:lang w:val="en-US" w:eastAsia="zh-CN" w:bidi="ar-SA"/>
              </w:rPr>
              <w:t>咨询方式</w:t>
            </w:r>
          </w:p>
        </w:tc>
        <w:tc>
          <w:tcPr>
            <w:tcW w:w="2963"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Theme="minorHAnsi" w:hAnsiTheme="minorHAnsi" w:eastAsiaTheme="minorEastAsia" w:cstheme="minorBidi"/>
                <w:kern w:val="2"/>
                <w:sz w:val="21"/>
                <w:szCs w:val="21"/>
                <w:lang w:val="en-US" w:eastAsia="zh-CN" w:bidi="ar-SA"/>
              </w:rPr>
            </w:pPr>
            <w:r>
              <w:rPr>
                <w:rFonts w:hint="eastAsia"/>
                <w:lang w:val="en-US" w:eastAsia="zh-CN"/>
              </w:rPr>
              <w:t>现场咨询</w:t>
            </w:r>
          </w:p>
          <w:p>
            <w:pPr>
              <w:pStyle w:val="2"/>
              <w:keepNext w:val="0"/>
              <w:keepLines w:val="0"/>
              <w:pageBreakBefore w:val="0"/>
              <w:kinsoku/>
              <w:wordWrap/>
              <w:overflowPunct/>
              <w:topLinePunct w:val="0"/>
              <w:autoSpaceDE/>
              <w:autoSpaceDN/>
              <w:bidi w:val="0"/>
              <w:adjustRightInd/>
              <w:snapToGrid/>
              <w:spacing w:before="7" w:beforeAutospacing="0" w:afterAutospacing="0" w:line="300" w:lineRule="exact"/>
              <w:jc w:val="center"/>
              <w:textAlignment w:val="auto"/>
              <w:outlineLvl w:val="9"/>
              <w:rPr>
                <w:rFonts w:hint="default" w:asciiTheme="minorHAnsi" w:hAnsiTheme="minorHAnsi" w:eastAsiaTheme="minorEastAsia" w:cstheme="minorBidi"/>
                <w:kern w:val="2"/>
                <w:sz w:val="21"/>
                <w:szCs w:val="21"/>
                <w:lang w:val="en-US" w:eastAsia="zh-CN" w:bidi="ar-SA"/>
              </w:rPr>
            </w:pPr>
            <w:r>
              <w:rPr>
                <w:rFonts w:hint="eastAsia" w:cstheme="minorBidi"/>
                <w:kern w:val="2"/>
                <w:sz w:val="21"/>
                <w:szCs w:val="21"/>
                <w:lang w:val="en-US" w:eastAsia="zh-CN" w:bidi="ar-SA"/>
              </w:rPr>
              <w:t>电话咨询：0377-68218618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1154"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hAnsi="黑体" w:eastAsia="黑体" w:cs="黑体"/>
                <w:kern w:val="0"/>
                <w:sz w:val="21"/>
                <w:szCs w:val="21"/>
                <w:vertAlign w:val="baseline"/>
                <w:lang w:val="en-US" w:eastAsia="zh-CN" w:bidi="ar"/>
              </w:rPr>
            </w:pPr>
            <w:r>
              <w:rPr>
                <w:rFonts w:hint="eastAsia" w:ascii="黑体" w:eastAsia="黑体" w:hAnsiTheme="minorHAnsi" w:cstheme="minorBidi"/>
                <w:kern w:val="2"/>
                <w:sz w:val="21"/>
                <w:szCs w:val="24"/>
                <w:lang w:val="en-US" w:eastAsia="zh-CN" w:bidi="ar-SA"/>
              </w:rPr>
              <w:t>受理</w:t>
            </w:r>
            <w:r>
              <w:rPr>
                <w:rFonts w:hint="eastAsia" w:ascii="黑体" w:eastAsia="黑体" w:cstheme="minorBidi"/>
                <w:kern w:val="2"/>
                <w:sz w:val="21"/>
                <w:szCs w:val="24"/>
                <w:lang w:val="en-US" w:eastAsia="zh-CN" w:bidi="ar-SA"/>
              </w:rPr>
              <w:t>方式</w:t>
            </w:r>
          </w:p>
        </w:tc>
        <w:tc>
          <w:tcPr>
            <w:tcW w:w="3600"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cstheme="minorBidi"/>
                <w:kern w:val="2"/>
                <w:sz w:val="21"/>
                <w:szCs w:val="21"/>
                <w:lang w:val="en-US" w:eastAsia="zh-CN" w:bidi="ar-SA"/>
              </w:rPr>
            </w:pPr>
            <w:r>
              <w:rPr>
                <w:rFonts w:hint="eastAsia" w:cstheme="minorBidi"/>
                <w:kern w:val="2"/>
                <w:sz w:val="21"/>
                <w:szCs w:val="21"/>
                <w:lang w:val="en-US" w:eastAsia="zh-CN" w:bidi="ar-SA"/>
              </w:rPr>
              <w:t>窗口受理、网上申报</w:t>
            </w:r>
          </w:p>
        </w:tc>
        <w:tc>
          <w:tcPr>
            <w:tcW w:w="1542" w:type="dxa"/>
            <w:vAlign w:val="center"/>
          </w:tcPr>
          <w:p>
            <w:pPr>
              <w:pStyle w:val="2"/>
              <w:keepNext w:val="0"/>
              <w:keepLines w:val="0"/>
              <w:pageBreakBefore w:val="0"/>
              <w:kinsoku/>
              <w:wordWrap/>
              <w:overflowPunct/>
              <w:topLinePunct w:val="0"/>
              <w:autoSpaceDE/>
              <w:autoSpaceDN/>
              <w:bidi w:val="0"/>
              <w:adjustRightInd/>
              <w:snapToGrid/>
              <w:spacing w:before="1" w:beforeAutospacing="0" w:afterAutospacing="0" w:line="300" w:lineRule="exact"/>
              <w:jc w:val="center"/>
              <w:textAlignment w:val="auto"/>
              <w:outlineLvl w:val="9"/>
              <w:rPr>
                <w:rFonts w:hint="eastAsia" w:ascii="黑体" w:eastAsia="黑体" w:cstheme="minorBidi"/>
                <w:kern w:val="2"/>
                <w:sz w:val="21"/>
                <w:szCs w:val="24"/>
                <w:lang w:val="en-US" w:eastAsia="zh-CN" w:bidi="ar-SA"/>
              </w:rPr>
            </w:pPr>
            <w:r>
              <w:rPr>
                <w:rFonts w:hint="eastAsia" w:ascii="黑体" w:eastAsia="黑体" w:cstheme="minorBidi"/>
                <w:kern w:val="2"/>
                <w:sz w:val="21"/>
                <w:szCs w:val="24"/>
                <w:lang w:val="en-US" w:eastAsia="zh-CN" w:bidi="ar-SA"/>
              </w:rPr>
              <w:t>结果送达</w:t>
            </w:r>
          </w:p>
        </w:tc>
        <w:tc>
          <w:tcPr>
            <w:tcW w:w="2963" w:type="dxa"/>
            <w:vAlign w:val="center"/>
          </w:tcPr>
          <w:p>
            <w:pPr>
              <w:pStyle w:val="2"/>
              <w:keepNext w:val="0"/>
              <w:keepLines w:val="0"/>
              <w:pageBreakBefore w:val="0"/>
              <w:kinsoku/>
              <w:wordWrap/>
              <w:overflowPunct/>
              <w:topLinePunct w:val="0"/>
              <w:autoSpaceDE/>
              <w:autoSpaceDN/>
              <w:bidi w:val="0"/>
              <w:adjustRightInd/>
              <w:snapToGrid/>
              <w:spacing w:before="7" w:beforeAutospacing="0" w:afterAutospacing="0" w:line="300" w:lineRule="exact"/>
              <w:jc w:val="center"/>
              <w:textAlignment w:val="auto"/>
              <w:outlineLvl w:val="9"/>
              <w:rPr>
                <w:rFonts w:hint="eastAsia" w:cstheme="minorBidi"/>
                <w:kern w:val="2"/>
                <w:sz w:val="21"/>
                <w:szCs w:val="21"/>
                <w:lang w:val="en-US" w:eastAsia="zh-CN" w:bidi="ar-SA"/>
              </w:rPr>
            </w:pPr>
            <w:r>
              <w:rPr>
                <w:rFonts w:hint="eastAsia" w:cstheme="minorBidi"/>
                <w:kern w:val="2"/>
                <w:sz w:val="21"/>
                <w:szCs w:val="21"/>
                <w:lang w:val="en-US" w:eastAsia="zh-CN" w:bidi="ar-SA"/>
              </w:rPr>
              <w:t>窗口领取、邮递送达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8" w:hRule="atLeast"/>
          <w:jc w:val="center"/>
        </w:trPr>
        <w:tc>
          <w:tcPr>
            <w:tcW w:w="1154"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hAnsi="黑体" w:eastAsia="黑体" w:cs="黑体"/>
                <w:kern w:val="0"/>
                <w:sz w:val="52"/>
                <w:szCs w:val="52"/>
                <w:vertAlign w:val="baseline"/>
                <w:lang w:val="en-US" w:eastAsia="zh-CN" w:bidi="ar"/>
              </w:rPr>
            </w:pPr>
            <w:r>
              <w:rPr>
                <w:rFonts w:hint="eastAsia" w:ascii="黑体" w:hAnsi="黑体" w:eastAsia="黑体" w:cs="黑体"/>
                <w:kern w:val="0"/>
                <w:sz w:val="21"/>
                <w:szCs w:val="21"/>
                <w:vertAlign w:val="baseline"/>
                <w:lang w:val="en-US" w:eastAsia="zh-CN" w:bidi="ar"/>
              </w:rPr>
              <w:t>设立依据</w:t>
            </w:r>
          </w:p>
        </w:tc>
        <w:tc>
          <w:tcPr>
            <w:tcW w:w="8105" w:type="dxa"/>
            <w:gridSpan w:val="3"/>
            <w:vAlign w:val="top"/>
          </w:tcPr>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380" w:lineRule="exact"/>
              <w:textAlignment w:val="auto"/>
              <w:rPr>
                <w:rFonts w:hint="eastAsia" w:ascii="黑体" w:hAnsi="黑体" w:eastAsia="黑体" w:cs="黑体"/>
                <w:kern w:val="0"/>
                <w:sz w:val="52"/>
                <w:szCs w:val="52"/>
                <w:vertAlign w:val="baseline"/>
                <w:lang w:val="en-US" w:eastAsia="zh-CN" w:bidi="ar"/>
              </w:rPr>
            </w:pPr>
            <w:r>
              <w:rPr>
                <w:rFonts w:hint="eastAsia" w:asciiTheme="minorHAnsi" w:hAnsiTheme="minorHAnsi" w:eastAsiaTheme="minorEastAsia" w:cstheme="minorBidi"/>
                <w:kern w:val="2"/>
                <w:sz w:val="21"/>
                <w:szCs w:val="21"/>
                <w:lang w:val="en-US" w:eastAsia="zh-CN" w:bidi="ar-SA"/>
              </w:rPr>
              <w:t>一、《中华人民共和国环境影响评价法》（2016年7月2日主席令第七十七号，2016年7月2日主席令第四十八号修改，2018年12月29日主席令第二十四号修改）</w:t>
            </w:r>
            <w:r>
              <w:rPr>
                <w:rFonts w:hint="default" w:asciiTheme="minorHAnsi" w:hAnsiTheme="minorHAnsi" w:eastAsiaTheme="minorEastAsia" w:cstheme="minorBidi"/>
                <w:kern w:val="2"/>
                <w:sz w:val="21"/>
                <w:szCs w:val="21"/>
                <w:lang w:val="en-US" w:eastAsia="zh-CN" w:bidi="ar-SA"/>
              </w:rPr>
              <w:br w:type="textWrapping"/>
            </w:r>
            <w:r>
              <w:rPr>
                <w:rFonts w:hint="default" w:asciiTheme="minorHAnsi" w:hAnsiTheme="minorHAnsi" w:eastAsiaTheme="minorEastAsia" w:cstheme="minorBidi"/>
                <w:kern w:val="2"/>
                <w:sz w:val="21"/>
                <w:szCs w:val="21"/>
                <w:lang w:val="en-US" w:eastAsia="zh-CN" w:bidi="ar-SA"/>
              </w:rPr>
              <w:t>第二十七条：“在项目建设、运行过程中产生不符合经审批的环境影响评价文件的情形的，建设单位应当组织环境影响的后评价，采取改进措施，并报原环境影响评价文件审批部门和建设项目审批部门备案；原环境影响评价文件审批部门也可以责成建设单位进行环境影响的后评价，采取改进措施。”</w:t>
            </w:r>
            <w:r>
              <w:rPr>
                <w:rFonts w:hint="default" w:asciiTheme="minorHAnsi" w:hAnsiTheme="minorHAnsi" w:eastAsiaTheme="minorEastAsia" w:cstheme="minorBidi"/>
                <w:kern w:val="2"/>
                <w:sz w:val="21"/>
                <w:szCs w:val="21"/>
                <w:lang w:val="en-US" w:eastAsia="zh-CN" w:bidi="ar-SA"/>
              </w:rPr>
              <w:br w:type="textWrapping"/>
            </w:r>
            <w:r>
              <w:rPr>
                <w:rFonts w:hint="default" w:asciiTheme="minorHAnsi" w:hAnsiTheme="minorHAnsi" w:eastAsiaTheme="minorEastAsia" w:cstheme="minorBidi"/>
                <w:kern w:val="2"/>
                <w:sz w:val="21"/>
                <w:szCs w:val="21"/>
                <w:lang w:val="en-US" w:eastAsia="zh-CN" w:bidi="ar-SA"/>
              </w:rPr>
              <w:t>二、《建设项目环境影响后评价管理办法（试行）》（于2015年4月2日由环境保护部部务会议审议通过，现予公布，自2016年1月1日起施行，环境保护部令第37号）</w:t>
            </w:r>
            <w:r>
              <w:rPr>
                <w:rFonts w:hint="default" w:asciiTheme="minorHAnsi" w:hAnsiTheme="minorHAnsi" w:eastAsiaTheme="minorEastAsia" w:cstheme="minorBidi"/>
                <w:kern w:val="2"/>
                <w:sz w:val="21"/>
                <w:szCs w:val="21"/>
                <w:lang w:val="en-US" w:eastAsia="zh-CN" w:bidi="ar-SA"/>
              </w:rPr>
              <w:br w:type="textWrapping"/>
            </w:r>
            <w:r>
              <w:rPr>
                <w:rFonts w:hint="default" w:asciiTheme="minorHAnsi" w:hAnsiTheme="minorHAnsi" w:eastAsiaTheme="minorEastAsia" w:cstheme="minorBidi"/>
                <w:kern w:val="2"/>
                <w:sz w:val="21"/>
                <w:szCs w:val="21"/>
                <w:lang w:val="en-US" w:eastAsia="zh-CN" w:bidi="ar-SA"/>
              </w:rPr>
              <w:t>第三条：“下列建设项目运行过程中产生不符合经审批的环境影响报告书情形的，应当开展环境影响后评价：</w:t>
            </w:r>
            <w:r>
              <w:rPr>
                <w:rFonts w:hint="default" w:asciiTheme="minorHAnsi" w:hAnsiTheme="minorHAnsi" w:eastAsiaTheme="minorEastAsia" w:cstheme="minorBidi"/>
                <w:kern w:val="2"/>
                <w:sz w:val="21"/>
                <w:szCs w:val="21"/>
                <w:lang w:val="en-US" w:eastAsia="zh-CN" w:bidi="ar-SA"/>
              </w:rPr>
              <w:br w:type="textWrapping"/>
            </w:r>
            <w:r>
              <w:rPr>
                <w:rFonts w:hint="default" w:asciiTheme="minorHAnsi" w:hAnsiTheme="minorHAnsi" w:eastAsiaTheme="minorEastAsia" w:cstheme="minorBidi"/>
                <w:kern w:val="2"/>
                <w:sz w:val="21"/>
                <w:szCs w:val="21"/>
                <w:lang w:val="en-US" w:eastAsia="zh-CN" w:bidi="ar-SA"/>
              </w:rPr>
              <w:t>（一）水利、水电、采掘、港口、铁路行业中实际环境影响程度和范围较大，且主要环境影响在项目建成运行一定时期后逐步显现的建设项目，以及其他行业中穿越重要生态环境敏感区的建设项目；（二）冶金、石化和化工行业中有重大环境风险，建设地点敏感，且持续排放重金属或者持久性有机污染物的建设项目；</w:t>
            </w:r>
            <w:r>
              <w:rPr>
                <w:rFonts w:hint="default" w:asciiTheme="minorHAnsi" w:hAnsiTheme="minorHAnsi" w:eastAsiaTheme="minorEastAsia" w:cstheme="minorBidi"/>
                <w:kern w:val="2"/>
                <w:sz w:val="21"/>
                <w:szCs w:val="21"/>
                <w:lang w:val="en-US" w:eastAsia="zh-CN" w:bidi="ar-SA"/>
              </w:rPr>
              <w:br w:type="textWrapping"/>
            </w:r>
            <w:r>
              <w:rPr>
                <w:rFonts w:hint="default" w:asciiTheme="minorHAnsi" w:hAnsiTheme="minorHAnsi" w:eastAsiaTheme="minorEastAsia" w:cstheme="minorBidi"/>
                <w:kern w:val="2"/>
                <w:sz w:val="21"/>
                <w:szCs w:val="21"/>
                <w:lang w:val="en-US" w:eastAsia="zh-CN" w:bidi="ar-SA"/>
              </w:rPr>
              <w:t>（三）审批环境影响报告书的环境保护主管部门认为应当开展环境影响后评价的其他建设项目。”第五条：“建设项目环境影响后评价的管理，由审批该建设项目环境影响报告书的环境保护主管部门负责。”</w:t>
            </w:r>
            <w:r>
              <w:rPr>
                <w:rFonts w:hint="default" w:asciiTheme="minorHAnsi" w:hAnsiTheme="minorHAnsi" w:eastAsiaTheme="minorEastAsia" w:cstheme="minorBidi"/>
                <w:kern w:val="2"/>
                <w:sz w:val="21"/>
                <w:szCs w:val="21"/>
                <w:lang w:val="en-US" w:eastAsia="zh-CN" w:bidi="ar-SA"/>
              </w:rPr>
              <w:br w:type="textWrapping"/>
            </w:r>
            <w:r>
              <w:rPr>
                <w:rFonts w:hint="default" w:asciiTheme="minorHAnsi" w:hAnsiTheme="minorHAnsi" w:eastAsiaTheme="minorEastAsia" w:cstheme="minorBidi"/>
                <w:kern w:val="2"/>
                <w:sz w:val="21"/>
                <w:szCs w:val="21"/>
                <w:lang w:val="en-US" w:eastAsia="zh-CN" w:bidi="ar-SA"/>
              </w:rPr>
              <w:t>第六条：“第三款 建设单位或者生产经营单位应当将环境影响后评价文件报原审批环境影响报告书的环境保护主管部门备案，并接受环境保护主管部门的监督检查。”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154" w:type="dxa"/>
            <w:vAlign w:val="center"/>
          </w:tcPr>
          <w:p>
            <w:pPr>
              <w:pStyle w:val="2"/>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hAnsi="黑体" w:eastAsia="黑体" w:cs="黑体"/>
                <w:kern w:val="0"/>
                <w:sz w:val="52"/>
                <w:szCs w:val="52"/>
                <w:vertAlign w:val="baseline"/>
                <w:lang w:val="en-US" w:eastAsia="zh-CN" w:bidi="ar"/>
              </w:rPr>
            </w:pPr>
            <w:r>
              <w:rPr>
                <w:rFonts w:hint="eastAsia" w:ascii="黑体" w:eastAsia="黑体" w:hAnsiTheme="minorHAnsi" w:cstheme="minorBidi"/>
                <w:kern w:val="2"/>
                <w:sz w:val="21"/>
                <w:szCs w:val="24"/>
                <w:lang w:val="en-US" w:eastAsia="zh-CN" w:bidi="ar-SA"/>
              </w:rPr>
              <w:t>办理条件</w:t>
            </w:r>
          </w:p>
        </w:tc>
        <w:tc>
          <w:tcPr>
            <w:tcW w:w="8105" w:type="dxa"/>
            <w:gridSpan w:val="3"/>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380" w:lineRule="exact"/>
              <w:textAlignment w:val="auto"/>
              <w:rPr>
                <w:rFonts w:hint="eastAsia" w:ascii="黑体" w:hAnsi="黑体" w:eastAsia="黑体" w:cs="黑体"/>
                <w:kern w:val="0"/>
                <w:sz w:val="52"/>
                <w:szCs w:val="52"/>
                <w:vertAlign w:val="baseline"/>
                <w:lang w:val="en-US" w:eastAsia="zh-CN" w:bidi="ar"/>
              </w:rPr>
            </w:pPr>
            <w:r>
              <w:rPr>
                <w:rFonts w:hint="default" w:asciiTheme="minorHAnsi" w:hAnsiTheme="minorHAnsi" w:eastAsiaTheme="minorEastAsia" w:cstheme="minorBidi"/>
                <w:kern w:val="2"/>
                <w:sz w:val="21"/>
                <w:szCs w:val="21"/>
                <w:lang w:val="en-US" w:eastAsia="zh-CN" w:bidi="ar-SA"/>
              </w:rPr>
              <w:t>1.河南省生态环境厅原审批项目且属于国家规定的开展后评价范围</w:t>
            </w:r>
            <w:r>
              <w:rPr>
                <w:rFonts w:hint="default" w:asciiTheme="minorHAnsi" w:hAnsiTheme="minorHAnsi" w:eastAsiaTheme="minorEastAsia" w:cstheme="minorBidi"/>
                <w:kern w:val="2"/>
                <w:sz w:val="21"/>
                <w:szCs w:val="21"/>
                <w:lang w:val="en-US" w:eastAsia="zh-CN" w:bidi="ar-SA"/>
              </w:rPr>
              <w:br w:type="textWrapping"/>
            </w:r>
            <w:r>
              <w:rPr>
                <w:rFonts w:hint="default" w:asciiTheme="minorHAnsi" w:hAnsiTheme="minorHAnsi" w:eastAsiaTheme="minorEastAsia" w:cstheme="minorBidi"/>
                <w:kern w:val="2"/>
                <w:sz w:val="21"/>
                <w:szCs w:val="21"/>
                <w:lang w:val="en-US" w:eastAsia="zh-CN" w:bidi="ar-SA"/>
              </w:rPr>
              <w:t>2.建设单位正式申请文件、环境影响后评价报告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54"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hAnsi="黑体" w:eastAsia="黑体" w:cs="黑体"/>
                <w:kern w:val="0"/>
                <w:sz w:val="52"/>
                <w:szCs w:val="52"/>
                <w:vertAlign w:val="baseline"/>
                <w:lang w:val="en-US" w:eastAsia="zh-CN" w:bidi="ar"/>
              </w:rPr>
            </w:pPr>
            <w:r>
              <w:rPr>
                <w:rFonts w:hint="eastAsia" w:ascii="黑体" w:eastAsia="黑体" w:hAnsiTheme="minorHAnsi" w:cstheme="minorBidi"/>
                <w:kern w:val="2"/>
                <w:sz w:val="21"/>
                <w:szCs w:val="24"/>
                <w:lang w:val="en-US" w:eastAsia="zh-CN" w:bidi="ar-SA"/>
              </w:rPr>
              <w:t>申办</w:t>
            </w:r>
            <w:r>
              <w:rPr>
                <w:rFonts w:hint="eastAsia" w:ascii="黑体" w:eastAsia="黑体" w:cstheme="minorBidi"/>
                <w:kern w:val="2"/>
                <w:sz w:val="21"/>
                <w:szCs w:val="24"/>
                <w:lang w:val="en-US" w:eastAsia="zh-CN" w:bidi="ar-SA"/>
              </w:rPr>
              <w:t>材料</w:t>
            </w:r>
          </w:p>
        </w:tc>
        <w:tc>
          <w:tcPr>
            <w:tcW w:w="8105" w:type="dxa"/>
            <w:gridSpan w:val="3"/>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380" w:lineRule="exact"/>
              <w:jc w:val="left"/>
              <w:textAlignment w:val="auto"/>
              <w:outlineLvl w:val="9"/>
              <w:rPr>
                <w:rFonts w:hint="eastAsia" w:asciiTheme="minorHAnsi" w:hAnsiTheme="minorHAnsi" w:eastAsiaTheme="minorEastAsia" w:cstheme="minorBidi"/>
                <w:kern w:val="2"/>
                <w:sz w:val="21"/>
                <w:szCs w:val="21"/>
                <w:lang w:val="en-US" w:eastAsia="zh-CN" w:bidi="ar-SA"/>
              </w:rPr>
            </w:pPr>
            <w:r>
              <w:rPr>
                <w:rFonts w:hint="default" w:asciiTheme="minorHAnsi" w:hAnsiTheme="minorHAnsi" w:eastAsiaTheme="minorEastAsia" w:cstheme="minorBidi"/>
                <w:kern w:val="2"/>
                <w:sz w:val="21"/>
                <w:szCs w:val="21"/>
                <w:lang w:val="en-US" w:eastAsia="zh-CN" w:bidi="ar-SA"/>
              </w:rPr>
              <w:t>建设项目环境影响后评价备案申请</w:t>
            </w:r>
            <w:r>
              <w:rPr>
                <w:rFonts w:hint="eastAsia" w:asciiTheme="minorHAnsi" w:hAnsiTheme="minorHAnsi" w:eastAsiaTheme="minorEastAsia" w:cstheme="minorBidi"/>
                <w:kern w:val="2"/>
                <w:sz w:val="21"/>
                <w:szCs w:val="21"/>
                <w:lang w:val="en-US" w:eastAsia="zh-CN" w:bidi="ar-SA"/>
              </w:rPr>
              <w:tab/>
            </w:r>
            <w:r>
              <w:rPr>
                <w:rFonts w:hint="eastAsia" w:asciiTheme="minorHAnsi" w:hAnsiTheme="minorHAnsi" w:eastAsiaTheme="minorEastAsia" w:cstheme="minorBidi"/>
                <w:kern w:val="2"/>
                <w:sz w:val="21"/>
                <w:szCs w:val="21"/>
                <w:lang w:val="en-US" w:eastAsia="zh-CN" w:bidi="ar-SA"/>
              </w:rPr>
              <w:t xml:space="preserve">  1份</w:t>
            </w:r>
            <w:r>
              <w:rPr>
                <w:rFonts w:hint="eastAsia" w:asciiTheme="minorHAnsi" w:hAnsiTheme="minorHAnsi" w:eastAsiaTheme="minorEastAsia" w:cstheme="minorBidi"/>
                <w:kern w:val="2"/>
                <w:sz w:val="21"/>
                <w:szCs w:val="21"/>
                <w:lang w:val="en-US" w:eastAsia="zh-CN" w:bidi="ar-SA"/>
              </w:rPr>
              <w:tab/>
            </w:r>
            <w:r>
              <w:rPr>
                <w:rFonts w:hint="eastAsia" w:asciiTheme="minorHAnsi" w:hAnsiTheme="minorHAnsi" w:eastAsiaTheme="minorEastAsia" w:cstheme="minorBidi"/>
                <w:kern w:val="2"/>
                <w:sz w:val="21"/>
                <w:szCs w:val="21"/>
                <w:lang w:val="en-US" w:eastAsia="zh-CN" w:bidi="ar-SA"/>
              </w:rPr>
              <w:tab/>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80" w:lineRule="exact"/>
              <w:jc w:val="left"/>
              <w:textAlignment w:val="auto"/>
              <w:outlineLvl w:val="9"/>
              <w:rPr>
                <w:rFonts w:hint="eastAsia" w:ascii="黑体" w:hAnsi="黑体" w:eastAsia="黑体" w:cs="黑体"/>
                <w:kern w:val="0"/>
                <w:sz w:val="52"/>
                <w:szCs w:val="52"/>
                <w:vertAlign w:val="baseline"/>
                <w:lang w:val="en-US" w:eastAsia="zh-CN" w:bidi="ar"/>
              </w:rPr>
            </w:pPr>
            <w:r>
              <w:rPr>
                <w:rFonts w:hint="eastAsia" w:cstheme="minorBidi"/>
                <w:kern w:val="2"/>
                <w:sz w:val="21"/>
                <w:szCs w:val="21"/>
                <w:lang w:val="en-US" w:eastAsia="zh-CN" w:bidi="ar-SA"/>
              </w:rPr>
              <w:t>2、</w:t>
            </w:r>
            <w:r>
              <w:rPr>
                <w:rFonts w:hint="default" w:asciiTheme="minorHAnsi" w:hAnsiTheme="minorHAnsi" w:eastAsiaTheme="minorEastAsia" w:cstheme="minorBidi"/>
                <w:kern w:val="2"/>
                <w:sz w:val="21"/>
                <w:szCs w:val="21"/>
                <w:lang w:val="en-US" w:eastAsia="zh-CN" w:bidi="ar-SA"/>
              </w:rPr>
              <w:t>环境影响评价后评价报告</w:t>
            </w:r>
            <w:r>
              <w:rPr>
                <w:rFonts w:hint="eastAsia" w:asciiTheme="minorHAnsi" w:hAnsiTheme="minorHAnsi" w:eastAsiaTheme="minorEastAsia" w:cstheme="minorBidi"/>
                <w:kern w:val="2"/>
                <w:sz w:val="21"/>
                <w:szCs w:val="21"/>
                <w:lang w:val="en-US" w:eastAsia="zh-CN" w:bidi="ar-SA"/>
              </w:rPr>
              <w:t xml:space="preserve">    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9" w:hRule="atLeast"/>
          <w:jc w:val="center"/>
        </w:trPr>
        <w:tc>
          <w:tcPr>
            <w:tcW w:w="1154"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eastAsia="黑体" w:hAnsiTheme="minorHAnsi" w:cstheme="minorBidi"/>
                <w:kern w:val="2"/>
                <w:sz w:val="21"/>
                <w:szCs w:val="24"/>
                <w:lang w:val="en-US" w:eastAsia="zh-CN" w:bidi="ar-SA"/>
              </w:rPr>
            </w:pPr>
            <w:r>
              <w:rPr>
                <w:rFonts w:hint="eastAsia" w:ascii="黑体" w:hAnsi="黑体" w:eastAsia="黑体" w:cs="黑体"/>
                <w:kern w:val="0"/>
                <w:sz w:val="21"/>
                <w:szCs w:val="21"/>
                <w:vertAlign w:val="baseline"/>
                <w:lang w:val="en-US" w:eastAsia="zh-CN" w:bidi="ar"/>
              </w:rPr>
              <w:t>办理流程</w:t>
            </w:r>
          </w:p>
        </w:tc>
        <w:tc>
          <w:tcPr>
            <w:tcW w:w="8105" w:type="dxa"/>
            <w:gridSpan w:val="3"/>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380" w:lineRule="exact"/>
              <w:textAlignment w:val="auto"/>
              <w:rPr>
                <w:rFonts w:hint="default" w:asciiTheme="minorHAnsi" w:hAnsiTheme="minorHAnsi" w:eastAsiaTheme="minorEastAsia" w:cstheme="minorBidi"/>
                <w:kern w:val="2"/>
                <w:sz w:val="21"/>
                <w:szCs w:val="21"/>
                <w:lang w:val="en-US" w:eastAsia="zh-CN" w:bidi="ar-SA"/>
              </w:rPr>
            </w:pPr>
            <w:r>
              <w:rPr>
                <w:rFonts w:hint="default" w:asciiTheme="minorHAnsi" w:hAnsiTheme="minorHAnsi" w:eastAsiaTheme="minorEastAsia" w:cstheme="minorBidi"/>
                <w:kern w:val="2"/>
                <w:sz w:val="21"/>
                <w:szCs w:val="21"/>
                <w:lang w:val="en-US" w:eastAsia="zh-CN" w:bidi="ar-SA"/>
              </w:rPr>
              <w:t>环节名称：受理 ；办理人：胡燕；办理时限：即时；审查标准：对申请材料进行初步审核。经审核，申请材料齐全、符合法定形式的，应当决定予以受理；办理结果：能当场受理或通过当场补正达到受理条件的，直接进入受理步骤；初步审核后材料不符合要求的不予以受理；</w:t>
            </w: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380" w:lineRule="exact"/>
              <w:textAlignment w:val="auto"/>
              <w:rPr>
                <w:rFonts w:hint="default" w:asciiTheme="minorHAnsi" w:hAnsiTheme="minorHAnsi" w:eastAsiaTheme="minorEastAsia" w:cstheme="minorBidi"/>
                <w:kern w:val="2"/>
                <w:sz w:val="21"/>
                <w:szCs w:val="21"/>
                <w:lang w:val="en-US" w:eastAsia="zh-CN" w:bidi="ar-SA"/>
              </w:rPr>
            </w:pPr>
            <w:r>
              <w:rPr>
                <w:rFonts w:hint="default" w:asciiTheme="minorHAnsi" w:hAnsiTheme="minorHAnsi" w:eastAsiaTheme="minorEastAsia" w:cstheme="minorBidi"/>
                <w:kern w:val="2"/>
                <w:sz w:val="21"/>
                <w:szCs w:val="21"/>
                <w:lang w:val="en-US" w:eastAsia="zh-CN" w:bidi="ar-SA"/>
              </w:rPr>
              <w:t>环节名称：审核 ；办理人：江道贵；办理时限：即时；审查标准：对申请材料进行审核，材料是否齐全，是否符合法定形式。材料需要核实的，核实相关材料。；办理结果：审核通过的，记录审核资料，签字予以确认。；</w:t>
            </w: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380" w:lineRule="exact"/>
              <w:textAlignment w:val="auto"/>
              <w:rPr>
                <w:rFonts w:hint="eastAsia" w:ascii="宋体" w:hAnsi="宋体" w:eastAsia="宋体" w:cs="宋体"/>
                <w:kern w:val="0"/>
                <w:sz w:val="21"/>
                <w:szCs w:val="21"/>
                <w:lang w:val="en-US" w:eastAsia="zh-CN" w:bidi="ar"/>
              </w:rPr>
            </w:pPr>
            <w:r>
              <w:rPr>
                <w:rFonts w:hint="default" w:asciiTheme="minorHAnsi" w:hAnsiTheme="minorHAnsi" w:eastAsiaTheme="minorEastAsia" w:cstheme="minorBidi"/>
                <w:kern w:val="2"/>
                <w:sz w:val="21"/>
                <w:szCs w:val="21"/>
                <w:lang w:val="en-US" w:eastAsia="zh-CN" w:bidi="ar-SA"/>
              </w:rPr>
              <w:t>环节名称：决定 ；办理人：石常民；办理时限：1个工作日；审查标准：根据审核情况，做出准予备案或不予备案的决定。；办理结果：对于审查通过的，做出准予备案决定。；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154"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eastAsia="黑体" w:hAnsiTheme="minorHAnsi" w:cstheme="minorBidi"/>
                <w:kern w:val="2"/>
                <w:sz w:val="21"/>
                <w:szCs w:val="24"/>
                <w:lang w:val="en-US" w:eastAsia="zh-CN" w:bidi="ar-SA"/>
              </w:rPr>
            </w:pPr>
            <w:r>
              <w:rPr>
                <w:rFonts w:hint="eastAsia" w:ascii="黑体" w:eastAsia="黑体"/>
                <w:lang w:val="en-US" w:eastAsia="zh-CN"/>
              </w:rPr>
              <w:t>收费依据及标准</w:t>
            </w:r>
          </w:p>
        </w:tc>
        <w:tc>
          <w:tcPr>
            <w:tcW w:w="8105" w:type="dxa"/>
            <w:gridSpan w:val="3"/>
            <w:vAlign w:val="center"/>
          </w:tcPr>
          <w:p>
            <w:pPr>
              <w:pStyle w:val="2"/>
              <w:keepNext w:val="0"/>
              <w:keepLines w:val="0"/>
              <w:pageBreakBefore w:val="0"/>
              <w:kinsoku/>
              <w:wordWrap/>
              <w:overflowPunct/>
              <w:topLinePunct w:val="0"/>
              <w:autoSpaceDE/>
              <w:autoSpaceDN/>
              <w:bidi w:val="0"/>
              <w:adjustRightInd/>
              <w:snapToGrid/>
              <w:spacing w:before="7" w:beforeAutospacing="0" w:afterAutospacing="0" w:line="300" w:lineRule="exact"/>
              <w:jc w:val="center"/>
              <w:textAlignment w:val="auto"/>
              <w:outlineLvl w:val="9"/>
              <w:rPr>
                <w:rFonts w:hint="eastAsia" w:ascii="宋体" w:hAnsi="宋体" w:eastAsia="宋体" w:cs="宋体"/>
                <w:kern w:val="0"/>
                <w:sz w:val="21"/>
                <w:szCs w:val="21"/>
                <w:lang w:val="en-US" w:eastAsia="zh-CN" w:bidi="ar"/>
              </w:rPr>
            </w:pPr>
            <w:r>
              <w:rPr>
                <w:rFonts w:hint="eastAsia" w:cstheme="minorBidi"/>
                <w:kern w:val="2"/>
                <w:sz w:val="21"/>
                <w:szCs w:val="21"/>
                <w:lang w:val="en-US" w:eastAsia="zh-CN" w:bidi="ar-SA"/>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154"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eastAsia="黑体" w:cstheme="minorBidi"/>
                <w:kern w:val="2"/>
                <w:sz w:val="21"/>
                <w:szCs w:val="24"/>
                <w:lang w:val="en-US" w:eastAsia="zh-CN" w:bidi="ar-SA"/>
              </w:rPr>
            </w:pPr>
            <w:r>
              <w:rPr>
                <w:rFonts w:hint="eastAsia" w:ascii="黑体" w:eastAsia="黑体" w:cstheme="minorBidi"/>
                <w:kern w:val="2"/>
                <w:sz w:val="21"/>
                <w:szCs w:val="24"/>
                <w:lang w:val="en-US" w:eastAsia="zh-CN" w:bidi="ar-SA"/>
              </w:rPr>
              <w:t>监督投诉</w:t>
            </w:r>
          </w:p>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eastAsia="黑体" w:hAnsiTheme="minorHAnsi" w:cstheme="minorBidi"/>
                <w:kern w:val="2"/>
                <w:sz w:val="21"/>
                <w:szCs w:val="24"/>
                <w:lang w:val="en-US" w:eastAsia="zh-CN" w:bidi="ar-SA"/>
              </w:rPr>
            </w:pPr>
            <w:r>
              <w:rPr>
                <w:rFonts w:hint="eastAsia" w:ascii="黑体" w:eastAsia="黑体" w:cstheme="minorBidi"/>
                <w:kern w:val="2"/>
                <w:sz w:val="21"/>
                <w:szCs w:val="24"/>
                <w:lang w:val="en-US" w:eastAsia="zh-CN" w:bidi="ar-SA"/>
              </w:rPr>
              <w:t>渠道</w:t>
            </w:r>
          </w:p>
        </w:tc>
        <w:tc>
          <w:tcPr>
            <w:tcW w:w="8105" w:type="dxa"/>
            <w:gridSpan w:val="3"/>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宋体" w:hAnsi="宋体" w:eastAsia="宋体" w:cs="宋体"/>
                <w:kern w:val="0"/>
                <w:sz w:val="21"/>
                <w:szCs w:val="21"/>
                <w:lang w:val="en-US" w:eastAsia="zh-CN" w:bidi="ar"/>
              </w:rPr>
            </w:pPr>
            <w:r>
              <w:rPr>
                <w:rFonts w:hint="eastAsia" w:ascii="黑体" w:eastAsia="黑体" w:cstheme="minorBidi"/>
                <w:kern w:val="2"/>
                <w:sz w:val="21"/>
                <w:szCs w:val="24"/>
                <w:lang w:val="en-US" w:eastAsia="zh-CN" w:bidi="ar-SA"/>
              </w:rPr>
              <w:t>中心督查股：0377-83973066、热线电话：12345</w:t>
            </w:r>
          </w:p>
        </w:tc>
      </w:tr>
    </w:tbl>
    <w:p>
      <w:pPr>
        <w:keepNext w:val="0"/>
        <w:keepLines w:val="0"/>
        <w:pageBreakBefore w:val="0"/>
        <w:widowControl w:val="0"/>
        <w:kinsoku/>
        <w:wordWrap/>
        <w:overflowPunct/>
        <w:topLinePunct w:val="0"/>
        <w:autoSpaceDE/>
        <w:autoSpaceDN/>
        <w:bidi w:val="0"/>
        <w:adjustRightInd/>
        <w:snapToGrid/>
        <w:spacing w:line="400" w:lineRule="exact"/>
        <w:ind w:left="5880" w:hanging="5880" w:hangingChars="2100"/>
        <w:jc w:val="left"/>
        <w:textAlignment w:val="auto"/>
        <w:outlineLvl w:val="9"/>
        <w:rPr>
          <w:rFonts w:hint="eastAsia" w:ascii="黑体" w:hAnsi="黑体" w:eastAsia="黑体" w:cs="黑体"/>
          <w:kern w:val="0"/>
          <w:sz w:val="28"/>
          <w:szCs w:val="28"/>
          <w:lang w:val="en-US" w:eastAsia="zh-CN" w:bidi="ar"/>
        </w:rPr>
      </w:pPr>
    </w:p>
    <w:p>
      <w:pPr>
        <w:keepNext w:val="0"/>
        <w:keepLines w:val="0"/>
        <w:pageBreakBefore w:val="0"/>
        <w:widowControl w:val="0"/>
        <w:kinsoku/>
        <w:wordWrap/>
        <w:overflowPunct/>
        <w:topLinePunct w:val="0"/>
        <w:autoSpaceDE/>
        <w:autoSpaceDN/>
        <w:bidi w:val="0"/>
        <w:adjustRightInd/>
        <w:snapToGrid/>
        <w:spacing w:line="400" w:lineRule="exact"/>
        <w:ind w:left="5880" w:hanging="5880" w:hangingChars="2100"/>
        <w:jc w:val="left"/>
        <w:textAlignment w:val="auto"/>
        <w:outlineLvl w:val="9"/>
        <w:rPr>
          <w:rFonts w:hint="eastAsia" w:ascii="黑体" w:hAnsi="黑体" w:eastAsia="黑体" w:cs="黑体"/>
          <w:kern w:val="0"/>
          <w:sz w:val="28"/>
          <w:szCs w:val="28"/>
          <w:lang w:val="en-US" w:eastAsia="zh-CN" w:bidi="ar"/>
        </w:rPr>
      </w:pPr>
      <w:r>
        <w:rPr>
          <w:rFonts w:hint="eastAsia" w:ascii="黑体" w:hAnsi="黑体" w:eastAsia="黑体" w:cs="黑体"/>
          <w:kern w:val="0"/>
          <w:sz w:val="28"/>
          <w:szCs w:val="28"/>
          <w:lang w:val="en-US" w:eastAsia="zh-CN" w:bidi="ar"/>
        </w:rPr>
        <w:t>发布日期：2022年2月20日            实施日期：2022年2月20日</w:t>
      </w:r>
    </w:p>
    <w:p>
      <w:pPr>
        <w:keepNext w:val="0"/>
        <w:keepLines w:val="0"/>
        <w:pageBreakBefore w:val="0"/>
        <w:widowControl w:val="0"/>
        <w:kinsoku/>
        <w:wordWrap/>
        <w:overflowPunct/>
        <w:topLinePunct w:val="0"/>
        <w:autoSpaceDE/>
        <w:autoSpaceDN/>
        <w:bidi w:val="0"/>
        <w:adjustRightInd/>
        <w:snapToGrid/>
        <w:spacing w:line="400" w:lineRule="exact"/>
        <w:ind w:left="5880" w:hanging="5880" w:hangingChars="2100"/>
        <w:jc w:val="center"/>
        <w:textAlignment w:val="auto"/>
        <w:outlineLvl w:val="9"/>
        <w:rPr>
          <w:rFonts w:hint="eastAsia" w:ascii="黑体" w:hAnsi="黑体" w:eastAsia="黑体" w:cs="黑体"/>
          <w:kern w:val="0"/>
          <w:sz w:val="28"/>
          <w:szCs w:val="28"/>
          <w:lang w:val="en-US" w:eastAsia="zh-CN" w:bidi="ar"/>
        </w:rPr>
      </w:pPr>
      <w:r>
        <w:rPr>
          <w:rFonts w:hint="eastAsia" w:ascii="黑体" w:hAnsi="黑体" w:eastAsia="黑体" w:cs="黑体"/>
          <w:kern w:val="0"/>
          <w:sz w:val="28"/>
          <w:szCs w:val="28"/>
          <w:lang w:val="en-US" w:eastAsia="zh-CN"/>
        </w:rPr>
        <w:t>南阳市生态环境局</w:t>
      </w:r>
      <w:r>
        <w:rPr>
          <w:rFonts w:hint="eastAsia" w:ascii="黑体" w:hAnsi="黑体" w:eastAsia="黑体" w:cs="黑体"/>
          <w:kern w:val="0"/>
          <w:sz w:val="28"/>
          <w:szCs w:val="28"/>
        </w:rPr>
        <w:t>桐柏</w:t>
      </w:r>
      <w:r>
        <w:rPr>
          <w:rFonts w:hint="eastAsia" w:ascii="黑体" w:hAnsi="黑体" w:eastAsia="黑体" w:cs="黑体"/>
          <w:kern w:val="0"/>
          <w:sz w:val="28"/>
          <w:szCs w:val="28"/>
          <w:lang w:val="en-US" w:eastAsia="zh-CN"/>
        </w:rPr>
        <w:t>分</w:t>
      </w:r>
      <w:r>
        <w:rPr>
          <w:rFonts w:hint="eastAsia" w:ascii="黑体" w:hAnsi="黑体" w:eastAsia="黑体" w:cs="黑体"/>
          <w:kern w:val="0"/>
          <w:sz w:val="28"/>
          <w:szCs w:val="28"/>
          <w:lang w:eastAsia="zh-CN"/>
        </w:rPr>
        <w:t>局</w:t>
      </w:r>
      <w:r>
        <w:rPr>
          <w:rFonts w:hint="eastAsia" w:ascii="黑体" w:hAnsi="黑体" w:eastAsia="黑体" w:cs="黑体"/>
          <w:kern w:val="0"/>
          <w:sz w:val="28"/>
          <w:szCs w:val="28"/>
        </w:rPr>
        <w:t>发布</w:t>
      </w:r>
    </w:p>
    <w:sectPr>
      <w:pgSz w:w="11850" w:h="16783"/>
      <w:pgMar w:top="1701" w:right="1474" w:bottom="1701"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舒体">
    <w:altName w:val="宋体"/>
    <w:panose1 w:val="02010601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AF1C2B"/>
    <w:multiLevelType w:val="singleLevel"/>
    <w:tmpl w:val="1AAF1C2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4A4233"/>
    <w:rsid w:val="024A4233"/>
    <w:rsid w:val="083F475C"/>
    <w:rsid w:val="09241063"/>
    <w:rsid w:val="113719A0"/>
    <w:rsid w:val="119E3A20"/>
    <w:rsid w:val="14EC1E74"/>
    <w:rsid w:val="1B1940BD"/>
    <w:rsid w:val="1D4F5573"/>
    <w:rsid w:val="23584FAF"/>
    <w:rsid w:val="31F91590"/>
    <w:rsid w:val="35590E21"/>
    <w:rsid w:val="37F77D69"/>
    <w:rsid w:val="3F345010"/>
    <w:rsid w:val="40392A15"/>
    <w:rsid w:val="406867C8"/>
    <w:rsid w:val="44046EB0"/>
    <w:rsid w:val="453F433F"/>
    <w:rsid w:val="47F37226"/>
    <w:rsid w:val="49CC6710"/>
    <w:rsid w:val="508326AB"/>
    <w:rsid w:val="5688094B"/>
    <w:rsid w:val="59DD77B5"/>
    <w:rsid w:val="5B10607B"/>
    <w:rsid w:val="5CE53BD6"/>
    <w:rsid w:val="604334DA"/>
    <w:rsid w:val="64815730"/>
    <w:rsid w:val="68410F33"/>
    <w:rsid w:val="6B422134"/>
    <w:rsid w:val="6D535020"/>
    <w:rsid w:val="6F7B2985"/>
    <w:rsid w:val="71EA6B38"/>
    <w:rsid w:val="73E11420"/>
    <w:rsid w:val="74544908"/>
    <w:rsid w:val="7A6F3556"/>
    <w:rsid w:val="7B332A56"/>
    <w:rsid w:val="7DBB594B"/>
    <w:rsid w:val="7F6465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rPr>
      <w:sz w:val="21"/>
      <w:szCs w:val="21"/>
    </w:rPr>
  </w:style>
  <w:style w:type="paragraph" w:styleId="3">
    <w:name w:val="Normal (Web)"/>
    <w:basedOn w:val="1"/>
    <w:unhideWhenUsed/>
    <w:qFormat/>
    <w:uiPriority w:val="99"/>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shd w:val="clear" w:fill="FFFFFF"/>
    </w:rPr>
  </w:style>
  <w:style w:type="character" w:styleId="8">
    <w:name w:val="FollowedHyperlink"/>
    <w:basedOn w:val="6"/>
    <w:qFormat/>
    <w:uiPriority w:val="0"/>
    <w:rPr>
      <w:color w:val="800080"/>
      <w:u w:val="none"/>
    </w:rPr>
  </w:style>
  <w:style w:type="character" w:styleId="9">
    <w:name w:val="HTML Definition"/>
    <w:basedOn w:val="6"/>
    <w:qFormat/>
    <w:uiPriority w:val="0"/>
    <w:rPr>
      <w:i/>
    </w:rPr>
  </w:style>
  <w:style w:type="character" w:styleId="10">
    <w:name w:val="Hyperlink"/>
    <w:basedOn w:val="6"/>
    <w:qFormat/>
    <w:uiPriority w:val="0"/>
    <w:rPr>
      <w:color w:val="0000FF"/>
      <w:u w:val="none"/>
    </w:rPr>
  </w:style>
  <w:style w:type="character" w:styleId="11">
    <w:name w:val="HTML Code"/>
    <w:basedOn w:val="6"/>
    <w:qFormat/>
    <w:uiPriority w:val="0"/>
    <w:rPr>
      <w:rFonts w:hint="default" w:ascii="monospace" w:hAnsi="monospace" w:eastAsia="monospace" w:cs="monospace"/>
      <w:sz w:val="21"/>
      <w:szCs w:val="21"/>
    </w:rPr>
  </w:style>
  <w:style w:type="character" w:styleId="12">
    <w:name w:val="HTML Keyboard"/>
    <w:basedOn w:val="6"/>
    <w:qFormat/>
    <w:uiPriority w:val="0"/>
    <w:rPr>
      <w:rFonts w:ascii="monospace" w:hAnsi="monospace" w:eastAsia="monospace" w:cs="monospace"/>
      <w:sz w:val="21"/>
      <w:szCs w:val="21"/>
    </w:rPr>
  </w:style>
  <w:style w:type="character" w:styleId="13">
    <w:name w:val="HTML Sample"/>
    <w:basedOn w:val="6"/>
    <w:qFormat/>
    <w:uiPriority w:val="0"/>
    <w:rPr>
      <w:rFonts w:hint="default" w:ascii="monospace" w:hAnsi="monospace" w:eastAsia="monospace" w:cs="monospace"/>
      <w:sz w:val="21"/>
      <w:szCs w:val="21"/>
    </w:rPr>
  </w:style>
  <w:style w:type="character" w:customStyle="1" w:styleId="14">
    <w:name w:val="not([class*=suffix])"/>
    <w:basedOn w:val="6"/>
    <w:qFormat/>
    <w:uiPriority w:val="0"/>
    <w:rPr>
      <w:sz w:val="19"/>
      <w:szCs w:val="19"/>
    </w:rPr>
  </w:style>
  <w:style w:type="character" w:customStyle="1" w:styleId="15">
    <w:name w:val="not([class*=suffix])1"/>
    <w:basedOn w:val="6"/>
    <w:qFormat/>
    <w:uiPriority w:val="0"/>
  </w:style>
  <w:style w:type="character" w:customStyle="1" w:styleId="16">
    <w:name w:val="hover11"/>
    <w:basedOn w:val="6"/>
    <w:qFormat/>
    <w:uiPriority w:val="0"/>
    <w:rPr>
      <w:shd w:val="clear" w:fill="0B3791"/>
    </w:rPr>
  </w:style>
  <w:style w:type="character" w:customStyle="1" w:styleId="17">
    <w:name w:val="hover12"/>
    <w:basedOn w:val="6"/>
    <w:qFormat/>
    <w:uiPriority w:val="0"/>
    <w:rPr>
      <w:shd w:val="clear" w:fill="0B3791"/>
    </w:rPr>
  </w:style>
  <w:style w:type="character" w:customStyle="1" w:styleId="18">
    <w:name w:val="hover2"/>
    <w:basedOn w:val="6"/>
    <w:qFormat/>
    <w:uiPriority w:val="0"/>
    <w:rPr>
      <w:shd w:val="clear" w:fill="0B3791"/>
    </w:rPr>
  </w:style>
  <w:style w:type="character" w:customStyle="1" w:styleId="19">
    <w:name w:val="hover3"/>
    <w:basedOn w:val="6"/>
    <w:qFormat/>
    <w:uiPriority w:val="0"/>
    <w:rPr>
      <w:shd w:val="clear" w:fill="0B3791"/>
    </w:rPr>
  </w:style>
  <w:style w:type="character" w:customStyle="1" w:styleId="20">
    <w:name w:val="hover13"/>
    <w:basedOn w:val="6"/>
    <w:qFormat/>
    <w:uiPriority w:val="0"/>
    <w:rPr>
      <w:shd w:val="clear" w:fill="0B3791"/>
    </w:rPr>
  </w:style>
  <w:style w:type="character" w:customStyle="1" w:styleId="21">
    <w:name w:val="hover14"/>
    <w:basedOn w:val="6"/>
    <w:qFormat/>
    <w:uiPriority w:val="0"/>
    <w:rPr>
      <w:shd w:val="clear" w:fill="0B3791"/>
    </w:rPr>
  </w:style>
  <w:style w:type="character" w:customStyle="1" w:styleId="22">
    <w:name w:val="hover10"/>
    <w:basedOn w:val="6"/>
    <w:qFormat/>
    <w:uiPriority w:val="0"/>
    <w:rPr>
      <w:shd w:val="clear" w:fill="0B379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G\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2018-09-28T07:21:00Z</dcterms:created>
  <dc:creator>CG</dc:creator>
  <cp:lastModifiedBy>煜</cp:lastModifiedBy>
  <dcterms:modified xsi:type="dcterms:W3CDTF">2022-03-01T06:53:15Z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103FB9A8D17749D7BA7A4398541F34CA</vt:lpwstr>
  </property>
</Properties>
</file>