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i w:val="0"/>
          <w:caps w:val="0"/>
          <w:color w:val="000000"/>
          <w:spacing w:val="0"/>
          <w:sz w:val="32"/>
          <w:szCs w:val="32"/>
          <w:shd w:val="clear" w:fill="F3F5F9"/>
        </w:rPr>
      </w:pPr>
      <w:r>
        <w:rPr>
          <w:rFonts w:hint="eastAsia" w:ascii="黑体" w:hAnsi="黑体" w:eastAsia="黑体" w:cs="黑体"/>
          <w:i w:val="0"/>
          <w:caps w:val="0"/>
          <w:color w:val="000000"/>
          <w:spacing w:val="0"/>
          <w:sz w:val="32"/>
          <w:szCs w:val="32"/>
          <w:shd w:val="clear" w:fill="F3F5F9"/>
        </w:rPr>
        <w:t>县级建设项目环境影响评价文件审批（辐射类报告书）</w:t>
      </w:r>
    </w:p>
    <w:p>
      <w:pPr>
        <w:jc w:val="center"/>
        <w:rPr>
          <w:rFonts w:hint="eastAsia" w:ascii="黑体" w:hAnsi="黑体" w:eastAsia="黑体" w:cs="黑体"/>
          <w:b w:val="0"/>
          <w:bCs/>
          <w:color w:val="auto"/>
          <w:sz w:val="21"/>
          <w:szCs w:val="21"/>
          <w:shd w:val="clear" w:color="auto" w:fill="FFFFFF"/>
          <w:lang w:val="en-US" w:eastAsia="zh-CN"/>
        </w:rPr>
      </w:pPr>
      <w:r>
        <w:rPr>
          <w:rFonts w:hint="eastAsia" w:ascii="黑体" w:hAnsi="黑体" w:eastAsia="黑体" w:cs="黑体"/>
          <w:i w:val="0"/>
          <w:caps w:val="0"/>
          <w:color w:val="000000"/>
          <w:spacing w:val="0"/>
          <w:sz w:val="32"/>
          <w:szCs w:val="32"/>
          <w:shd w:val="clear" w:fill="F3F5F9"/>
        </w:rPr>
        <w:t>首次申请</w:t>
      </w:r>
      <w:r>
        <w:rPr>
          <w:rFonts w:hint="eastAsia" w:ascii="黑体" w:hAnsi="黑体" w:eastAsia="黑体" w:cs="黑体"/>
          <w:b/>
          <w:bCs/>
          <w:kern w:val="0"/>
          <w:sz w:val="32"/>
          <w:szCs w:val="32"/>
          <w:lang w:val="en-US" w:eastAsia="zh-CN" w:bidi="ar"/>
        </w:rPr>
        <w:t>服务指南</w:t>
      </w:r>
      <w:r>
        <w:rPr>
          <w:rFonts w:hint="eastAsia" w:ascii="黑体" w:hAnsi="黑体" w:eastAsia="黑体" w:cs="黑体"/>
          <w:b w:val="0"/>
          <w:bCs/>
          <w:color w:val="auto"/>
          <w:sz w:val="32"/>
          <w:szCs w:val="32"/>
          <w:shd w:val="clear" w:color="auto" w:fill="FFFFFF"/>
          <w:lang w:val="en-US" w:eastAsia="zh-CN"/>
        </w:rPr>
        <w:t xml:space="preserve">  </w:t>
      </w:r>
      <w:r>
        <w:rPr>
          <w:rFonts w:hint="eastAsia" w:ascii="黑体" w:hAnsi="黑体" w:eastAsia="黑体" w:cs="黑体"/>
          <w:b w:val="0"/>
          <w:bCs/>
          <w:color w:val="auto"/>
          <w:sz w:val="21"/>
          <w:szCs w:val="21"/>
          <w:shd w:val="clear" w:color="auto" w:fill="FFFFFF"/>
          <w:lang w:val="en-US" w:eastAsia="zh-CN"/>
        </w:rPr>
        <w:t xml:space="preserve">                                       </w:t>
      </w:r>
    </w:p>
    <w:p>
      <w:pPr>
        <w:jc w:val="center"/>
        <w:rPr>
          <w:rFonts w:hint="eastAsia" w:ascii="黑体" w:hAnsi="黑体" w:eastAsia="黑体" w:cs="黑体"/>
          <w:sz w:val="21"/>
          <w:szCs w:val="21"/>
        </w:rPr>
      </w:pPr>
      <w:r>
        <w:rPr>
          <w:rFonts w:hint="eastAsia" w:ascii="黑体" w:hAnsi="黑体" w:eastAsia="黑体" w:cs="黑体"/>
          <w:b w:val="0"/>
          <w:bCs/>
          <w:color w:val="auto"/>
          <w:sz w:val="21"/>
          <w:szCs w:val="21"/>
          <w:shd w:val="clear" w:color="auto" w:fill="FFFFFF"/>
          <w:lang w:val="en-US" w:eastAsia="zh-CN"/>
        </w:rPr>
        <w:t xml:space="preserve">                                                   </w:t>
      </w:r>
      <w:r>
        <w:rPr>
          <w:rFonts w:hint="eastAsia" w:ascii="黑体" w:hAnsi="黑体" w:eastAsia="黑体" w:cs="黑体"/>
          <w:b w:val="0"/>
          <w:bCs/>
          <w:color w:val="auto"/>
          <w:sz w:val="21"/>
          <w:szCs w:val="21"/>
          <w:shd w:val="clear" w:color="auto" w:fill="FFFFFF"/>
          <w:lang w:eastAsia="zh-CN"/>
        </w:rPr>
        <w:t>事项编码</w:t>
      </w:r>
      <w:r>
        <w:rPr>
          <w:rFonts w:hint="eastAsia" w:ascii="黑体" w:hAnsi="黑体" w:eastAsia="黑体" w:cs="黑体"/>
          <w:b w:val="0"/>
          <w:bCs/>
          <w:color w:val="auto"/>
          <w:sz w:val="21"/>
          <w:szCs w:val="21"/>
          <w:shd w:val="clear" w:color="auto" w:fill="FFFFFF"/>
          <w:lang w:val="en-US" w:eastAsia="zh-CN"/>
        </w:rPr>
        <w:t xml:space="preserve"> </w:t>
      </w:r>
      <w:r>
        <w:rPr>
          <w:rFonts w:hint="eastAsia" w:ascii="黑体" w:hAnsi="黑体" w:eastAsia="黑体" w:cs="黑体"/>
          <w:i w:val="0"/>
          <w:caps w:val="0"/>
          <w:color w:val="000000"/>
          <w:spacing w:val="0"/>
          <w:sz w:val="21"/>
          <w:szCs w:val="21"/>
        </w:rPr>
        <w:t>729615800XK9944500d</w:t>
      </w:r>
    </w:p>
    <w:tbl>
      <w:tblPr>
        <w:tblStyle w:val="6"/>
        <w:tblpPr w:leftFromText="180" w:rightFromText="180" w:vertAnchor="text" w:horzAnchor="page" w:tblpX="1822" w:tblpY="119"/>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3825"/>
        <w:gridCol w:w="1191"/>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适用范围</w:t>
            </w:r>
          </w:p>
        </w:tc>
        <w:tc>
          <w:tcPr>
            <w:tcW w:w="3825" w:type="dxa"/>
            <w:vAlign w:val="center"/>
          </w:tcPr>
          <w:p>
            <w:pPr>
              <w:pStyle w:val="3"/>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vertAlign w:val="baseline"/>
                <w:lang w:val="en-US" w:eastAsia="zh-CN" w:bidi="ar"/>
              </w:rPr>
            </w:pPr>
            <w:r>
              <w:rPr>
                <w:rFonts w:hint="eastAsia" w:ascii="宋体" w:hAnsi="宋体" w:eastAsia="宋体" w:cs="宋体"/>
                <w:sz w:val="21"/>
                <w:szCs w:val="21"/>
                <w:lang w:val="en-US" w:eastAsia="zh-CN"/>
              </w:rPr>
              <w:t>个人</w:t>
            </w:r>
            <w:r>
              <w:rPr>
                <w:rFonts w:hint="eastAsia" w:ascii="宋体" w:hAnsi="宋体" w:eastAsia="宋体" w:cs="宋体"/>
                <w:sz w:val="21"/>
                <w:szCs w:val="21"/>
              </w:rPr>
              <w:t>、法人</w:t>
            </w:r>
          </w:p>
        </w:tc>
        <w:tc>
          <w:tcPr>
            <w:tcW w:w="1191"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事项类型</w:t>
            </w:r>
          </w:p>
        </w:tc>
        <w:tc>
          <w:tcPr>
            <w:tcW w:w="2824" w:type="dxa"/>
            <w:vAlign w:val="center"/>
          </w:tcPr>
          <w:p>
            <w:pPr>
              <w:pStyle w:val="3"/>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宋体" w:hAnsi="宋体" w:eastAsia="宋体" w:cs="宋体"/>
                <w:kern w:val="0"/>
                <w:sz w:val="21"/>
                <w:szCs w:val="21"/>
                <w:vertAlign w:val="baseline"/>
                <w:lang w:val="en-US" w:eastAsia="zh-CN" w:bidi="ar"/>
              </w:rPr>
            </w:pPr>
            <w:r>
              <w:rPr>
                <w:rFonts w:hint="eastAsia" w:ascii="宋体" w:hAnsi="宋体" w:eastAsia="宋体" w:cs="宋体"/>
                <w:spacing w:val="-2"/>
                <w:sz w:val="21"/>
                <w:szCs w:val="21"/>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vertAlign w:val="baseline"/>
                <w:lang w:val="en-US" w:eastAsia="zh-CN" w:bidi="ar"/>
              </w:rPr>
            </w:pPr>
            <w:r>
              <w:rPr>
                <w:rFonts w:hint="eastAsia" w:ascii="宋体" w:hAnsi="宋体" w:eastAsia="宋体" w:cs="宋体"/>
                <w:sz w:val="21"/>
                <w:szCs w:val="21"/>
              </w:rPr>
              <w:t>受理机构</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桐柏县行政审批服务中心</w:t>
            </w:r>
          </w:p>
        </w:tc>
        <w:tc>
          <w:tcPr>
            <w:tcW w:w="1191" w:type="dxa"/>
            <w:vAlign w:val="center"/>
          </w:tcPr>
          <w:p>
            <w:pPr>
              <w:pStyle w:val="3"/>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宋体" w:hAnsi="宋体" w:eastAsia="宋体" w:cs="宋体"/>
                <w:kern w:val="0"/>
                <w:sz w:val="21"/>
                <w:szCs w:val="21"/>
                <w:vertAlign w:val="baseline"/>
                <w:lang w:val="en-US" w:eastAsia="zh-CN" w:bidi="ar"/>
              </w:rPr>
            </w:pPr>
            <w:r>
              <w:rPr>
                <w:rFonts w:hint="eastAsia" w:ascii="宋体" w:hAnsi="宋体" w:eastAsia="宋体" w:cs="宋体"/>
                <w:kern w:val="2"/>
                <w:sz w:val="21"/>
                <w:szCs w:val="21"/>
                <w:lang w:val="en-US" w:eastAsia="zh-CN" w:bidi="ar-SA"/>
              </w:rPr>
              <w:t>决定机构</w:t>
            </w:r>
          </w:p>
        </w:tc>
        <w:tc>
          <w:tcPr>
            <w:tcW w:w="2824" w:type="dxa"/>
            <w:vAlign w:val="center"/>
          </w:tcPr>
          <w:p>
            <w:pPr>
              <w:pStyle w:val="3"/>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spacing w:val="-2"/>
                <w:sz w:val="21"/>
                <w:szCs w:val="21"/>
                <w:lang w:val="en-US" w:eastAsia="zh-CN"/>
              </w:rPr>
            </w:pPr>
            <w:r>
              <w:rPr>
                <w:rFonts w:hint="eastAsia" w:ascii="宋体" w:hAnsi="宋体" w:eastAsia="宋体" w:cs="宋体"/>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sz w:val="21"/>
                <w:szCs w:val="21"/>
              </w:rPr>
            </w:pPr>
            <w:r>
              <w:rPr>
                <w:rFonts w:hint="eastAsia" w:ascii="宋体" w:hAnsi="宋体" w:eastAsia="宋体" w:cs="宋体"/>
                <w:kern w:val="0"/>
                <w:sz w:val="21"/>
                <w:szCs w:val="21"/>
                <w:vertAlign w:val="baseline"/>
                <w:lang w:val="en-US" w:eastAsia="zh-CN" w:bidi="ar"/>
              </w:rPr>
              <w:t>办理时限</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法定时限：60</w:t>
            </w:r>
            <w:r>
              <w:rPr>
                <w:rFonts w:hint="eastAsia" w:ascii="宋体" w:hAnsi="宋体" w:eastAsia="宋体" w:cs="宋体"/>
                <w:sz w:val="21"/>
                <w:szCs w:val="21"/>
              </w:rPr>
              <w:t>个工作日</w:t>
            </w:r>
          </w:p>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承诺时限：1个工作日</w:t>
            </w:r>
            <w:r>
              <w:rPr>
                <w:rFonts w:hint="eastAsia" w:ascii="宋体" w:hAnsi="宋体" w:eastAsia="宋体" w:cs="宋体"/>
                <w:b w:val="0"/>
                <w:bCs w:val="0"/>
                <w:kern w:val="2"/>
                <w:sz w:val="21"/>
                <w:szCs w:val="21"/>
                <w:lang w:val="en-US" w:eastAsia="zh-CN" w:bidi="ar-SA"/>
              </w:rPr>
              <w:t>（</w:t>
            </w:r>
            <w:r>
              <w:rPr>
                <w:rFonts w:hint="eastAsia" w:ascii="宋体" w:hAnsi="宋体" w:eastAsia="宋体" w:cs="宋体"/>
                <w:i w:val="0"/>
                <w:caps w:val="0"/>
                <w:color w:val="606266"/>
                <w:spacing w:val="0"/>
                <w:sz w:val="21"/>
                <w:szCs w:val="21"/>
                <w:shd w:val="clear" w:fill="FFFFFF"/>
              </w:rPr>
              <w:t>承诺时间不包含听证、招标、拍卖、检验、检测、检疫、鉴定和专家评审、现场勘查、补件、上报（转报）等步骤所需要的时间。</w:t>
            </w:r>
            <w:r>
              <w:rPr>
                <w:rFonts w:hint="eastAsia" w:ascii="宋体" w:hAnsi="宋体" w:eastAsia="宋体" w:cs="宋体"/>
                <w:b w:val="0"/>
                <w:bCs w:val="0"/>
                <w:kern w:val="2"/>
                <w:sz w:val="21"/>
                <w:szCs w:val="21"/>
                <w:lang w:val="en-US" w:eastAsia="zh-CN" w:bidi="ar-SA"/>
              </w:rPr>
              <w:t>）</w:t>
            </w:r>
          </w:p>
        </w:tc>
        <w:tc>
          <w:tcPr>
            <w:tcW w:w="1191" w:type="dxa"/>
            <w:vAlign w:val="center"/>
          </w:tcPr>
          <w:p>
            <w:pPr>
              <w:pStyle w:val="3"/>
              <w:keepNext w:val="0"/>
              <w:keepLines w:val="0"/>
              <w:pageBreakBefore w:val="0"/>
              <w:kinsoku/>
              <w:wordWrap/>
              <w:overflowPunct/>
              <w:topLinePunct w:val="0"/>
              <w:autoSpaceDE/>
              <w:autoSpaceDN/>
              <w:bidi w:val="0"/>
              <w:adjustRightInd/>
              <w:snapToGrid/>
              <w:spacing w:before="1" w:beforeAutospacing="0" w:afterAutospacing="0" w:line="320" w:lineRule="exact"/>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咨询方式</w:t>
            </w:r>
          </w:p>
        </w:tc>
        <w:tc>
          <w:tcPr>
            <w:tcW w:w="2824"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现场咨询</w:t>
            </w:r>
          </w:p>
          <w:p>
            <w:pPr>
              <w:pStyle w:val="3"/>
              <w:keepNext w:val="0"/>
              <w:keepLines w:val="0"/>
              <w:pageBreakBefore w:val="0"/>
              <w:kinsoku/>
              <w:wordWrap/>
              <w:overflowPunct/>
              <w:topLinePunct w:val="0"/>
              <w:autoSpaceDE/>
              <w:autoSpaceDN/>
              <w:bidi w:val="0"/>
              <w:adjustRightInd/>
              <w:snapToGrid/>
              <w:spacing w:before="7" w:beforeAutospacing="0" w:afterAutospacing="0" w:line="320" w:lineRule="exact"/>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电话咨询：</w:t>
            </w:r>
            <w:r>
              <w:rPr>
                <w:rFonts w:hint="eastAsia" w:cstheme="minorBidi"/>
                <w:kern w:val="2"/>
                <w:sz w:val="21"/>
                <w:szCs w:val="21"/>
                <w:lang w:val="en-US" w:eastAsia="zh-CN" w:bidi="ar-SA"/>
              </w:rPr>
              <w:t>0377-68119655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vertAlign w:val="baseline"/>
                <w:lang w:val="en-US" w:eastAsia="zh-CN" w:bidi="ar"/>
              </w:rPr>
            </w:pPr>
            <w:r>
              <w:rPr>
                <w:rFonts w:hint="eastAsia" w:ascii="宋体" w:hAnsi="宋体" w:eastAsia="宋体" w:cs="宋体"/>
                <w:kern w:val="2"/>
                <w:sz w:val="21"/>
                <w:szCs w:val="21"/>
                <w:lang w:val="en-US" w:eastAsia="zh-CN" w:bidi="ar-SA"/>
              </w:rPr>
              <w:t>受理方式</w:t>
            </w:r>
          </w:p>
        </w:tc>
        <w:tc>
          <w:tcPr>
            <w:tcW w:w="3825" w:type="dxa"/>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窗口受理、网上申报</w:t>
            </w:r>
          </w:p>
        </w:tc>
        <w:tc>
          <w:tcPr>
            <w:tcW w:w="1191" w:type="dxa"/>
            <w:vAlign w:val="center"/>
          </w:tcPr>
          <w:p>
            <w:pPr>
              <w:pStyle w:val="3"/>
              <w:keepNext w:val="0"/>
              <w:keepLines w:val="0"/>
              <w:pageBreakBefore w:val="0"/>
              <w:kinsoku/>
              <w:wordWrap/>
              <w:overflowPunct/>
              <w:topLinePunct w:val="0"/>
              <w:autoSpaceDE/>
              <w:autoSpaceDN/>
              <w:bidi w:val="0"/>
              <w:adjustRightInd/>
              <w:snapToGrid/>
              <w:spacing w:before="1" w:beforeAutospacing="0" w:afterAutospacing="0" w:line="320" w:lineRule="exact"/>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结果送达</w:t>
            </w:r>
          </w:p>
        </w:tc>
        <w:tc>
          <w:tcPr>
            <w:tcW w:w="2824" w:type="dxa"/>
            <w:vAlign w:val="center"/>
          </w:tcPr>
          <w:p>
            <w:pPr>
              <w:pStyle w:val="3"/>
              <w:keepNext w:val="0"/>
              <w:keepLines w:val="0"/>
              <w:pageBreakBefore w:val="0"/>
              <w:kinsoku/>
              <w:wordWrap/>
              <w:overflowPunct/>
              <w:topLinePunct w:val="0"/>
              <w:autoSpaceDE/>
              <w:autoSpaceDN/>
              <w:bidi w:val="0"/>
              <w:adjustRightInd/>
              <w:snapToGrid/>
              <w:spacing w:before="7" w:beforeAutospacing="0" w:afterAutospacing="0" w:line="320" w:lineRule="exact"/>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vertAlign w:val="baseline"/>
                <w:lang w:val="en-US" w:eastAsia="zh-CN" w:bidi="ar"/>
              </w:rPr>
            </w:pPr>
            <w:r>
              <w:rPr>
                <w:rFonts w:hint="eastAsia" w:ascii="宋体" w:hAnsi="宋体" w:eastAsia="宋体" w:cs="宋体"/>
                <w:kern w:val="0"/>
                <w:sz w:val="21"/>
                <w:szCs w:val="21"/>
                <w:vertAlign w:val="baseline"/>
                <w:lang w:val="en-US" w:eastAsia="zh-CN" w:bidi="ar"/>
              </w:rPr>
              <w:t>设立依据</w:t>
            </w:r>
          </w:p>
        </w:tc>
        <w:tc>
          <w:tcPr>
            <w:tcW w:w="7840" w:type="dxa"/>
            <w:gridSpan w:val="3"/>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宋体" w:hAnsi="宋体" w:eastAsia="宋体" w:cs="宋体"/>
                <w:kern w:val="0"/>
                <w:sz w:val="18"/>
                <w:szCs w:val="18"/>
                <w:vertAlign w:val="baseline"/>
                <w:lang w:val="en-US" w:eastAsia="zh-CN" w:bidi="ar"/>
              </w:rPr>
            </w:pPr>
            <w:r>
              <w:rPr>
                <w:rFonts w:hint="eastAsia" w:ascii="宋体" w:hAnsi="宋体" w:eastAsia="宋体" w:cs="宋体"/>
                <w:i w:val="0"/>
                <w:caps w:val="0"/>
                <w:color w:val="4A4A4A"/>
                <w:spacing w:val="0"/>
                <w:sz w:val="18"/>
                <w:szCs w:val="18"/>
              </w:rPr>
              <w:t>一、《中华人民共和国环境保护法》（１９８９年１２月２６日主席令第二十二号，2014年4月24日主席令第九号修改）</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第十三条：“建设项目的环境影响报告书，必须对建设项目产生的污染和对环境的影响作出评价，规定防治措施，经项目主管部门预审并依照规定的程序报环境保护行政主管部门批准。”</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二、《中华人民共和国环境影响评价法》（2016年7月2日主席令第七十七号，2016年7月2日主席令第四十八号修改，2018年12月29日主席令第二十四号修改）</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第三章　建设项目的环境影响评价</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第十六条国家根据建设项目对环境的影响程度，对建设项目的环境影响评价实行分类管理。 建设单位应当按照下列规定组织编制环境影响报告书、环境影响报告表或者填报环境影响登记表（以下统称环境影响评价文件）： （一）可能造成重大环境影响的，应当编制环境影响报告书，对产生的环境影响进行全面评价； （二）可能造成轻度环境影响的，应当编制环境影响报告表，对产生的环境影响进行分析或者专项评价； （三）对环境影响很小、不需要进行环境影响评价的，应当填报环境影响登记表。 建设项目的环境影响评价分类管理名录，由国务院生态环境主管部门制定并公布。</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第十七条建设项目的环境影响报告书应当包括下列内容： （一）建设项目概况； （二）建设项目周围环境现状； （三）建设项目对环境可能造成影响的分析、预测和评估； （四）建设项目环境保护措施及其技术、经济论证； （五）建设项目对环境影响的经济损益分析； （六）对建设项目实施环境监测的建议； （七）环境影响评价的结论。 环境影响报告表和环境影响登记表的内容和格式，由国务院生态环境主管部门制定。</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第十八条建设项目的环境影响评价，应当避免与规划的环境影响评价相重复。 作为一项整体建设项目的规划，按照建设项目进行环境影响评价，不进行规划的环境影响评价。 已经进行了环境影响评价的规划包含具体建设项目的，规划的环境影响评价结论应当作为建设项目环境影响评价的重要依据，建设项目环境影响评价的内容应当根据规划的环境影响评价审查意见予以简化。</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九条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 编制建设项目环境影响报告书、环境影响报告表应当遵守国家有关环境影响评价标准、技术规范等规定。 国务院生态环境主管部门应当制定建设项目环境影响报告书、环境影响报告表编制的能力建设指南和监管办法。 接受委托为建设单位编制建设项目环境影响报告书、环境影响报告表的技术单位，不得与负责审批建设项目环境影响报告书、环境影响报告表的生态环境主管部门或者其他有关审批部门存在任何利益关系。</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条建设单位应当对建设项目环境影响报告书、环境影响报告表的内容和结论负责，接受委托编制建设项目环境影响报告书、环境影响报告表的技术单位对其编制的建设项目环境影响报告书、环境影响报告表承担相应责任。 设区的市级以上人民政府生态环境主管部门应当加强对建设项目环境影响报告书、环境影响报告表编制单位的监督管理和质量考核。 负责审批建设项目环境影响报告书、环境影响报告表的生态环境主管部门应当将编制单位、编制主持人和主要编制人员的相关违法信息记入社会诚信档案，并纳入全国信用信息共享平台和国家企业信用信息公示系统向社会公布。 任何单位和个人不得为建设单位指定编制建设项目环境影响报告书、环境影响报告表的技术单位。</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一条除国家规定需要保密的情形外，对环境可能造成重大影响、应当编制环境影响报告书的建设项目，建设单位应当在报批建设项目环境影响报告书前，举行论证会、听证会，或者采取其他形式，征求有关单位、专家和公众的意见。 建设单位报批的环境影响报告书应当附具对有关单位、专家和公众的意见采纳或者不采纳的说明。</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第二十二条建设项目的环境影响报告书、报告表，由建设单位按照国务院的规定报有审批权的生态环境主管部门审批。 海洋工程建设项目的海洋环境影响报告书的审批，依照《中华人民共和国海洋环境保护法》的规定办理。 审批部门应当自收到环境影响报告书之日起六十日内，收到环境影响报告表之日起三十日内，分别作出审批决定并书面通知建设单位。 国家对环境影响登记表实行备案管理。 审核、审批建设项目环境影响报告书、报告表以及备案环境影响登记表，不得收取任何费用。</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第二十三条国务院生态环境主管部门负责审批下列建设项目的环境影响评价文件： （一）核设施、绝密工程等特殊性质的建设项目； （二）跨省、自治区、直辖市行政区域的建设项目； （三）由国务院审批的或者由国务院授权有关部门审批的建设项目。 前款规定以外的建设项目的环境影响评价文件的审批权限，由省、自治区、直辖市人民政府规定。 建设项目可能造成跨行政区域的不良环境影响，有关生态环境主管部门对该项目的环境影响评价结论有争议的，其环境影响评价文件由共同的上一级生态环境主管部门审批。</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第二十四条建设项目的环境影响评价文件经批准后，建设项目的性质、规模、地点、采用的生产工艺或者防治污染、防止生态破坏的措施发生重大变动的，建设单位应当重新报批建设项目的环境影响评价文件。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第二十五条建设项目的环境影响评价文件未依法经审批部门审查或者审查后未予批准的，建设单位不得开工建设。</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第二十六条建设项目建设过程中，建设单位应当同时实施环境影响报告书、环境影响报告表以及环境影响评价文件审批部门审批意见中提出的环境保护对策措施。</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七条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二十八条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三、《中华人民共和国放射性污染防治法》（由中华人民共和国第十届全国人民代表大会常务委员会第三次会议于２００３年６月２８日通过，现予公布，自２００３年１０月１日起施行。，中华人民共和国主席令第六号）</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八条：“……在办理核设施选址审批手续前，应当编制环境影响报告书，报国务院环境保护行政主管部门审查批准……”第二十条：“核设施营运单位应当在申请领取核设施建造、运行许可证和办理退役审批手续前编制环境影响报告书，报国务院环境保护行政主管部门审查批准……”第三十四条：“开发利用或者关闭铀（钍）矿的单位，应当在申请领取采矿许可证或者办理退役审批手续前编制环境影响报告书，报国务院环境保护行政主管部门审查批准。开发利用伴生放射性矿的单位，应当在申请领取采矿许可证前编制环境影响报告书，报省级以上人民政府环境保护行政主管部门审查批准。”</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四、《放射性同位素与射线装置安全和防护管理办法》（环境保护部2011年第1次部务会议于2011年3月24日审议通过。现予公布，自2011年5月1日起施行，环境保护部令第18号）</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第十四条：“依法实施退役的生产、使用放射性同位素与射线装置的单位，应当在实施退役前编制环境影响评价文件，报原辐射安全许可证发证机关审查批准；未经批准的，不得实施退役。”</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0" w:type="dxa"/>
            <w:vAlign w:val="center"/>
          </w:tcPr>
          <w:p>
            <w:pPr>
              <w:pStyle w:val="3"/>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cstheme="minorBidi"/>
                <w:kern w:val="2"/>
                <w:sz w:val="21"/>
                <w:szCs w:val="24"/>
                <w:lang w:val="en-US" w:eastAsia="zh-CN" w:bidi="ar-SA"/>
              </w:rPr>
              <w:t>申请</w:t>
            </w:r>
            <w:r>
              <w:rPr>
                <w:rFonts w:hint="eastAsia" w:ascii="黑体" w:eastAsia="黑体" w:hAnsiTheme="minorHAnsi" w:cstheme="minorBidi"/>
                <w:kern w:val="2"/>
                <w:sz w:val="21"/>
                <w:szCs w:val="24"/>
                <w:lang w:val="en-US" w:eastAsia="zh-CN" w:bidi="ar-SA"/>
              </w:rPr>
              <w:t>条件</w:t>
            </w:r>
          </w:p>
        </w:tc>
        <w:tc>
          <w:tcPr>
            <w:tcW w:w="7840" w:type="dxa"/>
            <w:gridSpan w:val="3"/>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黑体" w:hAnsi="黑体" w:eastAsia="黑体" w:cs="黑体"/>
                <w:kern w:val="0"/>
                <w:sz w:val="18"/>
                <w:szCs w:val="18"/>
                <w:vertAlign w:val="baseline"/>
                <w:lang w:val="en-US" w:eastAsia="zh-CN" w:bidi="ar"/>
              </w:rPr>
            </w:pPr>
            <w:r>
              <w:rPr>
                <w:rFonts w:hint="eastAsia" w:ascii="宋体" w:hAnsi="宋体" w:eastAsia="宋体" w:cs="宋体"/>
                <w:i w:val="0"/>
                <w:caps w:val="0"/>
                <w:color w:val="4A4A4A"/>
                <w:spacing w:val="0"/>
                <w:sz w:val="18"/>
                <w:szCs w:val="18"/>
              </w:rPr>
              <w:t>一、根据《建设项目环境影响评价分类管理名录》、《河南省建设项目环境影响评价分级管理规定》（河南省人民政府令133号）、《河南省生态环境厅审批的建设项目环境影响评价文件目录（2019年本）》，属河南省生态环境厅审批权限内的建设项目；</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二、环境影响评价文件编制必须符合相关标准、技术规范的要求；</w:t>
            </w:r>
            <w:r>
              <w:rPr>
                <w:rFonts w:hint="eastAsia" w:ascii="宋体" w:hAnsi="宋体" w:eastAsia="宋体" w:cs="宋体"/>
                <w:i w:val="0"/>
                <w:caps w:val="0"/>
                <w:color w:val="4A4A4A"/>
                <w:spacing w:val="0"/>
                <w:sz w:val="18"/>
                <w:szCs w:val="18"/>
              </w:rPr>
              <w:br w:type="textWrapping"/>
            </w:r>
            <w:r>
              <w:rPr>
                <w:rFonts w:hint="eastAsia" w:ascii="宋体" w:hAnsi="宋体" w:eastAsia="宋体" w:cs="宋体"/>
                <w:i w:val="0"/>
                <w:caps w:val="0"/>
                <w:color w:val="4A4A4A"/>
                <w:spacing w:val="0"/>
                <w:sz w:val="18"/>
                <w:szCs w:val="18"/>
              </w:rPr>
              <w:t>三、建设项目必须符合法律、法规、规章、标准规定的各项环境保护要求。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vertAlign w:val="baseline"/>
                <w:lang w:val="en-US" w:eastAsia="zh-CN" w:bidi="ar"/>
              </w:rPr>
            </w:pPr>
            <w:r>
              <w:rPr>
                <w:rFonts w:hint="eastAsia" w:ascii="黑体" w:hAnsi="黑体" w:eastAsia="黑体" w:cs="黑体"/>
                <w:kern w:val="2"/>
                <w:sz w:val="21"/>
                <w:szCs w:val="21"/>
                <w:lang w:val="en-US" w:eastAsia="zh-CN" w:bidi="ar-SA"/>
              </w:rPr>
              <w:t>申请材料</w:t>
            </w:r>
          </w:p>
        </w:tc>
        <w:tc>
          <w:tcPr>
            <w:tcW w:w="7840" w:type="dxa"/>
            <w:gridSpan w:val="3"/>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baseline"/>
              <w:rPr>
                <w:rFonts w:hint="eastAsia" w:ascii="宋体" w:hAnsi="宋体" w:eastAsia="宋体" w:cs="宋体"/>
                <w:i w:val="0"/>
                <w:caps w:val="0"/>
                <w:color w:val="000000"/>
                <w:spacing w:val="0"/>
                <w:sz w:val="18"/>
                <w:szCs w:val="18"/>
                <w:lang w:val="en-US" w:eastAsia="zh-CN"/>
              </w:rPr>
            </w:pPr>
            <w:r>
              <w:rPr>
                <w:rFonts w:hint="eastAsia" w:ascii="宋体" w:hAnsi="宋体" w:eastAsia="宋体" w:cs="宋体"/>
                <w:b w:val="0"/>
                <w:bCs/>
                <w:i w:val="0"/>
                <w:caps w:val="0"/>
                <w:color w:val="000000"/>
                <w:spacing w:val="0"/>
                <w:sz w:val="18"/>
                <w:szCs w:val="18"/>
                <w:vertAlign w:val="baseline"/>
              </w:rPr>
              <w:t>无需提交申请材料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bookmarkStart w:id="1" w:name="_GoBack" w:colFirst="1" w:colLast="3"/>
            <w:r>
              <w:rPr>
                <w:rFonts w:hint="eastAsia" w:ascii="黑体" w:hAnsi="黑体" w:eastAsia="黑体" w:cs="黑体"/>
                <w:kern w:val="0"/>
                <w:sz w:val="21"/>
                <w:szCs w:val="21"/>
                <w:vertAlign w:val="baseline"/>
                <w:lang w:val="en-US" w:eastAsia="zh-CN" w:bidi="ar"/>
              </w:rPr>
              <w:t>办理流程</w:t>
            </w:r>
          </w:p>
        </w:tc>
        <w:tc>
          <w:tcPr>
            <w:tcW w:w="7840"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 xml:space="preserve">环节名称：受理；办理人：胡森喆；办理时限：即时办理；审查标准：对申请材料进行初 步审核。经审核，申请材料齐全、符合法定形式的，应当决定予以受理；办理结果：能当场受理或通过当场补正达到受理条件的，直接进入受理步骤；初步审核后材料不符合要求的不予以受理； </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 xml:space="preserve">环节名称：审核；办理人：杨红生；办理时限：即时办理；审查标准：在受理申报材料后， 由办理科室对内容进行审查；办理结果：提出初步意见，转入决定步骤； </w:t>
            </w:r>
          </w:p>
          <w:p>
            <w:pPr>
              <w:keepNext w:val="0"/>
              <w:keepLines w:val="0"/>
              <w:pageBreakBefore w:val="0"/>
              <w:widowControl w:val="0"/>
              <w:suppressLineNumbers w:val="0"/>
              <w:kinsoku/>
              <w:wordWrap/>
              <w:overflowPunct/>
              <w:topLinePunct w:val="0"/>
              <w:autoSpaceDE/>
              <w:autoSpaceDN/>
              <w:bidi w:val="0"/>
              <w:adjustRightInd/>
              <w:snapToGrid/>
              <w:spacing w:line="240" w:lineRule="auto"/>
              <w:jc w:val="left"/>
              <w:rPr>
                <w:rFonts w:hint="eastAsia" w:ascii="宋体" w:hAnsi="宋体" w:eastAsia="宋体" w:cs="宋体"/>
                <w:kern w:val="0"/>
                <w:sz w:val="18"/>
                <w:szCs w:val="18"/>
                <w:lang w:val="en-US" w:eastAsia="zh-CN" w:bidi="ar"/>
              </w:rPr>
            </w:pPr>
            <w:r>
              <w:rPr>
                <w:rFonts w:hint="eastAsia" w:ascii="宋体" w:hAnsi="宋体" w:eastAsia="宋体" w:cs="宋体"/>
                <w:color w:val="000000"/>
                <w:kern w:val="0"/>
                <w:sz w:val="18"/>
                <w:szCs w:val="18"/>
                <w:lang w:val="en-US" w:eastAsia="zh-CN" w:bidi="ar"/>
              </w:rPr>
              <w:t>环节名称：决定；办理人：李海景；办理时限：1个工作日；审查标准：在办理科室审查 完成后，实施部门应在承诺时限内作出是否同意申请政务服务事项的决定；办理结果：申请符合规定的，准予审批通过；申请不符合规定的，不予审批通过；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 准</w:t>
            </w:r>
          </w:p>
        </w:tc>
        <w:tc>
          <w:tcPr>
            <w:tcW w:w="7840" w:type="dxa"/>
            <w:gridSpan w:val="3"/>
            <w:vAlign w:val="center"/>
          </w:tcPr>
          <w:p>
            <w:pPr>
              <w:pStyle w:val="3"/>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 道</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FF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实施日期：2022年2月25日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kern w:val="0"/>
          <w:sz w:val="28"/>
          <w:szCs w:val="28"/>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94A2F"/>
    <w:rsid w:val="06174FC9"/>
    <w:rsid w:val="08394A2F"/>
    <w:rsid w:val="09B93488"/>
    <w:rsid w:val="0A3D72FF"/>
    <w:rsid w:val="1CDF6A0D"/>
    <w:rsid w:val="1D6F2A1C"/>
    <w:rsid w:val="2C6E5FB4"/>
    <w:rsid w:val="38C905C6"/>
    <w:rsid w:val="453D0512"/>
    <w:rsid w:val="700B7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rPr>
      <w:sz w:val="21"/>
      <w:szCs w:val="21"/>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2022-03-01T02:29:00Z</dcterms:created>
  <dc:creator>香水西施</dc:creator>
  <cp:lastModifiedBy>煜</cp:lastModifiedBy>
  <dcterms:modified xsi:type="dcterms:W3CDTF">2022-03-02T11:40:43Z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36FFD5DF3F5B4E648FC0C39251DA20C4</vt:lpwstr>
  </property>
</Properties>
</file>