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县级建设项目环境影响评价文件审批（非辐射类且编制报告表的项目）首次申请</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bookmarkStart w:id="0" w:name="_GoBack"/>
      <w:r>
        <w:rPr>
          <w:rFonts w:hint="eastAsia" w:ascii="黑体" w:hAnsi="黑体" w:eastAsia="黑体" w:cs="黑体"/>
          <w:sz w:val="21"/>
          <w:szCs w:val="21"/>
          <w:lang w:val="en-US" w:eastAsia="zh-CN"/>
        </w:rPr>
        <w:t>事项编码</w:t>
      </w:r>
      <w:bookmarkEnd w:id="0"/>
      <w:r>
        <w:rPr>
          <w:rFonts w:hint="eastAsia" w:ascii="黑体" w:hAnsi="黑体" w:eastAsia="黑体" w:cs="黑体"/>
          <w:sz w:val="21"/>
          <w:szCs w:val="21"/>
          <w:lang w:val="en-US" w:eastAsia="zh-CN"/>
        </w:rPr>
        <w:t>729615800XK99445005</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法定时限：3</w:t>
            </w:r>
            <w:r>
              <w:t>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（承诺时间不包含现场勘查、专家评审、环评文件修改完善、补件、上报（转报）、公示等步骤所需要的时间）</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 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（一）可能造成重大环境影响的，应当编制环境影响报告书，对产生的环境影响进行全面评价；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（二）可能造成轻度环境影响的，应当编制环境影响报告表，对产生的环境影响进行分析或者专项评价；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（三）对环境影响很小、不需要进行环境影响评价的，应当填报环境影响登记表。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第二十二条 建设项目的环境影响报告书、报告表，由建设单位按照国务院的规定报有审批权的生态环境主管部门审批。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海洋工程建设项目的海洋环境影响报告书的审批，依照《中华人民共和国海洋环境保护法》的规定办理。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审批部门应当自收到环境影响报告书之日起六十日内，收到环境影响报告表之日起三十日内，分别作出审批决定并书面通知建设单位。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国家对环境影响登记表实行备案管理。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第二十三条 国务院生态环境主管部门负责审批下列建设项目的环境影响评价文件：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（一）核设施、绝密工程等特殊性质的建设项目；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（二）跨省、自治区、直辖市行政区域的建设项目；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（三）由国务院审批的或者由国务院授权有关部门审批的建设项目。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前款规定以外的建设项目的环境影响评价文件的审批权限，由省、自治区、直辖市人民政府规定。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rPr>
            </w:pPr>
            <w:r>
              <w:rPr>
                <w:rFonts w:hint="eastAsia"/>
              </w:rPr>
              <w:t>1.按照分级审批规定，属于县级生态环境部门审批项目环评文件</w:t>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rPr>
              <w:t>2.建设单位正式申请文件、环境影响评价文件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1、建设项目环境影响评价文件行政审批申请书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建设项目环境影响报告表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个工作日；审查标准：在受理申报材料后，由办理科室对内容进行审查；办理结果：提出初步意见，转入决定步骤；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1207D50"/>
    <w:rsid w:val="024A4233"/>
    <w:rsid w:val="03764432"/>
    <w:rsid w:val="05943D73"/>
    <w:rsid w:val="113719A0"/>
    <w:rsid w:val="119E3A20"/>
    <w:rsid w:val="1B1940BD"/>
    <w:rsid w:val="1C0C6FE8"/>
    <w:rsid w:val="1D4F5573"/>
    <w:rsid w:val="223B7CC1"/>
    <w:rsid w:val="225356F0"/>
    <w:rsid w:val="230D4216"/>
    <w:rsid w:val="2BFD6CEE"/>
    <w:rsid w:val="34057C79"/>
    <w:rsid w:val="3F345010"/>
    <w:rsid w:val="40707B40"/>
    <w:rsid w:val="42CB20DD"/>
    <w:rsid w:val="49CC6710"/>
    <w:rsid w:val="577C1502"/>
    <w:rsid w:val="582B5703"/>
    <w:rsid w:val="59DD77B5"/>
    <w:rsid w:val="5B10607B"/>
    <w:rsid w:val="6D535020"/>
    <w:rsid w:val="6E5962B9"/>
    <w:rsid w:val="6F2A30EC"/>
    <w:rsid w:val="719F3F01"/>
    <w:rsid w:val="74544908"/>
    <w:rsid w:val="745E1AC7"/>
    <w:rsid w:val="75B37376"/>
    <w:rsid w:val="760C3454"/>
    <w:rsid w:val="789B4A89"/>
    <w:rsid w:val="7A335DC1"/>
    <w:rsid w:val="7DBB594B"/>
    <w:rsid w:val="7F64658D"/>
    <w:rsid w:val="7FF1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2007</Words>
  <Characters>2076</Characters>
  <Lines>0</Lines>
  <Paragraphs>0</Paragraphs>
  <TotalTime>11</TotalTime>
  <ScaleCrop>false</ScaleCrop>
  <LinksUpToDate>false</LinksUpToDate>
  <CharactersWithSpaces>2118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A13C03E9F0674FDFBA8FA08834D3E982</vt:lpwstr>
  </property>
</Properties>
</file>