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县级建设项目环境影响评价文件告知承诺审批</w:t>
      </w:r>
    </w:p>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（报告表项目）</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1"/>
          <w:szCs w:val="21"/>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729615800XK99445007</w:t>
      </w:r>
      <w:r>
        <w:rPr>
          <w:rFonts w:hint="eastAsia" w:ascii="黑体" w:hAnsi="黑体" w:eastAsia="黑体" w:cs="黑体"/>
          <w:color w:val="FF0000"/>
          <w:sz w:val="21"/>
          <w:szCs w:val="21"/>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474"/>
        <w:gridCol w:w="1542"/>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47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54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47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法定时限：30</w:t>
            </w:r>
            <w:r>
              <w:rPr>
                <w:rFonts w:hint="eastAsia"/>
              </w:rPr>
              <w:t>个工作日</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p>
        </w:tc>
        <w:tc>
          <w:tcPr>
            <w:tcW w:w="1542"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4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542"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一、《中华人民共和国环境保护法》（１９８９年１２月２６日主席令第二十二号，2014年4月24日主席令第九号修改）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第十三条：“建设项目的环境影响报告书，必须对建设项目产生的污染和对环境的影响作出评价，规定防治措施，经项目主管部门预审并依照规定的程序报环境保护行政主管部门批准。”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二、《中华人民共和国环境影响评价法》（2016年7月2日主席令第七十七号，2016年7月2日主席令第四十八号修改，2018年12月29日主席令第二十四号修改）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第三章　建设项目的环境影响评价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第十六条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第十七条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第十八条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第十九条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第二十一条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第二十二条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第二十三条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第二十四条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第二十五条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建设项目的环境影响评价文件未依法经审批部门审查或者审查后未予批准的，建设单位不得开工建设。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第二十六条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建设项目建设过程中，建设单位应当同时实施环境影响报告书、环境影响报告表以及环境影响评价文件审批部门审批意见中提出的环境保护对策措施。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第二十七条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第二十八条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四、《放射性同位素与射线装置安全和防护管理办法》（环境保护部2011年第1次部务会议于2011年3月24日审议通过。现予公布，自2011年5月1日起施行，环境保护部令第18号）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第十四条：“依法实施退役的生产、使用放射性同位素与射线装置的单位，应当在实施退役前编制环境影响评价文件，报原辐射安全许可证发证机关审查批准；未经批准的，不得实施退役。”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五、生态环境部《关于统筹做好疫情防控和经济社会发展生态环保工作的指导意见》（环综合〔2020〕13号）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拓展环评告知承诺制审批改革试点。将环境影响总体可控、受疫情影响较大、就业密集型等民生相关的部分行业纳入环评告知承诺制审批改革试点，包括工程建设、社会事业与服务业、制造业、畜牧业、交通运输业等多个领域，共涉及《名录》中17大类44小类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六、《河南省生态环境厅办公室关于深化环评“放管服”改革及实施环评审批正面清单的通知》（豫环办〔2020〕22号）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建设单位在项目开工建设前，将告知承诺书及环境影响报告书、表等要件报送有审批权的生态环境部门。生态环境部门在收到要件后，可不经评估、审查，公示期满后直接作出审批决定。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outlineLvl w:val="9"/>
              <w:rPr>
                <w:rFonts w:hint="eastAsia"/>
              </w:rPr>
            </w:pPr>
            <w:r>
              <w:rPr>
                <w:rFonts w:hint="eastAsia"/>
              </w:rPr>
              <w:t>1.审批权限属于市级生态环境部门审批的项目且属于我省实施告知承诺审批的行业范围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rPr>
              <w:t>2.建设单位申请文件及承诺书、环境影响评价文件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1、建设项目环评文件告知承诺制审批报批申请表及承诺书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2、建设项目环境影响报告表</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80" w:lineRule="exact"/>
              <w:ind w:left="0" w:leftChars="0" w:right="0" w:rightChars="0" w:firstLine="0" w:firstLineChars="0"/>
              <w:textAlignment w:val="auto"/>
              <w:outlineLvl w:val="9"/>
              <w:rPr>
                <w:rFonts w:hint="eastAsia"/>
                <w:sz w:val="21"/>
                <w:szCs w:val="21"/>
              </w:rPr>
            </w:pPr>
            <w:r>
              <w:rPr>
                <w:rFonts w:hint="eastAsia"/>
                <w:sz w:val="21"/>
                <w:szCs w:val="21"/>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80" w:lineRule="exact"/>
              <w:ind w:left="0" w:leftChars="0" w:right="0" w:rightChars="0" w:firstLine="0" w:firstLineChars="0"/>
              <w:textAlignment w:val="auto"/>
              <w:outlineLvl w:val="9"/>
              <w:rPr>
                <w:rFonts w:hint="eastAsia"/>
                <w:sz w:val="21"/>
                <w:szCs w:val="21"/>
              </w:rPr>
            </w:pPr>
            <w:r>
              <w:rPr>
                <w:rFonts w:hint="eastAsia"/>
                <w:sz w:val="21"/>
                <w:szCs w:val="21"/>
              </w:rPr>
              <w:t>环节名称：审核 ；办理人：江道贵；办理时限：</w:t>
            </w:r>
            <w:r>
              <w:rPr>
                <w:rFonts w:hint="eastAsia"/>
                <w:sz w:val="21"/>
                <w:szCs w:val="21"/>
                <w:lang w:val="en-US" w:eastAsia="zh-CN"/>
              </w:rPr>
              <w:t>0.5</w:t>
            </w:r>
            <w:r>
              <w:rPr>
                <w:rFonts w:hint="eastAsia"/>
                <w:sz w:val="21"/>
                <w:szCs w:val="21"/>
              </w:rPr>
              <w:t>个工作日；审查标准：对申请材料进行审核，材料是否齐全，是否符合法定形式。材料需要核实的，核实相关材料。；办理结果：提出初步意见，转入决定步骤；</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280" w:lineRule="exact"/>
              <w:ind w:left="0" w:leftChars="0" w:right="0" w:rightChars="0" w:firstLine="0" w:firstLineChars="0"/>
              <w:textAlignment w:val="auto"/>
              <w:outlineLvl w:val="9"/>
              <w:rPr>
                <w:rFonts w:hint="eastAsia" w:ascii="宋体" w:hAnsi="宋体" w:eastAsia="宋体" w:cs="宋体"/>
                <w:kern w:val="0"/>
                <w:sz w:val="21"/>
                <w:szCs w:val="21"/>
                <w:lang w:val="en-US" w:eastAsia="zh-CN" w:bidi="ar"/>
              </w:rPr>
            </w:pPr>
            <w:r>
              <w:rPr>
                <w:rFonts w:hint="eastAsia"/>
                <w:sz w:val="21"/>
                <w:szCs w:val="21"/>
              </w:rPr>
              <w:t>环节名称：决定 ；办理人：石常民；办理时限：</w:t>
            </w:r>
            <w:r>
              <w:rPr>
                <w:rFonts w:hint="eastAsia"/>
                <w:sz w:val="21"/>
                <w:szCs w:val="21"/>
                <w:lang w:val="en-US" w:eastAsia="zh-CN"/>
              </w:rPr>
              <w:t>0.5</w:t>
            </w:r>
            <w:r>
              <w:rPr>
                <w:rFonts w:hint="eastAsia"/>
                <w:sz w:val="21"/>
                <w:szCs w:val="21"/>
              </w:rPr>
              <w:t>个工作日；审查标准：根据审核情况，做出准予许可或不予行政许可的决定。；办理结果：对于审查通过的，做出准予行政许可决定。；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3764432"/>
    <w:rsid w:val="0560030A"/>
    <w:rsid w:val="07702A39"/>
    <w:rsid w:val="113719A0"/>
    <w:rsid w:val="119E3A20"/>
    <w:rsid w:val="1B1940BD"/>
    <w:rsid w:val="1D4F5573"/>
    <w:rsid w:val="331D65D8"/>
    <w:rsid w:val="3F345010"/>
    <w:rsid w:val="42903DE8"/>
    <w:rsid w:val="49CC6710"/>
    <w:rsid w:val="4A6B659C"/>
    <w:rsid w:val="4D13283B"/>
    <w:rsid w:val="4D9E511E"/>
    <w:rsid w:val="4FF13340"/>
    <w:rsid w:val="52763068"/>
    <w:rsid w:val="52805C59"/>
    <w:rsid w:val="59DD77B5"/>
    <w:rsid w:val="5B10607B"/>
    <w:rsid w:val="618E4291"/>
    <w:rsid w:val="659D5658"/>
    <w:rsid w:val="65F00FC2"/>
    <w:rsid w:val="6D535020"/>
    <w:rsid w:val="6E5962B9"/>
    <w:rsid w:val="6F2A30EC"/>
    <w:rsid w:val="719F3F01"/>
    <w:rsid w:val="74544908"/>
    <w:rsid w:val="745E1AC7"/>
    <w:rsid w:val="773A2F1F"/>
    <w:rsid w:val="780531B0"/>
    <w:rsid w:val="78363859"/>
    <w:rsid w:val="78812ECD"/>
    <w:rsid w:val="789B4A89"/>
    <w:rsid w:val="7A335DC1"/>
    <w:rsid w:val="7D0B7C1E"/>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C22EBB9F24F04E319AD00D57A37F2039</vt:lpwstr>
  </property>
</Properties>
</file>