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kern w:val="0"/>
          <w:sz w:val="32"/>
          <w:szCs w:val="32"/>
          <w:lang w:val="en-US" w:eastAsia="zh-CN" w:bidi="ar"/>
        </w:rPr>
      </w:pPr>
      <w:r>
        <w:rPr>
          <w:rFonts w:hint="eastAsia" w:ascii="黑体" w:hAnsi="黑体" w:eastAsia="黑体" w:cs="黑体"/>
          <w:b/>
          <w:bCs/>
          <w:kern w:val="0"/>
          <w:sz w:val="32"/>
          <w:szCs w:val="32"/>
          <w:lang w:val="en-US" w:eastAsia="zh-CN" w:bidi="ar"/>
        </w:rPr>
        <w:t>县级建设项目环境影响评价文件审批（非辐射类且编制报告表的项目）重新报批</w:t>
      </w:r>
      <w:r>
        <w:rPr>
          <w:rFonts w:hint="eastAsia" w:ascii="黑体" w:hAnsi="黑体" w:eastAsia="黑体" w:cs="黑体"/>
          <w:b/>
          <w:bCs/>
          <w:kern w:val="0"/>
          <w:sz w:val="32"/>
          <w:szCs w:val="32"/>
          <w:lang w:val="en-US" w:eastAsia="zh-CN" w:bidi="ar"/>
        </w:rPr>
        <w:t>服务指南</w:t>
      </w:r>
    </w:p>
    <w:p>
      <w:pPr>
        <w:pStyle w:val="2"/>
        <w:ind w:left="557"/>
        <w:jc w:val="right"/>
        <w:rPr>
          <w:rFonts w:hint="eastAsia" w:ascii="黑体" w:hAnsi="黑体" w:eastAsia="黑体" w:cs="黑体"/>
          <w:color w:val="FF0000"/>
          <w:sz w:val="28"/>
          <w:szCs w:val="28"/>
        </w:rPr>
      </w:pPr>
      <w:r>
        <w:rPr>
          <w:rFonts w:hint="eastAsia" w:ascii="黑体" w:hAnsi="黑体" w:eastAsia="黑体" w:cs="黑体"/>
          <w:sz w:val="21"/>
          <w:szCs w:val="21"/>
          <w:lang w:val="en-US" w:eastAsia="zh-CN"/>
        </w:rPr>
        <w:t>事项编码</w:t>
      </w:r>
      <w:bookmarkStart w:id="0" w:name="_GoBack"/>
      <w:bookmarkEnd w:id="0"/>
      <w:r>
        <w:rPr>
          <w:rFonts w:hint="eastAsia" w:ascii="黑体" w:hAnsi="黑体" w:eastAsia="黑体" w:cs="黑体"/>
          <w:sz w:val="21"/>
          <w:szCs w:val="21"/>
          <w:lang w:val="en-US" w:eastAsia="zh-CN"/>
        </w:rPr>
        <w:t>729615800XK9944500a</w:t>
      </w:r>
      <w:r>
        <w:rPr>
          <w:rFonts w:hint="eastAsia" w:ascii="黑体" w:hAnsi="黑体" w:eastAsia="黑体" w:cs="黑体"/>
          <w:color w:val="FF0000"/>
          <w:sz w:val="28"/>
          <w:szCs w:val="28"/>
        </w:rPr>
        <w:t xml:space="preserve"> </w:t>
      </w:r>
    </w:p>
    <w:tbl>
      <w:tblPr>
        <w:tblStyle w:val="5"/>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3795"/>
        <w:gridCol w:w="1221"/>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795"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221"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79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22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79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法定时限：3</w:t>
            </w:r>
            <w:r>
              <w:t>0</w:t>
            </w:r>
            <w:r>
              <w:rPr>
                <w:rFonts w:hint="eastAsia"/>
              </w:rPr>
              <w:t>个工作日</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w:t>
            </w:r>
            <w:r>
              <w:rPr>
                <w:rFonts w:hint="eastAsia" w:cstheme="minorBidi"/>
                <w:b w:val="0"/>
                <w:bCs w:val="0"/>
                <w:kern w:val="2"/>
                <w:sz w:val="18"/>
                <w:szCs w:val="18"/>
                <w:lang w:val="en-US" w:eastAsia="zh-CN" w:bidi="ar-SA"/>
              </w:rPr>
              <w:t>（承诺时间不包含现场勘查、专家评审、环评文件修改完善、补件、上报（转报）、公示等步骤所需要的时间）</w:t>
            </w:r>
          </w:p>
        </w:tc>
        <w:tc>
          <w:tcPr>
            <w:tcW w:w="122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82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电话咨询：0377-68218618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79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221"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7840" w:type="dxa"/>
            <w:gridSpan w:val="3"/>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一、《中华人民共和国环境保护法》（１９８９年１２月２６日主席令第二十二号，2014年4月24日主席令第九号修改）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第十九条 编制有关开发利用规划，建设对环境有影响的项目，应当依法进行环境影响评价。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未依法进行环境影响评价的开发利用规划，不得组织实施；未依法进行环境影响评价的建设项目，不得开工建设。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二、《中华人民共和国环境影响评价法》（2016年7月2日主席令第七十七号，2016年7月2日主席令第四十八号修改，2018年12月29日主席令第二十四号修改）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第十六条 国家根据建设项目对环境的影响程度，对建设项目的环境影响评价实行分类管理。 建设单位应当按照下列规定组织编制环境影响报告书、环境影响报告表或者填报环境影响登记表（以下统称环境影响评价文件）：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（一）可能造成重大环境影响的，应当编制环境影响报告书，对产生的环境影响进行全面评价；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（二）可能造成轻度环境影响的，应当编制环境影响报告表，对产生的环境影响进行分析或者专项评价；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（三）对环境影响很小、不需要进行环境影响评价的，应当填报环境影响登记表。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建设项目的环境影响评价分类管理名录，由国务院生态环境主管部门制定并公布。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第二十二条 建设项目的环境影响报告书、报告表，由建设单位按照国务院的规定报有审批权的生态环境主管部门审批。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海洋工程建设项目的海洋环境影响报告书的审批，依照《中华人民共和国海洋环境保护法》的规定办理。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审批部门应当自收到环境影响报告书之日起六十日内，收到环境影响报告表之日起三十日内，分别作出审批决定并书面通知建设单位。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国家对环境影响登记表实行备案管理。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审核、审批建设项目环境影响报告书、报告表以及备案环境影响登记表，不得收取任何费用。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第二十三条 国务院生态环境主管部门负责审批下列建设项目的环境影响评价文件：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（一）核设施、绝密工程等特殊性质的建设项目；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（二）跨省、自治区、直辖市行政区域的建设项目；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（三）由国务院审批的或者由国务院授权有关部门审批的建设项目。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前款规定以外的建设项目的环境影响评价文件的审批权限，由省、自治区、直辖市人民政府规定。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建设项目可能造成跨行政区域的不良环境影响，有关生态环境主管部门对该项目的环境影响评价结论有争议的，其环境影响评价文件由共同的上一级生态环境主管部门审批。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第二十四条 建设项目的环境影响评价文件经批准后，建设项目的性质、规模、地点、采用的生产工艺或者防治污染、防止生态破坏的措施发生重大变动的，建设单位应当重新报批建设项目的环境影响评价文件。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黑体" w:hAnsi="黑体" w:eastAsia="黑体" w:cs="黑体"/>
                <w:kern w:val="0"/>
                <w:sz w:val="52"/>
                <w:szCs w:val="52"/>
                <w:vertAlign w:val="baseline"/>
                <w:lang w:val="en-US" w:eastAsia="zh-CN" w:bidi="ar"/>
              </w:rPr>
            </w:pPr>
            <w:r>
              <w:rPr>
                <w:rFonts w:hint="eastAsia" w:ascii="宋体" w:hAnsi="宋体" w:eastAsia="宋体" w:cs="宋体"/>
                <w:kern w:val="0"/>
                <w:sz w:val="21"/>
                <w:szCs w:val="21"/>
                <w:lang w:val="en-US" w:eastAsia="zh-CN" w:bidi="ar"/>
              </w:rPr>
              <w:t>第二十五条 建设项目的环境影响评价文件未依法经审批部门审查或者审查后未予批准的，建设单位不得开工建设。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80"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办理条件</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40" w:lineRule="exact"/>
              <w:jc w:val="left"/>
              <w:textAlignment w:val="auto"/>
              <w:outlineLvl w:val="9"/>
              <w:rPr>
                <w:rFonts w:hint="eastAsia"/>
              </w:rPr>
            </w:pPr>
            <w:r>
              <w:rPr>
                <w:rFonts w:hint="eastAsia"/>
              </w:rPr>
              <w:t>1.按照分级审批规定，属于县级生态环境部门审批项目环评文件</w:t>
            </w:r>
          </w:p>
          <w:p>
            <w:pPr>
              <w:keepNext w:val="0"/>
              <w:keepLines w:val="0"/>
              <w:pageBreakBefore w:val="0"/>
              <w:kinsoku/>
              <w:wordWrap/>
              <w:overflowPunct/>
              <w:topLinePunct w:val="0"/>
              <w:autoSpaceDE/>
              <w:autoSpaceDN/>
              <w:bidi w:val="0"/>
              <w:adjustRightInd/>
              <w:snapToGrid/>
              <w:spacing w:beforeAutospacing="0" w:afterAutospacing="0" w:line="340" w:lineRule="exact"/>
              <w:jc w:val="left"/>
              <w:textAlignment w:val="auto"/>
              <w:outlineLvl w:val="9"/>
              <w:rPr>
                <w:rFonts w:hint="eastAsia" w:ascii="黑体" w:hAnsi="黑体" w:eastAsia="黑体" w:cs="黑体"/>
                <w:kern w:val="0"/>
                <w:sz w:val="52"/>
                <w:szCs w:val="52"/>
                <w:vertAlign w:val="baseline"/>
                <w:lang w:val="en-US" w:eastAsia="zh-CN" w:bidi="ar"/>
              </w:rPr>
            </w:pPr>
            <w:r>
              <w:rPr>
                <w:rFonts w:hint="eastAsia"/>
              </w:rPr>
              <w:t>2.建设单位正式申请文件、环境影响评价文件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申办</w:t>
            </w:r>
            <w:r>
              <w:rPr>
                <w:rFonts w:hint="eastAsia" w:ascii="黑体" w:eastAsia="黑体" w:cstheme="minorBidi"/>
                <w:kern w:val="2"/>
                <w:sz w:val="21"/>
                <w:szCs w:val="24"/>
                <w:lang w:val="en-US" w:eastAsia="zh-CN" w:bidi="ar-SA"/>
              </w:rPr>
              <w:t>材料</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40" w:lineRule="exact"/>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1、建设项目环境影响评价文件行政审批申请书</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1份</w:t>
            </w:r>
            <w:r>
              <w:rPr>
                <w:rFonts w:hint="eastAsia" w:ascii="宋体" w:hAnsi="宋体" w:eastAsia="宋体" w:cs="宋体"/>
                <w:kern w:val="0"/>
                <w:sz w:val="21"/>
                <w:szCs w:val="21"/>
                <w:lang w:val="en-US" w:eastAsia="zh-CN" w:bidi="ar"/>
              </w:rPr>
              <w:tab/>
            </w:r>
          </w:p>
          <w:p>
            <w:pPr>
              <w:keepNext w:val="0"/>
              <w:keepLines w:val="0"/>
              <w:pageBreakBefore w:val="0"/>
              <w:kinsoku/>
              <w:wordWrap/>
              <w:overflowPunct/>
              <w:topLinePunct w:val="0"/>
              <w:autoSpaceDE/>
              <w:autoSpaceDN/>
              <w:bidi w:val="0"/>
              <w:adjustRightInd/>
              <w:snapToGrid/>
              <w:spacing w:beforeAutospacing="0" w:afterAutospacing="0" w:line="340" w:lineRule="exact"/>
              <w:jc w:val="left"/>
              <w:textAlignment w:val="auto"/>
              <w:outlineLvl w:val="9"/>
              <w:rPr>
                <w:rFonts w:hint="eastAsia" w:ascii="黑体" w:hAnsi="黑体" w:eastAsia="黑体" w:cs="黑体"/>
                <w:kern w:val="0"/>
                <w:sz w:val="52"/>
                <w:szCs w:val="52"/>
                <w:vertAlign w:val="baseline"/>
                <w:lang w:val="en-US" w:eastAsia="zh-CN" w:bidi="ar"/>
              </w:rPr>
            </w:pP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建设项目环境影响报告表</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1份</w:t>
            </w:r>
            <w:r>
              <w:rPr>
                <w:rFonts w:hint="eastAsia" w:ascii="宋体" w:hAnsi="宋体" w:eastAsia="宋体" w:cs="宋体"/>
                <w:kern w:val="0"/>
                <w:sz w:val="21"/>
                <w:szCs w:val="21"/>
                <w:lang w:val="en-US" w:eastAsia="zh-CN"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7840" w:type="dxa"/>
            <w:gridSpan w:val="3"/>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40" w:lineRule="exact"/>
              <w:ind w:left="0" w:leftChars="0" w:right="0" w:rightChars="0" w:firstLine="0" w:firstLineChars="0"/>
              <w:textAlignment w:val="auto"/>
              <w:outlineLvl w:val="9"/>
              <w:rPr>
                <w:rFonts w:hint="eastAsia"/>
                <w:sz w:val="21"/>
                <w:szCs w:val="21"/>
              </w:rPr>
            </w:pPr>
            <w:r>
              <w:rPr>
                <w:rFonts w:hint="eastAsia"/>
                <w:sz w:val="21"/>
                <w:szCs w:val="21"/>
              </w:rPr>
              <w:t>环节名称：受理 ；办理人：胡燕；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40" w:lineRule="exact"/>
              <w:ind w:left="0" w:leftChars="0" w:right="0" w:rightChars="0" w:firstLine="0" w:firstLineChars="0"/>
              <w:textAlignment w:val="auto"/>
              <w:outlineLvl w:val="9"/>
              <w:rPr>
                <w:rFonts w:hint="eastAsia"/>
                <w:sz w:val="21"/>
                <w:szCs w:val="21"/>
              </w:rPr>
            </w:pPr>
            <w:r>
              <w:rPr>
                <w:rFonts w:hint="eastAsia"/>
                <w:sz w:val="21"/>
                <w:szCs w:val="21"/>
              </w:rPr>
              <w:t>环节名称：审核 ；办理人：江道贵；办理时限：</w:t>
            </w:r>
            <w:r>
              <w:rPr>
                <w:rFonts w:hint="eastAsia"/>
                <w:sz w:val="21"/>
                <w:szCs w:val="21"/>
                <w:lang w:val="en-US" w:eastAsia="zh-CN"/>
              </w:rPr>
              <w:t>0.5</w:t>
            </w:r>
            <w:r>
              <w:rPr>
                <w:rFonts w:hint="eastAsia"/>
                <w:sz w:val="21"/>
                <w:szCs w:val="21"/>
              </w:rPr>
              <w:t>个工作日；审查标准：在受理申报材料后，由办理科室对内容进行审查；办理结果：提出初步意见，转入决定步骤；</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40" w:lineRule="exact"/>
              <w:ind w:left="0" w:leftChars="0" w:right="0" w:rightChars="0" w:firstLine="0" w:firstLineChars="0"/>
              <w:textAlignment w:val="auto"/>
              <w:outlineLvl w:val="9"/>
              <w:rPr>
                <w:rFonts w:hint="eastAsia" w:ascii="宋体" w:hAnsi="宋体" w:eastAsia="宋体" w:cs="宋体"/>
                <w:kern w:val="0"/>
                <w:sz w:val="21"/>
                <w:szCs w:val="21"/>
                <w:lang w:val="en-US" w:eastAsia="zh-CN" w:bidi="ar"/>
              </w:rPr>
            </w:pPr>
            <w:r>
              <w:rPr>
                <w:rFonts w:hint="eastAsia"/>
                <w:sz w:val="21"/>
                <w:szCs w:val="21"/>
              </w:rPr>
              <w:t>环节名称：决定 ；办理人：石常民；办理时限：</w:t>
            </w:r>
            <w:r>
              <w:rPr>
                <w:rFonts w:hint="eastAsia"/>
                <w:sz w:val="21"/>
                <w:szCs w:val="21"/>
                <w:lang w:val="en-US" w:eastAsia="zh-CN"/>
              </w:rPr>
              <w:t>0.5</w:t>
            </w:r>
            <w:r>
              <w:rPr>
                <w:rFonts w:hint="eastAsia"/>
                <w:sz w:val="21"/>
                <w:szCs w:val="21"/>
              </w:rPr>
              <w:t>个工作日；审查标准：在办理科室审查完成后，实施部门应在承诺时限内作出是否同意申请政务服务事项的决定；办理结果：申请符合规定的，准予审批通过；申请不符合规定的，不予审批通过；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 准</w:t>
            </w:r>
          </w:p>
        </w:tc>
        <w:tc>
          <w:tcPr>
            <w:tcW w:w="7840"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 道</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实施日期：2022年2月20日</w:t>
      </w:r>
    </w:p>
    <w:p>
      <w:pPr>
        <w:keepNext w:val="0"/>
        <w:keepLines w:val="0"/>
        <w:pageBreakBefore w:val="0"/>
        <w:widowControl w:val="0"/>
        <w:kinsoku/>
        <w:wordWrap/>
        <w:overflowPunct/>
        <w:topLinePunct w:val="0"/>
        <w:autoSpaceDE/>
        <w:autoSpaceDN/>
        <w:bidi w:val="0"/>
        <w:adjustRightInd/>
        <w:snapToGrid/>
        <w:spacing w:line="400" w:lineRule="exact"/>
        <w:ind w:left="5320" w:hanging="5320" w:hangingChars="1900"/>
        <w:jc w:val="center"/>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舒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24A4233"/>
    <w:rsid w:val="03764432"/>
    <w:rsid w:val="098201A5"/>
    <w:rsid w:val="113719A0"/>
    <w:rsid w:val="119E3A20"/>
    <w:rsid w:val="1B1940BD"/>
    <w:rsid w:val="1D355EB0"/>
    <w:rsid w:val="1D4F5573"/>
    <w:rsid w:val="2088041D"/>
    <w:rsid w:val="2869400C"/>
    <w:rsid w:val="291574BB"/>
    <w:rsid w:val="2C575B0B"/>
    <w:rsid w:val="3DEA427D"/>
    <w:rsid w:val="3F345010"/>
    <w:rsid w:val="49CC6710"/>
    <w:rsid w:val="4DD25B48"/>
    <w:rsid w:val="4FAD15C0"/>
    <w:rsid w:val="59DD77B5"/>
    <w:rsid w:val="5ACC1F22"/>
    <w:rsid w:val="5B10607B"/>
    <w:rsid w:val="5E4956D1"/>
    <w:rsid w:val="616A4187"/>
    <w:rsid w:val="6B5E6FA2"/>
    <w:rsid w:val="6D535020"/>
    <w:rsid w:val="6E5962B9"/>
    <w:rsid w:val="6F2A30EC"/>
    <w:rsid w:val="719F3F01"/>
    <w:rsid w:val="74544908"/>
    <w:rsid w:val="745E1AC7"/>
    <w:rsid w:val="789B4A89"/>
    <w:rsid w:val="7A335DC1"/>
    <w:rsid w:val="7ABE639B"/>
    <w:rsid w:val="7B213AE4"/>
    <w:rsid w:val="7DBB594B"/>
    <w:rsid w:val="7EAA5AD3"/>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2022-03-01T06:49:19Z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D639D7397CB3404089B73FE843805B9D</vt:lpwstr>
  </property>
</Properties>
</file>