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i w:val="0"/>
          <w:caps w:val="0"/>
          <w:color w:val="333333"/>
          <w:spacing w:val="0"/>
          <w:sz w:val="32"/>
          <w:szCs w:val="32"/>
        </w:rPr>
      </w:pPr>
      <w:r>
        <w:rPr>
          <w:rFonts w:hint="eastAsia" w:ascii="黑体" w:hAnsi="黑体" w:eastAsia="黑体" w:cs="黑体"/>
          <w:b/>
          <w:i w:val="0"/>
          <w:caps w:val="0"/>
          <w:color w:val="333333"/>
          <w:spacing w:val="0"/>
          <w:sz w:val="32"/>
          <w:szCs w:val="32"/>
        </w:rPr>
        <w:t>县级建设项目环境影响后评价报告的备案（辐射类）</w:t>
      </w:r>
    </w:p>
    <w:p>
      <w:pPr>
        <w:jc w:val="center"/>
        <w:rPr>
          <w:rFonts w:hint="eastAsia" w:ascii="黑体" w:hAnsi="黑体" w:eastAsia="黑体" w:cs="黑体"/>
          <w:b w:val="0"/>
          <w:bCs/>
          <w:color w:val="auto"/>
          <w:sz w:val="21"/>
          <w:szCs w:val="21"/>
          <w:shd w:val="clear" w:color="auto" w:fill="FFFFFF"/>
          <w:lang w:val="en-US" w:eastAsia="zh-CN"/>
        </w:rPr>
      </w:pPr>
      <w:bookmarkStart w:id="0" w:name="_GoBack"/>
      <w:bookmarkEnd w:id="0"/>
      <w:r>
        <w:rPr>
          <w:rFonts w:hint="eastAsia" w:ascii="黑体" w:hAnsi="黑体" w:eastAsia="黑体" w:cs="黑体"/>
          <w:b/>
          <w:bCs/>
          <w:kern w:val="0"/>
          <w:sz w:val="32"/>
          <w:szCs w:val="32"/>
          <w:lang w:val="en-US" w:eastAsia="zh-CN" w:bidi="ar"/>
        </w:rPr>
        <w:t>服务指南</w:t>
      </w:r>
      <w:r>
        <w:rPr>
          <w:rFonts w:hint="eastAsia" w:ascii="黑体" w:hAnsi="黑体" w:eastAsia="黑体" w:cs="黑体"/>
          <w:b w:val="0"/>
          <w:bCs/>
          <w:color w:val="auto"/>
          <w:sz w:val="21"/>
          <w:szCs w:val="21"/>
          <w:shd w:val="clear" w:color="auto" w:fill="FFFFFF"/>
          <w:lang w:val="en-US" w:eastAsia="zh-CN"/>
        </w:rPr>
        <w:t xml:space="preserve">                                                </w:t>
      </w:r>
    </w:p>
    <w:p>
      <w:pPr>
        <w:jc w:val="center"/>
        <w:rPr>
          <w:rFonts w:hint="eastAsia" w:ascii="黑体" w:hAnsi="黑体" w:eastAsia="黑体" w:cs="黑体"/>
        </w:rPr>
      </w:pPr>
      <w:r>
        <w:rPr>
          <w:rFonts w:hint="eastAsia" w:ascii="黑体" w:hAnsi="黑体" w:eastAsia="黑体" w:cs="黑体"/>
          <w:b w:val="0"/>
          <w:bCs/>
          <w:color w:val="auto"/>
          <w:sz w:val="21"/>
          <w:szCs w:val="21"/>
          <w:shd w:val="clear" w:color="auto" w:fill="FFFFFF"/>
          <w:lang w:val="en-US" w:eastAsia="zh-CN"/>
        </w:rPr>
        <w:t xml:space="preserve">                                                   </w:t>
      </w:r>
      <w:r>
        <w:rPr>
          <w:rFonts w:hint="eastAsia" w:ascii="黑体" w:hAnsi="黑体" w:eastAsia="黑体" w:cs="黑体"/>
          <w:b w:val="0"/>
          <w:bCs/>
          <w:color w:val="auto"/>
          <w:sz w:val="21"/>
          <w:szCs w:val="21"/>
          <w:shd w:val="clear" w:color="auto" w:fill="FFFFFF"/>
          <w:lang w:eastAsia="zh-CN"/>
        </w:rPr>
        <w:t>事项编码</w:t>
      </w:r>
      <w:r>
        <w:rPr>
          <w:rFonts w:hint="eastAsia" w:ascii="黑体" w:hAnsi="黑体" w:eastAsia="黑体" w:cs="黑体"/>
          <w:b w:val="0"/>
          <w:bCs/>
          <w:color w:val="auto"/>
          <w:sz w:val="21"/>
          <w:szCs w:val="21"/>
          <w:shd w:val="clear" w:color="auto" w:fill="FFFFFF"/>
          <w:lang w:val="en-US" w:eastAsia="zh-CN"/>
        </w:rPr>
        <w:t xml:space="preserve"> </w:t>
      </w:r>
      <w:r>
        <w:rPr>
          <w:rFonts w:hint="eastAsia" w:ascii="黑体" w:hAnsi="黑体" w:eastAsia="黑体" w:cs="黑体"/>
          <w:i w:val="0"/>
          <w:caps w:val="0"/>
          <w:color w:val="000000"/>
          <w:spacing w:val="0"/>
          <w:sz w:val="21"/>
          <w:szCs w:val="21"/>
        </w:rPr>
        <w:t>729615800QT5Q96N001</w:t>
      </w:r>
    </w:p>
    <w:tbl>
      <w:tblPr>
        <w:tblStyle w:val="5"/>
        <w:tblpPr w:leftFromText="180" w:rightFromText="180" w:vertAnchor="text" w:horzAnchor="page" w:tblpX="1822" w:tblpY="119"/>
        <w:tblOverlap w:val="never"/>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3825"/>
        <w:gridCol w:w="1191"/>
        <w:gridCol w:w="2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适用范围</w:t>
            </w:r>
          </w:p>
        </w:tc>
        <w:tc>
          <w:tcPr>
            <w:tcW w:w="3825" w:type="dxa"/>
            <w:vAlign w:val="center"/>
          </w:tcPr>
          <w:p>
            <w:pPr>
              <w:pStyle w:val="2"/>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lang w:val="en-US" w:eastAsia="zh-CN"/>
              </w:rPr>
              <w:t>个人</w:t>
            </w:r>
            <w:r>
              <w:rPr>
                <w:rFonts w:hint="eastAsia"/>
              </w:rPr>
              <w:t>、法人</w:t>
            </w:r>
          </w:p>
        </w:tc>
        <w:tc>
          <w:tcPr>
            <w:tcW w:w="1191"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事项类型</w:t>
            </w:r>
          </w:p>
        </w:tc>
        <w:tc>
          <w:tcPr>
            <w:tcW w:w="2824"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eastAsia="黑体"/>
                <w:spacing w:val="-2"/>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rPr>
              <w:t>受理机构</w:t>
            </w:r>
          </w:p>
        </w:tc>
        <w:tc>
          <w:tcPr>
            <w:tcW w:w="3825"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lang w:val="en-US" w:eastAsia="zh-CN"/>
              </w:rPr>
            </w:pPr>
            <w:r>
              <w:rPr>
                <w:rFonts w:hint="eastAsia" w:asciiTheme="minorHAnsi" w:hAnsiTheme="minorHAnsi" w:eastAsiaTheme="minorEastAsia" w:cstheme="minorBidi"/>
                <w:kern w:val="2"/>
                <w:sz w:val="21"/>
                <w:szCs w:val="21"/>
                <w:lang w:val="en-US" w:eastAsia="zh-CN" w:bidi="ar-SA"/>
              </w:rPr>
              <w:t>桐柏县行政审批服务中心</w:t>
            </w:r>
          </w:p>
        </w:tc>
        <w:tc>
          <w:tcPr>
            <w:tcW w:w="1191"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hAnsiTheme="minorHAnsi" w:cstheme="minorBidi"/>
                <w:kern w:val="2"/>
                <w:sz w:val="21"/>
                <w:szCs w:val="24"/>
                <w:lang w:val="en-US" w:eastAsia="zh-CN" w:bidi="ar-SA"/>
              </w:rPr>
              <w:t>决定机构</w:t>
            </w:r>
          </w:p>
        </w:tc>
        <w:tc>
          <w:tcPr>
            <w:tcW w:w="2824" w:type="dxa"/>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eastAsia="黑体"/>
                <w:spacing w:val="-2"/>
                <w:lang w:val="en-US" w:eastAsia="zh-CN"/>
              </w:rPr>
            </w:pPr>
            <w:r>
              <w:rPr>
                <w:rFonts w:hint="eastAsia" w:asciiTheme="minorHAnsi" w:hAnsiTheme="minorHAnsi" w:eastAsiaTheme="minorEastAsia" w:cstheme="minorBidi"/>
                <w:kern w:val="2"/>
                <w:sz w:val="21"/>
                <w:szCs w:val="21"/>
                <w:lang w:val="en-US" w:eastAsia="zh-CN" w:bidi="ar-SA"/>
              </w:rPr>
              <w:t>南阳市生态环境局桐柏分局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rPr>
            </w:pPr>
            <w:r>
              <w:rPr>
                <w:rFonts w:hint="eastAsia" w:ascii="黑体" w:hAnsi="黑体" w:eastAsia="黑体" w:cs="黑体"/>
                <w:kern w:val="0"/>
                <w:sz w:val="21"/>
                <w:szCs w:val="21"/>
                <w:vertAlign w:val="baseline"/>
                <w:lang w:val="en-US" w:eastAsia="zh-CN" w:bidi="ar"/>
              </w:rPr>
              <w:t>办理时限</w:t>
            </w:r>
          </w:p>
        </w:tc>
        <w:tc>
          <w:tcPr>
            <w:tcW w:w="3825" w:type="dxa"/>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法定时限：20</w:t>
            </w:r>
            <w:r>
              <w:rPr>
                <w:rFonts w:hint="eastAsia"/>
              </w:rPr>
              <w:t>个工作日</w:t>
            </w:r>
          </w:p>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承诺时限：1个工作日</w:t>
            </w:r>
            <w:r>
              <w:rPr>
                <w:rFonts w:hint="eastAsia" w:cstheme="minorBidi"/>
                <w:b w:val="0"/>
                <w:bCs w:val="0"/>
                <w:kern w:val="2"/>
                <w:sz w:val="18"/>
                <w:szCs w:val="18"/>
                <w:lang w:val="en-US" w:eastAsia="zh-CN" w:bidi="ar-SA"/>
              </w:rPr>
              <w:t>（</w:t>
            </w:r>
            <w:r>
              <w:rPr>
                <w:rFonts w:ascii="PingFang SC" w:hAnsi="PingFang SC" w:eastAsia="PingFang SC" w:cs="PingFang SC"/>
                <w:i w:val="0"/>
                <w:caps w:val="0"/>
                <w:color w:val="606266"/>
                <w:spacing w:val="0"/>
                <w:sz w:val="21"/>
                <w:szCs w:val="21"/>
                <w:shd w:val="clear" w:fill="FFFFFF"/>
              </w:rPr>
              <w:t>承诺时间不包含听证、招标、拍卖、检验、检测、检疫、鉴定和专家评审、现场勘查、补件、上报（转报）等步骤所需要的时间。</w:t>
            </w:r>
            <w:r>
              <w:rPr>
                <w:rFonts w:hint="eastAsia" w:cstheme="minorBidi"/>
                <w:b w:val="0"/>
                <w:bCs w:val="0"/>
                <w:kern w:val="2"/>
                <w:sz w:val="18"/>
                <w:szCs w:val="18"/>
                <w:lang w:val="en-US" w:eastAsia="zh-CN" w:bidi="ar-SA"/>
              </w:rPr>
              <w:t>）</w:t>
            </w:r>
          </w:p>
        </w:tc>
        <w:tc>
          <w:tcPr>
            <w:tcW w:w="1191"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2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cstheme="minorBidi"/>
                <w:kern w:val="2"/>
                <w:sz w:val="21"/>
                <w:szCs w:val="24"/>
                <w:lang w:val="en-US" w:eastAsia="zh-CN" w:bidi="ar-SA"/>
              </w:rPr>
              <w:t>咨询方式</w:t>
            </w:r>
          </w:p>
        </w:tc>
        <w:tc>
          <w:tcPr>
            <w:tcW w:w="2824" w:type="dxa"/>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outlineLvl w:val="9"/>
              <w:rPr>
                <w:rFonts w:hint="eastAsia" w:asciiTheme="minorHAnsi" w:hAnsiTheme="minorHAnsi" w:eastAsiaTheme="minorEastAsia" w:cstheme="minorBidi"/>
                <w:kern w:val="2"/>
                <w:sz w:val="21"/>
                <w:szCs w:val="21"/>
                <w:lang w:val="en-US" w:eastAsia="zh-CN" w:bidi="ar-SA"/>
              </w:rPr>
            </w:pPr>
            <w:r>
              <w:rPr>
                <w:rFonts w:hint="eastAsia"/>
                <w:lang w:val="en-US" w:eastAsia="zh-CN"/>
              </w:rPr>
              <w:t>现场咨询</w:t>
            </w:r>
          </w:p>
          <w:p>
            <w:pPr>
              <w:pStyle w:val="2"/>
              <w:keepNext w:val="0"/>
              <w:keepLines w:val="0"/>
              <w:pageBreakBefore w:val="0"/>
              <w:kinsoku/>
              <w:wordWrap/>
              <w:overflowPunct/>
              <w:topLinePunct w:val="0"/>
              <w:autoSpaceDE/>
              <w:autoSpaceDN/>
              <w:bidi w:val="0"/>
              <w:adjustRightInd/>
              <w:snapToGrid/>
              <w:spacing w:before="7" w:beforeAutospacing="0" w:afterAutospacing="0" w:line="320" w:lineRule="exact"/>
              <w:jc w:val="center"/>
              <w:textAlignment w:val="auto"/>
              <w:outlineLvl w:val="9"/>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电话咨询：0377-68119655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hAnsiTheme="minorHAnsi" w:cstheme="minorBidi"/>
                <w:kern w:val="2"/>
                <w:sz w:val="21"/>
                <w:szCs w:val="24"/>
                <w:lang w:val="en-US" w:eastAsia="zh-CN" w:bidi="ar-SA"/>
              </w:rPr>
              <w:t>受理</w:t>
            </w:r>
            <w:r>
              <w:rPr>
                <w:rFonts w:hint="eastAsia" w:ascii="黑体" w:eastAsia="黑体" w:cstheme="minorBidi"/>
                <w:kern w:val="2"/>
                <w:sz w:val="21"/>
                <w:szCs w:val="24"/>
                <w:lang w:val="en-US" w:eastAsia="zh-CN" w:bidi="ar-SA"/>
              </w:rPr>
              <w:t>方式</w:t>
            </w:r>
          </w:p>
        </w:tc>
        <w:tc>
          <w:tcPr>
            <w:tcW w:w="3825" w:type="dxa"/>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窗口受理、网上申报</w:t>
            </w:r>
          </w:p>
        </w:tc>
        <w:tc>
          <w:tcPr>
            <w:tcW w:w="1191"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20" w:lineRule="exact"/>
              <w:jc w:val="center"/>
              <w:textAlignment w:val="auto"/>
              <w:outlineLvl w:val="9"/>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结果送达</w:t>
            </w:r>
          </w:p>
        </w:tc>
        <w:tc>
          <w:tcPr>
            <w:tcW w:w="2824" w:type="dxa"/>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2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hAnsi="黑体" w:eastAsia="黑体" w:cs="黑体"/>
                <w:kern w:val="0"/>
                <w:sz w:val="21"/>
                <w:szCs w:val="21"/>
                <w:vertAlign w:val="baseline"/>
                <w:lang w:val="en-US" w:eastAsia="zh-CN" w:bidi="ar"/>
              </w:rPr>
              <w:t>设立依据</w:t>
            </w:r>
          </w:p>
        </w:tc>
        <w:tc>
          <w:tcPr>
            <w:tcW w:w="7840" w:type="dxa"/>
            <w:gridSpan w:val="3"/>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vertAlign w:val="baseline"/>
                <w:lang w:val="en-US" w:eastAsia="zh-CN" w:bidi="ar"/>
              </w:rPr>
            </w:pPr>
            <w:r>
              <w:rPr>
                <w:rFonts w:hint="eastAsia" w:ascii="宋体" w:hAnsi="宋体" w:eastAsia="宋体" w:cs="宋体"/>
                <w:i w:val="0"/>
                <w:caps w:val="0"/>
                <w:color w:val="4A4A4A"/>
                <w:spacing w:val="0"/>
                <w:sz w:val="21"/>
                <w:szCs w:val="21"/>
              </w:rPr>
              <w:t>一、《中华人民共和国环境影响评价法》（2016年7月2日主席令第七十七号，2016年7月2日主席令第四十八号修改，2018年12月29日主席令第二十四号修改）</w:t>
            </w:r>
            <w:r>
              <w:rPr>
                <w:rFonts w:hint="eastAsia" w:ascii="宋体" w:hAnsi="宋体" w:eastAsia="宋体" w:cs="宋体"/>
                <w:i w:val="0"/>
                <w:caps w:val="0"/>
                <w:color w:val="4A4A4A"/>
                <w:spacing w:val="0"/>
                <w:sz w:val="21"/>
                <w:szCs w:val="21"/>
              </w:rPr>
              <w:br w:type="textWrapping"/>
            </w:r>
            <w:r>
              <w:rPr>
                <w:rFonts w:hint="eastAsia" w:ascii="宋体" w:hAnsi="宋体" w:eastAsia="宋体" w:cs="宋体"/>
                <w:i w:val="0"/>
                <w:caps w:val="0"/>
                <w:color w:val="4A4A4A"/>
                <w:spacing w:val="0"/>
                <w:sz w:val="21"/>
                <w:szCs w:val="21"/>
              </w:rPr>
              <w:t>第二十七条：“在项目建设、运行过程中产生不符合经审批的环境影响评价文件的情形的，建设单位应当组织环境影响的后评价，采取改进措施，并报原环境影响评价文件审批部门和建设项目审批部门备案；原环境影响评价文件审批部门也可以责成建设单位进行环境影响的后评价，采取改进措施。”</w:t>
            </w:r>
            <w:r>
              <w:rPr>
                <w:rFonts w:hint="eastAsia" w:ascii="宋体" w:hAnsi="宋体" w:eastAsia="宋体" w:cs="宋体"/>
                <w:i w:val="0"/>
                <w:caps w:val="0"/>
                <w:color w:val="4A4A4A"/>
                <w:spacing w:val="0"/>
                <w:sz w:val="21"/>
                <w:szCs w:val="21"/>
              </w:rPr>
              <w:br w:type="textWrapping"/>
            </w:r>
            <w:r>
              <w:rPr>
                <w:rFonts w:hint="eastAsia" w:ascii="宋体" w:hAnsi="宋体" w:eastAsia="宋体" w:cs="宋体"/>
                <w:i w:val="0"/>
                <w:caps w:val="0"/>
                <w:color w:val="4A4A4A"/>
                <w:spacing w:val="0"/>
                <w:sz w:val="21"/>
                <w:szCs w:val="21"/>
              </w:rPr>
              <w:t>二、《建设项目环境影响后评价管理办法（试行）》（于2015年4月2日由环境保护部部务会议审议通过，现予公布，自2016年1月1日起施行，环境保护部令第37号）</w:t>
            </w:r>
            <w:r>
              <w:rPr>
                <w:rFonts w:hint="eastAsia" w:ascii="宋体" w:hAnsi="宋体" w:eastAsia="宋体" w:cs="宋体"/>
                <w:i w:val="0"/>
                <w:caps w:val="0"/>
                <w:color w:val="4A4A4A"/>
                <w:spacing w:val="0"/>
                <w:sz w:val="21"/>
                <w:szCs w:val="21"/>
              </w:rPr>
              <w:br w:type="textWrapping"/>
            </w:r>
            <w:r>
              <w:rPr>
                <w:rFonts w:hint="eastAsia" w:ascii="宋体" w:hAnsi="宋体" w:eastAsia="宋体" w:cs="宋体"/>
                <w:i w:val="0"/>
                <w:caps w:val="0"/>
                <w:color w:val="4A4A4A"/>
                <w:spacing w:val="0"/>
                <w:sz w:val="21"/>
                <w:szCs w:val="21"/>
              </w:rPr>
              <w:t>第三条：“下列建设项目运行过程中产生不符合经审批的环境影响报告书情形的，应当开展环境影响后评价：</w:t>
            </w:r>
            <w:r>
              <w:rPr>
                <w:rFonts w:hint="eastAsia" w:ascii="宋体" w:hAnsi="宋体" w:eastAsia="宋体" w:cs="宋体"/>
                <w:i w:val="0"/>
                <w:caps w:val="0"/>
                <w:color w:val="4A4A4A"/>
                <w:spacing w:val="0"/>
                <w:sz w:val="21"/>
                <w:szCs w:val="21"/>
              </w:rPr>
              <w:br w:type="textWrapping"/>
            </w:r>
            <w:r>
              <w:rPr>
                <w:rFonts w:hint="eastAsia" w:ascii="宋体" w:hAnsi="宋体" w:eastAsia="宋体" w:cs="宋体"/>
                <w:i w:val="0"/>
                <w:caps w:val="0"/>
                <w:color w:val="4A4A4A"/>
                <w:spacing w:val="0"/>
                <w:sz w:val="21"/>
                <w:szCs w:val="21"/>
              </w:rPr>
              <w:t>（一）水利、水电、采掘、港口、铁路行业中实际环境影响程度和范围较大，且主要环境影响在项目建成运行一定时期后逐步显现的建设项目，以及其他行业中穿越重要生态环境敏感区的建设项目；（二）冶金、石化和化工行业中有重大环境风险，建设地点敏感，且持续排放重金属或者持久性有机污染物的建设项目；</w:t>
            </w:r>
            <w:r>
              <w:rPr>
                <w:rFonts w:hint="eastAsia" w:ascii="宋体" w:hAnsi="宋体" w:eastAsia="宋体" w:cs="宋体"/>
                <w:i w:val="0"/>
                <w:caps w:val="0"/>
                <w:color w:val="4A4A4A"/>
                <w:spacing w:val="0"/>
                <w:sz w:val="21"/>
                <w:szCs w:val="21"/>
              </w:rPr>
              <w:br w:type="textWrapping"/>
            </w:r>
            <w:r>
              <w:rPr>
                <w:rFonts w:hint="eastAsia" w:ascii="宋体" w:hAnsi="宋体" w:eastAsia="宋体" w:cs="宋体"/>
                <w:i w:val="0"/>
                <w:caps w:val="0"/>
                <w:color w:val="4A4A4A"/>
                <w:spacing w:val="0"/>
                <w:sz w:val="21"/>
                <w:szCs w:val="21"/>
              </w:rPr>
              <w:t>（三）审批环境影响报告书的环境保护主管部门认为应当开展环境影响后评价的其他建设项目。”第五条：“建设项目环境影响后评价的管理，由审批该建设项目环境影响报告书的环境保护主管部门负责。”</w:t>
            </w:r>
            <w:r>
              <w:rPr>
                <w:rFonts w:hint="eastAsia" w:ascii="宋体" w:hAnsi="宋体" w:eastAsia="宋体" w:cs="宋体"/>
                <w:i w:val="0"/>
                <w:caps w:val="0"/>
                <w:color w:val="4A4A4A"/>
                <w:spacing w:val="0"/>
                <w:sz w:val="21"/>
                <w:szCs w:val="21"/>
              </w:rPr>
              <w:br w:type="textWrapping"/>
            </w:r>
            <w:r>
              <w:rPr>
                <w:rFonts w:hint="eastAsia" w:ascii="宋体" w:hAnsi="宋体" w:eastAsia="宋体" w:cs="宋体"/>
                <w:i w:val="0"/>
                <w:caps w:val="0"/>
                <w:color w:val="4A4A4A"/>
                <w:spacing w:val="0"/>
                <w:sz w:val="21"/>
                <w:szCs w:val="21"/>
              </w:rPr>
              <w:t>第六条：“第三款 建设单位或者生产经营单位应当将环境影响后评价文件报原审批环境影响报告书的环境保护主管部门备案，并接受环境保护主管部门的监督检查。”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280" w:type="dxa"/>
            <w:vAlign w:val="center"/>
          </w:tcPr>
          <w:p>
            <w:pPr>
              <w:pStyle w:val="2"/>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eastAsia="黑体" w:cstheme="minorBidi"/>
                <w:kern w:val="2"/>
                <w:sz w:val="21"/>
                <w:szCs w:val="24"/>
                <w:lang w:val="en-US" w:eastAsia="zh-CN" w:bidi="ar-SA"/>
              </w:rPr>
              <w:t>申请</w:t>
            </w:r>
            <w:r>
              <w:rPr>
                <w:rFonts w:hint="eastAsia" w:ascii="黑体" w:eastAsia="黑体" w:hAnsiTheme="minorHAnsi" w:cstheme="minorBidi"/>
                <w:kern w:val="2"/>
                <w:sz w:val="21"/>
                <w:szCs w:val="24"/>
                <w:lang w:val="en-US" w:eastAsia="zh-CN" w:bidi="ar-SA"/>
              </w:rPr>
              <w:t>条件</w:t>
            </w:r>
          </w:p>
        </w:tc>
        <w:tc>
          <w:tcPr>
            <w:tcW w:w="7840"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left"/>
              <w:textAlignment w:val="auto"/>
              <w:outlineLvl w:val="9"/>
              <w:rPr>
                <w:rFonts w:hint="eastAsia" w:ascii="宋体" w:hAnsi="宋体" w:eastAsia="宋体" w:cs="宋体"/>
                <w:kern w:val="0"/>
                <w:sz w:val="21"/>
                <w:szCs w:val="21"/>
                <w:vertAlign w:val="baseline"/>
                <w:lang w:val="en-US" w:eastAsia="zh-CN" w:bidi="ar"/>
              </w:rPr>
            </w:pPr>
            <w:r>
              <w:rPr>
                <w:rFonts w:hint="eastAsia" w:ascii="宋体" w:hAnsi="宋体" w:eastAsia="宋体" w:cs="宋体"/>
                <w:i w:val="0"/>
                <w:caps w:val="0"/>
                <w:color w:val="4A4A4A"/>
                <w:spacing w:val="0"/>
                <w:sz w:val="21"/>
                <w:szCs w:val="21"/>
              </w:rPr>
              <w:t>由省生态环境厅审批，按照《建设项目环境影响后评价管理办法（试行）》应该开展后评价的建设项目或者由省生态环境厅责令开展环境影响后评价的建设项目。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宋体" w:hAnsi="宋体" w:eastAsia="宋体" w:cs="宋体"/>
                <w:kern w:val="0"/>
                <w:sz w:val="21"/>
                <w:szCs w:val="21"/>
                <w:vertAlign w:val="baseline"/>
                <w:lang w:val="en-US" w:eastAsia="zh-CN" w:bidi="ar"/>
              </w:rPr>
            </w:pPr>
            <w:r>
              <w:rPr>
                <w:rFonts w:hint="eastAsia" w:ascii="黑体" w:hAnsi="黑体" w:eastAsia="黑体" w:cs="黑体"/>
                <w:kern w:val="2"/>
                <w:sz w:val="21"/>
                <w:szCs w:val="21"/>
                <w:lang w:val="en-US" w:eastAsia="zh-CN" w:bidi="ar-SA"/>
              </w:rPr>
              <w:t>申请材料</w:t>
            </w:r>
          </w:p>
        </w:tc>
        <w:tc>
          <w:tcPr>
            <w:tcW w:w="7840" w:type="dxa"/>
            <w:gridSpan w:val="3"/>
            <w:vAlign w:val="center"/>
          </w:tcPr>
          <w:p>
            <w:pPr>
              <w:keepNext w:val="0"/>
              <w:keepLines w:val="0"/>
              <w:pageBreakBefore w:val="0"/>
              <w:numPr>
                <w:ilvl w:val="0"/>
                <w:numId w:val="1"/>
              </w:numPr>
              <w:kinsoku/>
              <w:wordWrap/>
              <w:overflowPunct/>
              <w:topLinePunct w:val="0"/>
              <w:autoSpaceDE/>
              <w:autoSpaceDN/>
              <w:bidi w:val="0"/>
              <w:adjustRightInd/>
              <w:snapToGrid/>
              <w:spacing w:beforeAutospacing="0" w:afterAutospacing="0" w:line="320" w:lineRule="exact"/>
              <w:jc w:val="left"/>
              <w:textAlignment w:val="auto"/>
              <w:outlineLvl w:val="9"/>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建设项目环境影响后评价备案申请</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320" w:lineRule="exact"/>
              <w:jc w:val="left"/>
              <w:textAlignment w:val="auto"/>
              <w:outlineLvl w:val="9"/>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rPr>
              <w:t>环境影响评价后评价报告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hAnsi="黑体" w:eastAsia="黑体" w:cs="黑体"/>
                <w:kern w:val="0"/>
                <w:sz w:val="21"/>
                <w:szCs w:val="21"/>
                <w:vertAlign w:val="baseline"/>
                <w:lang w:val="en-US" w:eastAsia="zh-CN" w:bidi="ar"/>
              </w:rPr>
              <w:t>办理流程</w:t>
            </w:r>
          </w:p>
        </w:tc>
        <w:tc>
          <w:tcPr>
            <w:tcW w:w="7840" w:type="dxa"/>
            <w:gridSpan w:val="3"/>
            <w:vAlign w:val="center"/>
          </w:tcPr>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环节名称：受理 ；办理人：陈雍军；办理时限：即时办理；审查标准：对申请材料进行初 步审核。经审核，申请材料齐全、符合法定形式的，应当决定予以受理；办理结果：能当 场受理或通过当场补正达到受理条件的，直接进入受理步骤；初步审核后材料不符合要求 的不予以受理；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环节名称：审核 ；办理人：杨红生；办理时限：即时办理；审查标准：在受理申报材料后， 由办理科室对内容进行审查；办理结果：提出初步意见，转入决定步骤； </w:t>
            </w:r>
          </w:p>
          <w:p>
            <w:pPr>
              <w:keepNext w:val="0"/>
              <w:keepLines w:val="0"/>
              <w:widowControl/>
              <w:suppressLineNumbers w:val="0"/>
              <w:jc w:val="left"/>
              <w:rPr>
                <w:rFonts w:hint="eastAsia" w:ascii="宋体" w:hAnsi="宋体" w:eastAsia="宋体" w:cs="宋体"/>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环节名称：决定 ；办理人：李海景；办理时限：1 个工作日；审查标准：在办理科室审查完成后，实施部门应在承诺时限内作出是否同意申请政务服务事项的决定；办理结果：申请符合规定的，准予审批通过；申请不符合规定的，不予审批通过；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lang w:val="en-US" w:eastAsia="zh-CN"/>
              </w:rPr>
              <w:t>收费依据及标 准</w:t>
            </w:r>
          </w:p>
        </w:tc>
        <w:tc>
          <w:tcPr>
            <w:tcW w:w="7840" w:type="dxa"/>
            <w:gridSpan w:val="3"/>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ascii="宋体" w:hAnsi="宋体" w:eastAsia="宋体" w:cs="宋体"/>
                <w:kern w:val="0"/>
                <w:sz w:val="21"/>
                <w:szCs w:val="21"/>
                <w:lang w:val="en-US" w:eastAsia="zh-CN" w:bidi="ar"/>
              </w:rPr>
            </w:pPr>
            <w:r>
              <w:rPr>
                <w:rFonts w:hint="eastAsia" w:cstheme="minorBidi"/>
                <w:kern w:val="2"/>
                <w:sz w:val="21"/>
                <w:szCs w:val="21"/>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监督投诉</w:t>
            </w:r>
          </w:p>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cstheme="minorBidi"/>
                <w:kern w:val="2"/>
                <w:sz w:val="21"/>
                <w:szCs w:val="24"/>
                <w:lang w:val="en-US" w:eastAsia="zh-CN" w:bidi="ar-SA"/>
              </w:rPr>
              <w:t>渠 道</w:t>
            </w:r>
          </w:p>
        </w:tc>
        <w:tc>
          <w:tcPr>
            <w:tcW w:w="7840"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宋体" w:hAnsi="宋体" w:eastAsia="宋体" w:cs="宋体"/>
                <w:kern w:val="0"/>
                <w:sz w:val="21"/>
                <w:szCs w:val="21"/>
                <w:lang w:val="en-US" w:eastAsia="zh-CN" w:bidi="ar"/>
              </w:rPr>
            </w:pPr>
            <w:r>
              <w:rPr>
                <w:rFonts w:hint="eastAsia" w:ascii="黑体" w:eastAsia="黑体" w:cstheme="minorBidi"/>
                <w:kern w:val="2"/>
                <w:sz w:val="21"/>
                <w:szCs w:val="24"/>
                <w:lang w:val="en-US" w:eastAsia="zh-CN" w:bidi="ar-SA"/>
              </w:rPr>
              <w:t>中心督查股：0377-83973066、热线电话：12345</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color w:val="FF0000"/>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黑体" w:hAnsi="黑体" w:eastAsia="黑体" w:cs="黑体"/>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bidi="ar"/>
        </w:rPr>
        <w:t>发布日期：2022年2月20日         实施日期：2022年2月25日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pPr>
      <w:r>
        <w:rPr>
          <w:rFonts w:hint="eastAsia" w:ascii="黑体" w:hAnsi="黑体" w:eastAsia="黑体" w:cs="黑体"/>
          <w:kern w:val="0"/>
          <w:sz w:val="28"/>
          <w:szCs w:val="28"/>
          <w:lang w:val="en-US" w:eastAsia="zh-CN"/>
        </w:rPr>
        <w:t>南阳市生态环境局</w:t>
      </w:r>
      <w:r>
        <w:rPr>
          <w:rFonts w:hint="eastAsia" w:ascii="黑体" w:hAnsi="黑体" w:eastAsia="黑体" w:cs="黑体"/>
          <w:kern w:val="0"/>
          <w:sz w:val="28"/>
          <w:szCs w:val="28"/>
        </w:rPr>
        <w:t>桐柏</w:t>
      </w:r>
      <w:r>
        <w:rPr>
          <w:rFonts w:hint="eastAsia" w:ascii="黑体" w:hAnsi="黑体" w:eastAsia="黑体" w:cs="黑体"/>
          <w:kern w:val="0"/>
          <w:sz w:val="28"/>
          <w:szCs w:val="28"/>
          <w:lang w:val="en-US" w:eastAsia="zh-CN"/>
        </w:rPr>
        <w:t>分</w:t>
      </w:r>
      <w:r>
        <w:rPr>
          <w:rFonts w:hint="eastAsia" w:ascii="黑体" w:hAnsi="黑体" w:eastAsia="黑体" w:cs="黑体"/>
          <w:kern w:val="0"/>
          <w:sz w:val="28"/>
          <w:szCs w:val="28"/>
          <w:lang w:eastAsia="zh-CN"/>
        </w:rPr>
        <w:t>局</w:t>
      </w:r>
      <w:r>
        <w:rPr>
          <w:rFonts w:hint="eastAsia" w:ascii="黑体" w:hAnsi="黑体" w:eastAsia="黑体" w:cs="黑体"/>
          <w:kern w:val="0"/>
          <w:sz w:val="28"/>
          <w:szCs w:val="28"/>
        </w:rPr>
        <w:t>发布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C8DB7D"/>
    <w:multiLevelType w:val="singleLevel"/>
    <w:tmpl w:val="0AC8DB7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394A2F"/>
    <w:rsid w:val="08394A2F"/>
    <w:rsid w:val="1CDF6A0D"/>
    <w:rsid w:val="1DAE29EB"/>
    <w:rsid w:val="1DEF71B1"/>
    <w:rsid w:val="224A3653"/>
    <w:rsid w:val="2A3D1DE6"/>
    <w:rsid w:val="2B7A22E2"/>
    <w:rsid w:val="33A76600"/>
    <w:rsid w:val="3BB12096"/>
    <w:rsid w:val="3BC02902"/>
    <w:rsid w:val="477D438F"/>
    <w:rsid w:val="56C91F8A"/>
    <w:rsid w:val="59367D54"/>
    <w:rsid w:val="5C9A0FE8"/>
    <w:rsid w:val="62E02800"/>
    <w:rsid w:val="64837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sz w:val="21"/>
      <w:szCs w:val="21"/>
    </w:rPr>
  </w:style>
  <w:style w:type="paragraph" w:styleId="3">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2022-03-01T02:29:00Z</dcterms:created>
  <dc:creator>香水西施</dc:creator>
  <cp:lastModifiedBy>煜</cp:lastModifiedBy>
  <dcterms:modified xsi:type="dcterms:W3CDTF">2022-03-01T10:53:28Z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36FFD5DF3F5B4E648FC0C39251DA20C4</vt:lpwstr>
  </property>
</Properties>
</file>