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《危险废物经营许可证》经营场所负责人信息变更</w:t>
      </w:r>
    </w:p>
    <w:p>
      <w:pPr>
        <w:jc w:val="center"/>
        <w:rPr>
          <w:rFonts w:hint="eastAsia" w:ascii="黑体" w:hAnsi="黑体" w:eastAsia="黑体" w:cs="黑体"/>
          <w:i w:val="0"/>
          <w:caps w:val="0"/>
          <w:color w:val="000000"/>
          <w:spacing w:val="0"/>
          <w:sz w:val="32"/>
          <w:szCs w:val="32"/>
        </w:rPr>
      </w:pPr>
      <w:r>
        <w:rPr>
          <w:rFonts w:hint="eastAsia" w:ascii="黑体" w:hAnsi="黑体" w:eastAsia="黑体" w:cs="黑体"/>
          <w:kern w:val="0"/>
          <w:sz w:val="32"/>
          <w:szCs w:val="32"/>
        </w:rPr>
        <w:t>服务指南</w:t>
      </w:r>
    </w:p>
    <w:p>
      <w:pPr>
        <w:pStyle w:val="2"/>
        <w:ind w:left="557"/>
        <w:jc w:val="right"/>
        <w:rPr>
          <w:rFonts w:hint="eastAsia" w:ascii="黑体" w:hAnsi="黑体" w:eastAsia="黑体" w:cs="黑体"/>
          <w:sz w:val="28"/>
          <w:szCs w:val="28"/>
        </w:rPr>
      </w:pPr>
      <w:r>
        <w:rPr>
          <w:rFonts w:hint="eastAsia" w:ascii="黑体" w:hAnsi="黑体" w:eastAsia="黑体" w:cs="黑体"/>
          <w:sz w:val="21"/>
          <w:szCs w:val="21"/>
          <w:lang w:val="en-US" w:eastAsia="zh-CN"/>
        </w:rPr>
        <w:t>事项编码</w:t>
      </w:r>
      <w:r>
        <w:rPr>
          <w:rFonts w:hint="eastAsia" w:ascii="黑体" w:hAnsi="黑体" w:eastAsia="黑体" w:cs="黑体"/>
          <w:sz w:val="21"/>
          <w:szCs w:val="21"/>
        </w:rPr>
        <w:t>729615</w:t>
      </w:r>
      <w:bookmarkStart w:id="0" w:name="_GoBack"/>
      <w:bookmarkEnd w:id="0"/>
      <w:r>
        <w:rPr>
          <w:rFonts w:hint="eastAsia" w:ascii="黑体" w:hAnsi="黑体" w:eastAsia="黑体" w:cs="黑体"/>
          <w:sz w:val="21"/>
          <w:szCs w:val="21"/>
        </w:rPr>
        <w:t>800XK8109500a</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gridCol w:w="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694"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适用范围</w:t>
            </w:r>
          </w:p>
        </w:tc>
        <w:tc>
          <w:tcPr>
            <w:tcW w:w="2857" w:type="dxa"/>
            <w:vAlign w:val="center"/>
          </w:tcPr>
          <w:p>
            <w:pPr>
              <w:pStyle w:val="2"/>
              <w:ind w:left="557"/>
              <w:jc w:val="center"/>
              <w:rPr>
                <w:rFonts w:hint="eastAsia" w:ascii="宋体" w:hAnsi="宋体" w:eastAsia="宋体" w:cs="宋体"/>
                <w:kern w:val="0"/>
                <w:sz w:val="24"/>
                <w:szCs w:val="24"/>
              </w:rPr>
            </w:pPr>
            <w:r>
              <w:rPr>
                <w:rFonts w:hint="eastAsia" w:ascii="宋体" w:hAnsi="宋体" w:eastAsia="宋体" w:cs="宋体"/>
                <w:sz w:val="24"/>
                <w:szCs w:val="24"/>
              </w:rPr>
              <w:t>个人、法人</w:t>
            </w:r>
          </w:p>
        </w:tc>
        <w:tc>
          <w:tcPr>
            <w:tcW w:w="1958"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事项类型</w:t>
            </w:r>
          </w:p>
        </w:tc>
        <w:tc>
          <w:tcPr>
            <w:tcW w:w="2408" w:type="dxa"/>
            <w:vAlign w:val="center"/>
          </w:tcPr>
          <w:p>
            <w:pPr>
              <w:pStyle w:val="2"/>
              <w:spacing w:before="1"/>
              <w:ind w:left="132" w:firstLine="472" w:firstLineChars="200"/>
              <w:rPr>
                <w:rFonts w:hint="eastAsia" w:ascii="宋体" w:hAnsi="宋体" w:eastAsia="宋体" w:cs="宋体"/>
                <w:kern w:val="0"/>
                <w:sz w:val="24"/>
                <w:szCs w:val="24"/>
              </w:rPr>
            </w:pPr>
            <w:r>
              <w:rPr>
                <w:rFonts w:hint="eastAsia" w:ascii="宋体" w:hAnsi="宋体" w:eastAsia="宋体" w:cs="宋体"/>
                <w:spacing w:val="-2"/>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694"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受理机构</w:t>
            </w:r>
          </w:p>
        </w:tc>
        <w:tc>
          <w:tcPr>
            <w:tcW w:w="285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桐柏县行政审批服务中心</w:t>
            </w:r>
          </w:p>
        </w:tc>
        <w:tc>
          <w:tcPr>
            <w:tcW w:w="1958" w:type="dxa"/>
            <w:vAlign w:val="center"/>
          </w:tcPr>
          <w:p>
            <w:pPr>
              <w:pStyle w:val="2"/>
              <w:spacing w:before="1"/>
              <w:ind w:left="133"/>
              <w:jc w:val="center"/>
              <w:rPr>
                <w:rFonts w:hint="eastAsia" w:ascii="宋体" w:hAnsi="宋体" w:eastAsia="宋体" w:cs="宋体"/>
                <w:kern w:val="0"/>
                <w:sz w:val="21"/>
                <w:szCs w:val="21"/>
              </w:rPr>
            </w:pPr>
            <w:r>
              <w:rPr>
                <w:rFonts w:hint="eastAsia" w:ascii="宋体" w:hAnsi="宋体" w:eastAsia="宋体" w:cs="宋体"/>
                <w:sz w:val="21"/>
                <w:szCs w:val="21"/>
              </w:rPr>
              <w:t>决定机构</w:t>
            </w:r>
          </w:p>
        </w:tc>
        <w:tc>
          <w:tcPr>
            <w:tcW w:w="2408" w:type="dxa"/>
            <w:vAlign w:val="center"/>
          </w:tcPr>
          <w:p>
            <w:pPr>
              <w:pStyle w:val="2"/>
              <w:spacing w:before="7"/>
              <w:jc w:val="center"/>
              <w:rPr>
                <w:rFonts w:hint="eastAsia" w:ascii="宋体" w:hAnsi="宋体" w:eastAsia="宋体" w:cs="宋体"/>
                <w:spacing w:val="-2"/>
                <w:sz w:val="24"/>
                <w:szCs w:val="24"/>
                <w:lang w:val="en-US" w:eastAsia="zh-CN"/>
              </w:rPr>
            </w:pPr>
            <w:r>
              <w:rPr>
                <w:rFonts w:hint="eastAsia" w:ascii="宋体" w:hAnsi="宋体" w:eastAsia="宋体" w:cs="宋体"/>
                <w:sz w:val="24"/>
                <w:szCs w:val="24"/>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694" w:hRule="atLeast"/>
        </w:trPr>
        <w:tc>
          <w:tcPr>
            <w:tcW w:w="1897" w:type="dxa"/>
            <w:vAlign w:val="center"/>
          </w:tcPr>
          <w:p>
            <w:pPr>
              <w:jc w:val="center"/>
              <w:rPr>
                <w:rFonts w:hint="eastAsia" w:ascii="黑体" w:hAnsi="黑体" w:eastAsia="黑体" w:cs="黑体"/>
                <w:sz w:val="21"/>
                <w:szCs w:val="21"/>
              </w:rPr>
            </w:pPr>
            <w:r>
              <w:rPr>
                <w:rFonts w:hint="eastAsia" w:ascii="黑体" w:hAnsi="黑体" w:eastAsia="黑体" w:cs="黑体"/>
                <w:kern w:val="0"/>
                <w:sz w:val="21"/>
                <w:szCs w:val="21"/>
              </w:rPr>
              <w:t>办理时限</w:t>
            </w:r>
          </w:p>
        </w:tc>
        <w:tc>
          <w:tcPr>
            <w:tcW w:w="285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法定时限：20个工作日</w:t>
            </w:r>
          </w:p>
          <w:p>
            <w:pPr>
              <w:jc w:val="left"/>
              <w:rPr>
                <w:rFonts w:hint="eastAsia" w:ascii="宋体" w:hAnsi="宋体" w:eastAsia="宋体" w:cs="宋体"/>
                <w:sz w:val="24"/>
                <w:szCs w:val="24"/>
              </w:rPr>
            </w:pPr>
            <w:r>
              <w:rPr>
                <w:rFonts w:hint="eastAsia" w:ascii="宋体" w:hAnsi="宋体" w:eastAsia="宋体" w:cs="宋体"/>
                <w:sz w:val="24"/>
                <w:szCs w:val="24"/>
              </w:rPr>
              <w:t>承诺时限：</w:t>
            </w:r>
            <w:r>
              <w:rPr>
                <w:rFonts w:hint="eastAsia" w:ascii="宋体" w:hAnsi="宋体" w:eastAsia="宋体" w:cs="宋体"/>
                <w:sz w:val="24"/>
                <w:szCs w:val="24"/>
                <w:lang w:val="en-US" w:eastAsia="zh-CN"/>
              </w:rPr>
              <w:t>1</w:t>
            </w:r>
            <w:r>
              <w:rPr>
                <w:rFonts w:hint="eastAsia" w:ascii="宋体" w:hAnsi="宋体" w:eastAsia="宋体" w:cs="宋体"/>
                <w:sz w:val="24"/>
                <w:szCs w:val="24"/>
              </w:rPr>
              <w:t>个工作日</w:t>
            </w:r>
          </w:p>
        </w:tc>
        <w:tc>
          <w:tcPr>
            <w:tcW w:w="1958" w:type="dxa"/>
            <w:vAlign w:val="center"/>
          </w:tcPr>
          <w:p>
            <w:pPr>
              <w:pStyle w:val="2"/>
              <w:spacing w:before="1"/>
              <w:ind w:left="133"/>
              <w:jc w:val="center"/>
              <w:rPr>
                <w:rFonts w:hint="eastAsia" w:ascii="宋体" w:hAnsi="宋体" w:eastAsia="宋体" w:cs="宋体"/>
                <w:sz w:val="21"/>
                <w:szCs w:val="21"/>
              </w:rPr>
            </w:pPr>
            <w:r>
              <w:rPr>
                <w:rFonts w:hint="eastAsia" w:ascii="宋体" w:hAnsi="宋体" w:eastAsia="宋体" w:cs="宋体"/>
                <w:sz w:val="21"/>
                <w:szCs w:val="21"/>
              </w:rPr>
              <w:t>咨询方式</w:t>
            </w:r>
          </w:p>
        </w:tc>
        <w:tc>
          <w:tcPr>
            <w:tcW w:w="2408"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现场咨询</w:t>
            </w:r>
          </w:p>
          <w:p>
            <w:pPr>
              <w:pStyle w:val="2"/>
              <w:spacing w:before="7"/>
              <w:jc w:val="left"/>
              <w:rPr>
                <w:rFonts w:hint="eastAsia" w:ascii="宋体" w:hAnsi="宋体" w:eastAsia="宋体" w:cs="宋体"/>
                <w:sz w:val="24"/>
                <w:szCs w:val="24"/>
                <w:lang w:val="en-US" w:eastAsia="zh-CN"/>
              </w:rPr>
            </w:pPr>
            <w:r>
              <w:rPr>
                <w:rFonts w:hint="eastAsia" w:ascii="宋体" w:hAnsi="宋体" w:eastAsia="宋体" w:cs="宋体"/>
                <w:sz w:val="24"/>
                <w:szCs w:val="24"/>
              </w:rPr>
              <w:t>电话咨询：</w:t>
            </w:r>
            <w:r>
              <w:rPr>
                <w:rFonts w:hint="eastAsia" w:ascii="宋体" w:hAnsi="宋体" w:eastAsia="宋体" w:cs="宋体"/>
                <w:sz w:val="24"/>
                <w:szCs w:val="24"/>
                <w:lang w:val="en-US" w:eastAsia="zh-CN"/>
              </w:rPr>
              <w:t>0</w:t>
            </w:r>
            <w:r>
              <w:rPr>
                <w:rFonts w:hint="eastAsia" w:ascii="宋体" w:hAnsi="宋体" w:eastAsia="宋体" w:cs="宋体"/>
                <w:sz w:val="24"/>
                <w:szCs w:val="24"/>
              </w:rPr>
              <w:t>377-</w:t>
            </w:r>
            <w:r>
              <w:rPr>
                <w:rFonts w:hint="eastAsia" w:ascii="宋体" w:hAnsi="宋体" w:eastAsia="宋体" w:cs="宋体"/>
                <w:sz w:val="24"/>
                <w:szCs w:val="24"/>
                <w:lang w:val="en-US" w:eastAsia="zh-CN"/>
              </w:rPr>
              <w:t>68218836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694"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受理方式</w:t>
            </w:r>
          </w:p>
        </w:tc>
        <w:tc>
          <w:tcPr>
            <w:tcW w:w="285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窗口受理、网上申报</w:t>
            </w:r>
          </w:p>
        </w:tc>
        <w:tc>
          <w:tcPr>
            <w:tcW w:w="1958" w:type="dxa"/>
            <w:vAlign w:val="center"/>
          </w:tcPr>
          <w:p>
            <w:pPr>
              <w:pStyle w:val="2"/>
              <w:spacing w:before="1"/>
              <w:ind w:left="133"/>
              <w:jc w:val="center"/>
              <w:rPr>
                <w:rFonts w:hint="eastAsia" w:ascii="宋体" w:hAnsi="宋体" w:eastAsia="宋体" w:cs="宋体"/>
                <w:sz w:val="21"/>
                <w:szCs w:val="21"/>
              </w:rPr>
            </w:pPr>
            <w:r>
              <w:rPr>
                <w:rFonts w:hint="eastAsia" w:ascii="宋体" w:hAnsi="宋体" w:eastAsia="宋体" w:cs="宋体"/>
                <w:sz w:val="21"/>
                <w:szCs w:val="21"/>
              </w:rPr>
              <w:t>结果送达</w:t>
            </w:r>
          </w:p>
        </w:tc>
        <w:tc>
          <w:tcPr>
            <w:tcW w:w="2408" w:type="dxa"/>
            <w:vAlign w:val="center"/>
          </w:tcPr>
          <w:p>
            <w:pPr>
              <w:pStyle w:val="2"/>
              <w:spacing w:before="7"/>
              <w:jc w:val="left"/>
              <w:rPr>
                <w:rFonts w:hint="eastAsia" w:ascii="宋体" w:hAnsi="宋体" w:eastAsia="宋体" w:cs="宋体"/>
                <w:sz w:val="24"/>
                <w:szCs w:val="24"/>
              </w:rPr>
            </w:pPr>
            <w:r>
              <w:rPr>
                <w:rFonts w:hint="eastAsia" w:ascii="宋体" w:hAnsi="宋体" w:eastAsia="宋体" w:cs="宋体"/>
                <w:sz w:val="24"/>
                <w:szCs w:val="24"/>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3088"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设立依据</w:t>
            </w:r>
          </w:p>
        </w:tc>
        <w:tc>
          <w:tcPr>
            <w:tcW w:w="7223" w:type="dxa"/>
            <w:gridSpan w:val="3"/>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kern w:val="0"/>
                <w:sz w:val="24"/>
                <w:szCs w:val="24"/>
              </w:rPr>
            </w:pPr>
            <w:r>
              <w:rPr>
                <w:rFonts w:hint="eastAsia" w:ascii="宋体" w:hAnsi="宋体" w:eastAsia="宋体" w:cs="宋体"/>
                <w:sz w:val="24"/>
                <w:szCs w:val="24"/>
              </w:rPr>
              <w:t>《危险废物经营许可证管理办法》（2004年5月30日国务院令第408号，2016年2月6日予以修改）</w:t>
            </w:r>
            <w:r>
              <w:rPr>
                <w:rFonts w:hint="eastAsia" w:ascii="宋体" w:hAnsi="宋体" w:eastAsia="宋体" w:cs="宋体"/>
                <w:sz w:val="24"/>
                <w:szCs w:val="24"/>
              </w:rPr>
              <w:br w:type="textWrapping"/>
            </w:r>
            <w:r>
              <w:rPr>
                <w:rFonts w:hint="eastAsia" w:ascii="宋体" w:hAnsi="宋体" w:eastAsia="宋体" w:cs="宋体"/>
                <w:sz w:val="24"/>
                <w:szCs w:val="24"/>
              </w:rPr>
              <w:t>第十条　危险废物经营许可证包括下列主要内容：</w:t>
            </w:r>
            <w:r>
              <w:rPr>
                <w:rFonts w:hint="eastAsia" w:ascii="宋体" w:hAnsi="宋体" w:eastAsia="宋体" w:cs="宋体"/>
                <w:sz w:val="24"/>
                <w:szCs w:val="24"/>
              </w:rPr>
              <w:br w:type="textWrapping"/>
            </w:r>
            <w:r>
              <w:rPr>
                <w:rFonts w:hint="eastAsia" w:ascii="宋体" w:hAnsi="宋体" w:eastAsia="宋体" w:cs="宋体"/>
                <w:sz w:val="24"/>
                <w:szCs w:val="24"/>
              </w:rPr>
              <w:t>　　（一）法人名称、法定代表人、住所；</w:t>
            </w:r>
            <w:r>
              <w:rPr>
                <w:rFonts w:hint="eastAsia" w:ascii="宋体" w:hAnsi="宋体" w:eastAsia="宋体" w:cs="宋体"/>
                <w:sz w:val="24"/>
                <w:szCs w:val="24"/>
              </w:rPr>
              <w:br w:type="textWrapping"/>
            </w:r>
            <w:r>
              <w:rPr>
                <w:rFonts w:hint="eastAsia" w:ascii="宋体" w:hAnsi="宋体" w:eastAsia="宋体" w:cs="宋体"/>
                <w:sz w:val="24"/>
                <w:szCs w:val="24"/>
              </w:rPr>
              <w:t>　　（二）危险废物经营方式；</w:t>
            </w:r>
            <w:r>
              <w:rPr>
                <w:rFonts w:hint="eastAsia" w:ascii="宋体" w:hAnsi="宋体" w:eastAsia="宋体" w:cs="宋体"/>
                <w:sz w:val="24"/>
                <w:szCs w:val="24"/>
              </w:rPr>
              <w:br w:type="textWrapping"/>
            </w:r>
            <w:r>
              <w:rPr>
                <w:rFonts w:hint="eastAsia" w:ascii="宋体" w:hAnsi="宋体" w:eastAsia="宋体" w:cs="宋体"/>
                <w:sz w:val="24"/>
                <w:szCs w:val="24"/>
              </w:rPr>
              <w:t>　　（三）危险废物类别；</w:t>
            </w:r>
            <w:r>
              <w:rPr>
                <w:rFonts w:hint="eastAsia" w:ascii="宋体" w:hAnsi="宋体" w:eastAsia="宋体" w:cs="宋体"/>
                <w:sz w:val="24"/>
                <w:szCs w:val="24"/>
              </w:rPr>
              <w:br w:type="textWrapping"/>
            </w:r>
            <w:r>
              <w:rPr>
                <w:rFonts w:hint="eastAsia" w:ascii="宋体" w:hAnsi="宋体" w:eastAsia="宋体" w:cs="宋体"/>
                <w:sz w:val="24"/>
                <w:szCs w:val="24"/>
              </w:rPr>
              <w:t>　　（四）年经营规模；</w:t>
            </w:r>
            <w:r>
              <w:rPr>
                <w:rFonts w:hint="eastAsia" w:ascii="宋体" w:hAnsi="宋体" w:eastAsia="宋体" w:cs="宋体"/>
                <w:sz w:val="24"/>
                <w:szCs w:val="24"/>
              </w:rPr>
              <w:br w:type="textWrapping"/>
            </w:r>
            <w:r>
              <w:rPr>
                <w:rFonts w:hint="eastAsia" w:ascii="宋体" w:hAnsi="宋体" w:eastAsia="宋体" w:cs="宋体"/>
                <w:sz w:val="24"/>
                <w:szCs w:val="24"/>
              </w:rPr>
              <w:t>　　（五）有效期限；</w:t>
            </w:r>
            <w:r>
              <w:rPr>
                <w:rFonts w:hint="eastAsia" w:ascii="宋体" w:hAnsi="宋体" w:eastAsia="宋体" w:cs="宋体"/>
                <w:sz w:val="24"/>
                <w:szCs w:val="24"/>
              </w:rPr>
              <w:br w:type="textWrapping"/>
            </w:r>
            <w:r>
              <w:rPr>
                <w:rFonts w:hint="eastAsia" w:ascii="宋体" w:hAnsi="宋体" w:eastAsia="宋体" w:cs="宋体"/>
                <w:sz w:val="24"/>
                <w:szCs w:val="24"/>
              </w:rPr>
              <w:t>　　（六）发证日期和证书编号。</w:t>
            </w:r>
            <w:r>
              <w:rPr>
                <w:rFonts w:hint="eastAsia" w:ascii="宋体" w:hAnsi="宋体" w:eastAsia="宋体" w:cs="宋体"/>
                <w:sz w:val="24"/>
                <w:szCs w:val="24"/>
              </w:rPr>
              <w:br w:type="textWrapping"/>
            </w:r>
            <w:r>
              <w:rPr>
                <w:rFonts w:hint="eastAsia" w:ascii="宋体" w:hAnsi="宋体" w:eastAsia="宋体" w:cs="宋体"/>
                <w:sz w:val="24"/>
                <w:szCs w:val="24"/>
              </w:rPr>
              <w:t>　　危险废物综合经营许可证的内容，还应当包括贮存、处置设施的地址。</w:t>
            </w:r>
            <w:r>
              <w:rPr>
                <w:rFonts w:hint="eastAsia" w:ascii="宋体" w:hAnsi="宋体" w:eastAsia="宋体" w:cs="宋体"/>
                <w:sz w:val="24"/>
                <w:szCs w:val="24"/>
              </w:rPr>
              <w:br w:type="textWrapping"/>
            </w:r>
            <w:r>
              <w:rPr>
                <w:rFonts w:hint="eastAsia" w:ascii="宋体" w:hAnsi="宋体" w:eastAsia="宋体" w:cs="宋体"/>
                <w:sz w:val="24"/>
                <w:szCs w:val="24"/>
              </w:rPr>
              <w:t>　　第十一条　危险废物经营单位变更法人名称、法定代表人和住所的，应当自工商变更登记之日起15个工作日内，向原发证机关申请办理危险废物经营许可证变更手续。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732"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办理条件</w:t>
            </w:r>
          </w:p>
        </w:tc>
        <w:tc>
          <w:tcPr>
            <w:tcW w:w="7223" w:type="dxa"/>
            <w:gridSpan w:val="3"/>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sz w:val="24"/>
                <w:szCs w:val="24"/>
              </w:rPr>
            </w:pPr>
            <w:r>
              <w:rPr>
                <w:rFonts w:hint="eastAsia" w:ascii="宋体" w:hAnsi="宋体" w:eastAsia="宋体" w:cs="宋体"/>
                <w:sz w:val="24"/>
                <w:szCs w:val="24"/>
              </w:rPr>
              <w:t>危险废物经营许可证在有效期内，危险废物经营单位负责人信息发生变化且继续从事危险废物经营活动的。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653"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申办材料</w:t>
            </w:r>
          </w:p>
        </w:tc>
        <w:tc>
          <w:tcPr>
            <w:tcW w:w="7223" w:type="dxa"/>
            <w:gridSpan w:val="3"/>
            <w:vAlign w:val="center"/>
          </w:tcPr>
          <w:p>
            <w:pPr>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rPr>
              <w:t>河南省危险废物经营许可证申请表</w:t>
            </w:r>
            <w:r>
              <w:rPr>
                <w:rFonts w:hint="eastAsia" w:ascii="宋体" w:hAnsi="宋体" w:eastAsia="宋体" w:cs="宋体"/>
                <w:sz w:val="24"/>
                <w:szCs w:val="24"/>
                <w:lang w:val="en-US" w:eastAsia="zh-CN"/>
              </w:rPr>
              <w:t xml:space="preserve">     一份</w:t>
            </w:r>
          </w:p>
          <w:p>
            <w:pPr>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rPr>
              <w:t>新经营场所负责人身份证复印件</w:t>
            </w:r>
            <w:r>
              <w:rPr>
                <w:rFonts w:hint="eastAsia" w:ascii="宋体" w:hAnsi="宋体" w:eastAsia="宋体" w:cs="宋体"/>
                <w:sz w:val="24"/>
                <w:szCs w:val="24"/>
                <w:lang w:val="en-US" w:eastAsia="zh-CN"/>
              </w:rPr>
              <w:t xml:space="preserve">       一份</w:t>
            </w:r>
          </w:p>
          <w:p>
            <w:pPr>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rPr>
              <w:t>企业变更或补发请示（说明变更原因）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 w:type="dxa"/>
          <w:trHeight w:val="1852" w:hRule="atLeast"/>
        </w:trPr>
        <w:tc>
          <w:tcPr>
            <w:tcW w:w="1897" w:type="dxa"/>
            <w:vAlign w:val="center"/>
          </w:tcPr>
          <w:p>
            <w:pPr>
              <w:jc w:val="center"/>
              <w:rPr>
                <w:rFonts w:hint="eastAsia" w:ascii="黑体" w:hAnsi="黑体" w:eastAsia="黑体" w:cs="黑体"/>
                <w:sz w:val="21"/>
                <w:szCs w:val="21"/>
              </w:rPr>
            </w:pPr>
            <w:r>
              <w:rPr>
                <w:rFonts w:hint="eastAsia" w:ascii="黑体" w:hAnsi="黑体" w:eastAsia="黑体" w:cs="黑体"/>
                <w:kern w:val="0"/>
                <w:sz w:val="21"/>
                <w:szCs w:val="21"/>
              </w:rPr>
              <w:t>办理流程</w:t>
            </w:r>
          </w:p>
        </w:tc>
        <w:tc>
          <w:tcPr>
            <w:tcW w:w="7223" w:type="dxa"/>
            <w:gridSpan w:val="3"/>
            <w:vAlign w:val="center"/>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i w:val="0"/>
                <w:caps w:val="0"/>
                <w:color w:val="4A4A4A"/>
                <w:spacing w:val="0"/>
                <w:sz w:val="24"/>
                <w:szCs w:val="24"/>
              </w:rPr>
              <w:t>环节名称：受理 ；办理人：唐有记；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环节名称：审核 ；办理人：袁琳；办理时限：一个工作日；审查标准：在受理申报材料后，由办理科室对内容进行审查；办理结果：提出初步意见，转入决定步骤；</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环节名称：决定 ；办理人：孙立新；办理时限：即时；审查标准：在办理科室审查完成后，实施部门应在承诺时限内作出是否同意申请政务服务事项的决定；办理结果：申请符合规定的，准予审批通过；申请不符合规定的，不予审批通过；</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办理结果：窗口领取、代理人领取、委托送达、公告送达、邮寄送达；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97"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收费依据及标准</w:t>
            </w:r>
          </w:p>
        </w:tc>
        <w:tc>
          <w:tcPr>
            <w:tcW w:w="7283" w:type="dxa"/>
            <w:gridSpan w:val="4"/>
            <w:vAlign w:val="center"/>
          </w:tcPr>
          <w:p>
            <w:pPr>
              <w:pStyle w:val="2"/>
              <w:spacing w:before="7"/>
              <w:jc w:val="center"/>
              <w:rPr>
                <w:rFonts w:hint="eastAsia" w:ascii="宋体" w:hAnsi="宋体" w:eastAsia="宋体" w:cs="宋体"/>
                <w:sz w:val="24"/>
                <w:szCs w:val="24"/>
              </w:rPr>
            </w:pPr>
            <w:r>
              <w:rPr>
                <w:rFonts w:hint="eastAsia" w:ascii="宋体" w:hAnsi="宋体" w:eastAsia="宋体"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97"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监督投诉渠道</w:t>
            </w:r>
          </w:p>
        </w:tc>
        <w:tc>
          <w:tcPr>
            <w:tcW w:w="7283" w:type="dxa"/>
            <w:gridSpan w:val="4"/>
            <w:vAlign w:val="center"/>
          </w:tcPr>
          <w:p>
            <w:pPr>
              <w:jc w:val="center"/>
              <w:rPr>
                <w:rFonts w:hint="eastAsia" w:ascii="宋体" w:hAnsi="宋体" w:eastAsia="宋体" w:cs="宋体"/>
                <w:sz w:val="24"/>
                <w:szCs w:val="24"/>
              </w:rPr>
            </w:pPr>
            <w:r>
              <w:rPr>
                <w:rFonts w:hint="eastAsia" w:ascii="宋体" w:hAnsi="宋体" w:eastAsia="宋体" w:cs="宋体"/>
                <w:sz w:val="24"/>
                <w:szCs w:val="24"/>
              </w:rPr>
              <w:t>中心督查股：0377-83973066、热线电话：12345</w:t>
            </w:r>
          </w:p>
        </w:tc>
      </w:tr>
    </w:tbl>
    <w:p>
      <w:pPr>
        <w:jc w:val="both"/>
        <w:rPr>
          <w:rFonts w:ascii="黑体" w:hAnsi="黑体" w:eastAsia="黑体" w:cs="黑体"/>
          <w:kern w:val="0"/>
          <w:sz w:val="10"/>
          <w:szCs w:val="10"/>
        </w:rPr>
      </w:pPr>
    </w:p>
    <w:p>
      <w:pPr>
        <w:jc w:val="left"/>
        <w:rPr>
          <w:rFonts w:ascii="黑体" w:hAnsi="黑体" w:eastAsia="黑体" w:cs="黑体"/>
          <w:kern w:val="0"/>
          <w:sz w:val="28"/>
          <w:szCs w:val="28"/>
        </w:rPr>
      </w:pPr>
      <w:r>
        <w:rPr>
          <w:rFonts w:hint="eastAsia" w:ascii="黑体" w:hAnsi="黑体" w:eastAsia="黑体" w:cs="黑体"/>
          <w:kern w:val="0"/>
          <w:sz w:val="28"/>
          <w:szCs w:val="28"/>
        </w:rPr>
        <w:t>发布日期：202</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年</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月20日         实施日期：202</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年</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月2</w:t>
      </w:r>
      <w:r>
        <w:rPr>
          <w:rFonts w:hint="eastAsia" w:ascii="黑体" w:hAnsi="黑体" w:eastAsia="黑体" w:cs="黑体"/>
          <w:kern w:val="0"/>
          <w:sz w:val="28"/>
          <w:szCs w:val="28"/>
          <w:lang w:val="en-US" w:eastAsia="zh-CN"/>
        </w:rPr>
        <w:t>0</w:t>
      </w:r>
      <w:r>
        <w:rPr>
          <w:rFonts w:hint="eastAsia" w:ascii="黑体" w:hAnsi="黑体" w:eastAsia="黑体" w:cs="黑体"/>
          <w:kern w:val="0"/>
          <w:sz w:val="28"/>
          <w:szCs w:val="28"/>
        </w:rPr>
        <w:t xml:space="preserve">日    </w:t>
      </w:r>
    </w:p>
    <w:p>
      <w:pPr>
        <w:jc w:val="center"/>
        <w:rPr>
          <w:rFonts w:ascii="黑体" w:hAnsi="黑体" w:eastAsia="黑体" w:cs="黑体"/>
          <w:kern w:val="0"/>
          <w:sz w:val="28"/>
          <w:szCs w:val="28"/>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24A4233"/>
    <w:rsid w:val="001A26A7"/>
    <w:rsid w:val="002142EF"/>
    <w:rsid w:val="003B0AF4"/>
    <w:rsid w:val="004A3070"/>
    <w:rsid w:val="00564111"/>
    <w:rsid w:val="006D728D"/>
    <w:rsid w:val="008B6792"/>
    <w:rsid w:val="00914AD4"/>
    <w:rsid w:val="00921E4E"/>
    <w:rsid w:val="00BA5A1D"/>
    <w:rsid w:val="00C36E50"/>
    <w:rsid w:val="00CB6FA0"/>
    <w:rsid w:val="00E32A13"/>
    <w:rsid w:val="00F36ABC"/>
    <w:rsid w:val="00FC30E0"/>
    <w:rsid w:val="024A4233"/>
    <w:rsid w:val="113719A0"/>
    <w:rsid w:val="119E3A20"/>
    <w:rsid w:val="15CD21A4"/>
    <w:rsid w:val="1BBA2C7F"/>
    <w:rsid w:val="1D4F5573"/>
    <w:rsid w:val="1D91432B"/>
    <w:rsid w:val="2815528E"/>
    <w:rsid w:val="29074DD5"/>
    <w:rsid w:val="2EB828ED"/>
    <w:rsid w:val="2F6C7368"/>
    <w:rsid w:val="385804AD"/>
    <w:rsid w:val="3F345010"/>
    <w:rsid w:val="49CC6710"/>
    <w:rsid w:val="528D6AC6"/>
    <w:rsid w:val="55067F3A"/>
    <w:rsid w:val="59DD77B5"/>
    <w:rsid w:val="5A3719C8"/>
    <w:rsid w:val="5B10607B"/>
    <w:rsid w:val="66F55070"/>
    <w:rsid w:val="69C14CF6"/>
    <w:rsid w:val="6D2051E4"/>
    <w:rsid w:val="6D535020"/>
    <w:rsid w:val="6E973E8B"/>
    <w:rsid w:val="6F707EE1"/>
    <w:rsid w:val="74544908"/>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Cs w:val="21"/>
    </w:rPr>
  </w:style>
  <w:style w:type="paragraph" w:styleId="3">
    <w:name w:val="Balloon Text"/>
    <w:basedOn w:val="1"/>
    <w:link w:val="15"/>
    <w:qFormat/>
    <w:uiPriority w:val="0"/>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color w:val="606266"/>
      <w:sz w:val="21"/>
      <w:szCs w:val="21"/>
    </w:rPr>
  </w:style>
  <w:style w:type="character" w:styleId="9">
    <w:name w:val="FollowedHyperlink"/>
    <w:basedOn w:val="7"/>
    <w:qFormat/>
    <w:uiPriority w:val="0"/>
    <w:rPr>
      <w:color w:val="800080"/>
      <w:u w:val="none"/>
    </w:rPr>
  </w:style>
  <w:style w:type="character" w:styleId="10">
    <w:name w:val="HTML Definition"/>
    <w:basedOn w:val="7"/>
    <w:qFormat/>
    <w:uiPriority w:val="0"/>
    <w:rPr>
      <w:i/>
    </w:rPr>
  </w:style>
  <w:style w:type="character" w:styleId="11">
    <w:name w:val="Hyperlink"/>
    <w:basedOn w:val="7"/>
    <w:qFormat/>
    <w:uiPriority w:val="0"/>
    <w:rPr>
      <w:color w:val="0000FF"/>
      <w:u w:val="none"/>
    </w:rPr>
  </w:style>
  <w:style w:type="character" w:styleId="12">
    <w:name w:val="HTML Code"/>
    <w:basedOn w:val="7"/>
    <w:qFormat/>
    <w:uiPriority w:val="0"/>
    <w:rPr>
      <w:rFonts w:hint="default" w:ascii="monospace" w:hAnsi="monospace" w:eastAsia="monospace" w:cs="monospace"/>
      <w:sz w:val="21"/>
      <w:szCs w:val="21"/>
    </w:rPr>
  </w:style>
  <w:style w:type="character" w:styleId="13">
    <w:name w:val="HTML Keyboard"/>
    <w:basedOn w:val="7"/>
    <w:qFormat/>
    <w:uiPriority w:val="0"/>
    <w:rPr>
      <w:rFonts w:hint="default" w:ascii="monospace" w:hAnsi="monospace" w:eastAsia="monospace" w:cs="monospace"/>
      <w:sz w:val="21"/>
      <w:szCs w:val="21"/>
    </w:rPr>
  </w:style>
  <w:style w:type="character" w:styleId="14">
    <w:name w:val="HTML Sample"/>
    <w:basedOn w:val="7"/>
    <w:qFormat/>
    <w:uiPriority w:val="0"/>
    <w:rPr>
      <w:rFonts w:ascii="monospace" w:hAnsi="monospace" w:eastAsia="monospace" w:cs="monospace"/>
      <w:sz w:val="21"/>
      <w:szCs w:val="21"/>
    </w:rPr>
  </w:style>
  <w:style w:type="character" w:customStyle="1" w:styleId="15">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6">
    <w:name w:val="hover13"/>
    <w:basedOn w:val="7"/>
    <w:qFormat/>
    <w:uiPriority w:val="0"/>
    <w:rPr>
      <w:shd w:val="clear" w:fill="0B3791"/>
    </w:rPr>
  </w:style>
  <w:style w:type="character" w:customStyle="1" w:styleId="17">
    <w:name w:val="hover14"/>
    <w:basedOn w:val="7"/>
    <w:qFormat/>
    <w:uiPriority w:val="0"/>
    <w:rPr>
      <w:shd w:val="clear" w:fill="0B3791"/>
    </w:r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 w:type="character" w:customStyle="1" w:styleId="20">
    <w:name w:val="hover12"/>
    <w:basedOn w:val="7"/>
    <w:qFormat/>
    <w:uiPriority w:val="0"/>
    <w:rPr>
      <w:shd w:val="clear" w:fill="0B3791"/>
    </w:rPr>
  </w:style>
  <w:style w:type="character" w:customStyle="1" w:styleId="21">
    <w:name w:val="hover11"/>
    <w:basedOn w:val="7"/>
    <w:qFormat/>
    <w:uiPriority w:val="0"/>
    <w:rPr>
      <w:shd w:val="clear" w:fill="0B379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142</Words>
  <Characters>811</Characters>
  <Lines>6</Lines>
  <Paragraphs>1</Paragraphs>
  <TotalTime>1</TotalTime>
  <ScaleCrop>false</ScaleCrop>
  <LinksUpToDate>false</LinksUpToDate>
  <CharactersWithSpaces>952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2022-03-01T07:15:16Z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1136954332_cloud</vt:lpwstr>
  </property>
  <property fmtid="{D5CDD505-2E9C-101B-9397-08002B2CF9AE}" pid="4" name="ICV">
    <vt:lpwstr>B4DF4A4C4B3B4AD88F1292BE29245814</vt:lpwstr>
  </property>
</Properties>
</file>