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舒体" w:hAnsi="方正舒体" w:eastAsia="方正舒体" w:cs="方正舒体"/>
          <w:b/>
          <w:bCs/>
          <w:kern w:val="0"/>
          <w:sz w:val="52"/>
          <w:szCs w:val="52"/>
          <w:lang w:val="en-US" w:eastAsia="zh-CN" w:bidi="ar"/>
        </w:rPr>
      </w:pPr>
      <w:r>
        <w:rPr>
          <w:rFonts w:hint="eastAsia" w:ascii="黑体" w:hAnsi="黑体" w:eastAsia="黑体" w:cs="黑体"/>
          <w:b/>
          <w:bCs/>
          <w:kern w:val="0"/>
          <w:sz w:val="32"/>
          <w:szCs w:val="32"/>
          <w:lang w:val="en-US" w:eastAsia="zh-CN" w:bidi="ar"/>
        </w:rPr>
        <w:t>入河排污口的设置和扩大审核服务指南</w:t>
      </w:r>
    </w:p>
    <w:p>
      <w:pPr>
        <w:pStyle w:val="2"/>
        <w:jc w:val="right"/>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rPr>
        <w:t xml:space="preserve"> </w:t>
      </w:r>
      <w:r>
        <w:rPr>
          <w:rFonts w:hint="eastAsia" w:ascii="黑体" w:hAnsi="黑体" w:eastAsia="黑体" w:cs="黑体"/>
          <w:sz w:val="21"/>
          <w:szCs w:val="21"/>
          <w:lang w:val="en-US" w:eastAsia="zh-CN"/>
        </w:rPr>
        <w:t>事项编码</w:t>
      </w:r>
      <w:r>
        <w:rPr>
          <w:rFonts w:hint="eastAsia" w:ascii="黑体" w:hAnsi="黑体" w:eastAsia="黑体" w:cs="黑体"/>
          <w:color w:val="auto"/>
          <w:sz w:val="21"/>
          <w:szCs w:val="21"/>
          <w:lang w:val="en-US" w:eastAsia="zh-CN"/>
        </w:rPr>
        <w:t>729615800XK98089001</w:t>
      </w:r>
    </w:p>
    <w:tbl>
      <w:tblPr>
        <w:tblStyle w:val="5"/>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3570"/>
        <w:gridCol w:w="1260"/>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4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4"/>
                <w:szCs w:val="24"/>
                <w:vertAlign w:val="baseline"/>
                <w:lang w:val="en-US" w:eastAsia="zh-CN" w:bidi="ar"/>
              </w:rPr>
            </w:pPr>
            <w:r>
              <w:rPr>
                <w:rFonts w:hint="eastAsia" w:ascii="黑体" w:hAnsi="黑体" w:eastAsia="黑体" w:cs="黑体"/>
                <w:kern w:val="0"/>
                <w:sz w:val="24"/>
                <w:szCs w:val="24"/>
                <w:vertAlign w:val="baseline"/>
                <w:lang w:val="en-US" w:eastAsia="zh-CN" w:bidi="ar"/>
              </w:rPr>
              <w:t>适用范围</w:t>
            </w:r>
          </w:p>
        </w:tc>
        <w:tc>
          <w:tcPr>
            <w:tcW w:w="3570"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4"/>
                <w:szCs w:val="24"/>
                <w:vertAlign w:val="baseline"/>
                <w:lang w:val="en-US" w:eastAsia="zh-CN" w:bidi="ar"/>
              </w:rPr>
            </w:pPr>
            <w:r>
              <w:rPr>
                <w:rFonts w:hint="eastAsia"/>
                <w:sz w:val="24"/>
                <w:szCs w:val="24"/>
                <w:lang w:val="en-US" w:eastAsia="zh-CN"/>
              </w:rPr>
              <w:t>个人</w:t>
            </w:r>
            <w:r>
              <w:rPr>
                <w:rFonts w:hint="eastAsia"/>
                <w:sz w:val="24"/>
                <w:szCs w:val="24"/>
              </w:rPr>
              <w:t>、法人</w:t>
            </w:r>
          </w:p>
        </w:tc>
        <w:tc>
          <w:tcPr>
            <w:tcW w:w="126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4"/>
                <w:szCs w:val="24"/>
                <w:vertAlign w:val="baseline"/>
                <w:lang w:val="en-US" w:eastAsia="zh-CN" w:bidi="ar"/>
              </w:rPr>
            </w:pPr>
            <w:r>
              <w:rPr>
                <w:rFonts w:hint="eastAsia" w:ascii="黑体" w:hAnsi="黑体" w:eastAsia="黑体" w:cs="黑体"/>
                <w:kern w:val="0"/>
                <w:sz w:val="24"/>
                <w:szCs w:val="24"/>
                <w:vertAlign w:val="baseline"/>
                <w:lang w:val="en-US" w:eastAsia="zh-CN" w:bidi="ar"/>
              </w:rPr>
              <w:t>事项类型</w:t>
            </w:r>
          </w:p>
        </w:tc>
        <w:tc>
          <w:tcPr>
            <w:tcW w:w="3109"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4"/>
                <w:szCs w:val="24"/>
                <w:vertAlign w:val="baseline"/>
                <w:lang w:val="en-US" w:eastAsia="zh-CN" w:bidi="ar"/>
              </w:rPr>
            </w:pPr>
            <w:r>
              <w:rPr>
                <w:rFonts w:hint="eastAsia" w:eastAsia="黑体"/>
                <w:spacing w:val="-2"/>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4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4"/>
                <w:szCs w:val="24"/>
                <w:vertAlign w:val="baseline"/>
                <w:lang w:val="en-US" w:eastAsia="zh-CN" w:bidi="ar"/>
              </w:rPr>
            </w:pPr>
            <w:r>
              <w:rPr>
                <w:rFonts w:hint="eastAsia" w:ascii="黑体" w:eastAsia="黑体"/>
                <w:sz w:val="24"/>
                <w:szCs w:val="24"/>
              </w:rPr>
              <w:t>受理机构</w:t>
            </w:r>
          </w:p>
        </w:tc>
        <w:tc>
          <w:tcPr>
            <w:tcW w:w="357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sz w:val="24"/>
                <w:szCs w:val="24"/>
                <w:lang w:val="en-US" w:eastAsia="zh-CN"/>
              </w:rPr>
            </w:pPr>
            <w:r>
              <w:rPr>
                <w:rFonts w:hint="eastAsia" w:asciiTheme="minorHAnsi" w:hAnsiTheme="minorHAnsi" w:eastAsiaTheme="minorEastAsia" w:cstheme="minorBidi"/>
                <w:kern w:val="2"/>
                <w:sz w:val="24"/>
                <w:szCs w:val="24"/>
                <w:lang w:val="en-US" w:eastAsia="zh-CN" w:bidi="ar-SA"/>
              </w:rPr>
              <w:t>桐柏县行政审批服务中心</w:t>
            </w:r>
          </w:p>
        </w:tc>
        <w:tc>
          <w:tcPr>
            <w:tcW w:w="1260"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4"/>
                <w:szCs w:val="24"/>
                <w:vertAlign w:val="baseline"/>
                <w:lang w:val="en-US" w:eastAsia="zh-CN" w:bidi="ar"/>
              </w:rPr>
            </w:pPr>
            <w:r>
              <w:rPr>
                <w:rFonts w:hint="eastAsia" w:ascii="黑体" w:eastAsia="黑体" w:hAnsiTheme="minorHAnsi" w:cstheme="minorBidi"/>
                <w:kern w:val="2"/>
                <w:sz w:val="24"/>
                <w:szCs w:val="24"/>
                <w:lang w:val="en-US" w:eastAsia="zh-CN" w:bidi="ar-SA"/>
              </w:rPr>
              <w:t>决定机构</w:t>
            </w:r>
          </w:p>
        </w:tc>
        <w:tc>
          <w:tcPr>
            <w:tcW w:w="3109"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sz w:val="24"/>
                <w:szCs w:val="24"/>
                <w:lang w:val="en-US" w:eastAsia="zh-CN"/>
              </w:rPr>
            </w:pPr>
            <w:r>
              <w:rPr>
                <w:rFonts w:hint="eastAsia" w:asciiTheme="minorHAnsi" w:hAnsiTheme="minorHAnsi" w:eastAsiaTheme="minorEastAsia" w:cstheme="minorBidi"/>
                <w:kern w:val="2"/>
                <w:sz w:val="24"/>
                <w:szCs w:val="24"/>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sz w:val="24"/>
                <w:szCs w:val="24"/>
              </w:rPr>
            </w:pPr>
            <w:r>
              <w:rPr>
                <w:rFonts w:hint="eastAsia" w:ascii="黑体" w:hAnsi="黑体" w:eastAsia="黑体" w:cs="黑体"/>
                <w:kern w:val="0"/>
                <w:sz w:val="24"/>
                <w:szCs w:val="24"/>
                <w:vertAlign w:val="baseline"/>
                <w:lang w:val="en-US" w:eastAsia="zh-CN" w:bidi="ar"/>
              </w:rPr>
              <w:t>办理时限</w:t>
            </w:r>
          </w:p>
        </w:tc>
        <w:tc>
          <w:tcPr>
            <w:tcW w:w="357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cstheme="minorBidi"/>
                <w:kern w:val="2"/>
                <w:sz w:val="24"/>
                <w:szCs w:val="24"/>
                <w:lang w:val="en-US" w:eastAsia="zh-CN" w:bidi="ar-SA"/>
              </w:rPr>
            </w:pPr>
            <w:r>
              <w:rPr>
                <w:rFonts w:hint="eastAsia" w:cstheme="minorBidi"/>
                <w:kern w:val="2"/>
                <w:sz w:val="24"/>
                <w:szCs w:val="24"/>
                <w:lang w:val="en-US" w:eastAsia="zh-CN" w:bidi="ar-SA"/>
              </w:rPr>
              <w:t>法定时限：2</w:t>
            </w:r>
            <w:r>
              <w:rPr>
                <w:sz w:val="24"/>
                <w:szCs w:val="24"/>
              </w:rPr>
              <w:t>0</w:t>
            </w:r>
            <w:r>
              <w:rPr>
                <w:rFonts w:hint="eastAsia"/>
                <w:sz w:val="24"/>
                <w:szCs w:val="24"/>
              </w:rPr>
              <w:t>个工作日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cstheme="minorBidi"/>
                <w:kern w:val="2"/>
                <w:sz w:val="24"/>
                <w:szCs w:val="24"/>
                <w:lang w:val="en-US" w:eastAsia="zh-CN" w:bidi="ar-SA"/>
              </w:rPr>
            </w:pPr>
            <w:r>
              <w:rPr>
                <w:rFonts w:hint="eastAsia" w:cstheme="minorBidi"/>
                <w:kern w:val="2"/>
                <w:sz w:val="24"/>
                <w:szCs w:val="24"/>
                <w:lang w:val="en-US" w:eastAsia="zh-CN" w:bidi="ar-SA"/>
              </w:rPr>
              <w:t>承诺时限：1个工作日（承诺时间不包含现场勘查、专家评审、环评文件修改完善、补件、上报（转报）、公示等步骤所需要的时间。</w:t>
            </w:r>
            <w:bookmarkStart w:id="0" w:name="_GoBack"/>
            <w:bookmarkEnd w:id="0"/>
            <w:r>
              <w:rPr>
                <w:rFonts w:hint="eastAsia" w:cstheme="minorBidi"/>
                <w:kern w:val="2"/>
                <w:sz w:val="24"/>
                <w:szCs w:val="24"/>
                <w:lang w:val="en-US" w:eastAsia="zh-CN" w:bidi="ar-SA"/>
              </w:rPr>
              <w:t>）</w:t>
            </w:r>
          </w:p>
        </w:tc>
        <w:tc>
          <w:tcPr>
            <w:tcW w:w="1260" w:type="dxa"/>
            <w:vAlign w:val="center"/>
          </w:tcPr>
          <w:p>
            <w:pPr>
              <w:pStyle w:val="2"/>
              <w:keepNext w:val="0"/>
              <w:keepLines w:val="0"/>
              <w:pageBreakBefore w:val="0"/>
              <w:widowControl w:val="0"/>
              <w:kinsoku/>
              <w:wordWrap/>
              <w:overflowPunct/>
              <w:topLinePunct w:val="0"/>
              <w:autoSpaceDE/>
              <w:autoSpaceDN/>
              <w:bidi w:val="0"/>
              <w:adjustRightInd/>
              <w:snapToGrid/>
              <w:spacing w:before="1" w:beforeAutospacing="0" w:afterAutospacing="0" w:line="440" w:lineRule="exact"/>
              <w:jc w:val="center"/>
              <w:textAlignment w:val="auto"/>
              <w:outlineLvl w:val="9"/>
              <w:rPr>
                <w:rFonts w:hint="eastAsia" w:ascii="黑体" w:eastAsia="黑体" w:hAnsiTheme="minorHAnsi" w:cstheme="minorBidi"/>
                <w:kern w:val="2"/>
                <w:sz w:val="24"/>
                <w:szCs w:val="24"/>
                <w:lang w:val="en-US" w:eastAsia="zh-CN" w:bidi="ar-SA"/>
              </w:rPr>
            </w:pPr>
            <w:r>
              <w:rPr>
                <w:rFonts w:hint="eastAsia" w:ascii="黑体" w:eastAsia="黑体" w:cstheme="minorBidi"/>
                <w:kern w:val="2"/>
                <w:sz w:val="24"/>
                <w:szCs w:val="24"/>
                <w:lang w:val="en-US" w:eastAsia="zh-CN" w:bidi="ar-SA"/>
              </w:rPr>
              <w:t>咨询方式</w:t>
            </w:r>
          </w:p>
        </w:tc>
        <w:tc>
          <w:tcPr>
            <w:tcW w:w="310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现场咨询</w:t>
            </w:r>
          </w:p>
          <w:p>
            <w:pPr>
              <w:pStyle w:val="2"/>
              <w:keepNext w:val="0"/>
              <w:keepLines w:val="0"/>
              <w:pageBreakBefore w:val="0"/>
              <w:widowControl w:val="0"/>
              <w:kinsoku/>
              <w:wordWrap/>
              <w:overflowPunct/>
              <w:topLinePunct w:val="0"/>
              <w:autoSpaceDE/>
              <w:autoSpaceDN/>
              <w:bidi w:val="0"/>
              <w:adjustRightInd/>
              <w:snapToGrid/>
              <w:spacing w:before="7" w:beforeAutospacing="0" w:afterAutospacing="0" w:line="240" w:lineRule="auto"/>
              <w:jc w:val="center"/>
              <w:textAlignment w:val="auto"/>
              <w:outlineLvl w:val="9"/>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 xml:space="preserve">电话咨询：0377-68218618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34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4"/>
                <w:szCs w:val="24"/>
                <w:vertAlign w:val="baseline"/>
                <w:lang w:val="en-US" w:eastAsia="zh-CN" w:bidi="ar"/>
              </w:rPr>
            </w:pPr>
            <w:r>
              <w:rPr>
                <w:rFonts w:hint="eastAsia" w:ascii="黑体" w:eastAsia="黑体" w:hAnsiTheme="minorHAnsi" w:cstheme="minorBidi"/>
                <w:kern w:val="2"/>
                <w:sz w:val="24"/>
                <w:szCs w:val="24"/>
                <w:lang w:val="en-US" w:eastAsia="zh-CN" w:bidi="ar-SA"/>
              </w:rPr>
              <w:t>受理</w:t>
            </w:r>
            <w:r>
              <w:rPr>
                <w:rFonts w:hint="eastAsia" w:ascii="黑体" w:eastAsia="黑体" w:cstheme="minorBidi"/>
                <w:kern w:val="2"/>
                <w:sz w:val="24"/>
                <w:szCs w:val="24"/>
                <w:lang w:val="en-US" w:eastAsia="zh-CN" w:bidi="ar-SA"/>
              </w:rPr>
              <w:t>方式</w:t>
            </w:r>
          </w:p>
        </w:tc>
        <w:tc>
          <w:tcPr>
            <w:tcW w:w="357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outlineLvl w:val="9"/>
              <w:rPr>
                <w:rFonts w:hint="eastAsia" w:cstheme="minorBidi"/>
                <w:kern w:val="2"/>
                <w:sz w:val="24"/>
                <w:szCs w:val="24"/>
                <w:lang w:val="en-US" w:eastAsia="zh-CN" w:bidi="ar-SA"/>
              </w:rPr>
            </w:pPr>
            <w:r>
              <w:rPr>
                <w:rFonts w:hint="eastAsia" w:cstheme="minorBidi"/>
                <w:kern w:val="2"/>
                <w:sz w:val="24"/>
                <w:szCs w:val="24"/>
                <w:lang w:val="en-US" w:eastAsia="zh-CN" w:bidi="ar-SA"/>
              </w:rPr>
              <w:t>窗口受理、网上申报</w:t>
            </w:r>
          </w:p>
        </w:tc>
        <w:tc>
          <w:tcPr>
            <w:tcW w:w="1260" w:type="dxa"/>
            <w:vAlign w:val="center"/>
          </w:tcPr>
          <w:p>
            <w:pPr>
              <w:pStyle w:val="2"/>
              <w:keepNext w:val="0"/>
              <w:keepLines w:val="0"/>
              <w:pageBreakBefore w:val="0"/>
              <w:widowControl w:val="0"/>
              <w:kinsoku/>
              <w:wordWrap/>
              <w:overflowPunct/>
              <w:topLinePunct w:val="0"/>
              <w:autoSpaceDE/>
              <w:autoSpaceDN/>
              <w:bidi w:val="0"/>
              <w:adjustRightInd/>
              <w:snapToGrid/>
              <w:spacing w:before="1" w:beforeAutospacing="0" w:afterAutospacing="0" w:line="440" w:lineRule="exact"/>
              <w:jc w:val="center"/>
              <w:textAlignment w:val="auto"/>
              <w:outlineLvl w:val="9"/>
              <w:rPr>
                <w:rFonts w:hint="eastAsia" w:ascii="黑体" w:eastAsia="黑体" w:cstheme="minorBidi"/>
                <w:kern w:val="2"/>
                <w:sz w:val="24"/>
                <w:szCs w:val="24"/>
                <w:lang w:val="en-US" w:eastAsia="zh-CN" w:bidi="ar-SA"/>
              </w:rPr>
            </w:pPr>
            <w:r>
              <w:rPr>
                <w:rFonts w:hint="eastAsia" w:ascii="黑体" w:eastAsia="黑体" w:cstheme="minorBidi"/>
                <w:kern w:val="2"/>
                <w:sz w:val="24"/>
                <w:szCs w:val="24"/>
                <w:lang w:val="en-US" w:eastAsia="zh-CN" w:bidi="ar-SA"/>
              </w:rPr>
              <w:t>结果送达</w:t>
            </w:r>
          </w:p>
        </w:tc>
        <w:tc>
          <w:tcPr>
            <w:tcW w:w="3109" w:type="dxa"/>
            <w:vAlign w:val="center"/>
          </w:tcPr>
          <w:p>
            <w:pPr>
              <w:pStyle w:val="2"/>
              <w:keepNext w:val="0"/>
              <w:keepLines w:val="0"/>
              <w:pageBreakBefore w:val="0"/>
              <w:widowControl w:val="0"/>
              <w:kinsoku/>
              <w:wordWrap/>
              <w:overflowPunct/>
              <w:topLinePunct w:val="0"/>
              <w:autoSpaceDE/>
              <w:autoSpaceDN/>
              <w:bidi w:val="0"/>
              <w:adjustRightInd/>
              <w:snapToGrid/>
              <w:spacing w:before="7" w:beforeAutospacing="0" w:afterAutospacing="0" w:line="440" w:lineRule="exact"/>
              <w:jc w:val="center"/>
              <w:textAlignment w:val="auto"/>
              <w:outlineLvl w:val="9"/>
              <w:rPr>
                <w:rFonts w:hint="eastAsia" w:cstheme="minorBidi"/>
                <w:kern w:val="2"/>
                <w:sz w:val="24"/>
                <w:szCs w:val="24"/>
                <w:lang w:val="en-US" w:eastAsia="zh-CN" w:bidi="ar-SA"/>
              </w:rPr>
            </w:pPr>
            <w:r>
              <w:rPr>
                <w:rFonts w:hint="eastAsia" w:cstheme="minorBidi"/>
                <w:kern w:val="2"/>
                <w:sz w:val="24"/>
                <w:szCs w:val="24"/>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34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4"/>
                <w:szCs w:val="24"/>
                <w:vertAlign w:val="baseline"/>
                <w:lang w:val="en-US" w:eastAsia="zh-CN" w:bidi="ar"/>
              </w:rPr>
            </w:pPr>
            <w:r>
              <w:rPr>
                <w:rFonts w:hint="eastAsia" w:ascii="黑体" w:hAnsi="黑体" w:eastAsia="黑体" w:cs="黑体"/>
                <w:kern w:val="0"/>
                <w:sz w:val="24"/>
                <w:szCs w:val="24"/>
                <w:vertAlign w:val="baseline"/>
                <w:lang w:val="en-US" w:eastAsia="zh-CN" w:bidi="ar"/>
              </w:rPr>
              <w:t>设立依据</w:t>
            </w:r>
          </w:p>
        </w:tc>
        <w:tc>
          <w:tcPr>
            <w:tcW w:w="7939" w:type="dxa"/>
            <w:gridSpan w:val="3"/>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中华人民共和国水法》（中华人民共和国主席令第四十八号，根据2016年7月2日第十二届全国人民代表大会常务委员会第二十一次会议《关于修改〈中华人民共和国节约能源法〉等六部法律的决定》第二次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第三十四条规定，“在江河、湖泊新建、改建或者扩大排污口，应当经过有管辖权的水行政主管部门或者流域管理机构同意，由环境保护行政主管部门负责对该建设项目的环境影响报告书进行审批”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二、《中华人民共和国水污染防治法(2017修正) 》（中华人民共和国主席令第七十号，现行版本为2017年6月27日第十二届全国人民代表大会常务委员会第二十八次会议修正，自2018年1月1日起施行）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第十九条 新建、改建、扩建直接或者间接向水体排放污染物的建设项目和其他水上设施，应当依法进行环境影响评价。 建设单位在江河、湖泊新建、改建、扩建排污口的，应当取得水行政主管部门或者流域管理机构同意；涉及通航、渔业水域的，环境保护主管部门在审批环境影响评价文件时，应当征求交通、渔业主管部门的意见。 建设项目的水污染防治设施，应当与主体工程同时设计、同时施工、同时投入使用。水污染防治设施应当符合经批准或者备案的环境影响评价文件的要求。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三、《入河排污口监督管理办法》（中华人民共和国水利部令第47号，2004年11月30日水利部令第22号发布，根据2015年12月16日《水利部关于废止和修改部分规章的决定》修正）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六条规定“设置入河排污口的单位（下称排污单位），应当在向环境保护行政主管部门报送建设项目环境影响报告书（表）之前，向有管辖权的县级以上地方人民政府水行政主管部门或者流域管理机构提出入河排污口设置申请。依法需要办理河道管理范围内建设项目审查手续或者取水许可审批手续的，排污单位应当根据具体要求，分别在提出河道管理范围内建设项目申请或者取水许可申请的同时，提出入河排污口设置申请。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四、《河南省机构改革方案》（豫办〔2018〕29号）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黑体" w:hAnsi="黑体" w:eastAsia="黑体" w:cs="黑体"/>
                <w:kern w:val="0"/>
                <w:sz w:val="24"/>
                <w:szCs w:val="24"/>
                <w:vertAlign w:val="baseline"/>
                <w:lang w:val="en-US" w:eastAsia="zh-CN" w:bidi="ar"/>
              </w:rPr>
            </w:pPr>
            <w:r>
              <w:rPr>
                <w:rFonts w:hint="eastAsia" w:ascii="宋体" w:hAnsi="宋体" w:eastAsia="宋体" w:cs="宋体"/>
                <w:kern w:val="0"/>
                <w:sz w:val="24"/>
                <w:szCs w:val="24"/>
                <w:lang w:val="en-US" w:eastAsia="zh-CN" w:bidi="ar"/>
              </w:rPr>
              <w:t>“将省水利厅入河排污口设置管理职能划转省生态环境厅。”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44"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4"/>
                <w:szCs w:val="24"/>
                <w:vertAlign w:val="baseline"/>
                <w:lang w:val="en-US" w:eastAsia="zh-CN" w:bidi="ar"/>
              </w:rPr>
            </w:pPr>
            <w:r>
              <w:rPr>
                <w:rFonts w:hint="eastAsia" w:ascii="黑体" w:eastAsia="黑体" w:hAnsiTheme="minorHAnsi" w:cstheme="minorBidi"/>
                <w:kern w:val="2"/>
                <w:sz w:val="24"/>
                <w:szCs w:val="24"/>
                <w:lang w:val="en-US" w:eastAsia="zh-CN" w:bidi="ar-SA"/>
              </w:rPr>
              <w:t>办理条件</w:t>
            </w:r>
          </w:p>
        </w:tc>
        <w:tc>
          <w:tcPr>
            <w:tcW w:w="7939"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outlineLvl w:val="9"/>
              <w:rPr>
                <w:rFonts w:hint="eastAsia" w:ascii="黑体" w:hAnsi="黑体" w:eastAsia="黑体" w:cs="黑体"/>
                <w:kern w:val="0"/>
                <w:sz w:val="24"/>
                <w:szCs w:val="24"/>
                <w:vertAlign w:val="baseline"/>
                <w:lang w:val="en-US" w:eastAsia="zh-CN" w:bidi="ar"/>
              </w:rPr>
            </w:pPr>
            <w:r>
              <w:rPr>
                <w:rFonts w:hint="eastAsia"/>
                <w:sz w:val="24"/>
                <w:szCs w:val="24"/>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34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4"/>
                <w:szCs w:val="24"/>
                <w:vertAlign w:val="baseline"/>
                <w:lang w:val="en-US" w:eastAsia="zh-CN" w:bidi="ar"/>
              </w:rPr>
            </w:pPr>
            <w:r>
              <w:rPr>
                <w:rFonts w:hint="eastAsia" w:ascii="黑体" w:eastAsia="黑体" w:hAnsiTheme="minorHAnsi" w:cstheme="minorBidi"/>
                <w:kern w:val="2"/>
                <w:sz w:val="24"/>
                <w:szCs w:val="24"/>
                <w:lang w:val="en-US" w:eastAsia="zh-CN" w:bidi="ar-SA"/>
              </w:rPr>
              <w:t>申办</w:t>
            </w:r>
            <w:r>
              <w:rPr>
                <w:rFonts w:hint="eastAsia" w:ascii="黑体" w:eastAsia="黑体" w:cstheme="minorBidi"/>
                <w:kern w:val="2"/>
                <w:sz w:val="24"/>
                <w:szCs w:val="24"/>
                <w:lang w:val="en-US" w:eastAsia="zh-CN" w:bidi="ar-SA"/>
              </w:rPr>
              <w:t>材料</w:t>
            </w:r>
          </w:p>
        </w:tc>
        <w:tc>
          <w:tcPr>
            <w:tcW w:w="7939"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sz w:val="24"/>
                <w:szCs w:val="24"/>
              </w:rPr>
            </w:pPr>
            <w:r>
              <w:rPr>
                <w:rFonts w:hint="eastAsia"/>
                <w:sz w:val="24"/>
                <w:szCs w:val="24"/>
              </w:rPr>
              <w:t>1</w:t>
            </w:r>
            <w:r>
              <w:rPr>
                <w:rFonts w:hint="eastAsia"/>
                <w:sz w:val="24"/>
                <w:szCs w:val="24"/>
                <w:lang w:eastAsia="zh-CN"/>
              </w:rPr>
              <w:t>、</w:t>
            </w:r>
            <w:r>
              <w:rPr>
                <w:rFonts w:hint="eastAsia"/>
                <w:sz w:val="24"/>
                <w:szCs w:val="24"/>
              </w:rPr>
              <w:t>入河排污口设置申请书</w:t>
            </w:r>
            <w:r>
              <w:rPr>
                <w:rFonts w:hint="eastAsia"/>
                <w:sz w:val="24"/>
                <w:szCs w:val="24"/>
              </w:rPr>
              <w:tab/>
            </w:r>
            <w:r>
              <w:rPr>
                <w:rFonts w:hint="eastAsia"/>
                <w:sz w:val="24"/>
                <w:szCs w:val="24"/>
              </w:rPr>
              <w:t>1份</w:t>
            </w:r>
            <w:r>
              <w:rPr>
                <w:rFonts w:hint="eastAsia"/>
                <w:sz w:val="24"/>
                <w:szCs w:val="24"/>
              </w:rPr>
              <w:tab/>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sz w:val="24"/>
                <w:szCs w:val="24"/>
              </w:rPr>
            </w:pPr>
            <w:r>
              <w:rPr>
                <w:rFonts w:hint="eastAsia"/>
                <w:sz w:val="24"/>
                <w:szCs w:val="24"/>
              </w:rPr>
              <w:t>2</w:t>
            </w:r>
            <w:r>
              <w:rPr>
                <w:rFonts w:hint="eastAsia"/>
                <w:sz w:val="24"/>
                <w:szCs w:val="24"/>
                <w:lang w:eastAsia="zh-CN"/>
              </w:rPr>
              <w:t>、</w:t>
            </w:r>
            <w:r>
              <w:rPr>
                <w:rFonts w:hint="eastAsia"/>
                <w:sz w:val="24"/>
                <w:szCs w:val="24"/>
              </w:rPr>
              <w:t>建设项目依据文件</w:t>
            </w:r>
            <w:r>
              <w:rPr>
                <w:rFonts w:hint="eastAsia"/>
                <w:sz w:val="24"/>
                <w:szCs w:val="24"/>
              </w:rPr>
              <w:tab/>
            </w:r>
            <w:r>
              <w:rPr>
                <w:rFonts w:hint="eastAsia"/>
                <w:sz w:val="24"/>
                <w:szCs w:val="24"/>
              </w:rPr>
              <w:t>1份</w:t>
            </w:r>
            <w:r>
              <w:rPr>
                <w:rFonts w:hint="eastAsia"/>
                <w:sz w:val="24"/>
                <w:szCs w:val="24"/>
              </w:rPr>
              <w:tab/>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黑体" w:hAnsi="黑体" w:eastAsia="黑体" w:cs="黑体"/>
                <w:kern w:val="0"/>
                <w:sz w:val="24"/>
                <w:szCs w:val="24"/>
                <w:vertAlign w:val="baseline"/>
                <w:lang w:val="en-US" w:eastAsia="zh-CN" w:bidi="ar"/>
              </w:rPr>
            </w:pPr>
            <w:r>
              <w:rPr>
                <w:rFonts w:hint="eastAsia"/>
                <w:sz w:val="24"/>
                <w:szCs w:val="24"/>
              </w:rPr>
              <w:t>3</w:t>
            </w:r>
            <w:r>
              <w:rPr>
                <w:rFonts w:hint="eastAsia"/>
                <w:sz w:val="24"/>
                <w:szCs w:val="24"/>
                <w:lang w:eastAsia="zh-CN"/>
              </w:rPr>
              <w:t>、</w:t>
            </w:r>
            <w:r>
              <w:rPr>
                <w:rFonts w:hint="eastAsia"/>
                <w:sz w:val="24"/>
                <w:szCs w:val="24"/>
              </w:rPr>
              <w:t>入河排污口设置论证报告书</w:t>
            </w:r>
            <w:r>
              <w:rPr>
                <w:rFonts w:hint="eastAsia"/>
                <w:sz w:val="24"/>
                <w:szCs w:val="24"/>
              </w:rPr>
              <w:tab/>
            </w:r>
            <w:r>
              <w:rPr>
                <w:rFonts w:hint="eastAsia"/>
                <w:sz w:val="24"/>
                <w:szCs w:val="24"/>
              </w:rPr>
              <w:t>1份</w:t>
            </w:r>
            <w:r>
              <w:rPr>
                <w:rFonts w:hint="eastAsia"/>
                <w:sz w:val="24"/>
                <w:szCs w:val="24"/>
              </w:rPr>
              <w:tab/>
            </w:r>
            <w:r>
              <w:rPr>
                <w:rFonts w:hint="eastAsia"/>
                <w:sz w:val="24"/>
                <w:szCs w:val="24"/>
              </w:rPr>
              <w:tab/>
            </w:r>
            <w:r>
              <w:rPr>
                <w:rFonts w:hint="eastAsia"/>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jc w:val="center"/>
        </w:trPr>
        <w:tc>
          <w:tcPr>
            <w:tcW w:w="134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4"/>
                <w:szCs w:val="24"/>
                <w:lang w:val="en-US" w:eastAsia="zh-CN" w:bidi="ar-SA"/>
              </w:rPr>
            </w:pPr>
            <w:r>
              <w:rPr>
                <w:rFonts w:hint="eastAsia" w:ascii="黑体" w:hAnsi="黑体" w:eastAsia="黑体" w:cs="黑体"/>
                <w:kern w:val="0"/>
                <w:sz w:val="24"/>
                <w:szCs w:val="24"/>
                <w:vertAlign w:val="baseline"/>
                <w:lang w:val="en-US" w:eastAsia="zh-CN" w:bidi="ar"/>
              </w:rPr>
              <w:t>办理流程</w:t>
            </w:r>
          </w:p>
        </w:tc>
        <w:tc>
          <w:tcPr>
            <w:tcW w:w="7939" w:type="dxa"/>
            <w:gridSpan w:val="3"/>
            <w:vAlign w:val="center"/>
          </w:tcPr>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环节名称：受理 ；办理人：孙义堂；办理时限：即时；审查标准：查看资料，确定审批级别是否正确；若审批级别错误需退回重新提交。；办理结果：在河南政务服务网上受理；</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环节名称：审核 ；办理人：王霞；办理时限：即时；审查标准：查阅资料并现场勘察，审核入河排污口设施是否合理合规，若通过审核，应在我局网站公示。；办理结果：在河南政务服务网上审核；</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环节名称：决定 ；办理人：石常民；办理时限：1个工作日；审查标准：汇同主要领导审核并作出决定；办理结果：在河南政务服务网上决定；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34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4"/>
                <w:szCs w:val="24"/>
                <w:lang w:val="en-US" w:eastAsia="zh-CN" w:bidi="ar-SA"/>
              </w:rPr>
            </w:pPr>
            <w:r>
              <w:rPr>
                <w:rFonts w:hint="eastAsia" w:ascii="黑体" w:eastAsia="黑体"/>
                <w:sz w:val="24"/>
                <w:szCs w:val="24"/>
                <w:lang w:val="en-US" w:eastAsia="zh-CN"/>
              </w:rPr>
              <w:t>收费依据及标准</w:t>
            </w:r>
          </w:p>
        </w:tc>
        <w:tc>
          <w:tcPr>
            <w:tcW w:w="7939"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4"/>
                <w:szCs w:val="24"/>
                <w:lang w:val="en-US" w:eastAsia="zh-CN" w:bidi="ar"/>
              </w:rPr>
            </w:pPr>
            <w:r>
              <w:rPr>
                <w:rFonts w:hint="eastAsia" w:cstheme="minorBidi"/>
                <w:kern w:val="2"/>
                <w:sz w:val="24"/>
                <w:szCs w:val="24"/>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34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4"/>
                <w:szCs w:val="24"/>
                <w:lang w:val="en-US" w:eastAsia="zh-CN" w:bidi="ar-SA"/>
              </w:rPr>
            </w:pPr>
            <w:r>
              <w:rPr>
                <w:rFonts w:hint="eastAsia" w:ascii="黑体" w:eastAsia="黑体" w:cstheme="minorBidi"/>
                <w:kern w:val="2"/>
                <w:sz w:val="24"/>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4"/>
                <w:szCs w:val="24"/>
                <w:lang w:val="en-US" w:eastAsia="zh-CN" w:bidi="ar-SA"/>
              </w:rPr>
            </w:pPr>
            <w:r>
              <w:rPr>
                <w:rFonts w:hint="eastAsia" w:ascii="黑体" w:eastAsia="黑体" w:cstheme="minorBidi"/>
                <w:kern w:val="2"/>
                <w:sz w:val="24"/>
                <w:szCs w:val="24"/>
                <w:lang w:val="en-US" w:eastAsia="zh-CN" w:bidi="ar-SA"/>
              </w:rPr>
              <w:t>渠道</w:t>
            </w:r>
          </w:p>
        </w:tc>
        <w:tc>
          <w:tcPr>
            <w:tcW w:w="7939"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4"/>
                <w:szCs w:val="24"/>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实施日期：2022年2月20日</w:t>
      </w:r>
    </w:p>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舒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033667C"/>
    <w:rsid w:val="024A4233"/>
    <w:rsid w:val="083F475C"/>
    <w:rsid w:val="0EFC79BB"/>
    <w:rsid w:val="113719A0"/>
    <w:rsid w:val="119E3A20"/>
    <w:rsid w:val="19FE7A97"/>
    <w:rsid w:val="1B1940BD"/>
    <w:rsid w:val="1C485609"/>
    <w:rsid w:val="1D4F5573"/>
    <w:rsid w:val="1EDA181F"/>
    <w:rsid w:val="257E2790"/>
    <w:rsid w:val="27BB2387"/>
    <w:rsid w:val="29BE5EE8"/>
    <w:rsid w:val="2E7374B6"/>
    <w:rsid w:val="31134876"/>
    <w:rsid w:val="35590E21"/>
    <w:rsid w:val="35A7447D"/>
    <w:rsid w:val="39F8778B"/>
    <w:rsid w:val="3C8C3F07"/>
    <w:rsid w:val="3D563222"/>
    <w:rsid w:val="3F345010"/>
    <w:rsid w:val="40392A15"/>
    <w:rsid w:val="419F61A2"/>
    <w:rsid w:val="442A5601"/>
    <w:rsid w:val="46E51B7E"/>
    <w:rsid w:val="49CC6710"/>
    <w:rsid w:val="4FC315B8"/>
    <w:rsid w:val="502918AA"/>
    <w:rsid w:val="5688094B"/>
    <w:rsid w:val="59DD77B5"/>
    <w:rsid w:val="5B10607B"/>
    <w:rsid w:val="6D535020"/>
    <w:rsid w:val="6E954826"/>
    <w:rsid w:val="72A22F33"/>
    <w:rsid w:val="74544908"/>
    <w:rsid w:val="7A6F3556"/>
    <w:rsid w:val="7DBB594B"/>
    <w:rsid w:val="7F2914EC"/>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1465</Words>
  <Characters>1550</Characters>
  <Lines>0</Lines>
  <Paragraphs>0</Paragraphs>
  <TotalTime>0</TotalTime>
  <ScaleCrop>false</ScaleCrop>
  <LinksUpToDate>false</LinksUpToDate>
  <CharactersWithSpaces>1580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2022-03-11T08:02:40Z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11CB8DF2D5E04D34B37A34C52426F8F7</vt:lpwstr>
  </property>
</Properties>
</file>