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52"/>
          <w:szCs w:val="52"/>
        </w:rPr>
      </w:pPr>
      <w:r>
        <w:rPr>
          <w:rFonts w:hint="eastAsia" w:ascii="黑体" w:hAnsi="黑体" w:eastAsia="黑体" w:cs="黑体"/>
          <w:i w:val="0"/>
          <w:caps w:val="0"/>
          <w:color w:val="000000"/>
          <w:spacing w:val="0"/>
          <w:sz w:val="32"/>
          <w:szCs w:val="32"/>
        </w:rPr>
        <w:t>《危险废物经营许可证》遗失补办</w:t>
      </w:r>
      <w:r>
        <w:rPr>
          <w:rFonts w:hint="eastAsia" w:ascii="黑体" w:hAnsi="黑体" w:eastAsia="黑体" w:cs="黑体"/>
          <w:kern w:val="0"/>
          <w:sz w:val="32"/>
          <w:szCs w:val="32"/>
        </w:rPr>
        <w:t>服务指南</w:t>
      </w:r>
    </w:p>
    <w:p>
      <w:pPr>
        <w:pStyle w:val="2"/>
        <w:ind w:left="557"/>
        <w:jc w:val="right"/>
        <w:rPr>
          <w:rFonts w:hint="eastAsia" w:ascii="黑体" w:hAnsi="黑体" w:eastAsia="黑体" w:cs="黑体"/>
          <w:sz w:val="21"/>
          <w:szCs w:val="21"/>
        </w:rPr>
      </w:pPr>
      <w:r>
        <w:rPr>
          <w:rFonts w:hint="eastAsia" w:ascii="黑体" w:hAnsi="黑体" w:eastAsia="黑体" w:cs="黑体"/>
          <w:sz w:val="21"/>
          <w:szCs w:val="21"/>
          <w:lang w:val="en-US" w:eastAsia="zh-CN"/>
        </w:rPr>
        <w:t>事项编码</w:t>
      </w:r>
      <w:r>
        <w:rPr>
          <w:rFonts w:hint="eastAsia" w:ascii="黑体" w:hAnsi="黑体" w:eastAsia="黑体" w:cs="黑体"/>
          <w:sz w:val="21"/>
          <w:szCs w:val="21"/>
        </w:rPr>
        <w:t>729615800XK8109500e</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857"/>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bookmarkStart w:id="0" w:name="_GoBack" w:colFirst="2" w:colLast="2"/>
            <w:r>
              <w:rPr>
                <w:rFonts w:hint="eastAsia" w:ascii="黑体" w:hAnsi="黑体" w:eastAsia="黑体" w:cs="黑体"/>
                <w:kern w:val="0"/>
                <w:sz w:val="21"/>
                <w:szCs w:val="21"/>
              </w:rPr>
              <w:t>适用范围</w:t>
            </w:r>
          </w:p>
        </w:tc>
        <w:tc>
          <w:tcPr>
            <w:tcW w:w="2857" w:type="dxa"/>
            <w:vAlign w:val="center"/>
          </w:tcPr>
          <w:p>
            <w:pPr>
              <w:pStyle w:val="2"/>
              <w:ind w:left="557"/>
              <w:jc w:val="center"/>
              <w:rPr>
                <w:rFonts w:hint="eastAsia" w:ascii="宋体" w:hAnsi="宋体" w:eastAsia="宋体" w:cs="宋体"/>
                <w:kern w:val="0"/>
                <w:sz w:val="24"/>
                <w:szCs w:val="24"/>
              </w:rPr>
            </w:pPr>
            <w:r>
              <w:rPr>
                <w:rFonts w:hint="eastAsia" w:ascii="宋体" w:hAnsi="宋体" w:eastAsia="宋体" w:cs="宋体"/>
                <w:sz w:val="24"/>
                <w:szCs w:val="24"/>
              </w:rPr>
              <w:t>个人、法人</w:t>
            </w:r>
          </w:p>
        </w:tc>
        <w:tc>
          <w:tcPr>
            <w:tcW w:w="1958"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事项类型</w:t>
            </w:r>
          </w:p>
        </w:tc>
        <w:tc>
          <w:tcPr>
            <w:tcW w:w="2408" w:type="dxa"/>
            <w:vAlign w:val="center"/>
          </w:tcPr>
          <w:p>
            <w:pPr>
              <w:pStyle w:val="2"/>
              <w:spacing w:before="1"/>
              <w:ind w:left="132" w:firstLine="472" w:firstLineChars="200"/>
              <w:rPr>
                <w:rFonts w:hint="eastAsia" w:ascii="宋体" w:hAnsi="宋体" w:eastAsia="宋体" w:cs="宋体"/>
                <w:kern w:val="0"/>
                <w:sz w:val="24"/>
                <w:szCs w:val="24"/>
              </w:rPr>
            </w:pPr>
            <w:r>
              <w:rPr>
                <w:rFonts w:hint="eastAsia" w:ascii="宋体" w:hAnsi="宋体" w:eastAsia="宋体" w:cs="宋体"/>
                <w:spacing w:val="-2"/>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受理机构</w:t>
            </w:r>
          </w:p>
        </w:tc>
        <w:tc>
          <w:tcPr>
            <w:tcW w:w="285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桐柏县行政审批服务中心</w:t>
            </w:r>
          </w:p>
        </w:tc>
        <w:tc>
          <w:tcPr>
            <w:tcW w:w="1958" w:type="dxa"/>
            <w:vAlign w:val="center"/>
          </w:tcPr>
          <w:p>
            <w:pPr>
              <w:pStyle w:val="2"/>
              <w:spacing w:before="1"/>
              <w:ind w:left="133"/>
              <w:jc w:val="center"/>
              <w:rPr>
                <w:rFonts w:hint="eastAsia" w:ascii="黑体" w:hAnsi="黑体" w:eastAsia="黑体" w:cs="黑体"/>
                <w:kern w:val="0"/>
                <w:sz w:val="21"/>
                <w:szCs w:val="21"/>
              </w:rPr>
            </w:pPr>
            <w:r>
              <w:rPr>
                <w:rFonts w:hint="eastAsia" w:ascii="黑体" w:hAnsi="黑体" w:eastAsia="黑体" w:cs="黑体"/>
                <w:sz w:val="21"/>
                <w:szCs w:val="21"/>
              </w:rPr>
              <w:t>决定机构</w:t>
            </w:r>
          </w:p>
        </w:tc>
        <w:tc>
          <w:tcPr>
            <w:tcW w:w="2408" w:type="dxa"/>
            <w:vAlign w:val="center"/>
          </w:tcPr>
          <w:p>
            <w:pPr>
              <w:pStyle w:val="2"/>
              <w:spacing w:before="7"/>
              <w:jc w:val="center"/>
              <w:rPr>
                <w:rFonts w:hint="eastAsia" w:ascii="宋体" w:hAnsi="宋体" w:eastAsia="宋体" w:cs="宋体"/>
                <w:spacing w:val="-2"/>
                <w:sz w:val="24"/>
                <w:szCs w:val="24"/>
                <w:lang w:val="en-US" w:eastAsia="zh-CN"/>
              </w:rPr>
            </w:pPr>
            <w:r>
              <w:rPr>
                <w:rFonts w:hint="eastAsia" w:ascii="宋体" w:hAnsi="宋体" w:eastAsia="宋体" w:cs="宋体"/>
                <w:sz w:val="24"/>
                <w:szCs w:val="24"/>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办理时限</w:t>
            </w:r>
          </w:p>
        </w:tc>
        <w:tc>
          <w:tcPr>
            <w:tcW w:w="285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法定时限：20个工作日</w:t>
            </w:r>
          </w:p>
          <w:p>
            <w:pPr>
              <w:jc w:val="left"/>
              <w:rPr>
                <w:rFonts w:hint="eastAsia" w:ascii="宋体" w:hAnsi="宋体" w:eastAsia="宋体" w:cs="宋体"/>
                <w:sz w:val="24"/>
                <w:szCs w:val="24"/>
              </w:rPr>
            </w:pPr>
            <w:r>
              <w:rPr>
                <w:rFonts w:hint="eastAsia" w:ascii="宋体" w:hAnsi="宋体" w:eastAsia="宋体" w:cs="宋体"/>
                <w:sz w:val="24"/>
                <w:szCs w:val="24"/>
              </w:rPr>
              <w:t>承诺时限：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咨询方式</w:t>
            </w:r>
          </w:p>
        </w:tc>
        <w:tc>
          <w:tcPr>
            <w:tcW w:w="24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现场咨询</w:t>
            </w:r>
          </w:p>
          <w:p>
            <w:pPr>
              <w:pStyle w:val="2"/>
              <w:spacing w:before="7"/>
              <w:jc w:val="left"/>
              <w:rPr>
                <w:rFonts w:hint="eastAsia" w:ascii="宋体" w:hAnsi="宋体" w:eastAsia="宋体" w:cs="宋体"/>
                <w:sz w:val="24"/>
                <w:szCs w:val="24"/>
                <w:lang w:val="en-US" w:eastAsia="zh-CN"/>
              </w:rPr>
            </w:pPr>
            <w:r>
              <w:rPr>
                <w:rFonts w:hint="eastAsia" w:ascii="宋体" w:hAnsi="宋体" w:eastAsia="宋体" w:cs="宋体"/>
                <w:sz w:val="24"/>
                <w:szCs w:val="24"/>
              </w:rPr>
              <w:t>电话咨询：</w:t>
            </w:r>
            <w:r>
              <w:rPr>
                <w:rFonts w:hint="eastAsia" w:ascii="宋体" w:hAnsi="宋体" w:eastAsia="宋体" w:cs="宋体"/>
                <w:sz w:val="24"/>
                <w:szCs w:val="24"/>
                <w:lang w:val="en-US" w:eastAsia="zh-CN"/>
              </w:rPr>
              <w:t>0</w:t>
            </w:r>
            <w:r>
              <w:rPr>
                <w:rFonts w:hint="eastAsia" w:ascii="宋体" w:hAnsi="宋体" w:eastAsia="宋体" w:cs="宋体"/>
                <w:sz w:val="24"/>
                <w:szCs w:val="24"/>
              </w:rPr>
              <w:t>377-</w:t>
            </w:r>
            <w:r>
              <w:rPr>
                <w:rFonts w:hint="eastAsia" w:ascii="宋体" w:hAnsi="宋体" w:eastAsia="宋体" w:cs="宋体"/>
                <w:sz w:val="24"/>
                <w:szCs w:val="24"/>
                <w:lang w:val="en-US" w:eastAsia="zh-CN"/>
              </w:rPr>
              <w:t>68218836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受理方式</w:t>
            </w:r>
          </w:p>
        </w:tc>
        <w:tc>
          <w:tcPr>
            <w:tcW w:w="285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窗口受理、网上申报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结果送达</w:t>
            </w:r>
          </w:p>
        </w:tc>
        <w:tc>
          <w:tcPr>
            <w:tcW w:w="2408" w:type="dxa"/>
            <w:vAlign w:val="center"/>
          </w:tcPr>
          <w:p>
            <w:pPr>
              <w:pStyle w:val="2"/>
              <w:spacing w:before="7"/>
              <w:jc w:val="left"/>
              <w:rPr>
                <w:rFonts w:hint="eastAsia" w:ascii="宋体" w:hAnsi="宋体" w:eastAsia="宋体" w:cs="宋体"/>
                <w:sz w:val="24"/>
                <w:szCs w:val="24"/>
              </w:rPr>
            </w:pPr>
            <w:r>
              <w:rPr>
                <w:rFonts w:hint="eastAsia" w:ascii="宋体" w:hAnsi="宋体" w:eastAsia="宋体" w:cs="宋体"/>
                <w:sz w:val="24"/>
                <w:szCs w:val="24"/>
              </w:rPr>
              <w:t>窗口领取、邮递送达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设立依据</w:t>
            </w:r>
          </w:p>
        </w:tc>
        <w:tc>
          <w:tcPr>
            <w:tcW w:w="7223" w:type="dxa"/>
            <w:gridSpan w:val="3"/>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kern w:val="0"/>
                <w:sz w:val="24"/>
                <w:szCs w:val="24"/>
              </w:rPr>
            </w:pPr>
            <w:r>
              <w:rPr>
                <w:rFonts w:hint="eastAsia" w:ascii="宋体" w:hAnsi="宋体" w:eastAsia="宋体" w:cs="宋体"/>
                <w:sz w:val="24"/>
                <w:szCs w:val="24"/>
              </w:rPr>
              <w:t>《中华人民共和国固体废物污染环境防治法》（1995年10月30日中华人民共和国主席令第58号，2020年4月29日第十三届全国人民代表大会常务委员会第十七次会议第二次修订）第八十条：从事收集、贮存、利用、处置危险废物经营活动的单位，应当按照国家有关规定申请取得许可证。许可证的具体管理办法由国务院制定。</w:t>
            </w:r>
            <w:r>
              <w:rPr>
                <w:rFonts w:hint="eastAsia" w:ascii="宋体" w:hAnsi="宋体" w:eastAsia="宋体" w:cs="宋体"/>
                <w:sz w:val="24"/>
                <w:szCs w:val="24"/>
              </w:rPr>
              <w:br w:type="textWrapping"/>
            </w:r>
            <w:r>
              <w:rPr>
                <w:rFonts w:hint="eastAsia" w:ascii="宋体" w:hAnsi="宋体" w:eastAsia="宋体" w:cs="宋体"/>
                <w:sz w:val="24"/>
                <w:szCs w:val="24"/>
              </w:rPr>
              <w:t>　　禁止无许可证或者未按照许可证规定从事危险废物收集、贮存、利用、处置的经营活动。</w:t>
            </w:r>
            <w:r>
              <w:rPr>
                <w:rFonts w:hint="eastAsia" w:ascii="宋体" w:hAnsi="宋体" w:eastAsia="宋体" w:cs="宋体"/>
                <w:sz w:val="24"/>
                <w:szCs w:val="24"/>
              </w:rPr>
              <w:br w:type="textWrapping"/>
            </w:r>
            <w:r>
              <w:rPr>
                <w:rFonts w:hint="eastAsia" w:ascii="宋体" w:hAnsi="宋体" w:eastAsia="宋体" w:cs="宋体"/>
                <w:sz w:val="24"/>
                <w:szCs w:val="24"/>
              </w:rPr>
              <w:t>　　禁止将危险废物提供或者委托给无许可证的单位或者其他生产经营者从事收集、贮存、利用、处置活动。</w:t>
            </w:r>
            <w:r>
              <w:rPr>
                <w:rFonts w:hint="eastAsia" w:ascii="宋体" w:hAnsi="宋体" w:eastAsia="宋体" w:cs="宋体"/>
                <w:sz w:val="24"/>
                <w:szCs w:val="24"/>
              </w:rPr>
              <w:br w:type="textWrapping"/>
            </w:r>
            <w:r>
              <w:rPr>
                <w:rFonts w:hint="eastAsia" w:ascii="宋体" w:hAnsi="宋体" w:eastAsia="宋体" w:cs="宋体"/>
                <w:sz w:val="24"/>
                <w:szCs w:val="24"/>
              </w:rPr>
              <w:t>《危险废物经营许可证管理办法》（2004年5月30日国务院令第408号，2016年2月6日予以修改）第二条：在中华人民共和国境内从事危险废物收集、贮存、处置经营活动的单位，应当依照本办法的规定，领取危险废物经营许可证。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r>
              <w:rPr>
                <w:rFonts w:hint="eastAsia" w:ascii="宋体" w:hAnsi="宋体" w:eastAsia="宋体" w:cs="宋体"/>
                <w:sz w:val="24"/>
                <w:szCs w:val="24"/>
              </w:rPr>
              <w:br w:type="textWrapping"/>
            </w:r>
            <w:r>
              <w:rPr>
                <w:rFonts w:hint="eastAsia" w:ascii="宋体" w:hAnsi="宋体" w:eastAsia="宋体" w:cs="宋体"/>
                <w:sz w:val="24"/>
                <w:szCs w:val="24"/>
              </w:rPr>
              <w:t>《医疗废物管理条例》（2003年6月16日国务院令第380号，2011年1月8日予以修改）第二十二条：从事医疗废物集中处置活动的单位，应当向县级以上人民政府环境保护行政主管部门申请领取经营许可证；未取得经营许可证的单位，不得从事有关医疗废物集中处置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97" w:type="dxa"/>
            <w:vAlign w:val="center"/>
          </w:tcPr>
          <w:p>
            <w:pPr>
              <w:pStyle w:val="2"/>
              <w:ind w:firstLine="420" w:firstLineChars="200"/>
              <w:rPr>
                <w:rFonts w:hint="eastAsia" w:ascii="黑体" w:hAnsi="黑体" w:eastAsia="黑体" w:cs="黑体"/>
                <w:kern w:val="0"/>
                <w:sz w:val="21"/>
                <w:szCs w:val="21"/>
              </w:rPr>
            </w:pPr>
            <w:r>
              <w:rPr>
                <w:rFonts w:hint="eastAsia" w:ascii="黑体" w:hAnsi="黑体" w:eastAsia="黑体" w:cs="黑体"/>
                <w:sz w:val="21"/>
                <w:szCs w:val="21"/>
              </w:rPr>
              <w:t>办理条件</w:t>
            </w:r>
          </w:p>
        </w:tc>
        <w:tc>
          <w:tcPr>
            <w:tcW w:w="7223" w:type="dxa"/>
            <w:gridSpan w:val="3"/>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b/>
                <w:bCs/>
                <w:kern w:val="0"/>
                <w:sz w:val="24"/>
                <w:szCs w:val="24"/>
              </w:rPr>
            </w:pPr>
            <w:r>
              <w:rPr>
                <w:rFonts w:hint="eastAsia" w:ascii="宋体" w:hAnsi="宋体" w:eastAsia="宋体" w:cs="宋体"/>
                <w:sz w:val="24"/>
                <w:szCs w:val="24"/>
              </w:rPr>
              <w:t>企业已持有《危险废物经营许可证》并在有效期内，发生遗失且继续从事危险废物经营活动的。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申办材料</w:t>
            </w:r>
          </w:p>
        </w:tc>
        <w:tc>
          <w:tcPr>
            <w:tcW w:w="7223" w:type="dxa"/>
            <w:gridSpan w:val="3"/>
            <w:vAlign w:val="center"/>
          </w:tcPr>
          <w:p>
            <w:pPr>
              <w:jc w:val="left"/>
              <w:rPr>
                <w:rFonts w:hint="eastAsia" w:ascii="宋体" w:hAnsi="宋体" w:eastAsia="宋体" w:cs="宋体"/>
                <w:kern w:val="0"/>
                <w:sz w:val="24"/>
                <w:szCs w:val="24"/>
                <w:lang w:val="en-US" w:eastAsia="zh-CN"/>
              </w:rPr>
            </w:pPr>
            <w:r>
              <w:rPr>
                <w:rFonts w:hint="eastAsia" w:ascii="宋体" w:hAnsi="宋体" w:eastAsia="宋体" w:cs="宋体"/>
                <w:sz w:val="24"/>
                <w:szCs w:val="24"/>
              </w:rPr>
              <w:t>企业关于申领《危险废物经营许可证》遗失补办的申请</w:t>
            </w: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lang w:val="en-US" w:eastAsia="zh-CN"/>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办理流程</w:t>
            </w:r>
          </w:p>
        </w:tc>
        <w:tc>
          <w:tcPr>
            <w:tcW w:w="7223" w:type="dxa"/>
            <w:gridSpan w:val="3"/>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i w:val="0"/>
                <w:caps w:val="0"/>
                <w:color w:val="4A4A4A"/>
                <w:spacing w:val="0"/>
                <w:sz w:val="24"/>
                <w:szCs w:val="24"/>
              </w:rPr>
              <w:t>环节名称：受理 ；办理人：唐有记；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环节名称：审核 ；办理人：袁琳；办理时限：一个工作日；审查标准：在受理申报材料后，由办理科室对内容进行审查；办理结果：提出初步意见，转入决定步骤；</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环节名称：决定 ；办理人：孙立新；办理时限：即时；审查标准：在办理科室审查完成后，实施部门应在承诺时限内作出是否同意申请政务服务事项的决定；办理结果：申请符合规定的，准予审批通过；申请不符合规定的，不予审批通过；</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办理结果：窗口领取、代理人领取、委托送达、公告送达、邮寄送达；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收费依据及标准</w:t>
            </w:r>
          </w:p>
        </w:tc>
        <w:tc>
          <w:tcPr>
            <w:tcW w:w="7223" w:type="dxa"/>
            <w:gridSpan w:val="3"/>
            <w:vAlign w:val="center"/>
          </w:tcPr>
          <w:p>
            <w:pPr>
              <w:pStyle w:val="2"/>
              <w:spacing w:before="7"/>
              <w:jc w:val="center"/>
              <w:rPr>
                <w:rFonts w:hint="eastAsia" w:ascii="宋体" w:hAnsi="宋体" w:eastAsia="宋体" w:cs="宋体"/>
                <w:sz w:val="24"/>
                <w:szCs w:val="24"/>
              </w:rPr>
            </w:pPr>
            <w:r>
              <w:rPr>
                <w:rFonts w:hint="eastAsia" w:ascii="宋体" w:hAnsi="宋体" w:eastAsia="宋体"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监督投诉渠道</w:t>
            </w:r>
          </w:p>
        </w:tc>
        <w:tc>
          <w:tcPr>
            <w:tcW w:w="7223"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中心督查股：0377-83973066、热线电话：12345</w:t>
            </w:r>
          </w:p>
        </w:tc>
      </w:tr>
    </w:tbl>
    <w:p>
      <w:pPr>
        <w:jc w:val="both"/>
        <w:rPr>
          <w:rFonts w:ascii="黑体" w:hAnsi="黑体" w:eastAsia="黑体" w:cs="黑体"/>
          <w:kern w:val="0"/>
          <w:sz w:val="10"/>
          <w:szCs w:val="10"/>
        </w:rPr>
      </w:pPr>
    </w:p>
    <w:p>
      <w:pPr>
        <w:jc w:val="left"/>
        <w:rPr>
          <w:rFonts w:ascii="黑体" w:hAnsi="黑体" w:eastAsia="黑体" w:cs="黑体"/>
          <w:kern w:val="0"/>
          <w:sz w:val="28"/>
          <w:szCs w:val="28"/>
        </w:rPr>
      </w:pPr>
      <w:r>
        <w:rPr>
          <w:rFonts w:hint="eastAsia" w:ascii="黑体" w:hAnsi="黑体" w:eastAsia="黑体" w:cs="黑体"/>
          <w:kern w:val="0"/>
          <w:sz w:val="28"/>
          <w:szCs w:val="28"/>
        </w:rPr>
        <w:t>发布日期：202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月20日         实施日期：202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w:t>
      </w:r>
      <w:r>
        <w:rPr>
          <w:rFonts w:hint="eastAsia" w:ascii="黑体" w:hAnsi="黑体" w:eastAsia="黑体" w:cs="黑体"/>
          <w:kern w:val="0"/>
          <w:sz w:val="28"/>
          <w:szCs w:val="28"/>
          <w:lang w:val="en-US" w:eastAsia="zh-CN"/>
        </w:rPr>
        <w:t>0</w:t>
      </w:r>
      <w:r>
        <w:rPr>
          <w:rFonts w:hint="eastAsia" w:ascii="黑体" w:hAnsi="黑体" w:eastAsia="黑体" w:cs="黑体"/>
          <w:kern w:val="0"/>
          <w:sz w:val="28"/>
          <w:szCs w:val="28"/>
        </w:rPr>
        <w:t xml:space="preserve">日    </w:t>
      </w:r>
    </w:p>
    <w:p>
      <w:pPr>
        <w:jc w:val="center"/>
        <w:rPr>
          <w:rFonts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4A4233"/>
    <w:rsid w:val="001A26A7"/>
    <w:rsid w:val="002142EF"/>
    <w:rsid w:val="003B0AF4"/>
    <w:rsid w:val="004A3070"/>
    <w:rsid w:val="00564111"/>
    <w:rsid w:val="006D728D"/>
    <w:rsid w:val="008B6792"/>
    <w:rsid w:val="00914AD4"/>
    <w:rsid w:val="00921E4E"/>
    <w:rsid w:val="00BA5A1D"/>
    <w:rsid w:val="00C36E50"/>
    <w:rsid w:val="00CB6FA0"/>
    <w:rsid w:val="00E32A13"/>
    <w:rsid w:val="00F36ABC"/>
    <w:rsid w:val="00FC30E0"/>
    <w:rsid w:val="024A4233"/>
    <w:rsid w:val="02E16EBE"/>
    <w:rsid w:val="113719A0"/>
    <w:rsid w:val="119E3A20"/>
    <w:rsid w:val="18310660"/>
    <w:rsid w:val="18CE4305"/>
    <w:rsid w:val="1AF80583"/>
    <w:rsid w:val="1BBA2C7F"/>
    <w:rsid w:val="1D4F5573"/>
    <w:rsid w:val="22734880"/>
    <w:rsid w:val="275D68DA"/>
    <w:rsid w:val="289A3A2A"/>
    <w:rsid w:val="2EB828ED"/>
    <w:rsid w:val="35EC0BB0"/>
    <w:rsid w:val="385804AD"/>
    <w:rsid w:val="3F005305"/>
    <w:rsid w:val="3F345010"/>
    <w:rsid w:val="49CC6710"/>
    <w:rsid w:val="5371176F"/>
    <w:rsid w:val="59DD77B5"/>
    <w:rsid w:val="5B10607B"/>
    <w:rsid w:val="6D535020"/>
    <w:rsid w:val="6E68110D"/>
    <w:rsid w:val="6E973E8B"/>
    <w:rsid w:val="6F707EE1"/>
    <w:rsid w:val="74544908"/>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1"/>
    </w:rPr>
  </w:style>
  <w:style w:type="paragraph" w:styleId="3">
    <w:name w:val="Balloon Text"/>
    <w:basedOn w:val="1"/>
    <w:link w:val="15"/>
    <w:qFormat/>
    <w:uiPriority w:val="0"/>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TML Definition"/>
    <w:basedOn w:val="7"/>
    <w:qFormat/>
    <w:uiPriority w:val="0"/>
    <w:rPr>
      <w:i/>
    </w:rPr>
  </w:style>
  <w:style w:type="character" w:styleId="11">
    <w:name w:val="Hyperlink"/>
    <w:basedOn w:val="7"/>
    <w:qFormat/>
    <w:uiPriority w:val="0"/>
    <w:rPr>
      <w:color w:val="0000FF"/>
      <w:u w:val="none"/>
    </w:rPr>
  </w:style>
  <w:style w:type="character" w:styleId="12">
    <w:name w:val="HTML Code"/>
    <w:basedOn w:val="7"/>
    <w:qFormat/>
    <w:uiPriority w:val="0"/>
    <w:rPr>
      <w:rFonts w:hint="default" w:ascii="monospace" w:hAnsi="monospace" w:eastAsia="monospace" w:cs="monospace"/>
      <w:color w:val="606266"/>
      <w:sz w:val="21"/>
      <w:szCs w:val="21"/>
      <w:shd w:val="clear" w:fill="F5F7FA"/>
    </w:rPr>
  </w:style>
  <w:style w:type="character" w:styleId="13">
    <w:name w:val="HTML Keyboard"/>
    <w:basedOn w:val="7"/>
    <w:qFormat/>
    <w:uiPriority w:val="0"/>
    <w:rPr>
      <w:rFonts w:ascii="monospace" w:hAnsi="monospace" w:eastAsia="monospace" w:cs="monospace"/>
      <w:sz w:val="21"/>
      <w:szCs w:val="21"/>
    </w:rPr>
  </w:style>
  <w:style w:type="character" w:styleId="14">
    <w:name w:val="HTML Sample"/>
    <w:basedOn w:val="7"/>
    <w:qFormat/>
    <w:uiPriority w:val="0"/>
    <w:rPr>
      <w:rFonts w:hint="default" w:ascii="monospace" w:hAnsi="monospace" w:eastAsia="monospace" w:cs="monospace"/>
      <w:sz w:val="21"/>
      <w:szCs w:val="21"/>
    </w:rPr>
  </w:style>
  <w:style w:type="character" w:customStyle="1" w:styleId="15">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6">
    <w:name w:val="hover"/>
    <w:basedOn w:val="7"/>
    <w:qFormat/>
    <w:uiPriority w:val="0"/>
    <w:rPr>
      <w:shd w:val="clear" w:fill="0B3791"/>
    </w:rPr>
  </w:style>
  <w:style w:type="character" w:customStyle="1" w:styleId="17">
    <w:name w:val="hover1"/>
    <w:basedOn w:val="7"/>
    <w:qFormat/>
    <w:uiPriority w:val="0"/>
    <w:rPr>
      <w:shd w:val="clear" w:fill="0B3791"/>
    </w:rPr>
  </w:style>
  <w:style w:type="character" w:customStyle="1" w:styleId="18">
    <w:name w:val="not([class*=suffix])"/>
    <w:basedOn w:val="7"/>
    <w:qFormat/>
    <w:uiPriority w:val="0"/>
  </w:style>
  <w:style w:type="character" w:customStyle="1" w:styleId="19">
    <w:name w:val="not([class*=suffix])1"/>
    <w:basedOn w:val="7"/>
    <w:qFormat/>
    <w:uiPriority w:val="0"/>
    <w:rPr>
      <w:sz w:val="19"/>
      <w:szCs w:val="19"/>
    </w:rPr>
  </w:style>
  <w:style w:type="character" w:customStyle="1" w:styleId="20">
    <w:name w:val="hover13"/>
    <w:basedOn w:val="7"/>
    <w:qFormat/>
    <w:uiPriority w:val="0"/>
    <w:rPr>
      <w:shd w:val="clear" w:fill="0B3791"/>
    </w:rPr>
  </w:style>
  <w:style w:type="character" w:customStyle="1" w:styleId="21">
    <w:name w:val="hover14"/>
    <w:basedOn w:val="7"/>
    <w:qFormat/>
    <w:uiPriority w:val="0"/>
    <w:rPr>
      <w:shd w:val="clear" w:fill="0B3791"/>
    </w:rPr>
  </w:style>
  <w:style w:type="character" w:customStyle="1" w:styleId="22">
    <w:name w:val="hover11"/>
    <w:basedOn w:val="7"/>
    <w:qFormat/>
    <w:uiPriority w:val="0"/>
    <w:rPr>
      <w:shd w:val="clear" w:fill="0B3791"/>
    </w:rPr>
  </w:style>
  <w:style w:type="character" w:customStyle="1" w:styleId="23">
    <w:name w:val="hover12"/>
    <w:basedOn w:val="7"/>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142</Words>
  <Characters>811</Characters>
  <Lines>6</Lines>
  <Paragraphs>1</Paragraphs>
  <TotalTime>0</TotalTime>
  <ScaleCrop>false</ScaleCrop>
  <LinksUpToDate>false</LinksUpToDate>
  <CharactersWithSpaces>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2022-03-01T07:20:29Z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1136954332_btnclosed</vt:lpwstr>
  </property>
  <property fmtid="{D5CDD505-2E9C-101B-9397-08002B2CF9AE}" pid="4" name="ICV">
    <vt:lpwstr>3275B408D0B44490BDC063D770A832D5</vt:lpwstr>
  </property>
</Properties>
</file>