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48"/>
          <w:szCs w:val="48"/>
          <w:lang w:val="en-US" w:eastAsia="zh-CN"/>
        </w:rPr>
        <w:t xml:space="preserve">  </w:t>
      </w:r>
      <w:r>
        <w:rPr>
          <w:rFonts w:hint="eastAsia" w:ascii="黑体" w:hAnsi="黑体" w:eastAsia="黑体" w:cs="黑体"/>
          <w:i w:val="0"/>
          <w:caps w:val="0"/>
          <w:color w:val="000000"/>
          <w:spacing w:val="0"/>
          <w:sz w:val="32"/>
          <w:szCs w:val="32"/>
        </w:rPr>
        <w:t>到期换发《危险废物收集经营许可证》</w:t>
      </w:r>
      <w:r>
        <w:rPr>
          <w:rFonts w:hint="eastAsia" w:ascii="黑体" w:hAnsi="黑体" w:eastAsia="黑体" w:cs="黑体"/>
          <w:kern w:val="0"/>
          <w:sz w:val="32"/>
          <w:szCs w:val="32"/>
        </w:rPr>
        <w:t>服务指南</w:t>
      </w:r>
    </w:p>
    <w:p>
      <w:pPr>
        <w:pStyle w:val="2"/>
        <w:ind w:left="557"/>
        <w:jc w:val="right"/>
        <w:rPr>
          <w:rFonts w:hint="eastAsia" w:ascii="黑体" w:hAnsi="黑体" w:eastAsia="黑体" w:cs="黑体"/>
          <w:sz w:val="21"/>
          <w:szCs w:val="21"/>
        </w:rPr>
      </w:pPr>
      <w:r>
        <w:rPr>
          <w:rFonts w:hint="eastAsia" w:ascii="黑体" w:hAnsi="黑体" w:eastAsia="黑体" w:cs="黑体"/>
          <w:sz w:val="21"/>
          <w:szCs w:val="21"/>
          <w:lang w:val="en-US" w:eastAsia="zh-CN"/>
        </w:rPr>
        <w:t>事项编码</w:t>
      </w:r>
      <w:r>
        <w:rPr>
          <w:rFonts w:hint="eastAsia" w:ascii="黑体" w:hAnsi="黑体" w:eastAsia="黑体" w:cs="黑体"/>
          <w:sz w:val="21"/>
          <w:szCs w:val="21"/>
        </w:rPr>
        <w:t>729615800XK8109500d</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3"/>
        <w:gridCol w:w="2844"/>
        <w:gridCol w:w="195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bookmarkStart w:id="0" w:name="_GoBack" w:colFirst="2" w:colLast="2"/>
            <w:r>
              <w:rPr>
                <w:rFonts w:hint="eastAsia" w:ascii="黑体" w:hAnsi="黑体" w:eastAsia="黑体" w:cs="黑体"/>
                <w:kern w:val="0"/>
                <w:sz w:val="21"/>
                <w:szCs w:val="21"/>
              </w:rPr>
              <w:t>适用范围</w:t>
            </w:r>
          </w:p>
        </w:tc>
        <w:tc>
          <w:tcPr>
            <w:tcW w:w="2857" w:type="dxa"/>
            <w:gridSpan w:val="2"/>
            <w:vAlign w:val="center"/>
          </w:tcPr>
          <w:p>
            <w:pPr>
              <w:pStyle w:val="2"/>
              <w:ind w:left="557"/>
              <w:jc w:val="center"/>
              <w:rPr>
                <w:rFonts w:hint="eastAsia" w:ascii="宋体" w:hAnsi="宋体" w:eastAsia="宋体" w:cs="宋体"/>
                <w:kern w:val="0"/>
                <w:sz w:val="24"/>
                <w:szCs w:val="24"/>
              </w:rPr>
            </w:pPr>
            <w:r>
              <w:rPr>
                <w:rFonts w:hint="eastAsia" w:ascii="宋体" w:hAnsi="宋体" w:eastAsia="宋体" w:cs="宋体"/>
                <w:sz w:val="24"/>
                <w:szCs w:val="24"/>
              </w:rPr>
              <w:t>个人、法人</w:t>
            </w:r>
          </w:p>
        </w:tc>
        <w:tc>
          <w:tcPr>
            <w:tcW w:w="1958"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事项类型</w:t>
            </w:r>
          </w:p>
        </w:tc>
        <w:tc>
          <w:tcPr>
            <w:tcW w:w="2408" w:type="dxa"/>
            <w:vAlign w:val="center"/>
          </w:tcPr>
          <w:p>
            <w:pPr>
              <w:pStyle w:val="2"/>
              <w:spacing w:before="1"/>
              <w:ind w:left="132" w:firstLine="472" w:firstLineChars="200"/>
              <w:rPr>
                <w:rFonts w:hint="eastAsia" w:ascii="宋体" w:hAnsi="宋体" w:eastAsia="宋体" w:cs="宋体"/>
                <w:kern w:val="0"/>
                <w:sz w:val="24"/>
                <w:szCs w:val="24"/>
              </w:rPr>
            </w:pPr>
            <w:r>
              <w:rPr>
                <w:rFonts w:hint="eastAsia" w:ascii="宋体" w:hAnsi="宋体" w:eastAsia="宋体" w:cs="宋体"/>
                <w:spacing w:val="-2"/>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受理机构</w:t>
            </w:r>
          </w:p>
        </w:tc>
        <w:tc>
          <w:tcPr>
            <w:tcW w:w="2857"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桐柏县行政审批服务中心</w:t>
            </w:r>
          </w:p>
        </w:tc>
        <w:tc>
          <w:tcPr>
            <w:tcW w:w="1958" w:type="dxa"/>
            <w:vAlign w:val="center"/>
          </w:tcPr>
          <w:p>
            <w:pPr>
              <w:pStyle w:val="2"/>
              <w:spacing w:before="1"/>
              <w:ind w:left="133"/>
              <w:jc w:val="center"/>
              <w:rPr>
                <w:rFonts w:hint="eastAsia" w:ascii="黑体" w:hAnsi="黑体" w:eastAsia="黑体" w:cs="黑体"/>
                <w:kern w:val="0"/>
                <w:sz w:val="21"/>
                <w:szCs w:val="21"/>
              </w:rPr>
            </w:pPr>
            <w:r>
              <w:rPr>
                <w:rFonts w:hint="eastAsia" w:ascii="黑体" w:hAnsi="黑体" w:eastAsia="黑体" w:cs="黑体"/>
                <w:sz w:val="21"/>
                <w:szCs w:val="21"/>
              </w:rPr>
              <w:t>决定机构</w:t>
            </w:r>
          </w:p>
        </w:tc>
        <w:tc>
          <w:tcPr>
            <w:tcW w:w="2408" w:type="dxa"/>
            <w:vAlign w:val="center"/>
          </w:tcPr>
          <w:p>
            <w:pPr>
              <w:pStyle w:val="2"/>
              <w:spacing w:before="7"/>
              <w:jc w:val="center"/>
              <w:rPr>
                <w:rFonts w:hint="eastAsia" w:ascii="宋体" w:hAnsi="宋体" w:eastAsia="宋体" w:cs="宋体"/>
                <w:spacing w:val="-2"/>
                <w:sz w:val="24"/>
                <w:szCs w:val="24"/>
                <w:lang w:val="en-US" w:eastAsia="zh-CN"/>
              </w:rPr>
            </w:pPr>
            <w:r>
              <w:rPr>
                <w:rFonts w:hint="eastAsia" w:ascii="宋体" w:hAnsi="宋体" w:eastAsia="宋体" w:cs="宋体"/>
                <w:sz w:val="24"/>
                <w:szCs w:val="24"/>
              </w:rPr>
              <w:t>南阳市生态环境局桐柏分局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办理时限</w:t>
            </w:r>
          </w:p>
        </w:tc>
        <w:tc>
          <w:tcPr>
            <w:tcW w:w="2857"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法定时限：20个工作日</w:t>
            </w:r>
          </w:p>
          <w:p>
            <w:pPr>
              <w:jc w:val="left"/>
              <w:rPr>
                <w:rFonts w:hint="eastAsia" w:ascii="宋体" w:hAnsi="宋体" w:eastAsia="宋体" w:cs="宋体"/>
                <w:sz w:val="24"/>
                <w:szCs w:val="24"/>
              </w:rPr>
            </w:pPr>
            <w:r>
              <w:rPr>
                <w:rFonts w:hint="eastAsia" w:ascii="宋体" w:hAnsi="宋体" w:eastAsia="宋体" w:cs="宋体"/>
                <w:sz w:val="24"/>
                <w:szCs w:val="24"/>
              </w:rPr>
              <w:t>承诺时限：</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咨询方式</w:t>
            </w:r>
          </w:p>
        </w:tc>
        <w:tc>
          <w:tcPr>
            <w:tcW w:w="2408"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现场咨询</w:t>
            </w:r>
          </w:p>
          <w:p>
            <w:pPr>
              <w:pStyle w:val="2"/>
              <w:spacing w:before="7"/>
              <w:jc w:val="left"/>
              <w:rPr>
                <w:rFonts w:hint="eastAsia" w:ascii="宋体" w:hAnsi="宋体" w:eastAsia="宋体" w:cs="宋体"/>
                <w:sz w:val="24"/>
                <w:szCs w:val="24"/>
                <w:lang w:val="en-US" w:eastAsia="zh-CN"/>
              </w:rPr>
            </w:pPr>
            <w:r>
              <w:rPr>
                <w:rFonts w:hint="eastAsia" w:ascii="宋体" w:hAnsi="宋体" w:eastAsia="宋体" w:cs="宋体"/>
                <w:sz w:val="24"/>
                <w:szCs w:val="24"/>
              </w:rPr>
              <w:t>电话咨询：</w:t>
            </w:r>
            <w:r>
              <w:rPr>
                <w:rFonts w:hint="eastAsia" w:ascii="宋体" w:hAnsi="宋体" w:eastAsia="宋体" w:cs="宋体"/>
                <w:sz w:val="24"/>
                <w:szCs w:val="24"/>
                <w:lang w:val="en-US" w:eastAsia="zh-CN"/>
              </w:rPr>
              <w:t>0</w:t>
            </w:r>
            <w:r>
              <w:rPr>
                <w:rFonts w:hint="eastAsia" w:ascii="宋体" w:hAnsi="宋体" w:eastAsia="宋体" w:cs="宋体"/>
                <w:sz w:val="24"/>
                <w:szCs w:val="24"/>
              </w:rPr>
              <w:t>377-</w:t>
            </w:r>
            <w:r>
              <w:rPr>
                <w:rFonts w:hint="eastAsia" w:ascii="宋体" w:hAnsi="宋体" w:eastAsia="宋体" w:cs="宋体"/>
                <w:sz w:val="24"/>
                <w:szCs w:val="24"/>
                <w:lang w:val="en-US" w:eastAsia="zh-CN"/>
              </w:rPr>
              <w:t>68218836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受理方式</w:t>
            </w:r>
          </w:p>
        </w:tc>
        <w:tc>
          <w:tcPr>
            <w:tcW w:w="2857" w:type="dxa"/>
            <w:gridSpan w:val="2"/>
            <w:vAlign w:val="center"/>
          </w:tcPr>
          <w:p>
            <w:pPr>
              <w:jc w:val="left"/>
              <w:rPr>
                <w:rFonts w:hint="eastAsia" w:ascii="宋体" w:hAnsi="宋体" w:eastAsia="宋体" w:cs="宋体"/>
                <w:sz w:val="24"/>
                <w:szCs w:val="24"/>
              </w:rPr>
            </w:pPr>
            <w:r>
              <w:rPr>
                <w:rFonts w:hint="eastAsia" w:ascii="宋体" w:hAnsi="宋体" w:eastAsia="宋体" w:cs="宋体"/>
                <w:sz w:val="24"/>
                <w:szCs w:val="24"/>
              </w:rPr>
              <w:t>窗口受理、网上申报</w:t>
            </w:r>
          </w:p>
        </w:tc>
        <w:tc>
          <w:tcPr>
            <w:tcW w:w="1958" w:type="dxa"/>
            <w:vAlign w:val="center"/>
          </w:tcPr>
          <w:p>
            <w:pPr>
              <w:pStyle w:val="2"/>
              <w:spacing w:before="1"/>
              <w:ind w:left="133"/>
              <w:jc w:val="center"/>
              <w:rPr>
                <w:rFonts w:hint="eastAsia" w:ascii="黑体" w:hAnsi="黑体" w:eastAsia="黑体" w:cs="黑体"/>
                <w:sz w:val="21"/>
                <w:szCs w:val="21"/>
              </w:rPr>
            </w:pPr>
            <w:r>
              <w:rPr>
                <w:rFonts w:hint="eastAsia" w:ascii="黑体" w:hAnsi="黑体" w:eastAsia="黑体" w:cs="黑体"/>
                <w:sz w:val="21"/>
                <w:szCs w:val="21"/>
              </w:rPr>
              <w:t>结果送达</w:t>
            </w:r>
          </w:p>
        </w:tc>
        <w:tc>
          <w:tcPr>
            <w:tcW w:w="2408" w:type="dxa"/>
            <w:vAlign w:val="center"/>
          </w:tcPr>
          <w:p>
            <w:pPr>
              <w:pStyle w:val="2"/>
              <w:spacing w:before="7"/>
              <w:jc w:val="left"/>
              <w:rPr>
                <w:rFonts w:hint="eastAsia" w:ascii="宋体" w:hAnsi="宋体" w:eastAsia="宋体" w:cs="宋体"/>
                <w:sz w:val="24"/>
                <w:szCs w:val="24"/>
              </w:rPr>
            </w:pPr>
            <w:r>
              <w:rPr>
                <w:rFonts w:hint="eastAsia" w:ascii="宋体" w:hAnsi="宋体" w:eastAsia="宋体" w:cs="宋体"/>
                <w:sz w:val="24"/>
                <w:szCs w:val="24"/>
              </w:rPr>
              <w:t>窗口领取、邮递送达</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kern w:val="0"/>
                <w:sz w:val="21"/>
                <w:szCs w:val="21"/>
              </w:rPr>
              <w:t>设立依据</w:t>
            </w:r>
          </w:p>
        </w:tc>
        <w:tc>
          <w:tcPr>
            <w:tcW w:w="7223" w:type="dxa"/>
            <w:gridSpan w:val="4"/>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kern w:val="0"/>
                <w:sz w:val="24"/>
                <w:szCs w:val="24"/>
              </w:rPr>
            </w:pPr>
            <w:r>
              <w:rPr>
                <w:rFonts w:hint="eastAsia" w:ascii="宋体" w:hAnsi="宋体" w:eastAsia="宋体" w:cs="宋体"/>
                <w:sz w:val="24"/>
                <w:szCs w:val="24"/>
              </w:rPr>
              <w:t>《中华人民共和国固体废物污染环境防治法》（1995年10月30日主席令第五十八号，2016年11月7日予以修改）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w:t>
            </w:r>
            <w:r>
              <w:rPr>
                <w:rFonts w:hint="eastAsia" w:ascii="宋体" w:hAnsi="宋体" w:eastAsia="宋体" w:cs="宋体"/>
                <w:sz w:val="24"/>
                <w:szCs w:val="24"/>
              </w:rPr>
              <w:br w:type="textWrapping"/>
            </w:r>
            <w:r>
              <w:rPr>
                <w:rFonts w:hint="eastAsia" w:ascii="宋体" w:hAnsi="宋体" w:eastAsia="宋体" w:cs="宋体"/>
                <w:sz w:val="24"/>
                <w:szCs w:val="24"/>
              </w:rPr>
              <w:t>《危险废物经营许可证管理办法》（2004年5月30日国务院令第408号，2016年2月6日予以修改）第二条：在中华人民共和国境内从事危险废物收集、贮存、处置经营活动的单位，应当依照本办法的规定，领取危险废物经营许可证。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r>
              <w:rPr>
                <w:rFonts w:hint="eastAsia" w:ascii="宋体" w:hAnsi="宋体" w:eastAsia="宋体" w:cs="宋体"/>
                <w:sz w:val="24"/>
                <w:szCs w:val="24"/>
              </w:rPr>
              <w:br w:type="textWrapping"/>
            </w:r>
            <w:r>
              <w:rPr>
                <w:rFonts w:hint="eastAsia" w:ascii="宋体" w:hAnsi="宋体" w:eastAsia="宋体" w:cs="宋体"/>
                <w:sz w:val="24"/>
                <w:szCs w:val="24"/>
              </w:rPr>
              <w:t>《医疗废物管理条例》（2003年6月16日国务院令第380号，2011年1月8日予以修改）第二十二条：从事医疗废物集中处置活动的单位，应当向县级以上人民政府环境保护行政主管部门申请领取经营许可证；未取得经营许可证的单位，不得从事有关医疗废物集中处置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897" w:type="dxa"/>
            <w:vAlign w:val="center"/>
          </w:tcPr>
          <w:p>
            <w:pPr>
              <w:pStyle w:val="2"/>
              <w:ind w:firstLine="420" w:firstLineChars="200"/>
              <w:rPr>
                <w:rFonts w:hint="eastAsia" w:ascii="黑体" w:hAnsi="黑体" w:eastAsia="黑体" w:cs="黑体"/>
                <w:kern w:val="0"/>
                <w:sz w:val="21"/>
                <w:szCs w:val="21"/>
              </w:rPr>
            </w:pPr>
            <w:r>
              <w:rPr>
                <w:rFonts w:hint="eastAsia" w:ascii="黑体" w:hAnsi="黑体" w:eastAsia="黑体" w:cs="黑体"/>
                <w:sz w:val="21"/>
                <w:szCs w:val="21"/>
              </w:rPr>
              <w:t>办理条件</w:t>
            </w:r>
          </w:p>
        </w:tc>
        <w:tc>
          <w:tcPr>
            <w:tcW w:w="7223"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b/>
                <w:bCs/>
                <w:kern w:val="0"/>
                <w:sz w:val="24"/>
                <w:szCs w:val="24"/>
              </w:rPr>
            </w:pPr>
            <w:r>
              <w:rPr>
                <w:rFonts w:hint="eastAsia" w:ascii="宋体" w:hAnsi="宋体" w:eastAsia="宋体" w:cs="宋体"/>
                <w:sz w:val="24"/>
                <w:szCs w:val="24"/>
              </w:rPr>
              <w:t>危险废物收集经营许可证有效期届满，危险废物经营单位继续从事危险废物收集经营活动的。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97" w:type="dxa"/>
            <w:vAlign w:val="center"/>
          </w:tcPr>
          <w:p>
            <w:pPr>
              <w:jc w:val="center"/>
              <w:rPr>
                <w:rFonts w:hint="eastAsia" w:ascii="黑体" w:hAnsi="黑体" w:eastAsia="黑体" w:cs="黑体"/>
                <w:kern w:val="0"/>
                <w:sz w:val="21"/>
                <w:szCs w:val="21"/>
              </w:rPr>
            </w:pPr>
            <w:r>
              <w:rPr>
                <w:rFonts w:hint="eastAsia" w:ascii="黑体" w:hAnsi="黑体" w:eastAsia="黑体" w:cs="黑体"/>
                <w:sz w:val="21"/>
                <w:szCs w:val="21"/>
              </w:rPr>
              <w:t>申办材料</w:t>
            </w:r>
          </w:p>
        </w:tc>
        <w:tc>
          <w:tcPr>
            <w:tcW w:w="7223" w:type="dxa"/>
            <w:gridSpan w:val="4"/>
            <w:vAlign w:val="center"/>
          </w:tcPr>
          <w:p>
            <w:pPr>
              <w:jc w:val="left"/>
              <w:rPr>
                <w:rFonts w:hint="eastAsia" w:ascii="宋体" w:hAnsi="宋体" w:eastAsia="宋体" w:cs="宋体"/>
                <w:i w:val="0"/>
                <w:caps w:val="0"/>
                <w:color w:val="000000"/>
                <w:spacing w:val="0"/>
                <w:sz w:val="24"/>
                <w:szCs w:val="24"/>
                <w:lang w:val="en-US" w:eastAsia="zh-CN"/>
              </w:rPr>
            </w:pPr>
            <w:r>
              <w:rPr>
                <w:rFonts w:hint="eastAsia" w:ascii="宋体" w:hAnsi="宋体" w:eastAsia="宋体" w:cs="宋体"/>
                <w:sz w:val="24"/>
                <w:szCs w:val="24"/>
              </w:rPr>
              <w:t>有防雨、防渗的运输工具材料</w:t>
            </w:r>
            <w:r>
              <w:rPr>
                <w:rFonts w:hint="eastAsia" w:ascii="宋体" w:hAnsi="宋体" w:eastAsia="宋体" w:cs="宋体"/>
                <w:i w:val="0"/>
                <w:caps w:val="0"/>
                <w:color w:val="000000"/>
                <w:spacing w:val="0"/>
                <w:sz w:val="24"/>
                <w:szCs w:val="24"/>
                <w:lang w:val="en-US" w:eastAsia="zh-CN"/>
              </w:rPr>
              <w:t xml:space="preserve">                          1份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河南省危险废物经营许可证（医疗废物）申请表</w:t>
            </w:r>
            <w:r>
              <w:rPr>
                <w:rFonts w:hint="eastAsia" w:ascii="宋体" w:hAnsi="宋体" w:eastAsia="宋体" w:cs="宋体"/>
                <w:sz w:val="24"/>
                <w:szCs w:val="24"/>
                <w:lang w:val="en-US" w:eastAsia="zh-CN"/>
              </w:rPr>
              <w:t xml:space="preserve">       1份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技术人员职称及工作经历凭证</w:t>
            </w:r>
            <w:r>
              <w:rPr>
                <w:rFonts w:hint="eastAsia" w:ascii="宋体" w:hAnsi="宋体" w:eastAsia="宋体" w:cs="宋体"/>
                <w:sz w:val="24"/>
                <w:szCs w:val="24"/>
                <w:lang w:val="en-US" w:eastAsia="zh-CN"/>
              </w:rPr>
              <w:t xml:space="preserve">                       1份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有安全规章制度、防治措施和应急措施</w:t>
            </w:r>
            <w:r>
              <w:rPr>
                <w:rFonts w:hint="eastAsia" w:ascii="宋体" w:hAnsi="宋体" w:eastAsia="宋体" w:cs="宋体"/>
                <w:sz w:val="24"/>
                <w:szCs w:val="24"/>
                <w:lang w:val="en-US" w:eastAsia="zh-CN"/>
              </w:rPr>
              <w:t xml:space="preserve">               1份</w:t>
            </w:r>
          </w:p>
          <w:p>
            <w:pPr>
              <w:jc w:val="left"/>
              <w:rPr>
                <w:rFonts w:hint="eastAsia" w:ascii="宋体" w:hAnsi="宋体" w:eastAsia="宋体" w:cs="宋体"/>
                <w:sz w:val="24"/>
                <w:szCs w:val="24"/>
                <w:lang w:val="en-US" w:eastAsia="zh-CN"/>
              </w:rPr>
            </w:pPr>
            <w:r>
              <w:rPr>
                <w:rFonts w:hint="eastAsia" w:ascii="宋体" w:hAnsi="宋体" w:eastAsia="宋体" w:cs="宋体"/>
                <w:sz w:val="24"/>
                <w:szCs w:val="24"/>
              </w:rPr>
              <w:t>符合标准和安全要求的包装工具，及贮存设施、设备</w:t>
            </w:r>
            <w:r>
              <w:rPr>
                <w:rFonts w:hint="eastAsia" w:ascii="宋体" w:hAnsi="宋体" w:eastAsia="宋体" w:cs="宋体"/>
                <w:sz w:val="24"/>
                <w:szCs w:val="24"/>
                <w:lang w:val="en-US" w:eastAsia="zh-CN"/>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897" w:type="dxa"/>
            <w:vAlign w:val="center"/>
          </w:tcPr>
          <w:p>
            <w:pPr>
              <w:jc w:val="center"/>
              <w:rPr>
                <w:rFonts w:hint="eastAsia" w:ascii="黑体" w:hAnsi="黑体" w:eastAsia="黑体" w:cs="黑体"/>
                <w:sz w:val="21"/>
                <w:szCs w:val="21"/>
              </w:rPr>
            </w:pPr>
            <w:r>
              <w:rPr>
                <w:rFonts w:hint="eastAsia" w:ascii="黑体" w:hAnsi="黑体" w:eastAsia="黑体" w:cs="黑体"/>
                <w:kern w:val="0"/>
                <w:sz w:val="21"/>
                <w:szCs w:val="21"/>
              </w:rPr>
              <w:t>办理流程</w:t>
            </w:r>
          </w:p>
        </w:tc>
        <w:tc>
          <w:tcPr>
            <w:tcW w:w="7223" w:type="dxa"/>
            <w:gridSpan w:val="4"/>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Autospacing="0"/>
              <w:textAlignment w:val="auto"/>
              <w:rPr>
                <w:rFonts w:hint="eastAsia" w:ascii="宋体" w:hAnsi="宋体" w:eastAsia="宋体" w:cs="宋体"/>
                <w:color w:val="FF0000"/>
                <w:kern w:val="0"/>
                <w:sz w:val="24"/>
                <w:szCs w:val="24"/>
                <w:lang w:val="en-US" w:eastAsia="zh-CN" w:bidi="ar-SA"/>
              </w:rPr>
            </w:pPr>
            <w:r>
              <w:rPr>
                <w:rFonts w:hint="eastAsia" w:ascii="宋体" w:hAnsi="宋体" w:eastAsia="宋体" w:cs="宋体"/>
                <w:i w:val="0"/>
                <w:caps w:val="0"/>
                <w:color w:val="4A4A4A"/>
                <w:spacing w:val="0"/>
                <w:sz w:val="24"/>
                <w:szCs w:val="24"/>
              </w:rPr>
              <w:t>环节名称：受理 ；办理人：唐有记；办理时限：即时；审查标准：对申请材料进行初步审核。经审核，申请材料齐全、符合法定形式的，应当决定予以受理；办理结果：能当场受理或通过当场补正达到受理条件的，直接进入受理步骤；初步审核后材料不符合要求的不予以受理；</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环节名称：审核 ；办理人：袁琳；办理时限：一个工作日；审查标准：在受理申报材料后，由办理科室对内容进行审查；办理结果：提出初步意见，转入决定步骤；</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环节名称：决定 ；办理人：孙立新；办理时限：即时；审查标准：在办理科室审查完成后，实施部门应在承诺时限内作出是否同意申请政务服务事项的决定；办理结果：申请符合规定的，准予审批通过；申请不符合规定的，不予审批通过；</w:t>
            </w:r>
            <w:r>
              <w:rPr>
                <w:rFonts w:hint="eastAsia" w:ascii="宋体" w:hAnsi="宋体" w:eastAsia="宋体" w:cs="宋体"/>
                <w:i w:val="0"/>
                <w:caps w:val="0"/>
                <w:color w:val="4A4A4A"/>
                <w:spacing w:val="0"/>
                <w:sz w:val="24"/>
                <w:szCs w:val="24"/>
              </w:rPr>
              <w:br w:type="textWrapping"/>
            </w:r>
            <w:r>
              <w:rPr>
                <w:rFonts w:hint="eastAsia" w:ascii="宋体" w:hAnsi="宋体" w:eastAsia="宋体" w:cs="宋体"/>
                <w:i w:val="0"/>
                <w:caps w:val="0"/>
                <w:color w:val="4A4A4A"/>
                <w:spacing w:val="0"/>
                <w:sz w:val="24"/>
                <w:szCs w:val="24"/>
              </w:rPr>
              <w:t>办理结果：窗口领取、代理人领取、委托送达、公告送达、邮寄送达；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gridSpan w:val="2"/>
            <w:vAlign w:val="center"/>
          </w:tcPr>
          <w:p>
            <w:pPr>
              <w:jc w:val="center"/>
              <w:rPr>
                <w:rFonts w:hint="eastAsia" w:ascii="黑体" w:hAnsi="黑体" w:eastAsia="黑体" w:cs="黑体"/>
                <w:sz w:val="21"/>
                <w:szCs w:val="21"/>
              </w:rPr>
            </w:pPr>
            <w:r>
              <w:rPr>
                <w:rFonts w:hint="eastAsia" w:ascii="黑体" w:hAnsi="黑体" w:eastAsia="黑体" w:cs="黑体"/>
                <w:sz w:val="21"/>
                <w:szCs w:val="21"/>
              </w:rPr>
              <w:t>收费依据及标准</w:t>
            </w:r>
          </w:p>
        </w:tc>
        <w:tc>
          <w:tcPr>
            <w:tcW w:w="7210" w:type="dxa"/>
            <w:gridSpan w:val="3"/>
            <w:vAlign w:val="center"/>
          </w:tcPr>
          <w:p>
            <w:pPr>
              <w:pStyle w:val="2"/>
              <w:spacing w:before="7"/>
              <w:jc w:val="center"/>
              <w:rPr>
                <w:rFonts w:hint="eastAsia" w:ascii="宋体" w:hAnsi="宋体" w:eastAsia="宋体" w:cs="宋体"/>
                <w:sz w:val="24"/>
                <w:szCs w:val="24"/>
              </w:rPr>
            </w:pPr>
            <w:r>
              <w:rPr>
                <w:rFonts w:hint="eastAsia" w:ascii="宋体" w:hAnsi="宋体" w:eastAsia="宋体" w:cs="宋体"/>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910" w:type="dxa"/>
            <w:gridSpan w:val="2"/>
            <w:vAlign w:val="center"/>
          </w:tcPr>
          <w:p>
            <w:pPr>
              <w:jc w:val="center"/>
              <w:rPr>
                <w:rFonts w:hint="eastAsia" w:ascii="黑体" w:hAnsi="黑体" w:eastAsia="黑体" w:cs="黑体"/>
                <w:sz w:val="21"/>
                <w:szCs w:val="21"/>
              </w:rPr>
            </w:pPr>
            <w:r>
              <w:rPr>
                <w:rFonts w:hint="eastAsia" w:ascii="黑体" w:hAnsi="黑体" w:eastAsia="黑体" w:cs="黑体"/>
                <w:sz w:val="21"/>
                <w:szCs w:val="21"/>
              </w:rPr>
              <w:t>监督投诉渠道</w:t>
            </w:r>
          </w:p>
        </w:tc>
        <w:tc>
          <w:tcPr>
            <w:tcW w:w="7210"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中心督查股：0377-83973066、热线电话：12345</w:t>
            </w:r>
          </w:p>
        </w:tc>
      </w:tr>
    </w:tbl>
    <w:p>
      <w:pPr>
        <w:jc w:val="both"/>
        <w:rPr>
          <w:rFonts w:ascii="黑体" w:hAnsi="黑体" w:eastAsia="黑体" w:cs="黑体"/>
          <w:kern w:val="0"/>
          <w:sz w:val="10"/>
          <w:szCs w:val="10"/>
        </w:rPr>
      </w:pPr>
    </w:p>
    <w:p>
      <w:pPr>
        <w:jc w:val="left"/>
        <w:rPr>
          <w:rFonts w:ascii="黑体" w:hAnsi="黑体" w:eastAsia="黑体" w:cs="黑体"/>
          <w:kern w:val="0"/>
          <w:sz w:val="28"/>
          <w:szCs w:val="28"/>
        </w:rPr>
      </w:pPr>
      <w:r>
        <w:rPr>
          <w:rFonts w:hint="eastAsia" w:ascii="黑体" w:hAnsi="黑体" w:eastAsia="黑体" w:cs="黑体"/>
          <w:kern w:val="0"/>
          <w:sz w:val="28"/>
          <w:szCs w:val="28"/>
        </w:rPr>
        <w:t>发布日期：202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月20日         实施日期：202</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年</w:t>
      </w:r>
      <w:r>
        <w:rPr>
          <w:rFonts w:hint="eastAsia" w:ascii="黑体" w:hAnsi="黑体" w:eastAsia="黑体" w:cs="黑体"/>
          <w:kern w:val="0"/>
          <w:sz w:val="28"/>
          <w:szCs w:val="28"/>
          <w:lang w:val="en-US" w:eastAsia="zh-CN"/>
        </w:rPr>
        <w:t>2</w:t>
      </w:r>
      <w:r>
        <w:rPr>
          <w:rFonts w:hint="eastAsia" w:ascii="黑体" w:hAnsi="黑体" w:eastAsia="黑体" w:cs="黑体"/>
          <w:kern w:val="0"/>
          <w:sz w:val="28"/>
          <w:szCs w:val="28"/>
        </w:rPr>
        <w:t>月2</w:t>
      </w:r>
      <w:r>
        <w:rPr>
          <w:rFonts w:hint="eastAsia" w:ascii="黑体" w:hAnsi="黑体" w:eastAsia="黑体" w:cs="黑体"/>
          <w:kern w:val="0"/>
          <w:sz w:val="28"/>
          <w:szCs w:val="28"/>
          <w:lang w:val="en-US" w:eastAsia="zh-CN"/>
        </w:rPr>
        <w:t>0</w:t>
      </w:r>
      <w:r>
        <w:rPr>
          <w:rFonts w:hint="eastAsia" w:ascii="黑体" w:hAnsi="黑体" w:eastAsia="黑体" w:cs="黑体"/>
          <w:kern w:val="0"/>
          <w:sz w:val="28"/>
          <w:szCs w:val="28"/>
        </w:rPr>
        <w:t xml:space="preserve">日    </w:t>
      </w:r>
    </w:p>
    <w:p>
      <w:pPr>
        <w:jc w:val="center"/>
        <w:rPr>
          <w:rFonts w:ascii="黑体" w:hAnsi="黑体" w:eastAsia="黑体" w:cs="黑体"/>
          <w:kern w:val="0"/>
          <w:sz w:val="28"/>
          <w:szCs w:val="28"/>
        </w:rPr>
      </w:pPr>
      <w:r>
        <w:rPr>
          <w:rFonts w:hint="eastAsia" w:ascii="黑体" w:hAnsi="黑体" w:eastAsia="黑体" w:cs="黑体"/>
          <w:kern w:val="0"/>
          <w:sz w:val="28"/>
          <w:szCs w:val="28"/>
          <w:lang w:val="en-US" w:eastAsia="zh-CN"/>
        </w:rPr>
        <w:t>南阳市生态环境局</w:t>
      </w:r>
      <w:r>
        <w:rPr>
          <w:rFonts w:hint="eastAsia" w:ascii="黑体" w:hAnsi="黑体" w:eastAsia="黑体" w:cs="黑体"/>
          <w:kern w:val="0"/>
          <w:sz w:val="28"/>
          <w:szCs w:val="28"/>
        </w:rPr>
        <w:t>桐柏</w:t>
      </w:r>
      <w:r>
        <w:rPr>
          <w:rFonts w:hint="eastAsia" w:ascii="黑体" w:hAnsi="黑体" w:eastAsia="黑体" w:cs="黑体"/>
          <w:kern w:val="0"/>
          <w:sz w:val="28"/>
          <w:szCs w:val="28"/>
          <w:lang w:val="en-US" w:eastAsia="zh-CN"/>
        </w:rPr>
        <w:t>分</w:t>
      </w:r>
      <w:r>
        <w:rPr>
          <w:rFonts w:hint="eastAsia" w:ascii="黑体" w:hAnsi="黑体" w:eastAsia="黑体" w:cs="黑体"/>
          <w:kern w:val="0"/>
          <w:sz w:val="28"/>
          <w:szCs w:val="28"/>
          <w:lang w:eastAsia="zh-CN"/>
        </w:rPr>
        <w:t>局</w:t>
      </w:r>
      <w:r>
        <w:rPr>
          <w:rFonts w:hint="eastAsia" w:ascii="黑体" w:hAnsi="黑体" w:eastAsia="黑体" w:cs="黑体"/>
          <w:kern w:val="0"/>
          <w:sz w:val="28"/>
          <w:szCs w:val="28"/>
        </w:rPr>
        <w:t>发布</w:t>
      </w:r>
    </w:p>
    <w:sectPr>
      <w:pgSz w:w="11850" w:h="16783"/>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24A4233"/>
    <w:rsid w:val="001A26A7"/>
    <w:rsid w:val="002142EF"/>
    <w:rsid w:val="003B0AF4"/>
    <w:rsid w:val="004A3070"/>
    <w:rsid w:val="00564111"/>
    <w:rsid w:val="006D728D"/>
    <w:rsid w:val="008B6792"/>
    <w:rsid w:val="00914AD4"/>
    <w:rsid w:val="00921E4E"/>
    <w:rsid w:val="00BA5A1D"/>
    <w:rsid w:val="00C36E50"/>
    <w:rsid w:val="00CB6FA0"/>
    <w:rsid w:val="00E32A13"/>
    <w:rsid w:val="00F36ABC"/>
    <w:rsid w:val="00FC30E0"/>
    <w:rsid w:val="024A4233"/>
    <w:rsid w:val="067834E0"/>
    <w:rsid w:val="0815067C"/>
    <w:rsid w:val="113719A0"/>
    <w:rsid w:val="119E3A20"/>
    <w:rsid w:val="13265652"/>
    <w:rsid w:val="1703109D"/>
    <w:rsid w:val="1BBA2C7F"/>
    <w:rsid w:val="1D4F5573"/>
    <w:rsid w:val="281A24F9"/>
    <w:rsid w:val="2EB828ED"/>
    <w:rsid w:val="385804AD"/>
    <w:rsid w:val="3F23548F"/>
    <w:rsid w:val="3F345010"/>
    <w:rsid w:val="42872864"/>
    <w:rsid w:val="49CC6710"/>
    <w:rsid w:val="53305681"/>
    <w:rsid w:val="59DD77B5"/>
    <w:rsid w:val="5B10607B"/>
    <w:rsid w:val="67381096"/>
    <w:rsid w:val="6D535020"/>
    <w:rsid w:val="6E973E8B"/>
    <w:rsid w:val="6F707EE1"/>
    <w:rsid w:val="70F428AD"/>
    <w:rsid w:val="72BF46EF"/>
    <w:rsid w:val="74544908"/>
    <w:rsid w:val="7A733598"/>
    <w:rsid w:val="7C766462"/>
    <w:rsid w:val="7DBB594B"/>
    <w:rsid w:val="7F64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3">
    <w:name w:val="Balloon Text"/>
    <w:basedOn w:val="1"/>
    <w:link w:val="15"/>
    <w:qFormat/>
    <w:uiPriority w:val="0"/>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shd w:val="clear" w:fill="FFFFFF"/>
    </w:rPr>
  </w:style>
  <w:style w:type="character" w:styleId="9">
    <w:name w:val="FollowedHyperlink"/>
    <w:basedOn w:val="7"/>
    <w:qFormat/>
    <w:uiPriority w:val="0"/>
    <w:rPr>
      <w:color w:val="800080"/>
      <w:u w:val="none"/>
    </w:rPr>
  </w:style>
  <w:style w:type="character" w:styleId="10">
    <w:name w:val="HTML Definition"/>
    <w:basedOn w:val="7"/>
    <w:qFormat/>
    <w:uiPriority w:val="0"/>
    <w:rPr>
      <w:i/>
      <w:color w:val="303133"/>
      <w:sz w:val="19"/>
      <w:szCs w:val="19"/>
    </w:rPr>
  </w:style>
  <w:style w:type="character" w:styleId="11">
    <w:name w:val="Hyperlink"/>
    <w:basedOn w:val="7"/>
    <w:qFormat/>
    <w:uiPriority w:val="0"/>
    <w:rPr>
      <w:color w:val="0000FF"/>
      <w:u w:val="none"/>
    </w:rPr>
  </w:style>
  <w:style w:type="character" w:styleId="12">
    <w:name w:val="HTML Code"/>
    <w:basedOn w:val="7"/>
    <w:qFormat/>
    <w:uiPriority w:val="0"/>
    <w:rPr>
      <w:rFonts w:hint="default" w:ascii="monospace" w:hAnsi="monospace" w:eastAsia="monospace" w:cs="monospace"/>
      <w:sz w:val="21"/>
      <w:szCs w:val="21"/>
    </w:rPr>
  </w:style>
  <w:style w:type="character" w:styleId="13">
    <w:name w:val="HTML Keyboard"/>
    <w:basedOn w:val="7"/>
    <w:qFormat/>
    <w:uiPriority w:val="0"/>
    <w:rPr>
      <w:rFonts w:hint="default" w:ascii="monospace" w:hAnsi="monospace" w:eastAsia="monospace" w:cs="monospace"/>
      <w:sz w:val="21"/>
      <w:szCs w:val="21"/>
    </w:rPr>
  </w:style>
  <w:style w:type="character" w:styleId="14">
    <w:name w:val="HTML Sample"/>
    <w:basedOn w:val="7"/>
    <w:qFormat/>
    <w:uiPriority w:val="0"/>
    <w:rPr>
      <w:rFonts w:ascii="monospace" w:hAnsi="monospace" w:eastAsia="monospace" w:cs="monospace"/>
      <w:sz w:val="21"/>
      <w:szCs w:val="21"/>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6">
    <w:name w:val="hover13"/>
    <w:basedOn w:val="7"/>
    <w:qFormat/>
    <w:uiPriority w:val="0"/>
    <w:rPr>
      <w:shd w:val="clear" w:fill="0B3791"/>
    </w:rPr>
  </w:style>
  <w:style w:type="character" w:customStyle="1" w:styleId="17">
    <w:name w:val="hover14"/>
    <w:basedOn w:val="7"/>
    <w:qFormat/>
    <w:uiPriority w:val="0"/>
    <w:rPr>
      <w:shd w:val="clear" w:fill="0B3791"/>
    </w:r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 w:type="character" w:customStyle="1" w:styleId="20">
    <w:name w:val="hover"/>
    <w:basedOn w:val="7"/>
    <w:qFormat/>
    <w:uiPriority w:val="0"/>
    <w:rPr>
      <w:shd w:val="clear" w:fill="0B3791"/>
    </w:rPr>
  </w:style>
  <w:style w:type="character" w:customStyle="1" w:styleId="21">
    <w:name w:val="hover1"/>
    <w:basedOn w:val="7"/>
    <w:qFormat/>
    <w:uiPriority w:val="0"/>
    <w:rPr>
      <w:shd w:val="clear" w:fill="0B3791"/>
    </w:rPr>
  </w:style>
  <w:style w:type="character" w:customStyle="1" w:styleId="22">
    <w:name w:val="hover11"/>
    <w:basedOn w:val="7"/>
    <w:qFormat/>
    <w:uiPriority w:val="0"/>
    <w:rPr>
      <w:shd w:val="clear" w:fill="0B3791"/>
    </w:rPr>
  </w:style>
  <w:style w:type="character" w:customStyle="1" w:styleId="23">
    <w:name w:val="hover12"/>
    <w:basedOn w:val="7"/>
    <w:qFormat/>
    <w:uiPriority w:val="0"/>
    <w:rPr>
      <w:shd w:val="clear" w:fill="0B379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142</Words>
  <Characters>811</Characters>
  <Lines>6</Lines>
  <Paragraphs>1</Paragraphs>
  <TotalTime>0</TotalTime>
  <ScaleCrop>false</ScaleCrop>
  <LinksUpToDate>false</LinksUpToDate>
  <CharactersWithSpaces>952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2018-09-28T07:21:00Z</dcterms:created>
  <dc:creator>CG</dc:creator>
  <cp:lastModifiedBy>煜</cp:lastModifiedBy>
  <dcterms:modified xsi:type="dcterms:W3CDTF">2022-03-01T07:22:12Z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1136954332_cloud</vt:lpwstr>
  </property>
  <property fmtid="{D5CDD505-2E9C-101B-9397-08002B2CF9AE}" pid="4" name="ICV">
    <vt:lpwstr>71EA274E34444A5E82D1429C6736D486</vt:lpwstr>
  </property>
</Properties>
</file>