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《危险废物经营许可证》企业名称信息变更</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8"/>
          <w:szCs w:val="28"/>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729615800XK81095009</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3"/>
        <w:gridCol w:w="2844"/>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bookmarkStart w:id="0" w:name="_GoBack" w:colFirst="2" w:colLast="2"/>
            <w:r>
              <w:rPr>
                <w:rFonts w:hint="eastAsia" w:ascii="黑体" w:hAnsi="黑体" w:eastAsia="黑体" w:cs="黑体"/>
                <w:kern w:val="0"/>
                <w:sz w:val="21"/>
                <w:szCs w:val="21"/>
              </w:rPr>
              <w:t>适用范围</w:t>
            </w:r>
          </w:p>
        </w:tc>
        <w:tc>
          <w:tcPr>
            <w:tcW w:w="2857" w:type="dxa"/>
            <w:gridSpan w:val="2"/>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4"/>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《危险废物经营许可证管理办法》（2004年5月30日国务院令第408号，2016年2月6日予以修改）</w:t>
            </w:r>
            <w:r>
              <w:rPr>
                <w:rFonts w:hint="eastAsia" w:ascii="宋体" w:hAnsi="宋体" w:eastAsia="宋体" w:cs="宋体"/>
                <w:sz w:val="24"/>
                <w:szCs w:val="24"/>
              </w:rPr>
              <w:br w:type="textWrapping"/>
            </w:r>
            <w:r>
              <w:rPr>
                <w:rFonts w:hint="eastAsia" w:ascii="宋体" w:hAnsi="宋体" w:eastAsia="宋体" w:cs="宋体"/>
                <w:sz w:val="24"/>
                <w:szCs w:val="24"/>
              </w:rPr>
              <w:t>第十条　危险废物经营许可证包括下列主要内容：</w:t>
            </w:r>
            <w:r>
              <w:rPr>
                <w:rFonts w:hint="eastAsia" w:ascii="宋体" w:hAnsi="宋体" w:eastAsia="宋体" w:cs="宋体"/>
                <w:sz w:val="24"/>
                <w:szCs w:val="24"/>
              </w:rPr>
              <w:br w:type="textWrapping"/>
            </w:r>
            <w:r>
              <w:rPr>
                <w:rFonts w:hint="eastAsia" w:ascii="宋体" w:hAnsi="宋体" w:eastAsia="宋体" w:cs="宋体"/>
                <w:sz w:val="24"/>
                <w:szCs w:val="24"/>
              </w:rPr>
              <w:t>　　（一）法人名称、法定代表人、住所；</w:t>
            </w:r>
            <w:r>
              <w:rPr>
                <w:rFonts w:hint="eastAsia" w:ascii="宋体" w:hAnsi="宋体" w:eastAsia="宋体" w:cs="宋体"/>
                <w:sz w:val="24"/>
                <w:szCs w:val="24"/>
              </w:rPr>
              <w:br w:type="textWrapping"/>
            </w:r>
            <w:r>
              <w:rPr>
                <w:rFonts w:hint="eastAsia" w:ascii="宋体" w:hAnsi="宋体" w:eastAsia="宋体" w:cs="宋体"/>
                <w:sz w:val="24"/>
                <w:szCs w:val="24"/>
              </w:rPr>
              <w:t>　　（二）危险废物经营方式；</w:t>
            </w:r>
            <w:r>
              <w:rPr>
                <w:rFonts w:hint="eastAsia" w:ascii="宋体" w:hAnsi="宋体" w:eastAsia="宋体" w:cs="宋体"/>
                <w:sz w:val="24"/>
                <w:szCs w:val="24"/>
              </w:rPr>
              <w:br w:type="textWrapping"/>
            </w:r>
            <w:r>
              <w:rPr>
                <w:rFonts w:hint="eastAsia" w:ascii="宋体" w:hAnsi="宋体" w:eastAsia="宋体" w:cs="宋体"/>
                <w:sz w:val="24"/>
                <w:szCs w:val="24"/>
              </w:rPr>
              <w:t>　　（三）危险废物类别；</w:t>
            </w:r>
            <w:r>
              <w:rPr>
                <w:rFonts w:hint="eastAsia" w:ascii="宋体" w:hAnsi="宋体" w:eastAsia="宋体" w:cs="宋体"/>
                <w:sz w:val="24"/>
                <w:szCs w:val="24"/>
              </w:rPr>
              <w:br w:type="textWrapping"/>
            </w:r>
            <w:r>
              <w:rPr>
                <w:rFonts w:hint="eastAsia" w:ascii="宋体" w:hAnsi="宋体" w:eastAsia="宋体" w:cs="宋体"/>
                <w:sz w:val="24"/>
                <w:szCs w:val="24"/>
              </w:rPr>
              <w:t>　　（四）年经营规模；</w:t>
            </w:r>
            <w:r>
              <w:rPr>
                <w:rFonts w:hint="eastAsia" w:ascii="宋体" w:hAnsi="宋体" w:eastAsia="宋体" w:cs="宋体"/>
                <w:sz w:val="24"/>
                <w:szCs w:val="24"/>
              </w:rPr>
              <w:br w:type="textWrapping"/>
            </w:r>
            <w:r>
              <w:rPr>
                <w:rFonts w:hint="eastAsia" w:ascii="宋体" w:hAnsi="宋体" w:eastAsia="宋体" w:cs="宋体"/>
                <w:sz w:val="24"/>
                <w:szCs w:val="24"/>
              </w:rPr>
              <w:t>　　（五）有效期限；</w:t>
            </w:r>
            <w:r>
              <w:rPr>
                <w:rFonts w:hint="eastAsia" w:ascii="宋体" w:hAnsi="宋体" w:eastAsia="宋体" w:cs="宋体"/>
                <w:sz w:val="24"/>
                <w:szCs w:val="24"/>
              </w:rPr>
              <w:br w:type="textWrapping"/>
            </w:r>
            <w:r>
              <w:rPr>
                <w:rFonts w:hint="eastAsia" w:ascii="宋体" w:hAnsi="宋体" w:eastAsia="宋体" w:cs="宋体"/>
                <w:sz w:val="24"/>
                <w:szCs w:val="24"/>
              </w:rPr>
              <w:t>　　（六）发证日期和证书编号。</w:t>
            </w:r>
            <w:r>
              <w:rPr>
                <w:rFonts w:hint="eastAsia" w:ascii="宋体" w:hAnsi="宋体" w:eastAsia="宋体" w:cs="宋体"/>
                <w:sz w:val="24"/>
                <w:szCs w:val="24"/>
              </w:rPr>
              <w:br w:type="textWrapping"/>
            </w:r>
            <w:r>
              <w:rPr>
                <w:rFonts w:hint="eastAsia" w:ascii="宋体" w:hAnsi="宋体" w:eastAsia="宋体" w:cs="宋体"/>
                <w:sz w:val="24"/>
                <w:szCs w:val="24"/>
              </w:rPr>
              <w:t>　　危险废物综合经营许可证的内容，还应当包括贮存、处置设施的地址。</w:t>
            </w:r>
            <w:r>
              <w:rPr>
                <w:rFonts w:hint="eastAsia" w:ascii="宋体" w:hAnsi="宋体" w:eastAsia="宋体" w:cs="宋体"/>
                <w:sz w:val="24"/>
                <w:szCs w:val="24"/>
              </w:rPr>
              <w:br w:type="textWrapping"/>
            </w:r>
            <w:r>
              <w:rPr>
                <w:rFonts w:hint="eastAsia" w:ascii="宋体" w:hAnsi="宋体" w:eastAsia="宋体" w:cs="宋体"/>
                <w:sz w:val="24"/>
                <w:szCs w:val="24"/>
              </w:rPr>
              <w:t>　　第十一条　危险废物经营单位变更法人名称、法定代表人和住所的，应当自工商变更登记之日起15个工作日内，向原发证机关申请办理危险废物经营许可证变更手续。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b/>
                <w:bCs/>
                <w:kern w:val="0"/>
                <w:sz w:val="24"/>
                <w:szCs w:val="24"/>
              </w:rPr>
            </w:pPr>
            <w:r>
              <w:rPr>
                <w:rFonts w:hint="eastAsia" w:ascii="宋体" w:hAnsi="宋体" w:eastAsia="宋体" w:cs="宋体"/>
                <w:sz w:val="24"/>
                <w:szCs w:val="24"/>
              </w:rPr>
              <w:t>危险废物经营许可证在有效期内，危险废物经营单位企业名称信息发生变化且继续从事危险废物经营活动的。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4"/>
            <w:vAlign w:val="center"/>
          </w:tcPr>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企业变更或补发请示（说明变更原因）</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企业的新、旧营业执照复印件，申请变更法人的，提供新法人身份证复印件。</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河南省危险废物经营许可证申请表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10" w:type="dxa"/>
            <w:gridSpan w:val="3"/>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1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AA03C76"/>
    <w:rsid w:val="113719A0"/>
    <w:rsid w:val="119E3A20"/>
    <w:rsid w:val="12245A7F"/>
    <w:rsid w:val="16486501"/>
    <w:rsid w:val="1BBA2C7F"/>
    <w:rsid w:val="1D4F5573"/>
    <w:rsid w:val="20E0282D"/>
    <w:rsid w:val="2EB828ED"/>
    <w:rsid w:val="385804AD"/>
    <w:rsid w:val="3F345010"/>
    <w:rsid w:val="49CC6710"/>
    <w:rsid w:val="4AE237A8"/>
    <w:rsid w:val="501232D2"/>
    <w:rsid w:val="57B3798D"/>
    <w:rsid w:val="59DD77B5"/>
    <w:rsid w:val="5B10607B"/>
    <w:rsid w:val="61F4220F"/>
    <w:rsid w:val="6B1742BC"/>
    <w:rsid w:val="6D535020"/>
    <w:rsid w:val="6E973E8B"/>
    <w:rsid w:val="6F707EE1"/>
    <w:rsid w:val="72663EC2"/>
    <w:rsid w:val="74544908"/>
    <w:rsid w:val="7AE52C9E"/>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rPr>
      <w:i/>
      <w:color w:val="606266"/>
      <w:sz w:val="21"/>
      <w:szCs w:val="21"/>
      <w:bdr w:val="single" w:color="DCDFE6" w:sz="2" w:space="0"/>
      <w:shd w:val="clear" w:fill="FFFFFF"/>
    </w:rPr>
  </w:style>
  <w:style w:type="character" w:styleId="11">
    <w:name w:val="Hyperlink"/>
    <w:basedOn w:val="7"/>
    <w:qFormat/>
    <w:uiPriority w:val="0"/>
    <w:rPr>
      <w:color w:val="0000FF"/>
      <w:u w:val="none"/>
    </w:rPr>
  </w:style>
  <w:style w:type="character" w:styleId="12">
    <w:name w:val="HTML Code"/>
    <w:basedOn w:val="7"/>
    <w:qFormat/>
    <w:uiPriority w:val="0"/>
    <w:rPr>
      <w:rFonts w:ascii="monospace" w:hAnsi="monospace" w:eastAsia="monospace" w:cs="monospace"/>
      <w:color w:val="606266"/>
      <w:sz w:val="21"/>
      <w:szCs w:val="21"/>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hint="default"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hover11"/>
    <w:basedOn w:val="7"/>
    <w:qFormat/>
    <w:uiPriority w:val="0"/>
    <w:rPr>
      <w:shd w:val="clear" w:fill="0B3791"/>
    </w:rPr>
  </w:style>
  <w:style w:type="character" w:customStyle="1" w:styleId="17">
    <w:name w:val="hover12"/>
    <w:basedOn w:val="7"/>
    <w:qFormat/>
    <w:uiPriority w:val="0"/>
    <w:rPr>
      <w:shd w:val="clear" w:fill="0B3791"/>
    </w:rPr>
  </w:style>
  <w:style w:type="character" w:customStyle="1" w:styleId="18">
    <w:name w:val="not([class*=suffix])"/>
    <w:basedOn w:val="7"/>
    <w:qFormat/>
    <w:uiPriority w:val="0"/>
  </w:style>
  <w:style w:type="character" w:customStyle="1" w:styleId="19">
    <w:name w:val="not([class*=suffix])1"/>
    <w:basedOn w:val="7"/>
    <w:qFormat/>
    <w:uiPriority w:val="0"/>
    <w:rPr>
      <w:sz w:val="19"/>
      <w:szCs w:val="19"/>
    </w:rPr>
  </w:style>
  <w:style w:type="character" w:customStyle="1" w:styleId="20">
    <w:name w:val="hover13"/>
    <w:basedOn w:val="7"/>
    <w:qFormat/>
    <w:uiPriority w:val="0"/>
    <w:rPr>
      <w:shd w:val="clear" w:fill="0B3791"/>
    </w:rPr>
  </w:style>
  <w:style w:type="character" w:customStyle="1" w:styleId="21">
    <w:name w:val="hover14"/>
    <w:basedOn w:val="7"/>
    <w:qFormat/>
    <w:uiPriority w:val="0"/>
    <w:rPr>
      <w:shd w:val="clear" w:fill="0B3791"/>
    </w:rPr>
  </w:style>
  <w:style w:type="character" w:customStyle="1" w:styleId="22">
    <w:name w:val="hover"/>
    <w:basedOn w:val="7"/>
    <w:qFormat/>
    <w:uiPriority w:val="0"/>
    <w:rPr>
      <w:shd w:val="clear" w:fill="0B3791"/>
    </w:rPr>
  </w:style>
  <w:style w:type="character" w:customStyle="1" w:styleId="23">
    <w:name w:val="hover1"/>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1</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2022-03-01T07:19:45Z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3DE0D4BAB325465C918B7207C9F8387D</vt:lpwstr>
  </property>
</Properties>
</file>