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i w:val="0"/>
          <w:caps w:val="0"/>
          <w:color w:val="000000"/>
          <w:spacing w:val="0"/>
          <w:sz w:val="32"/>
          <w:szCs w:val="32"/>
        </w:rPr>
      </w:pPr>
      <w:r>
        <w:rPr>
          <w:rFonts w:hint="eastAsia" w:ascii="黑体" w:hAnsi="黑体" w:eastAsia="黑体" w:cs="黑体"/>
          <w:i w:val="0"/>
          <w:caps w:val="0"/>
          <w:color w:val="000000"/>
          <w:spacing w:val="0"/>
          <w:sz w:val="32"/>
          <w:szCs w:val="32"/>
        </w:rPr>
        <w:t>《危险废物经营许可证》基础信息变更</w:t>
      </w:r>
      <w:r>
        <w:rPr>
          <w:rFonts w:hint="eastAsia" w:ascii="黑体" w:hAnsi="黑体" w:eastAsia="黑体" w:cs="黑体"/>
          <w:kern w:val="0"/>
          <w:sz w:val="32"/>
          <w:szCs w:val="32"/>
        </w:rPr>
        <w:t>服务指南</w:t>
      </w:r>
    </w:p>
    <w:p>
      <w:pPr>
        <w:pStyle w:val="2"/>
        <w:ind w:left="557"/>
        <w:jc w:val="right"/>
        <w:rPr>
          <w:rFonts w:hint="eastAsia" w:ascii="黑体" w:hAnsi="黑体" w:eastAsia="黑体" w:cs="黑体"/>
          <w:sz w:val="32"/>
          <w:szCs w:val="32"/>
        </w:rPr>
      </w:pPr>
      <w:r>
        <w:rPr>
          <w:rFonts w:hint="eastAsia" w:ascii="黑体" w:hAnsi="黑体" w:eastAsia="黑体" w:cs="黑体"/>
          <w:sz w:val="21"/>
          <w:szCs w:val="21"/>
          <w:lang w:val="en-US" w:eastAsia="zh-CN"/>
        </w:rPr>
        <w:t>事项编码</w:t>
      </w:r>
      <w:r>
        <w:rPr>
          <w:rFonts w:hint="eastAsia" w:ascii="黑体" w:hAnsi="黑体" w:eastAsia="黑体" w:cs="黑体"/>
          <w:sz w:val="21"/>
          <w:szCs w:val="21"/>
        </w:rPr>
        <w:t>729615800XK81095008</w:t>
      </w:r>
    </w:p>
    <w:tbl>
      <w:tblPr>
        <w:tblStyle w:val="6"/>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0"/>
        <w:gridCol w:w="2844"/>
        <w:gridCol w:w="1958"/>
        <w:gridCol w:w="2408"/>
        <w:gridCol w:w="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0" w:type="dxa"/>
          <w:trHeight w:val="694" w:hRule="atLeast"/>
        </w:trPr>
        <w:tc>
          <w:tcPr>
            <w:tcW w:w="1910" w:type="dxa"/>
            <w:vAlign w:val="center"/>
          </w:tcPr>
          <w:p>
            <w:pPr>
              <w:jc w:val="center"/>
              <w:rPr>
                <w:rFonts w:hint="eastAsia" w:ascii="黑体" w:hAnsi="黑体" w:eastAsia="黑体" w:cs="黑体"/>
                <w:kern w:val="0"/>
                <w:sz w:val="21"/>
                <w:szCs w:val="21"/>
              </w:rPr>
            </w:pPr>
            <w:r>
              <w:rPr>
                <w:rFonts w:hint="eastAsia" w:ascii="黑体" w:hAnsi="黑体" w:eastAsia="黑体" w:cs="黑体"/>
                <w:kern w:val="0"/>
                <w:sz w:val="21"/>
                <w:szCs w:val="21"/>
              </w:rPr>
              <w:t>适用范围</w:t>
            </w:r>
          </w:p>
        </w:tc>
        <w:tc>
          <w:tcPr>
            <w:tcW w:w="2844" w:type="dxa"/>
            <w:vAlign w:val="center"/>
          </w:tcPr>
          <w:p>
            <w:pPr>
              <w:pStyle w:val="2"/>
              <w:ind w:left="557"/>
              <w:jc w:val="center"/>
              <w:rPr>
                <w:rFonts w:hint="eastAsia" w:ascii="宋体" w:hAnsi="宋体" w:eastAsia="宋体" w:cs="宋体"/>
                <w:kern w:val="0"/>
                <w:sz w:val="24"/>
                <w:szCs w:val="24"/>
              </w:rPr>
            </w:pPr>
            <w:r>
              <w:rPr>
                <w:rFonts w:hint="eastAsia" w:ascii="宋体" w:hAnsi="宋体" w:eastAsia="宋体" w:cs="宋体"/>
                <w:sz w:val="24"/>
                <w:szCs w:val="24"/>
              </w:rPr>
              <w:t>个人、法人</w:t>
            </w:r>
          </w:p>
        </w:tc>
        <w:tc>
          <w:tcPr>
            <w:tcW w:w="1958" w:type="dxa"/>
            <w:vAlign w:val="center"/>
          </w:tcPr>
          <w:p>
            <w:pPr>
              <w:jc w:val="center"/>
              <w:rPr>
                <w:rFonts w:hint="eastAsia" w:ascii="黑体" w:hAnsi="黑体" w:eastAsia="黑体" w:cs="黑体"/>
                <w:kern w:val="0"/>
                <w:sz w:val="21"/>
                <w:szCs w:val="21"/>
              </w:rPr>
            </w:pPr>
            <w:r>
              <w:rPr>
                <w:rFonts w:hint="eastAsia" w:ascii="黑体" w:hAnsi="黑体" w:eastAsia="黑体" w:cs="黑体"/>
                <w:kern w:val="0"/>
                <w:sz w:val="21"/>
                <w:szCs w:val="21"/>
              </w:rPr>
              <w:t>事项类型</w:t>
            </w:r>
          </w:p>
        </w:tc>
        <w:tc>
          <w:tcPr>
            <w:tcW w:w="2408" w:type="dxa"/>
            <w:vAlign w:val="center"/>
          </w:tcPr>
          <w:p>
            <w:pPr>
              <w:pStyle w:val="2"/>
              <w:spacing w:before="1"/>
              <w:ind w:left="132" w:firstLine="472" w:firstLineChars="200"/>
              <w:rPr>
                <w:rFonts w:hint="eastAsia" w:ascii="宋体" w:hAnsi="宋体" w:eastAsia="宋体" w:cs="宋体"/>
                <w:kern w:val="0"/>
                <w:sz w:val="24"/>
                <w:szCs w:val="24"/>
              </w:rPr>
            </w:pPr>
            <w:r>
              <w:rPr>
                <w:rFonts w:hint="eastAsia" w:ascii="宋体" w:hAnsi="宋体" w:eastAsia="宋体" w:cs="宋体"/>
                <w:spacing w:val="-2"/>
                <w:sz w:val="24"/>
                <w:szCs w:val="24"/>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0" w:type="dxa"/>
          <w:trHeight w:val="694" w:hRule="atLeast"/>
        </w:trPr>
        <w:tc>
          <w:tcPr>
            <w:tcW w:w="1910" w:type="dxa"/>
            <w:vAlign w:val="center"/>
          </w:tcPr>
          <w:p>
            <w:pPr>
              <w:jc w:val="center"/>
              <w:rPr>
                <w:rFonts w:hint="eastAsia" w:ascii="黑体" w:hAnsi="黑体" w:eastAsia="黑体" w:cs="黑体"/>
                <w:kern w:val="0"/>
                <w:sz w:val="21"/>
                <w:szCs w:val="21"/>
              </w:rPr>
            </w:pPr>
            <w:r>
              <w:rPr>
                <w:rFonts w:hint="eastAsia" w:ascii="黑体" w:hAnsi="黑体" w:eastAsia="黑体" w:cs="黑体"/>
                <w:sz w:val="21"/>
                <w:szCs w:val="21"/>
              </w:rPr>
              <w:t>受理机构</w:t>
            </w:r>
          </w:p>
        </w:tc>
        <w:tc>
          <w:tcPr>
            <w:tcW w:w="2844"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桐柏县行政审批服务中心</w:t>
            </w:r>
          </w:p>
        </w:tc>
        <w:tc>
          <w:tcPr>
            <w:tcW w:w="1958" w:type="dxa"/>
            <w:vAlign w:val="center"/>
          </w:tcPr>
          <w:p>
            <w:pPr>
              <w:pStyle w:val="2"/>
              <w:spacing w:before="1"/>
              <w:ind w:left="133"/>
              <w:jc w:val="center"/>
              <w:rPr>
                <w:rFonts w:hint="eastAsia" w:ascii="黑体" w:hAnsi="黑体" w:eastAsia="黑体" w:cs="黑体"/>
                <w:kern w:val="0"/>
                <w:sz w:val="21"/>
                <w:szCs w:val="21"/>
              </w:rPr>
            </w:pPr>
            <w:r>
              <w:rPr>
                <w:rFonts w:hint="eastAsia" w:ascii="黑体" w:hAnsi="黑体" w:eastAsia="黑体" w:cs="黑体"/>
                <w:sz w:val="21"/>
                <w:szCs w:val="21"/>
              </w:rPr>
              <w:t>决定机构</w:t>
            </w:r>
          </w:p>
        </w:tc>
        <w:tc>
          <w:tcPr>
            <w:tcW w:w="2408" w:type="dxa"/>
            <w:vAlign w:val="center"/>
          </w:tcPr>
          <w:p>
            <w:pPr>
              <w:pStyle w:val="2"/>
              <w:spacing w:before="7"/>
              <w:jc w:val="center"/>
              <w:rPr>
                <w:rFonts w:hint="eastAsia" w:ascii="宋体" w:hAnsi="宋体" w:eastAsia="宋体" w:cs="宋体"/>
                <w:spacing w:val="-2"/>
                <w:sz w:val="24"/>
                <w:szCs w:val="24"/>
                <w:lang w:val="en-US" w:eastAsia="zh-CN"/>
              </w:rPr>
            </w:pPr>
            <w:r>
              <w:rPr>
                <w:rFonts w:hint="eastAsia" w:ascii="宋体" w:hAnsi="宋体" w:eastAsia="宋体" w:cs="宋体"/>
                <w:sz w:val="24"/>
                <w:szCs w:val="24"/>
                <w:lang w:val="en-US" w:eastAsia="zh-CN"/>
              </w:rPr>
              <w:t>南阳市生态环境局</w:t>
            </w:r>
            <w:r>
              <w:rPr>
                <w:rFonts w:hint="eastAsia" w:ascii="宋体" w:hAnsi="宋体" w:eastAsia="宋体" w:cs="宋体"/>
                <w:sz w:val="24"/>
                <w:szCs w:val="24"/>
              </w:rPr>
              <w:t>桐柏</w:t>
            </w:r>
            <w:r>
              <w:rPr>
                <w:rFonts w:hint="eastAsia" w:ascii="宋体" w:hAnsi="宋体" w:eastAsia="宋体" w:cs="宋体"/>
                <w:sz w:val="24"/>
                <w:szCs w:val="24"/>
                <w:lang w:val="en-US" w:eastAsia="zh-CN"/>
              </w:rPr>
              <w:t>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0" w:type="dxa"/>
          <w:trHeight w:val="694" w:hRule="atLeast"/>
        </w:trPr>
        <w:tc>
          <w:tcPr>
            <w:tcW w:w="1910" w:type="dxa"/>
            <w:vAlign w:val="center"/>
          </w:tcPr>
          <w:p>
            <w:pPr>
              <w:jc w:val="center"/>
              <w:rPr>
                <w:rFonts w:hint="eastAsia" w:ascii="黑体" w:hAnsi="黑体" w:eastAsia="黑体" w:cs="黑体"/>
                <w:sz w:val="21"/>
                <w:szCs w:val="21"/>
              </w:rPr>
            </w:pPr>
            <w:r>
              <w:rPr>
                <w:rFonts w:hint="eastAsia" w:ascii="黑体" w:hAnsi="黑体" w:eastAsia="黑体" w:cs="黑体"/>
                <w:kern w:val="0"/>
                <w:sz w:val="21"/>
                <w:szCs w:val="21"/>
              </w:rPr>
              <w:t>办理时限</w:t>
            </w:r>
          </w:p>
        </w:tc>
        <w:tc>
          <w:tcPr>
            <w:tcW w:w="2844" w:type="dxa"/>
            <w:vAlign w:val="center"/>
          </w:tcPr>
          <w:p>
            <w:pPr>
              <w:jc w:val="left"/>
              <w:rPr>
                <w:rFonts w:hint="eastAsia" w:ascii="宋体" w:hAnsi="宋体" w:eastAsia="宋体" w:cs="宋体"/>
                <w:sz w:val="24"/>
                <w:szCs w:val="24"/>
              </w:rPr>
            </w:pPr>
            <w:r>
              <w:rPr>
                <w:rFonts w:hint="eastAsia" w:ascii="宋体" w:hAnsi="宋体" w:eastAsia="宋体" w:cs="宋体"/>
                <w:sz w:val="24"/>
                <w:szCs w:val="24"/>
              </w:rPr>
              <w:t>法定时限：20个工作日</w:t>
            </w:r>
          </w:p>
          <w:p>
            <w:pPr>
              <w:jc w:val="left"/>
              <w:rPr>
                <w:rFonts w:hint="eastAsia" w:ascii="宋体" w:hAnsi="宋体" w:eastAsia="宋体" w:cs="宋体"/>
                <w:sz w:val="24"/>
                <w:szCs w:val="24"/>
              </w:rPr>
            </w:pPr>
            <w:r>
              <w:rPr>
                <w:rFonts w:hint="eastAsia" w:ascii="宋体" w:hAnsi="宋体" w:eastAsia="宋体" w:cs="宋体"/>
                <w:sz w:val="24"/>
                <w:szCs w:val="24"/>
              </w:rPr>
              <w:t>承诺时限：</w:t>
            </w:r>
            <w:r>
              <w:rPr>
                <w:rFonts w:hint="eastAsia" w:ascii="宋体" w:hAnsi="宋体" w:eastAsia="宋体" w:cs="宋体"/>
                <w:sz w:val="24"/>
                <w:szCs w:val="24"/>
                <w:lang w:val="en-US" w:eastAsia="zh-CN"/>
              </w:rPr>
              <w:t>1</w:t>
            </w:r>
            <w:r>
              <w:rPr>
                <w:rFonts w:hint="eastAsia" w:ascii="宋体" w:hAnsi="宋体" w:eastAsia="宋体" w:cs="宋体"/>
                <w:sz w:val="24"/>
                <w:szCs w:val="24"/>
              </w:rPr>
              <w:t>个工作日</w:t>
            </w:r>
          </w:p>
        </w:tc>
        <w:tc>
          <w:tcPr>
            <w:tcW w:w="1958" w:type="dxa"/>
            <w:vAlign w:val="center"/>
          </w:tcPr>
          <w:p>
            <w:pPr>
              <w:pStyle w:val="2"/>
              <w:spacing w:before="1"/>
              <w:ind w:left="133"/>
              <w:jc w:val="center"/>
              <w:rPr>
                <w:rFonts w:hint="eastAsia" w:ascii="黑体" w:hAnsi="黑体" w:eastAsia="黑体" w:cs="黑体"/>
                <w:sz w:val="21"/>
                <w:szCs w:val="21"/>
              </w:rPr>
            </w:pPr>
            <w:r>
              <w:rPr>
                <w:rFonts w:hint="eastAsia" w:ascii="黑体" w:hAnsi="黑体" w:eastAsia="黑体" w:cs="黑体"/>
                <w:sz w:val="21"/>
                <w:szCs w:val="21"/>
              </w:rPr>
              <w:t>咨询方式</w:t>
            </w:r>
          </w:p>
        </w:tc>
        <w:tc>
          <w:tcPr>
            <w:tcW w:w="2408" w:type="dxa"/>
            <w:vAlign w:val="center"/>
          </w:tcPr>
          <w:p>
            <w:pPr>
              <w:jc w:val="left"/>
              <w:rPr>
                <w:rFonts w:hint="eastAsia" w:ascii="宋体" w:hAnsi="宋体" w:eastAsia="宋体" w:cs="宋体"/>
                <w:sz w:val="24"/>
                <w:szCs w:val="24"/>
              </w:rPr>
            </w:pPr>
            <w:r>
              <w:rPr>
                <w:rFonts w:hint="eastAsia" w:ascii="宋体" w:hAnsi="宋体" w:eastAsia="宋体" w:cs="宋体"/>
                <w:sz w:val="24"/>
                <w:szCs w:val="24"/>
              </w:rPr>
              <w:t>现场咨询</w:t>
            </w:r>
          </w:p>
          <w:p>
            <w:pPr>
              <w:pStyle w:val="2"/>
              <w:spacing w:before="7"/>
              <w:jc w:val="left"/>
              <w:rPr>
                <w:rFonts w:hint="eastAsia" w:ascii="宋体" w:hAnsi="宋体" w:eastAsia="宋体" w:cs="宋体"/>
                <w:sz w:val="24"/>
                <w:szCs w:val="24"/>
                <w:lang w:val="en-US" w:eastAsia="zh-CN"/>
              </w:rPr>
            </w:pPr>
            <w:r>
              <w:rPr>
                <w:rFonts w:hint="eastAsia" w:ascii="宋体" w:hAnsi="宋体" w:eastAsia="宋体" w:cs="宋体"/>
                <w:sz w:val="24"/>
                <w:szCs w:val="24"/>
              </w:rPr>
              <w:t>电话咨询：</w:t>
            </w:r>
            <w:r>
              <w:rPr>
                <w:rFonts w:hint="eastAsia" w:ascii="宋体" w:hAnsi="宋体" w:eastAsia="宋体" w:cs="宋体"/>
                <w:sz w:val="24"/>
                <w:szCs w:val="24"/>
                <w:lang w:val="en-US" w:eastAsia="zh-CN"/>
              </w:rPr>
              <w:t>0</w:t>
            </w:r>
            <w:r>
              <w:rPr>
                <w:rFonts w:hint="eastAsia" w:ascii="宋体" w:hAnsi="宋体" w:eastAsia="宋体" w:cs="宋体"/>
                <w:sz w:val="24"/>
                <w:szCs w:val="24"/>
              </w:rPr>
              <w:t>377-</w:t>
            </w:r>
            <w:r>
              <w:rPr>
                <w:rFonts w:hint="eastAsia" w:ascii="宋体" w:hAnsi="宋体" w:eastAsia="宋体" w:cs="宋体"/>
                <w:sz w:val="24"/>
                <w:szCs w:val="24"/>
                <w:lang w:val="en-US" w:eastAsia="zh-CN"/>
              </w:rPr>
              <w:t>68218836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0" w:type="dxa"/>
          <w:trHeight w:val="694" w:hRule="atLeast"/>
        </w:trPr>
        <w:tc>
          <w:tcPr>
            <w:tcW w:w="1910" w:type="dxa"/>
            <w:vAlign w:val="center"/>
          </w:tcPr>
          <w:p>
            <w:pPr>
              <w:jc w:val="center"/>
              <w:rPr>
                <w:rFonts w:hint="eastAsia" w:ascii="黑体" w:hAnsi="黑体" w:eastAsia="黑体" w:cs="黑体"/>
                <w:kern w:val="0"/>
                <w:sz w:val="21"/>
                <w:szCs w:val="21"/>
              </w:rPr>
            </w:pPr>
            <w:r>
              <w:rPr>
                <w:rFonts w:hint="eastAsia" w:ascii="黑体" w:hAnsi="黑体" w:eastAsia="黑体" w:cs="黑体"/>
                <w:sz w:val="21"/>
                <w:szCs w:val="21"/>
              </w:rPr>
              <w:t>受理方式</w:t>
            </w:r>
          </w:p>
        </w:tc>
        <w:tc>
          <w:tcPr>
            <w:tcW w:w="2844" w:type="dxa"/>
            <w:vAlign w:val="center"/>
          </w:tcPr>
          <w:p>
            <w:pPr>
              <w:jc w:val="left"/>
              <w:rPr>
                <w:rFonts w:hint="eastAsia" w:ascii="宋体" w:hAnsi="宋体" w:eastAsia="宋体" w:cs="宋体"/>
                <w:sz w:val="24"/>
                <w:szCs w:val="24"/>
              </w:rPr>
            </w:pPr>
            <w:r>
              <w:rPr>
                <w:rFonts w:hint="eastAsia" w:ascii="宋体" w:hAnsi="宋体" w:eastAsia="宋体" w:cs="宋体"/>
                <w:sz w:val="24"/>
                <w:szCs w:val="24"/>
              </w:rPr>
              <w:t>窗口受理、网上申报</w:t>
            </w:r>
          </w:p>
        </w:tc>
        <w:tc>
          <w:tcPr>
            <w:tcW w:w="1958" w:type="dxa"/>
            <w:vAlign w:val="center"/>
          </w:tcPr>
          <w:p>
            <w:pPr>
              <w:pStyle w:val="2"/>
              <w:spacing w:before="1"/>
              <w:ind w:left="133"/>
              <w:jc w:val="center"/>
              <w:rPr>
                <w:rFonts w:hint="eastAsia" w:ascii="黑体" w:hAnsi="黑体" w:eastAsia="黑体" w:cs="黑体"/>
                <w:sz w:val="21"/>
                <w:szCs w:val="21"/>
              </w:rPr>
            </w:pPr>
            <w:r>
              <w:rPr>
                <w:rFonts w:hint="eastAsia" w:ascii="黑体" w:hAnsi="黑体" w:eastAsia="黑体" w:cs="黑体"/>
                <w:sz w:val="21"/>
                <w:szCs w:val="21"/>
              </w:rPr>
              <w:t>结果送达</w:t>
            </w:r>
          </w:p>
        </w:tc>
        <w:tc>
          <w:tcPr>
            <w:tcW w:w="2408" w:type="dxa"/>
            <w:vAlign w:val="center"/>
          </w:tcPr>
          <w:p>
            <w:pPr>
              <w:pStyle w:val="2"/>
              <w:spacing w:before="7"/>
              <w:jc w:val="left"/>
              <w:rPr>
                <w:rFonts w:hint="eastAsia" w:ascii="宋体" w:hAnsi="宋体" w:eastAsia="宋体" w:cs="宋体"/>
                <w:sz w:val="24"/>
                <w:szCs w:val="24"/>
              </w:rPr>
            </w:pPr>
            <w:r>
              <w:rPr>
                <w:rFonts w:hint="eastAsia" w:ascii="宋体" w:hAnsi="宋体" w:eastAsia="宋体" w:cs="宋体"/>
                <w:sz w:val="24"/>
                <w:szCs w:val="24"/>
              </w:rPr>
              <w:t>窗口领取、邮递送达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0" w:type="dxa"/>
          <w:trHeight w:val="4389" w:hRule="atLeast"/>
        </w:trPr>
        <w:tc>
          <w:tcPr>
            <w:tcW w:w="1910" w:type="dxa"/>
            <w:vAlign w:val="center"/>
          </w:tcPr>
          <w:p>
            <w:pPr>
              <w:jc w:val="center"/>
              <w:rPr>
                <w:rFonts w:hint="eastAsia" w:ascii="黑体" w:hAnsi="黑体" w:eastAsia="黑体" w:cs="黑体"/>
                <w:kern w:val="0"/>
                <w:sz w:val="21"/>
                <w:szCs w:val="21"/>
              </w:rPr>
            </w:pPr>
            <w:r>
              <w:rPr>
                <w:rFonts w:hint="eastAsia" w:ascii="黑体" w:hAnsi="黑体" w:eastAsia="黑体" w:cs="黑体"/>
                <w:kern w:val="0"/>
                <w:sz w:val="21"/>
                <w:szCs w:val="21"/>
              </w:rPr>
              <w:t>设立依据</w:t>
            </w:r>
          </w:p>
        </w:tc>
        <w:tc>
          <w:tcPr>
            <w:tcW w:w="7210" w:type="dxa"/>
            <w:gridSpan w:val="3"/>
          </w:tcPr>
          <w:p>
            <w:pPr>
              <w:pStyle w:val="4"/>
              <w:keepNext w:val="0"/>
              <w:keepLines w:val="0"/>
              <w:pageBreakBefore w:val="0"/>
              <w:widowControl/>
              <w:suppressLineNumbers w:val="0"/>
              <w:kinsoku/>
              <w:wordWrap/>
              <w:overflowPunct/>
              <w:topLinePunct w:val="0"/>
              <w:autoSpaceDE/>
              <w:autoSpaceDN/>
              <w:bidi w:val="0"/>
              <w:adjustRightInd/>
              <w:snapToGrid/>
              <w:spacing w:afterAutospacing="0"/>
              <w:textAlignment w:val="auto"/>
              <w:rPr>
                <w:rFonts w:hint="eastAsia" w:ascii="宋体" w:hAnsi="宋体" w:eastAsia="宋体" w:cs="宋体"/>
                <w:kern w:val="0"/>
                <w:sz w:val="24"/>
                <w:szCs w:val="24"/>
              </w:rPr>
            </w:pPr>
            <w:r>
              <w:rPr>
                <w:rFonts w:hint="eastAsia" w:ascii="宋体" w:hAnsi="宋体" w:eastAsia="宋体" w:cs="宋体"/>
                <w:sz w:val="24"/>
                <w:szCs w:val="24"/>
              </w:rPr>
              <w:t>《危险废物经营许可证管理办法》（2004年5月30日国务院令第408号，2016年2月6日予以修改）</w:t>
            </w:r>
            <w:r>
              <w:rPr>
                <w:rFonts w:hint="eastAsia" w:ascii="宋体" w:hAnsi="宋体" w:eastAsia="宋体" w:cs="宋体"/>
                <w:sz w:val="24"/>
                <w:szCs w:val="24"/>
              </w:rPr>
              <w:br w:type="textWrapping"/>
            </w:r>
            <w:r>
              <w:rPr>
                <w:rFonts w:hint="eastAsia" w:ascii="宋体" w:hAnsi="宋体" w:eastAsia="宋体" w:cs="宋体"/>
                <w:sz w:val="24"/>
                <w:szCs w:val="24"/>
              </w:rPr>
              <w:t>第十条　危险废物经营许可证包括下列主要内容：</w:t>
            </w:r>
            <w:r>
              <w:rPr>
                <w:rFonts w:hint="eastAsia" w:ascii="宋体" w:hAnsi="宋体" w:eastAsia="宋体" w:cs="宋体"/>
                <w:sz w:val="24"/>
                <w:szCs w:val="24"/>
              </w:rPr>
              <w:br w:type="textWrapping"/>
            </w:r>
            <w:r>
              <w:rPr>
                <w:rFonts w:hint="eastAsia" w:ascii="宋体" w:hAnsi="宋体" w:eastAsia="宋体" w:cs="宋体"/>
                <w:sz w:val="24"/>
                <w:szCs w:val="24"/>
              </w:rPr>
              <w:t>　　（一）法人名称、法定代表人、住所；</w:t>
            </w:r>
            <w:r>
              <w:rPr>
                <w:rFonts w:hint="eastAsia" w:ascii="宋体" w:hAnsi="宋体" w:eastAsia="宋体" w:cs="宋体"/>
                <w:sz w:val="24"/>
                <w:szCs w:val="24"/>
              </w:rPr>
              <w:br w:type="textWrapping"/>
            </w:r>
            <w:r>
              <w:rPr>
                <w:rFonts w:hint="eastAsia" w:ascii="宋体" w:hAnsi="宋体" w:eastAsia="宋体" w:cs="宋体"/>
                <w:sz w:val="24"/>
                <w:szCs w:val="24"/>
              </w:rPr>
              <w:t>　　（二）危险废物经营方式；</w:t>
            </w:r>
            <w:r>
              <w:rPr>
                <w:rFonts w:hint="eastAsia" w:ascii="宋体" w:hAnsi="宋体" w:eastAsia="宋体" w:cs="宋体"/>
                <w:sz w:val="24"/>
                <w:szCs w:val="24"/>
              </w:rPr>
              <w:br w:type="textWrapping"/>
            </w:r>
            <w:r>
              <w:rPr>
                <w:rFonts w:hint="eastAsia" w:ascii="宋体" w:hAnsi="宋体" w:eastAsia="宋体" w:cs="宋体"/>
                <w:sz w:val="24"/>
                <w:szCs w:val="24"/>
              </w:rPr>
              <w:t>　　（三）危险废物类别；</w:t>
            </w:r>
            <w:r>
              <w:rPr>
                <w:rFonts w:hint="eastAsia" w:ascii="宋体" w:hAnsi="宋体" w:eastAsia="宋体" w:cs="宋体"/>
                <w:sz w:val="24"/>
                <w:szCs w:val="24"/>
              </w:rPr>
              <w:br w:type="textWrapping"/>
            </w:r>
            <w:r>
              <w:rPr>
                <w:rFonts w:hint="eastAsia" w:ascii="宋体" w:hAnsi="宋体" w:eastAsia="宋体" w:cs="宋体"/>
                <w:sz w:val="24"/>
                <w:szCs w:val="24"/>
              </w:rPr>
              <w:t>　　（四）年经营规</w:t>
            </w:r>
            <w:bookmarkStart w:id="0" w:name="_GoBack"/>
            <w:bookmarkEnd w:id="0"/>
            <w:r>
              <w:rPr>
                <w:rFonts w:hint="eastAsia" w:ascii="宋体" w:hAnsi="宋体" w:eastAsia="宋体" w:cs="宋体"/>
                <w:sz w:val="24"/>
                <w:szCs w:val="24"/>
              </w:rPr>
              <w:t>模；</w:t>
            </w:r>
            <w:r>
              <w:rPr>
                <w:rFonts w:hint="eastAsia" w:ascii="宋体" w:hAnsi="宋体" w:eastAsia="宋体" w:cs="宋体"/>
                <w:sz w:val="24"/>
                <w:szCs w:val="24"/>
              </w:rPr>
              <w:br w:type="textWrapping"/>
            </w:r>
            <w:r>
              <w:rPr>
                <w:rFonts w:hint="eastAsia" w:ascii="宋体" w:hAnsi="宋体" w:eastAsia="宋体" w:cs="宋体"/>
                <w:sz w:val="24"/>
                <w:szCs w:val="24"/>
              </w:rPr>
              <w:t>　　（五）有效期限；</w:t>
            </w:r>
            <w:r>
              <w:rPr>
                <w:rFonts w:hint="eastAsia" w:ascii="宋体" w:hAnsi="宋体" w:eastAsia="宋体" w:cs="宋体"/>
                <w:sz w:val="24"/>
                <w:szCs w:val="24"/>
              </w:rPr>
              <w:br w:type="textWrapping"/>
            </w:r>
            <w:r>
              <w:rPr>
                <w:rFonts w:hint="eastAsia" w:ascii="宋体" w:hAnsi="宋体" w:eastAsia="宋体" w:cs="宋体"/>
                <w:sz w:val="24"/>
                <w:szCs w:val="24"/>
              </w:rPr>
              <w:t>　　（六）发证日期和证书编号。</w:t>
            </w:r>
            <w:r>
              <w:rPr>
                <w:rFonts w:hint="eastAsia" w:ascii="宋体" w:hAnsi="宋体" w:eastAsia="宋体" w:cs="宋体"/>
                <w:sz w:val="24"/>
                <w:szCs w:val="24"/>
              </w:rPr>
              <w:br w:type="textWrapping"/>
            </w:r>
            <w:r>
              <w:rPr>
                <w:rFonts w:hint="eastAsia" w:ascii="宋体" w:hAnsi="宋体" w:eastAsia="宋体" w:cs="宋体"/>
                <w:sz w:val="24"/>
                <w:szCs w:val="24"/>
              </w:rPr>
              <w:t>　　危险废物综合经营许可证的内容，还应当包括贮存、处置设施的地址。</w:t>
            </w:r>
            <w:r>
              <w:rPr>
                <w:rFonts w:hint="eastAsia" w:ascii="宋体" w:hAnsi="宋体" w:eastAsia="宋体" w:cs="宋体"/>
                <w:sz w:val="24"/>
                <w:szCs w:val="24"/>
              </w:rPr>
              <w:br w:type="textWrapping"/>
            </w:r>
            <w:r>
              <w:rPr>
                <w:rFonts w:hint="eastAsia" w:ascii="宋体" w:hAnsi="宋体" w:eastAsia="宋体" w:cs="宋体"/>
                <w:sz w:val="24"/>
                <w:szCs w:val="24"/>
              </w:rPr>
              <w:t>　　第十一条　危险废物经营单位变更法人名称、法定代表人和住所的，应当自工商变更登记之日起15个工作日内，向原发证机关申请办理危险废物经营许可证变更手续。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0" w:type="dxa"/>
          <w:trHeight w:val="600" w:hRule="atLeast"/>
        </w:trPr>
        <w:tc>
          <w:tcPr>
            <w:tcW w:w="1910" w:type="dxa"/>
            <w:vAlign w:val="center"/>
          </w:tcPr>
          <w:p>
            <w:pPr>
              <w:jc w:val="center"/>
              <w:rPr>
                <w:rFonts w:hint="eastAsia" w:ascii="黑体" w:hAnsi="黑体" w:eastAsia="黑体" w:cs="黑体"/>
                <w:kern w:val="0"/>
                <w:sz w:val="21"/>
                <w:szCs w:val="21"/>
                <w:lang w:eastAsia="zh-CN"/>
              </w:rPr>
            </w:pPr>
            <w:r>
              <w:rPr>
                <w:rFonts w:hint="eastAsia" w:ascii="黑体" w:hAnsi="黑体" w:eastAsia="黑体" w:cs="黑体"/>
                <w:kern w:val="0"/>
                <w:sz w:val="21"/>
                <w:szCs w:val="21"/>
                <w:lang w:eastAsia="zh-CN"/>
              </w:rPr>
              <w:t>办理条件</w:t>
            </w:r>
          </w:p>
        </w:tc>
        <w:tc>
          <w:tcPr>
            <w:tcW w:w="7210" w:type="dxa"/>
            <w:gridSpan w:val="3"/>
          </w:tcPr>
          <w:p>
            <w:pPr>
              <w:pStyle w:val="4"/>
              <w:keepNext w:val="0"/>
              <w:keepLines w:val="0"/>
              <w:pageBreakBefore w:val="0"/>
              <w:widowControl/>
              <w:suppressLineNumbers w:val="0"/>
              <w:kinsoku/>
              <w:wordWrap/>
              <w:overflowPunct/>
              <w:topLinePunct w:val="0"/>
              <w:autoSpaceDE/>
              <w:autoSpaceDN/>
              <w:bidi w:val="0"/>
              <w:adjustRightInd/>
              <w:snapToGrid/>
              <w:spacing w:afterAutospacing="0"/>
              <w:textAlignment w:val="auto"/>
              <w:rPr>
                <w:rFonts w:hint="eastAsia" w:ascii="宋体" w:hAnsi="宋体" w:eastAsia="宋体" w:cs="宋体"/>
                <w:sz w:val="24"/>
                <w:szCs w:val="24"/>
              </w:rPr>
            </w:pPr>
            <w:r>
              <w:rPr>
                <w:rFonts w:hint="eastAsia" w:ascii="宋体" w:hAnsi="宋体" w:eastAsia="宋体" w:cs="宋体"/>
                <w:sz w:val="24"/>
                <w:szCs w:val="24"/>
              </w:rPr>
              <w:t>危险废物经营许可证在有效期内，危险废物经营单位基础信息发生变化且继续从事危险废物经营活动的。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0" w:type="dxa"/>
          <w:trHeight w:val="653" w:hRule="atLeast"/>
        </w:trPr>
        <w:tc>
          <w:tcPr>
            <w:tcW w:w="1910" w:type="dxa"/>
            <w:vAlign w:val="center"/>
          </w:tcPr>
          <w:p>
            <w:pPr>
              <w:jc w:val="center"/>
              <w:rPr>
                <w:rFonts w:hint="eastAsia" w:ascii="黑体" w:hAnsi="黑体" w:eastAsia="黑体" w:cs="黑体"/>
                <w:kern w:val="0"/>
                <w:sz w:val="21"/>
                <w:szCs w:val="21"/>
              </w:rPr>
            </w:pPr>
            <w:r>
              <w:rPr>
                <w:rFonts w:hint="eastAsia" w:ascii="黑体" w:hAnsi="黑体" w:eastAsia="黑体" w:cs="黑体"/>
                <w:sz w:val="21"/>
                <w:szCs w:val="21"/>
              </w:rPr>
              <w:t>申办材料</w:t>
            </w:r>
          </w:p>
        </w:tc>
        <w:tc>
          <w:tcPr>
            <w:tcW w:w="7210" w:type="dxa"/>
            <w:gridSpan w:val="3"/>
            <w:vAlign w:val="center"/>
          </w:tcPr>
          <w:p>
            <w:pPr>
              <w:jc w:val="left"/>
              <w:rPr>
                <w:rFonts w:hint="eastAsia" w:ascii="宋体" w:hAnsi="宋体" w:eastAsia="宋体" w:cs="宋体"/>
                <w:sz w:val="24"/>
                <w:szCs w:val="24"/>
                <w:lang w:val="en-US" w:eastAsia="zh-CN"/>
              </w:rPr>
            </w:pPr>
            <w:r>
              <w:rPr>
                <w:rFonts w:hint="eastAsia" w:ascii="宋体" w:hAnsi="宋体" w:eastAsia="宋体" w:cs="宋体"/>
                <w:sz w:val="24"/>
                <w:szCs w:val="24"/>
              </w:rPr>
              <w:t>企业的新、旧营业执照复印件，申请变更法人的，提供新法人身份证复印件。</w:t>
            </w:r>
            <w:r>
              <w:rPr>
                <w:rFonts w:hint="eastAsia" w:ascii="宋体" w:hAnsi="宋体" w:eastAsia="宋体" w:cs="宋体"/>
                <w:sz w:val="24"/>
                <w:szCs w:val="24"/>
                <w:lang w:val="en-US" w:eastAsia="zh-CN"/>
              </w:rPr>
              <w:t xml:space="preserve">                         一份</w:t>
            </w:r>
          </w:p>
          <w:p>
            <w:pPr>
              <w:jc w:val="left"/>
              <w:rPr>
                <w:rFonts w:hint="eastAsia" w:ascii="宋体" w:hAnsi="宋体" w:eastAsia="宋体" w:cs="宋体"/>
                <w:sz w:val="24"/>
                <w:szCs w:val="24"/>
                <w:lang w:val="en-US" w:eastAsia="zh-CN"/>
              </w:rPr>
            </w:pPr>
            <w:r>
              <w:rPr>
                <w:rFonts w:hint="eastAsia" w:ascii="宋体" w:hAnsi="宋体" w:eastAsia="宋体" w:cs="宋体"/>
                <w:sz w:val="24"/>
                <w:szCs w:val="24"/>
              </w:rPr>
              <w:t>河南省危险废物经营许可证申请表</w:t>
            </w:r>
            <w:r>
              <w:rPr>
                <w:rFonts w:hint="eastAsia" w:ascii="宋体" w:hAnsi="宋体" w:eastAsia="宋体" w:cs="宋体"/>
                <w:sz w:val="24"/>
                <w:szCs w:val="24"/>
                <w:lang w:val="en-US" w:eastAsia="zh-CN"/>
              </w:rPr>
              <w:t xml:space="preserve">     一份</w:t>
            </w:r>
          </w:p>
          <w:p>
            <w:pPr>
              <w:jc w:val="left"/>
              <w:rPr>
                <w:rFonts w:hint="eastAsia" w:ascii="宋体" w:hAnsi="宋体" w:eastAsia="宋体" w:cs="宋体"/>
                <w:sz w:val="24"/>
                <w:szCs w:val="24"/>
                <w:lang w:val="en-US" w:eastAsia="zh-CN"/>
              </w:rPr>
            </w:pPr>
            <w:r>
              <w:rPr>
                <w:rFonts w:hint="eastAsia" w:ascii="宋体" w:hAnsi="宋体" w:eastAsia="宋体" w:cs="宋体"/>
                <w:sz w:val="24"/>
                <w:szCs w:val="24"/>
              </w:rPr>
              <w:t>企业变更或补发请示（说明变更原因）</w:t>
            </w:r>
            <w:r>
              <w:rPr>
                <w:rFonts w:hint="eastAsia" w:ascii="宋体" w:hAnsi="宋体" w:eastAsia="宋体" w:cs="宋体"/>
                <w:sz w:val="24"/>
                <w:szCs w:val="24"/>
                <w:lang w:val="en-US" w:eastAsia="zh-CN"/>
              </w:rPr>
              <w:t xml:space="preserve"> 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0" w:type="dxa"/>
          <w:trHeight w:val="2329" w:hRule="atLeast"/>
        </w:trPr>
        <w:tc>
          <w:tcPr>
            <w:tcW w:w="1910" w:type="dxa"/>
            <w:vAlign w:val="center"/>
          </w:tcPr>
          <w:p>
            <w:pPr>
              <w:jc w:val="center"/>
              <w:rPr>
                <w:rFonts w:hint="eastAsia" w:ascii="黑体" w:hAnsi="黑体" w:eastAsia="黑体" w:cs="黑体"/>
                <w:sz w:val="21"/>
                <w:szCs w:val="21"/>
              </w:rPr>
            </w:pPr>
            <w:r>
              <w:rPr>
                <w:rFonts w:hint="eastAsia" w:ascii="黑体" w:hAnsi="黑体" w:eastAsia="黑体" w:cs="黑体"/>
                <w:kern w:val="0"/>
                <w:sz w:val="21"/>
                <w:szCs w:val="21"/>
              </w:rPr>
              <w:t>办理流程</w:t>
            </w:r>
          </w:p>
        </w:tc>
        <w:tc>
          <w:tcPr>
            <w:tcW w:w="7210" w:type="dxa"/>
            <w:gridSpan w:val="3"/>
            <w:vAlign w:val="center"/>
          </w:tcPr>
          <w:p>
            <w:pPr>
              <w:pStyle w:val="4"/>
              <w:keepNext w:val="0"/>
              <w:keepLines w:val="0"/>
              <w:pageBreakBefore w:val="0"/>
              <w:widowControl/>
              <w:suppressLineNumbers w:val="0"/>
              <w:kinsoku/>
              <w:wordWrap/>
              <w:overflowPunct/>
              <w:topLinePunct w:val="0"/>
              <w:autoSpaceDE/>
              <w:autoSpaceDN/>
              <w:bidi w:val="0"/>
              <w:adjustRightInd/>
              <w:snapToGrid/>
              <w:spacing w:afterAutospacing="0"/>
              <w:jc w:val="left"/>
              <w:textAlignment w:val="auto"/>
              <w:rPr>
                <w:rFonts w:hint="eastAsia" w:ascii="宋体" w:hAnsi="宋体" w:eastAsia="宋体" w:cs="宋体"/>
                <w:color w:val="FF0000"/>
                <w:kern w:val="0"/>
                <w:sz w:val="24"/>
                <w:szCs w:val="24"/>
                <w:lang w:val="en-US" w:eastAsia="zh-CN" w:bidi="ar-SA"/>
              </w:rPr>
            </w:pPr>
            <w:r>
              <w:rPr>
                <w:rFonts w:hint="eastAsia" w:ascii="宋体" w:hAnsi="宋体" w:eastAsia="宋体" w:cs="宋体"/>
                <w:i w:val="0"/>
                <w:caps w:val="0"/>
                <w:color w:val="4A4A4A"/>
                <w:spacing w:val="0"/>
                <w:sz w:val="24"/>
                <w:szCs w:val="24"/>
              </w:rPr>
              <w:t>环节名称：受理 ；办理人：唐有记；办理时限：即时；审查标准：对申请材料进行初步审核。经审核，申请材料齐全、符合法定形式的，应当决定予以受理；办理结果：能当场受理或通过当场补正达到受理条件的，直接进入受理步骤；初步审核后材料不符合要求的不予以受理；</w:t>
            </w:r>
            <w:r>
              <w:rPr>
                <w:rFonts w:hint="eastAsia" w:ascii="宋体" w:hAnsi="宋体" w:eastAsia="宋体" w:cs="宋体"/>
                <w:i w:val="0"/>
                <w:caps w:val="0"/>
                <w:color w:val="4A4A4A"/>
                <w:spacing w:val="0"/>
                <w:sz w:val="24"/>
                <w:szCs w:val="24"/>
              </w:rPr>
              <w:br w:type="textWrapping"/>
            </w:r>
            <w:r>
              <w:rPr>
                <w:rFonts w:hint="eastAsia" w:ascii="宋体" w:hAnsi="宋体" w:eastAsia="宋体" w:cs="宋体"/>
                <w:i w:val="0"/>
                <w:caps w:val="0"/>
                <w:color w:val="4A4A4A"/>
                <w:spacing w:val="0"/>
                <w:sz w:val="24"/>
                <w:szCs w:val="24"/>
              </w:rPr>
              <w:t>环节名称：审核 ；办理人：袁琳；办理时限：一个工作日；审查标准：在受理申报材料后，由办理科室对内容进行审查；办理结果：提出初步意见，转入决定步骤；</w:t>
            </w:r>
            <w:r>
              <w:rPr>
                <w:rFonts w:hint="eastAsia" w:ascii="宋体" w:hAnsi="宋体" w:eastAsia="宋体" w:cs="宋体"/>
                <w:i w:val="0"/>
                <w:caps w:val="0"/>
                <w:color w:val="4A4A4A"/>
                <w:spacing w:val="0"/>
                <w:sz w:val="24"/>
                <w:szCs w:val="24"/>
              </w:rPr>
              <w:br w:type="textWrapping"/>
            </w:r>
            <w:r>
              <w:rPr>
                <w:rFonts w:hint="eastAsia" w:ascii="宋体" w:hAnsi="宋体" w:eastAsia="宋体" w:cs="宋体"/>
                <w:i w:val="0"/>
                <w:caps w:val="0"/>
                <w:color w:val="4A4A4A"/>
                <w:spacing w:val="0"/>
                <w:sz w:val="24"/>
                <w:szCs w:val="24"/>
              </w:rPr>
              <w:t>环节名称：决定 ；办理人：孙立新；办理时限：即时；审查标准：在办理科室审查完成后，实施部门应在承诺时限内作出是否同意申请政务服务事项的决定；办理结果：申请符合规定的，准予审批通过；申请不符合规定的，不予审批通过；</w:t>
            </w:r>
            <w:r>
              <w:rPr>
                <w:rFonts w:hint="eastAsia" w:ascii="宋体" w:hAnsi="宋体" w:eastAsia="宋体" w:cs="宋体"/>
                <w:i w:val="0"/>
                <w:caps w:val="0"/>
                <w:color w:val="4A4A4A"/>
                <w:spacing w:val="0"/>
                <w:sz w:val="24"/>
                <w:szCs w:val="24"/>
              </w:rPr>
              <w:br w:type="textWrapping"/>
            </w:r>
            <w:r>
              <w:rPr>
                <w:rFonts w:hint="eastAsia" w:ascii="宋体" w:hAnsi="宋体" w:eastAsia="宋体" w:cs="宋体"/>
                <w:i w:val="0"/>
                <w:caps w:val="0"/>
                <w:color w:val="4A4A4A"/>
                <w:spacing w:val="0"/>
                <w:sz w:val="24"/>
                <w:szCs w:val="24"/>
              </w:rPr>
              <w:t>办理结果：窗口领取、代理人领取、委托送达、公告送达、邮寄送达；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1910" w:type="dxa"/>
            <w:vAlign w:val="center"/>
          </w:tcPr>
          <w:p>
            <w:pPr>
              <w:jc w:val="center"/>
              <w:rPr>
                <w:rFonts w:hint="eastAsia" w:ascii="黑体" w:hAnsi="黑体" w:eastAsia="黑体" w:cs="黑体"/>
                <w:sz w:val="21"/>
                <w:szCs w:val="21"/>
              </w:rPr>
            </w:pPr>
            <w:r>
              <w:rPr>
                <w:rFonts w:hint="eastAsia" w:ascii="黑体" w:hAnsi="黑体" w:eastAsia="黑体" w:cs="黑体"/>
                <w:sz w:val="21"/>
                <w:szCs w:val="21"/>
              </w:rPr>
              <w:t>收费依据及标准</w:t>
            </w:r>
          </w:p>
        </w:tc>
        <w:tc>
          <w:tcPr>
            <w:tcW w:w="7270" w:type="dxa"/>
            <w:gridSpan w:val="4"/>
            <w:vAlign w:val="center"/>
          </w:tcPr>
          <w:p>
            <w:pPr>
              <w:pStyle w:val="2"/>
              <w:spacing w:before="7"/>
              <w:jc w:val="center"/>
              <w:rPr>
                <w:rFonts w:hint="eastAsia" w:ascii="宋体" w:hAnsi="宋体" w:eastAsia="宋体" w:cs="宋体"/>
                <w:sz w:val="24"/>
                <w:szCs w:val="24"/>
              </w:rPr>
            </w:pPr>
            <w:r>
              <w:rPr>
                <w:rFonts w:hint="eastAsia" w:ascii="宋体" w:hAnsi="宋体" w:eastAsia="宋体" w:cs="宋体"/>
                <w:sz w:val="24"/>
                <w:szCs w:val="24"/>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1910" w:type="dxa"/>
            <w:vAlign w:val="center"/>
          </w:tcPr>
          <w:p>
            <w:pPr>
              <w:jc w:val="center"/>
              <w:rPr>
                <w:rFonts w:hint="eastAsia" w:ascii="黑体" w:hAnsi="黑体" w:eastAsia="黑体" w:cs="黑体"/>
                <w:sz w:val="21"/>
                <w:szCs w:val="21"/>
              </w:rPr>
            </w:pPr>
            <w:r>
              <w:rPr>
                <w:rFonts w:hint="eastAsia" w:ascii="黑体" w:hAnsi="黑体" w:eastAsia="黑体" w:cs="黑体"/>
                <w:sz w:val="21"/>
                <w:szCs w:val="21"/>
              </w:rPr>
              <w:t>监督投诉渠道</w:t>
            </w:r>
          </w:p>
        </w:tc>
        <w:tc>
          <w:tcPr>
            <w:tcW w:w="7270" w:type="dxa"/>
            <w:gridSpan w:val="4"/>
            <w:vAlign w:val="center"/>
          </w:tcPr>
          <w:p>
            <w:pPr>
              <w:jc w:val="center"/>
              <w:rPr>
                <w:rFonts w:hint="eastAsia" w:ascii="宋体" w:hAnsi="宋体" w:eastAsia="宋体" w:cs="宋体"/>
                <w:sz w:val="24"/>
                <w:szCs w:val="24"/>
              </w:rPr>
            </w:pPr>
            <w:r>
              <w:rPr>
                <w:rFonts w:hint="eastAsia" w:ascii="宋体" w:hAnsi="宋体" w:eastAsia="宋体" w:cs="宋体"/>
                <w:sz w:val="24"/>
                <w:szCs w:val="24"/>
              </w:rPr>
              <w:t>中心督查股：0377-83973066、热线电话：12345</w:t>
            </w:r>
          </w:p>
        </w:tc>
      </w:tr>
    </w:tbl>
    <w:p>
      <w:pPr>
        <w:jc w:val="both"/>
        <w:rPr>
          <w:rFonts w:ascii="黑体" w:hAnsi="黑体" w:eastAsia="黑体" w:cs="黑体"/>
          <w:kern w:val="0"/>
          <w:sz w:val="10"/>
          <w:szCs w:val="10"/>
        </w:rPr>
      </w:pPr>
    </w:p>
    <w:p>
      <w:pPr>
        <w:jc w:val="left"/>
        <w:rPr>
          <w:rFonts w:ascii="黑体" w:hAnsi="黑体" w:eastAsia="黑体" w:cs="黑体"/>
          <w:kern w:val="0"/>
          <w:sz w:val="28"/>
          <w:szCs w:val="28"/>
        </w:rPr>
      </w:pPr>
      <w:r>
        <w:rPr>
          <w:rFonts w:hint="eastAsia" w:ascii="黑体" w:hAnsi="黑体" w:eastAsia="黑体" w:cs="黑体"/>
          <w:kern w:val="0"/>
          <w:sz w:val="28"/>
          <w:szCs w:val="28"/>
        </w:rPr>
        <w:t>发布日期：202</w:t>
      </w:r>
      <w:r>
        <w:rPr>
          <w:rFonts w:hint="eastAsia" w:ascii="黑体" w:hAnsi="黑体" w:eastAsia="黑体" w:cs="黑体"/>
          <w:kern w:val="0"/>
          <w:sz w:val="28"/>
          <w:szCs w:val="28"/>
          <w:lang w:val="en-US" w:eastAsia="zh-CN"/>
        </w:rPr>
        <w:t>2</w:t>
      </w:r>
      <w:r>
        <w:rPr>
          <w:rFonts w:hint="eastAsia" w:ascii="黑体" w:hAnsi="黑体" w:eastAsia="黑体" w:cs="黑体"/>
          <w:kern w:val="0"/>
          <w:sz w:val="28"/>
          <w:szCs w:val="28"/>
        </w:rPr>
        <w:t xml:space="preserve"> 年</w:t>
      </w:r>
      <w:r>
        <w:rPr>
          <w:rFonts w:hint="eastAsia" w:ascii="黑体" w:hAnsi="黑体" w:eastAsia="黑体" w:cs="黑体"/>
          <w:kern w:val="0"/>
          <w:sz w:val="28"/>
          <w:szCs w:val="28"/>
          <w:lang w:val="en-US" w:eastAsia="zh-CN"/>
        </w:rPr>
        <w:t>2</w:t>
      </w:r>
      <w:r>
        <w:rPr>
          <w:rFonts w:hint="eastAsia" w:ascii="黑体" w:hAnsi="黑体" w:eastAsia="黑体" w:cs="黑体"/>
          <w:kern w:val="0"/>
          <w:sz w:val="28"/>
          <w:szCs w:val="28"/>
        </w:rPr>
        <w:t>月20日         实施日期：202</w:t>
      </w:r>
      <w:r>
        <w:rPr>
          <w:rFonts w:hint="eastAsia" w:ascii="黑体" w:hAnsi="黑体" w:eastAsia="黑体" w:cs="黑体"/>
          <w:kern w:val="0"/>
          <w:sz w:val="28"/>
          <w:szCs w:val="28"/>
          <w:lang w:val="en-US" w:eastAsia="zh-CN"/>
        </w:rPr>
        <w:t>2</w:t>
      </w:r>
      <w:r>
        <w:rPr>
          <w:rFonts w:hint="eastAsia" w:ascii="黑体" w:hAnsi="黑体" w:eastAsia="黑体" w:cs="黑体"/>
          <w:kern w:val="0"/>
          <w:sz w:val="28"/>
          <w:szCs w:val="28"/>
        </w:rPr>
        <w:t>年</w:t>
      </w:r>
      <w:r>
        <w:rPr>
          <w:rFonts w:hint="eastAsia" w:ascii="黑体" w:hAnsi="黑体" w:eastAsia="黑体" w:cs="黑体"/>
          <w:kern w:val="0"/>
          <w:sz w:val="28"/>
          <w:szCs w:val="28"/>
          <w:lang w:val="en-US" w:eastAsia="zh-CN"/>
        </w:rPr>
        <w:t>2</w:t>
      </w:r>
      <w:r>
        <w:rPr>
          <w:rFonts w:hint="eastAsia" w:ascii="黑体" w:hAnsi="黑体" w:eastAsia="黑体" w:cs="黑体"/>
          <w:kern w:val="0"/>
          <w:sz w:val="28"/>
          <w:szCs w:val="28"/>
        </w:rPr>
        <w:t>月2</w:t>
      </w:r>
      <w:r>
        <w:rPr>
          <w:rFonts w:hint="eastAsia" w:ascii="黑体" w:hAnsi="黑体" w:eastAsia="黑体" w:cs="黑体"/>
          <w:kern w:val="0"/>
          <w:sz w:val="28"/>
          <w:szCs w:val="28"/>
          <w:lang w:val="en-US" w:eastAsia="zh-CN"/>
        </w:rPr>
        <w:t>0</w:t>
      </w:r>
      <w:r>
        <w:rPr>
          <w:rFonts w:hint="eastAsia" w:ascii="黑体" w:hAnsi="黑体" w:eastAsia="黑体" w:cs="黑体"/>
          <w:kern w:val="0"/>
          <w:sz w:val="28"/>
          <w:szCs w:val="28"/>
        </w:rPr>
        <w:t xml:space="preserve">日    </w:t>
      </w:r>
    </w:p>
    <w:p>
      <w:pPr>
        <w:jc w:val="center"/>
        <w:rPr>
          <w:rFonts w:ascii="黑体" w:hAnsi="黑体" w:eastAsia="黑体" w:cs="黑体"/>
          <w:kern w:val="0"/>
          <w:sz w:val="28"/>
          <w:szCs w:val="28"/>
        </w:rPr>
      </w:pPr>
      <w:r>
        <w:rPr>
          <w:rFonts w:hint="eastAsia" w:ascii="黑体" w:hAnsi="黑体" w:eastAsia="黑体" w:cs="黑体"/>
          <w:kern w:val="0"/>
          <w:sz w:val="28"/>
          <w:szCs w:val="28"/>
          <w:lang w:val="en-US" w:eastAsia="zh-CN"/>
        </w:rPr>
        <w:t>南阳市生态环境局</w:t>
      </w:r>
      <w:r>
        <w:rPr>
          <w:rFonts w:hint="eastAsia" w:ascii="黑体" w:hAnsi="黑体" w:eastAsia="黑体" w:cs="黑体"/>
          <w:kern w:val="0"/>
          <w:sz w:val="28"/>
          <w:szCs w:val="28"/>
        </w:rPr>
        <w:t>桐柏</w:t>
      </w:r>
      <w:r>
        <w:rPr>
          <w:rFonts w:hint="eastAsia" w:ascii="黑体" w:hAnsi="黑体" w:eastAsia="黑体" w:cs="黑体"/>
          <w:kern w:val="0"/>
          <w:sz w:val="28"/>
          <w:szCs w:val="28"/>
          <w:lang w:val="en-US" w:eastAsia="zh-CN"/>
        </w:rPr>
        <w:t>分</w:t>
      </w:r>
      <w:r>
        <w:rPr>
          <w:rFonts w:hint="eastAsia" w:ascii="黑体" w:hAnsi="黑体" w:eastAsia="黑体" w:cs="黑体"/>
          <w:kern w:val="0"/>
          <w:sz w:val="28"/>
          <w:szCs w:val="28"/>
          <w:lang w:eastAsia="zh-CN"/>
        </w:rPr>
        <w:t>局</w:t>
      </w:r>
      <w:r>
        <w:rPr>
          <w:rFonts w:hint="eastAsia" w:ascii="黑体" w:hAnsi="黑体" w:eastAsia="黑体" w:cs="黑体"/>
          <w:kern w:val="0"/>
          <w:sz w:val="28"/>
          <w:szCs w:val="28"/>
        </w:rPr>
        <w:t>发布</w:t>
      </w:r>
    </w:p>
    <w:sectPr>
      <w:pgSz w:w="11850" w:h="16783"/>
      <w:pgMar w:top="2098" w:right="1474" w:bottom="1984" w:left="158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舒体">
    <w:altName w:val="宋体"/>
    <w:panose1 w:val="02010601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24A4233"/>
    <w:rsid w:val="001A26A7"/>
    <w:rsid w:val="002142EF"/>
    <w:rsid w:val="003B0AF4"/>
    <w:rsid w:val="004A3070"/>
    <w:rsid w:val="00564111"/>
    <w:rsid w:val="006D728D"/>
    <w:rsid w:val="008B6792"/>
    <w:rsid w:val="00914AD4"/>
    <w:rsid w:val="00921E4E"/>
    <w:rsid w:val="00BA5A1D"/>
    <w:rsid w:val="00C36E50"/>
    <w:rsid w:val="00CB6FA0"/>
    <w:rsid w:val="00E32A13"/>
    <w:rsid w:val="00F36ABC"/>
    <w:rsid w:val="00FC30E0"/>
    <w:rsid w:val="024A4233"/>
    <w:rsid w:val="04D85032"/>
    <w:rsid w:val="08374AD6"/>
    <w:rsid w:val="08572B96"/>
    <w:rsid w:val="0B39782B"/>
    <w:rsid w:val="113719A0"/>
    <w:rsid w:val="119E3A20"/>
    <w:rsid w:val="147C09DA"/>
    <w:rsid w:val="1BBA2C7F"/>
    <w:rsid w:val="1D4F5573"/>
    <w:rsid w:val="2EB828ED"/>
    <w:rsid w:val="385804AD"/>
    <w:rsid w:val="38A56B6B"/>
    <w:rsid w:val="395560C8"/>
    <w:rsid w:val="3F345010"/>
    <w:rsid w:val="4938663E"/>
    <w:rsid w:val="49CC6710"/>
    <w:rsid w:val="59DD77B5"/>
    <w:rsid w:val="5B10607B"/>
    <w:rsid w:val="6C136991"/>
    <w:rsid w:val="6D535020"/>
    <w:rsid w:val="6E973E8B"/>
    <w:rsid w:val="6F707EE1"/>
    <w:rsid w:val="721966D0"/>
    <w:rsid w:val="74544908"/>
    <w:rsid w:val="78AC7BA3"/>
    <w:rsid w:val="7AAA1AF0"/>
    <w:rsid w:val="7DBB594B"/>
    <w:rsid w:val="7F6465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rPr>
      <w:szCs w:val="21"/>
    </w:rPr>
  </w:style>
  <w:style w:type="paragraph" w:styleId="3">
    <w:name w:val="Balloon Text"/>
    <w:basedOn w:val="1"/>
    <w:link w:val="15"/>
    <w:qFormat/>
    <w:uiPriority w:val="0"/>
    <w:rPr>
      <w:sz w:val="18"/>
      <w:szCs w:val="18"/>
    </w:rPr>
  </w:style>
  <w:style w:type="paragraph" w:styleId="4">
    <w:name w:val="Normal (Web)"/>
    <w:basedOn w:val="1"/>
    <w:semiHidden/>
    <w:unhideWhenUsed/>
    <w:qFormat/>
    <w:uiPriority w:val="99"/>
    <w:pPr>
      <w:spacing w:beforeAutospacing="1" w:afterAutospacing="1"/>
      <w:jc w:val="left"/>
    </w:pPr>
    <w:rPr>
      <w:rFonts w:cs="Times New Roman"/>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Strong"/>
    <w:basedOn w:val="7"/>
    <w:qFormat/>
    <w:uiPriority w:val="0"/>
    <w:rPr>
      <w:b/>
    </w:rPr>
  </w:style>
  <w:style w:type="character" w:styleId="9">
    <w:name w:val="FollowedHyperlink"/>
    <w:basedOn w:val="7"/>
    <w:qFormat/>
    <w:uiPriority w:val="0"/>
    <w:rPr>
      <w:color w:val="800080"/>
      <w:u w:val="none"/>
    </w:rPr>
  </w:style>
  <w:style w:type="character" w:styleId="10">
    <w:name w:val="HTML Definition"/>
    <w:basedOn w:val="7"/>
    <w:qFormat/>
    <w:uiPriority w:val="0"/>
    <w:rPr>
      <w:i/>
    </w:rPr>
  </w:style>
  <w:style w:type="character" w:styleId="11">
    <w:name w:val="Hyperlink"/>
    <w:basedOn w:val="7"/>
    <w:qFormat/>
    <w:uiPriority w:val="0"/>
    <w:rPr>
      <w:color w:val="0000FF"/>
      <w:u w:val="none"/>
    </w:rPr>
  </w:style>
  <w:style w:type="character" w:styleId="12">
    <w:name w:val="HTML Code"/>
    <w:basedOn w:val="7"/>
    <w:qFormat/>
    <w:uiPriority w:val="0"/>
    <w:rPr>
      <w:rFonts w:hint="default" w:ascii="monospace" w:hAnsi="monospace" w:eastAsia="monospace" w:cs="monospace"/>
      <w:sz w:val="21"/>
      <w:szCs w:val="21"/>
    </w:rPr>
  </w:style>
  <w:style w:type="character" w:styleId="13">
    <w:name w:val="HTML Keyboard"/>
    <w:basedOn w:val="7"/>
    <w:qFormat/>
    <w:uiPriority w:val="0"/>
    <w:rPr>
      <w:rFonts w:ascii="monospace" w:hAnsi="monospace" w:eastAsia="monospace" w:cs="monospace"/>
      <w:sz w:val="21"/>
      <w:szCs w:val="21"/>
    </w:rPr>
  </w:style>
  <w:style w:type="character" w:styleId="14">
    <w:name w:val="HTML Sample"/>
    <w:basedOn w:val="7"/>
    <w:qFormat/>
    <w:uiPriority w:val="0"/>
    <w:rPr>
      <w:rFonts w:hint="default" w:ascii="monospace" w:hAnsi="monospace" w:eastAsia="monospace" w:cs="monospace"/>
      <w:sz w:val="21"/>
      <w:szCs w:val="21"/>
    </w:rPr>
  </w:style>
  <w:style w:type="character" w:customStyle="1" w:styleId="15">
    <w:name w:val="批注框文本 Char"/>
    <w:basedOn w:val="7"/>
    <w:link w:val="3"/>
    <w:qFormat/>
    <w:uiPriority w:val="0"/>
    <w:rPr>
      <w:rFonts w:asciiTheme="minorHAnsi" w:hAnsiTheme="minorHAnsi" w:eastAsiaTheme="minorEastAsia" w:cstheme="minorBidi"/>
      <w:kern w:val="2"/>
      <w:sz w:val="18"/>
      <w:szCs w:val="18"/>
    </w:rPr>
  </w:style>
  <w:style w:type="character" w:customStyle="1" w:styleId="16">
    <w:name w:val="hover13"/>
    <w:basedOn w:val="7"/>
    <w:qFormat/>
    <w:uiPriority w:val="0"/>
    <w:rPr>
      <w:shd w:val="clear" w:fill="0B3791"/>
    </w:rPr>
  </w:style>
  <w:style w:type="character" w:customStyle="1" w:styleId="17">
    <w:name w:val="hover14"/>
    <w:basedOn w:val="7"/>
    <w:qFormat/>
    <w:uiPriority w:val="0"/>
    <w:rPr>
      <w:shd w:val="clear" w:fill="0B3791"/>
    </w:rPr>
  </w:style>
  <w:style w:type="character" w:customStyle="1" w:styleId="18">
    <w:name w:val="not([class*=suffix])"/>
    <w:basedOn w:val="7"/>
    <w:qFormat/>
    <w:uiPriority w:val="0"/>
    <w:rPr>
      <w:sz w:val="19"/>
      <w:szCs w:val="19"/>
    </w:rPr>
  </w:style>
  <w:style w:type="character" w:customStyle="1" w:styleId="19">
    <w:name w:val="not([class*=suffix])1"/>
    <w:basedOn w:val="7"/>
    <w:qFormat/>
    <w:uiPriority w:val="0"/>
  </w:style>
  <w:style w:type="character" w:customStyle="1" w:styleId="20">
    <w:name w:val="hover12"/>
    <w:basedOn w:val="7"/>
    <w:qFormat/>
    <w:uiPriority w:val="0"/>
    <w:rPr>
      <w:shd w:val="clear" w:fill="0B379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G\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2</Pages>
  <Words>142</Words>
  <Characters>811</Characters>
  <Lines>6</Lines>
  <Paragraphs>1</Paragraphs>
  <TotalTime>1</TotalTime>
  <ScaleCrop>false</ScaleCrop>
  <LinksUpToDate>false</LinksUpToDate>
  <CharactersWithSpaces>952</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2018-09-28T07:21:00Z</dcterms:created>
  <dc:creator>CG</dc:creator>
  <cp:lastModifiedBy>煜</cp:lastModifiedBy>
  <dcterms:modified xsi:type="dcterms:W3CDTF">2022-03-01T07:17:00Z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KSOSaveFontToCloudKey">
    <vt:lpwstr>1136954332_cloud</vt:lpwstr>
  </property>
  <property fmtid="{D5CDD505-2E9C-101B-9397-08002B2CF9AE}" pid="4" name="ICV">
    <vt:lpwstr>B5538FA616E24336A284899A47342C95</vt:lpwstr>
  </property>
</Properties>
</file>