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kern w:val="0"/>
          <w:sz w:val="44"/>
          <w:szCs w:val="44"/>
          <w:lang w:val="en-US" w:eastAsia="zh-CN" w:bidi="ar"/>
        </w:rPr>
      </w:pPr>
      <w:r>
        <w:rPr>
          <w:rFonts w:hint="eastAsia" w:asciiTheme="majorEastAsia" w:hAnsiTheme="majorEastAsia" w:eastAsiaTheme="majorEastAsia" w:cstheme="majorEastAsia"/>
          <w:b/>
          <w:bCs/>
          <w:kern w:val="0"/>
          <w:sz w:val="44"/>
          <w:szCs w:val="44"/>
          <w:lang w:val="en-US" w:eastAsia="zh-CN" w:bidi="ar"/>
        </w:rPr>
        <w:t>对城市轨道交通工程验收进行监督服务指南</w:t>
      </w:r>
    </w:p>
    <w:p>
      <w:pPr>
        <w:jc w:val="right"/>
        <w:rPr>
          <w:rFonts w:hint="eastAsia" w:asciiTheme="majorEastAsia" w:hAnsiTheme="majorEastAsia" w:eastAsiaTheme="majorEastAsia" w:cstheme="majorEastAsia"/>
          <w:b w:val="0"/>
          <w:bCs w:val="0"/>
          <w:kern w:val="0"/>
          <w:sz w:val="24"/>
          <w:szCs w:val="24"/>
          <w:lang w:val="en-US" w:eastAsia="zh-CN" w:bidi="ar"/>
        </w:rPr>
      </w:pPr>
      <w:r>
        <w:rPr>
          <w:rFonts w:hint="eastAsia" w:asciiTheme="majorEastAsia" w:hAnsiTheme="majorEastAsia" w:eastAsiaTheme="majorEastAsia" w:cstheme="majorEastAsia"/>
          <w:b w:val="0"/>
          <w:bCs w:val="0"/>
          <w:kern w:val="0"/>
          <w:sz w:val="24"/>
          <w:szCs w:val="24"/>
          <w:lang w:val="en-US" w:eastAsia="zh-CN" w:bidi="ar"/>
        </w:rPr>
        <w:t>事项编码114113300060627201400101700800001</w:t>
      </w:r>
    </w:p>
    <w:tbl>
      <w:tblPr>
        <w:tblStyle w:val="5"/>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857"/>
        <w:gridCol w:w="195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897" w:type="dxa"/>
            <w:vAlign w:val="center"/>
          </w:tcPr>
          <w:p>
            <w:pPr>
              <w:jc w:val="center"/>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kern w:val="0"/>
                <w:sz w:val="18"/>
                <w:szCs w:val="18"/>
                <w:vertAlign w:val="baseline"/>
                <w:lang w:val="en-US" w:eastAsia="zh-CN" w:bidi="ar"/>
              </w:rPr>
              <w:t>适用范围</w:t>
            </w:r>
          </w:p>
        </w:tc>
        <w:tc>
          <w:tcPr>
            <w:tcW w:w="2857" w:type="dxa"/>
            <w:vAlign w:val="center"/>
          </w:tcPr>
          <w:p>
            <w:pPr>
              <w:pStyle w:val="2"/>
              <w:jc w:val="center"/>
              <w:rPr>
                <w:rFonts w:hint="eastAsia" w:asciiTheme="minorEastAsia" w:hAnsiTheme="minorEastAsia" w:eastAsiaTheme="minorEastAsia" w:cstheme="minorEastAsia"/>
                <w:kern w:val="0"/>
                <w:sz w:val="18"/>
                <w:szCs w:val="18"/>
                <w:vertAlign w:val="baseline"/>
                <w:lang w:val="en-US" w:eastAsia="zh-CN" w:bidi="ar"/>
              </w:rPr>
            </w:pPr>
            <w:bookmarkStart w:id="0" w:name="_GoBack"/>
            <w:bookmarkEnd w:id="0"/>
            <w:r>
              <w:rPr>
                <w:rFonts w:hint="eastAsia" w:asciiTheme="minorEastAsia" w:hAnsiTheme="minorEastAsia" w:eastAsiaTheme="minorEastAsia" w:cstheme="minorEastAsia"/>
                <w:sz w:val="18"/>
                <w:szCs w:val="18"/>
              </w:rPr>
              <w:t>法人</w:t>
            </w:r>
          </w:p>
        </w:tc>
        <w:tc>
          <w:tcPr>
            <w:tcW w:w="1958" w:type="dxa"/>
            <w:vAlign w:val="center"/>
          </w:tcPr>
          <w:p>
            <w:pPr>
              <w:jc w:val="center"/>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kern w:val="0"/>
                <w:sz w:val="18"/>
                <w:szCs w:val="18"/>
                <w:vertAlign w:val="baseline"/>
                <w:lang w:val="en-US" w:eastAsia="zh-CN" w:bidi="ar"/>
              </w:rPr>
              <w:t>事项类型</w:t>
            </w:r>
          </w:p>
        </w:tc>
        <w:tc>
          <w:tcPr>
            <w:tcW w:w="2408" w:type="dxa"/>
            <w:vAlign w:val="center"/>
          </w:tcPr>
          <w:p>
            <w:pPr>
              <w:pStyle w:val="2"/>
              <w:spacing w:before="1"/>
              <w:ind w:left="132" w:firstLine="352" w:firstLineChars="200"/>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spacing w:val="-2"/>
                <w:sz w:val="18"/>
                <w:szCs w:val="18"/>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897" w:type="dxa"/>
            <w:vAlign w:val="center"/>
          </w:tcPr>
          <w:p>
            <w:pPr>
              <w:jc w:val="center"/>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sz w:val="18"/>
                <w:szCs w:val="18"/>
              </w:rPr>
              <w:t>受理机构</w:t>
            </w:r>
          </w:p>
        </w:tc>
        <w:tc>
          <w:tcPr>
            <w:tcW w:w="2857"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kern w:val="2"/>
                <w:sz w:val="18"/>
                <w:szCs w:val="18"/>
                <w:lang w:val="en-US" w:eastAsia="zh-CN" w:bidi="ar-SA"/>
              </w:rPr>
              <w:t>桐柏县行政审批服务中心</w:t>
            </w:r>
            <w:r>
              <w:rPr>
                <w:rFonts w:hint="eastAsia" w:asciiTheme="minorEastAsia" w:hAnsiTheme="minorEastAsia" w:cstheme="minorEastAsia"/>
                <w:kern w:val="2"/>
                <w:sz w:val="18"/>
                <w:szCs w:val="18"/>
                <w:lang w:val="en-US" w:eastAsia="zh-CN" w:bidi="ar-SA"/>
              </w:rPr>
              <w:t>住建局窗口</w:t>
            </w:r>
          </w:p>
        </w:tc>
        <w:tc>
          <w:tcPr>
            <w:tcW w:w="1958" w:type="dxa"/>
            <w:vAlign w:val="center"/>
          </w:tcPr>
          <w:p>
            <w:pPr>
              <w:pStyle w:val="2"/>
              <w:spacing w:before="1"/>
              <w:ind w:left="133" w:leftChars="0"/>
              <w:jc w:val="center"/>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kern w:val="2"/>
                <w:sz w:val="18"/>
                <w:szCs w:val="18"/>
                <w:lang w:val="en-US" w:eastAsia="zh-CN" w:bidi="ar-SA"/>
              </w:rPr>
              <w:t>决定机构</w:t>
            </w:r>
          </w:p>
        </w:tc>
        <w:tc>
          <w:tcPr>
            <w:tcW w:w="2408" w:type="dxa"/>
            <w:vAlign w:val="center"/>
          </w:tcPr>
          <w:p>
            <w:pPr>
              <w:pStyle w:val="2"/>
              <w:spacing w:before="7"/>
              <w:jc w:val="center"/>
              <w:rPr>
                <w:rFonts w:hint="eastAsia" w:asciiTheme="minorEastAsia" w:hAnsiTheme="minorEastAsia" w:eastAsiaTheme="minorEastAsia" w:cstheme="minorEastAsia"/>
                <w:spacing w:val="-2"/>
                <w:sz w:val="18"/>
                <w:szCs w:val="18"/>
                <w:lang w:val="en-US" w:eastAsia="zh-CN"/>
              </w:rPr>
            </w:pPr>
            <w:r>
              <w:rPr>
                <w:rFonts w:hint="eastAsia" w:asciiTheme="minorEastAsia" w:hAnsiTheme="minorEastAsia" w:eastAsiaTheme="minorEastAsia" w:cstheme="minorEastAsia"/>
                <w:kern w:val="2"/>
                <w:sz w:val="18"/>
                <w:szCs w:val="18"/>
                <w:lang w:val="en-US" w:eastAsia="zh-CN" w:bidi="ar-SA"/>
              </w:rPr>
              <w:t>桐柏县住房和城乡建设局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897"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vertAlign w:val="baseline"/>
                <w:lang w:val="en-US" w:eastAsia="zh-CN" w:bidi="ar"/>
              </w:rPr>
              <w:t>办理时限</w:t>
            </w:r>
          </w:p>
        </w:tc>
        <w:tc>
          <w:tcPr>
            <w:tcW w:w="2857" w:type="dxa"/>
            <w:vAlign w:val="center"/>
          </w:tcPr>
          <w:p>
            <w:pPr>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法定时限：5</w:t>
            </w:r>
            <w:r>
              <w:rPr>
                <w:rFonts w:hint="eastAsia" w:asciiTheme="minorEastAsia" w:hAnsiTheme="minorEastAsia" w:eastAsiaTheme="minorEastAsia" w:cstheme="minorEastAsia"/>
                <w:sz w:val="18"/>
                <w:szCs w:val="18"/>
              </w:rPr>
              <w:t>个工作日</w:t>
            </w:r>
          </w:p>
          <w:p>
            <w:pPr>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承诺时限：1个工作日</w:t>
            </w:r>
          </w:p>
        </w:tc>
        <w:tc>
          <w:tcPr>
            <w:tcW w:w="1958" w:type="dxa"/>
            <w:vAlign w:val="center"/>
          </w:tcPr>
          <w:p>
            <w:pPr>
              <w:pStyle w:val="2"/>
              <w:spacing w:before="1"/>
              <w:ind w:left="133" w:leftChars="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咨询方式</w:t>
            </w:r>
          </w:p>
        </w:tc>
        <w:tc>
          <w:tcPr>
            <w:tcW w:w="2408" w:type="dxa"/>
            <w:vAlign w:val="center"/>
          </w:tcPr>
          <w:p>
            <w:pPr>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现场咨询</w:t>
            </w:r>
          </w:p>
          <w:p>
            <w:pPr>
              <w:pStyle w:val="2"/>
              <w:spacing w:before="7"/>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电话咨询：0377-6036</w:t>
            </w:r>
            <w:r>
              <w:rPr>
                <w:rFonts w:hint="eastAsia" w:asciiTheme="minorEastAsia" w:hAnsiTheme="minorEastAsia" w:cstheme="minorEastAsia"/>
                <w:kern w:val="2"/>
                <w:sz w:val="18"/>
                <w:szCs w:val="18"/>
                <w:lang w:val="en-US" w:eastAsia="zh-CN" w:bidi="ar-SA"/>
              </w:rPr>
              <w:t>11</w:t>
            </w:r>
            <w:r>
              <w:rPr>
                <w:rFonts w:hint="eastAsia" w:asciiTheme="minorEastAsia" w:hAnsiTheme="minorEastAsia" w:eastAsiaTheme="minorEastAsia" w:cstheme="minorEastAsia"/>
                <w:kern w:val="2"/>
                <w:sz w:val="18"/>
                <w:szCs w:val="18"/>
                <w:lang w:val="en-US" w:eastAsia="zh-CN" w:bidi="ar-SA"/>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897" w:type="dxa"/>
            <w:vAlign w:val="center"/>
          </w:tcPr>
          <w:p>
            <w:pPr>
              <w:jc w:val="center"/>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kern w:val="2"/>
                <w:sz w:val="18"/>
                <w:szCs w:val="18"/>
                <w:lang w:val="en-US" w:eastAsia="zh-CN" w:bidi="ar-SA"/>
              </w:rPr>
              <w:t>受理方式</w:t>
            </w:r>
          </w:p>
        </w:tc>
        <w:tc>
          <w:tcPr>
            <w:tcW w:w="2857" w:type="dxa"/>
            <w:vAlign w:val="center"/>
          </w:tcPr>
          <w:p>
            <w:pPr>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窗口受理、网上申报</w:t>
            </w:r>
          </w:p>
        </w:tc>
        <w:tc>
          <w:tcPr>
            <w:tcW w:w="1958" w:type="dxa"/>
            <w:vAlign w:val="center"/>
          </w:tcPr>
          <w:p>
            <w:pPr>
              <w:pStyle w:val="2"/>
              <w:spacing w:before="1"/>
              <w:ind w:left="133" w:leftChars="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结果送达</w:t>
            </w:r>
          </w:p>
        </w:tc>
        <w:tc>
          <w:tcPr>
            <w:tcW w:w="2408" w:type="dxa"/>
            <w:vAlign w:val="center"/>
          </w:tcPr>
          <w:p>
            <w:pPr>
              <w:pStyle w:val="2"/>
              <w:spacing w:before="7"/>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窗口领取、邮递送达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1" w:hRule="atLeast"/>
        </w:trPr>
        <w:tc>
          <w:tcPr>
            <w:tcW w:w="1897" w:type="dxa"/>
            <w:vAlign w:val="center"/>
          </w:tcPr>
          <w:p>
            <w:pPr>
              <w:jc w:val="center"/>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kern w:val="0"/>
                <w:sz w:val="18"/>
                <w:szCs w:val="18"/>
                <w:vertAlign w:val="baseline"/>
                <w:lang w:val="en-US" w:eastAsia="zh-CN" w:bidi="ar"/>
              </w:rPr>
              <w:t>设立依据</w:t>
            </w:r>
          </w:p>
        </w:tc>
        <w:tc>
          <w:tcPr>
            <w:tcW w:w="7223" w:type="dxa"/>
            <w:gridSpan w:val="3"/>
            <w:vAlign w:val="top"/>
          </w:tcPr>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jc w:val="both"/>
              <w:rPr>
                <w:rFonts w:hint="eastAsia" w:asciiTheme="minorEastAsia" w:hAnsi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中华人民共和国城乡规划法》第四十五条：县级以上地方人民政府城乡规划主管部门按照国务院规定对建设工程是否符合规划条件予以核实。未经核实或者经核实不符合规划条件的，建设单位不得组织竣工验收。建设单位应当在竣工验收后六个月内向城乡规划主管部门报送有关竣工验收资料</w:t>
            </w:r>
            <w:r>
              <w:rPr>
                <w:rFonts w:hint="eastAsia" w:asciiTheme="minorEastAsia" w:hAnsiTheme="minorEastAsia" w:cstheme="minorEastAsia"/>
                <w:kern w:val="0"/>
                <w:sz w:val="18"/>
                <w:szCs w:val="18"/>
                <w:lang w:val="en-US" w:eastAsia="zh-CN" w:bidi="ar"/>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ind w:left="0" w:leftChars="0" w:firstLine="0" w:firstLineChars="0"/>
              <w:jc w:val="both"/>
              <w:rPr>
                <w:rFonts w:hint="eastAsia" w:asciiTheme="minorEastAsia" w:hAnsiTheme="minorEastAsia" w:eastAsia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建设工程质量管理条例》第四十九条：建设单位应当自建设工程竣工验收合格之日起15日内，将建设工程竣工验收报告和规划、公安消防、环保等部门出具的认可文件或者准许使用文件报建设行政部门或者其他有关部门备案。</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ind w:leftChars="0"/>
              <w:jc w:val="both"/>
              <w:rPr>
                <w:rFonts w:hint="eastAsia" w:asciiTheme="minorEastAsia" w:hAnsiTheme="minorEastAsia" w:eastAsia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三、《房屋建筑和市政基础设施工程竣工验收备案管理办法》第四条：建设单位应当自工程竣工验收合格之日起15日内，依照本办法规定，向工程所在地的县级以上地方人民政府建设主管部门（以下简称备案机关）备案。</w:t>
            </w:r>
          </w:p>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kern w:val="0"/>
                <w:sz w:val="18"/>
                <w:szCs w:val="18"/>
                <w:lang w:val="en-US" w:eastAsia="zh-CN" w:bidi="ar"/>
              </w:rPr>
              <w:t>四、《房屋建筑和市政基础设施工程质量监督管理规定》第五条第五款：对工程竣工验收进行监督；第六条第五款：形成工程质量监督报告。五、住房和城乡建设部《关于印发〈城市轨道交通工程安全质量管理暂行办法〉的通知》（建质〔2010〕5号）第十八条：建设单位应当在工程完工后组织不载客试运行调试，试运行调试三个月后，方可按有关规定进行工程竣工验收并办理工程竣工验收备案手续。六、住房和城乡建设部《住房和城乡建设部关于印发城市轨道交通建设工程验收管理暂行办法的通知》（建质〔2014〕42号）第四条：县级以上地方人民政府住房城乡建设主管部门负责本行政区域内城市轨道交通建设工程验收的监督管理，具体工作可委托所属工程质量监督机构实施；第九条：住房城乡建设主管部门或其委托的工程质量监督机构应当对各验收阶段的组织形式、验收程序、执行验收标准等情况进行现场监督，发现有违反建设工程质量安全管理规定行为的，责令改正，并出具验收监督意见；第十九条第四款：已通过规划部门对建设工程是否符合规划条件的核实和全部专项验收，并取得相关验收或认可文件；暂时甩项的，应经相关部门同意；第二十三条：建设单位应在竣工验收合格之日起15个工作日内，将竣工验收报告和相关文件，报城市建设主管部门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97" w:type="dxa"/>
            <w:vAlign w:val="center"/>
          </w:tcPr>
          <w:p>
            <w:pPr>
              <w:pStyle w:val="2"/>
              <w:ind w:firstLine="360" w:firstLineChars="200"/>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kern w:val="2"/>
                <w:sz w:val="18"/>
                <w:szCs w:val="18"/>
                <w:lang w:val="en-US" w:eastAsia="zh-CN" w:bidi="ar-SA"/>
              </w:rPr>
              <w:t>办理条件</w:t>
            </w:r>
          </w:p>
        </w:tc>
        <w:tc>
          <w:tcPr>
            <w:tcW w:w="7223" w:type="dxa"/>
            <w:gridSpan w:val="3"/>
            <w:vAlign w:val="center"/>
          </w:tcPr>
          <w:p>
            <w:pPr>
              <w:jc w:val="center"/>
              <w:rPr>
                <w:rFonts w:hint="default"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sz w:val="18"/>
                <w:szCs w:val="18"/>
              </w:rPr>
              <w:t>申请资料齐全并符合法定要求</w:t>
            </w:r>
            <w:r>
              <w:rPr>
                <w:rFonts w:hint="eastAsia" w:asciiTheme="minorEastAsia" w:hAnsiTheme="minorEastAsia" w:cstheme="minorEastAsia"/>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897" w:type="dxa"/>
            <w:vAlign w:val="center"/>
          </w:tcPr>
          <w:p>
            <w:pPr>
              <w:jc w:val="center"/>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kern w:val="2"/>
                <w:sz w:val="18"/>
                <w:szCs w:val="18"/>
                <w:lang w:val="en-US" w:eastAsia="zh-CN" w:bidi="ar-SA"/>
              </w:rPr>
              <w:t>申办材料</w:t>
            </w:r>
          </w:p>
        </w:tc>
        <w:tc>
          <w:tcPr>
            <w:tcW w:w="7223" w:type="dxa"/>
            <w:gridSpan w:val="3"/>
            <w:vAlign w:val="center"/>
          </w:tcPr>
          <w:p>
            <w:pPr>
              <w:keepNext w:val="0"/>
              <w:keepLines w:val="0"/>
              <w:widowControl/>
              <w:suppressLineNumbers w:val="0"/>
              <w:pBdr>
                <w:top w:val="none" w:color="auto" w:sz="0" w:space="0"/>
                <w:left w:val="none" w:color="auto" w:sz="0" w:space="0"/>
                <w:bottom w:val="none" w:color="auto" w:sz="0" w:space="0"/>
                <w:right w:val="none" w:color="auto" w:sz="0" w:space="0"/>
              </w:pBdr>
              <w:jc w:val="both"/>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b w:val="0"/>
                <w:bCs w:val="0"/>
                <w:sz w:val="18"/>
                <w:szCs w:val="18"/>
              </w:rPr>
              <w:t>工程质量验收联系单</w:t>
            </w:r>
          </w:p>
        </w:tc>
      </w:tr>
    </w:tbl>
    <w:tbl>
      <w:tblPr>
        <w:tblStyle w:val="5"/>
        <w:tblpPr w:leftFromText="180" w:rightFromText="180" w:vertAnchor="text" w:horzAnchor="page" w:tblpX="1556" w:tblpY="42"/>
        <w:tblOverlap w:val="never"/>
        <w:tblW w:w="9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3"/>
        <w:gridCol w:w="7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3" w:hRule="atLeast"/>
        </w:trPr>
        <w:tc>
          <w:tcPr>
            <w:tcW w:w="1943" w:type="dxa"/>
            <w:vAlign w:val="center"/>
          </w:tcPr>
          <w:p>
            <w:pPr>
              <w:jc w:val="center"/>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kern w:val="0"/>
                <w:sz w:val="18"/>
                <w:szCs w:val="18"/>
                <w:vertAlign w:val="baseline"/>
                <w:lang w:val="en-US" w:eastAsia="zh-CN" w:bidi="ar"/>
              </w:rPr>
              <w:t>办理流程</w:t>
            </w:r>
          </w:p>
        </w:tc>
        <w:tc>
          <w:tcPr>
            <w:tcW w:w="7396" w:type="dxa"/>
            <w:vAlign w:val="center"/>
          </w:tcPr>
          <w:p>
            <w:pPr>
              <w:pStyle w:val="3"/>
              <w:keepNext w:val="0"/>
              <w:keepLines w:val="0"/>
              <w:widowControl/>
              <w:numPr>
                <w:ilvl w:val="0"/>
                <w:numId w:val="2"/>
              </w:numPr>
              <w:suppressLineNumbers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申请：申请人通过政务服务网、办事大厅进行事项的申请，提交有关申请材料和反映真实情况，并对其申请材料实质内容的真实性负责。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受理：办事大厅接收申报材料，所交材料齐全的，签发《材料接收凭证》；所交材料不齐全或不符合法定要求的，签发《一次性告知书》。如所交材料存在可以当场更正的错误，申请人可当场更正。如所交材料齐全，签发《受理通知书》或《不予受理通知书》。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Theme="minorEastAsia" w:hAnsiTheme="minorEastAsia" w:eastAsiaTheme="minorEastAsia" w:cstheme="minorEastAsia"/>
                <w:kern w:val="0"/>
                <w:sz w:val="24"/>
                <w:szCs w:val="24"/>
                <w:vertAlign w:val="baseline"/>
                <w:lang w:val="en-US" w:eastAsia="zh-CN" w:bidi="ar"/>
              </w:rPr>
            </w:pPr>
            <w:r>
              <w:rPr>
                <w:rFonts w:hint="eastAsia" w:asciiTheme="minorEastAsia" w:hAnsiTheme="minorEastAsia" w:eastAsiaTheme="minorEastAsia" w:cstheme="minorEastAsia"/>
                <w:sz w:val="24"/>
                <w:szCs w:val="24"/>
              </w:rPr>
              <w:t xml:space="preserve">审查：在受理项目申请报告后，由行政审批办公室对内容进行审查。 </w:t>
            </w:r>
          </w:p>
          <w:p>
            <w:pPr>
              <w:pStyle w:val="3"/>
              <w:keepNext w:val="0"/>
              <w:keepLines w:val="0"/>
              <w:widowControl/>
              <w:numPr>
                <w:ilvl w:val="0"/>
                <w:numId w:val="2"/>
              </w:numPr>
              <w:suppressLineNumbers w:val="0"/>
              <w:spacing w:line="360" w:lineRule="auto"/>
              <w:ind w:left="0" w:leftChars="0" w:right="0" w:rightChars="0" w:firstLine="0" w:firstLineChars="0"/>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sz w:val="24"/>
                <w:szCs w:val="24"/>
              </w:rPr>
              <w:t xml:space="preserve">办结：对符合条件的申请人颁发、送达行政许可证件。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9" w:hRule="atLeast"/>
        </w:trPr>
        <w:tc>
          <w:tcPr>
            <w:tcW w:w="1943" w:type="dxa"/>
            <w:vAlign w:val="center"/>
          </w:tcPr>
          <w:p>
            <w:pPr>
              <w:jc w:val="center"/>
              <w:rPr>
                <w:rFonts w:hint="eastAsia" w:asciiTheme="minorEastAsia" w:hAnsiTheme="minorEastAsia" w:eastAsiaTheme="minorEastAsia" w:cstheme="minorEastAsia"/>
                <w:kern w:val="0"/>
                <w:sz w:val="18"/>
                <w:szCs w:val="18"/>
                <w:vertAlign w:val="baseline"/>
                <w:lang w:val="en-US" w:eastAsia="zh-CN" w:bidi="ar"/>
              </w:rPr>
            </w:pPr>
            <w:r>
              <w:rPr>
                <w:rFonts w:hint="eastAsia" w:asciiTheme="minorEastAsia" w:hAnsiTheme="minorEastAsia" w:eastAsiaTheme="minorEastAsia" w:cstheme="minorEastAsia"/>
                <w:sz w:val="18"/>
                <w:szCs w:val="18"/>
                <w:lang w:val="en-US" w:eastAsia="zh-CN"/>
              </w:rPr>
              <w:t>收费依据及标准</w:t>
            </w:r>
          </w:p>
        </w:tc>
        <w:tc>
          <w:tcPr>
            <w:tcW w:w="7396" w:type="dxa"/>
            <w:vAlign w:val="center"/>
          </w:tcPr>
          <w:p>
            <w:pPr>
              <w:pStyle w:val="2"/>
              <w:spacing w:before="7"/>
              <w:jc w:val="center"/>
              <w:rPr>
                <w:rFonts w:hint="eastAsia" w:asciiTheme="minorEastAsia" w:hAnsiTheme="minorEastAsia" w:eastAsiaTheme="minorEastAsia" w:cstheme="minorEastAsia"/>
                <w:b/>
                <w:bCs/>
                <w:kern w:val="2"/>
                <w:sz w:val="18"/>
                <w:szCs w:val="18"/>
                <w:lang w:val="en-US" w:eastAsia="zh-CN" w:bidi="ar-SA"/>
              </w:rPr>
            </w:pPr>
          </w:p>
          <w:p>
            <w:pPr>
              <w:pStyle w:val="2"/>
              <w:spacing w:before="7"/>
              <w:jc w:val="center"/>
              <w:rPr>
                <w:rFonts w:hint="eastAsia" w:asciiTheme="minorEastAsia" w:hAnsiTheme="minorEastAsia" w:eastAsiaTheme="minorEastAsia" w:cstheme="minorEastAsia"/>
                <w:b/>
                <w:bCs/>
                <w:kern w:val="2"/>
                <w:sz w:val="18"/>
                <w:szCs w:val="18"/>
                <w:lang w:val="en-US" w:eastAsia="zh-CN" w:bidi="ar-SA"/>
              </w:rPr>
            </w:pPr>
            <w:r>
              <w:rPr>
                <w:rFonts w:hint="eastAsia" w:asciiTheme="minorEastAsia" w:hAnsiTheme="minorEastAsia" w:eastAsiaTheme="minorEastAsia" w:cstheme="minorEastAsia"/>
                <w:b/>
                <w:bCs/>
                <w:kern w:val="2"/>
                <w:sz w:val="18"/>
                <w:szCs w:val="18"/>
                <w:lang w:val="en-US" w:eastAsia="zh-CN" w:bidi="ar-SA"/>
              </w:rPr>
              <w:t>不收费</w:t>
            </w:r>
          </w:p>
          <w:p>
            <w:pPr>
              <w:pStyle w:val="2"/>
              <w:spacing w:before="7"/>
              <w:jc w:val="center"/>
              <w:rPr>
                <w:rFonts w:hint="eastAsia" w:asciiTheme="minorEastAsia" w:hAnsiTheme="minorEastAsia" w:eastAsiaTheme="minorEastAsia" w:cstheme="minorEastAsia"/>
                <w:kern w:val="2"/>
                <w:sz w:val="18"/>
                <w:szCs w:val="18"/>
                <w:lang w:val="en-US" w:eastAsia="zh-CN" w:bidi="ar-SA"/>
              </w:rPr>
            </w:pPr>
          </w:p>
          <w:p>
            <w:pPr>
              <w:pStyle w:val="2"/>
              <w:spacing w:before="7"/>
              <w:jc w:val="center"/>
              <w:rPr>
                <w:rFonts w:hint="eastAsia" w:asciiTheme="minorEastAsia" w:hAnsiTheme="minorEastAsia" w:eastAsiaTheme="minorEastAsia" w:cstheme="minorEastAsia"/>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194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监督投诉渠道</w:t>
            </w:r>
          </w:p>
        </w:tc>
        <w:tc>
          <w:tcPr>
            <w:tcW w:w="739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中心督查股、12345热线电话</w:t>
            </w:r>
          </w:p>
        </w:tc>
      </w:tr>
    </w:tbl>
    <w:p>
      <w:pPr>
        <w:jc w:val="left"/>
        <w:rPr>
          <w:rFonts w:hint="eastAsia" w:asciiTheme="minorEastAsia" w:hAnsiTheme="minorEastAsia" w:eastAsiaTheme="minorEastAsia" w:cstheme="minorEastAsia"/>
          <w:kern w:val="0"/>
          <w:sz w:val="18"/>
          <w:szCs w:val="18"/>
          <w:lang w:val="en-US" w:eastAsia="zh-CN" w:bidi="ar"/>
        </w:rPr>
      </w:pPr>
    </w:p>
    <w:p>
      <w:pPr>
        <w:jc w:val="left"/>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 xml:space="preserve">发布日期：2020年11月9日            实施日期：2020年11月9日    </w:t>
      </w:r>
    </w:p>
    <w:p>
      <w:pPr>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t>桐柏县住房和城乡建设局发布</w:t>
      </w:r>
    </w:p>
    <w:sectPr>
      <w:pgSz w:w="11850" w:h="16783"/>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ABAA3A"/>
    <w:multiLevelType w:val="singleLevel"/>
    <w:tmpl w:val="B3ABAA3A"/>
    <w:lvl w:ilvl="0" w:tentative="0">
      <w:start w:val="1"/>
      <w:numFmt w:val="chineseCounting"/>
      <w:suff w:val="nothing"/>
      <w:lvlText w:val="%1、"/>
      <w:lvlJc w:val="left"/>
      <w:rPr>
        <w:rFonts w:hint="eastAsia"/>
      </w:rPr>
    </w:lvl>
  </w:abstractNum>
  <w:abstractNum w:abstractNumId="1">
    <w:nsid w:val="BDE8FA7C"/>
    <w:multiLevelType w:val="singleLevel"/>
    <w:tmpl w:val="BDE8FA7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A4233"/>
    <w:rsid w:val="024A4233"/>
    <w:rsid w:val="113719A0"/>
    <w:rsid w:val="119E3A20"/>
    <w:rsid w:val="13FD5F95"/>
    <w:rsid w:val="18250533"/>
    <w:rsid w:val="1D4F5573"/>
    <w:rsid w:val="1E1A1C8F"/>
    <w:rsid w:val="256636F2"/>
    <w:rsid w:val="25FC102A"/>
    <w:rsid w:val="27343A65"/>
    <w:rsid w:val="29BF4608"/>
    <w:rsid w:val="3D521641"/>
    <w:rsid w:val="3F345010"/>
    <w:rsid w:val="3F6B632E"/>
    <w:rsid w:val="49CC6710"/>
    <w:rsid w:val="4BC26D4B"/>
    <w:rsid w:val="4FAF5CA7"/>
    <w:rsid w:val="4FF42148"/>
    <w:rsid w:val="54B966B2"/>
    <w:rsid w:val="59DD77B5"/>
    <w:rsid w:val="5B10607B"/>
    <w:rsid w:val="5B422FE3"/>
    <w:rsid w:val="639F585B"/>
    <w:rsid w:val="69454487"/>
    <w:rsid w:val="6D535020"/>
    <w:rsid w:val="74544908"/>
    <w:rsid w:val="79A62930"/>
    <w:rsid w:val="7DBB594B"/>
    <w:rsid w:val="7F64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sz w:val="21"/>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2018-09-28T07:21:00Z</dcterms:created>
  <dc:creator>CG</dc:creator>
  <cp:lastModifiedBy>94603</cp:lastModifiedBy>
  <dcterms:modified xsi:type="dcterms:W3CDTF">2021-12-17T02:58:42Z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5B86B719E3874E1584108DC7A8F7C481</vt:lpwstr>
  </property>
</Properties>
</file>