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市政基础设施工程竣工验收备案服务指南</w:t>
      </w:r>
    </w:p>
    <w:p>
      <w:pPr>
        <w:jc w:val="right"/>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事项编码114113300060627201441200200900001</w:t>
      </w:r>
    </w:p>
    <w:tbl>
      <w:tblPr>
        <w:tblStyle w:val="5"/>
        <w:tblW w:w="9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7"/>
        <w:gridCol w:w="2615"/>
        <w:gridCol w:w="1792"/>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73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适用范围</w:t>
            </w:r>
          </w:p>
        </w:tc>
        <w:tc>
          <w:tcPr>
            <w:tcW w:w="2615" w:type="dxa"/>
            <w:vAlign w:val="center"/>
          </w:tcPr>
          <w:p>
            <w:pPr>
              <w:pStyle w:val="2"/>
              <w:ind w:left="557"/>
              <w:jc w:val="center"/>
              <w:rPr>
                <w:rFonts w:hint="eastAsia" w:ascii="黑体" w:hAnsi="黑体" w:eastAsia="黑体" w:cs="黑体"/>
                <w:kern w:val="0"/>
                <w:sz w:val="21"/>
                <w:szCs w:val="21"/>
                <w:vertAlign w:val="baseline"/>
                <w:lang w:val="en-US" w:eastAsia="zh-CN" w:bidi="ar"/>
              </w:rPr>
            </w:pPr>
            <w:r>
              <w:rPr>
                <w:rFonts w:hint="eastAsia"/>
                <w:lang w:eastAsia="zh-CN"/>
              </w:rPr>
              <w:t>个人</w:t>
            </w:r>
            <w:r>
              <w:rPr>
                <w:rFonts w:hint="eastAsia"/>
              </w:rPr>
              <w:t>、法人</w:t>
            </w:r>
          </w:p>
        </w:tc>
        <w:tc>
          <w:tcPr>
            <w:tcW w:w="1792"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事项类型</w:t>
            </w:r>
          </w:p>
        </w:tc>
        <w:tc>
          <w:tcPr>
            <w:tcW w:w="2894" w:type="dxa"/>
            <w:vAlign w:val="center"/>
          </w:tcPr>
          <w:p>
            <w:pPr>
              <w:pStyle w:val="2"/>
              <w:spacing w:before="1"/>
              <w:ind w:left="132" w:firstLine="420" w:firstLineChars="200"/>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73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rPr>
              <w:t>受理机构</w:t>
            </w:r>
          </w:p>
        </w:tc>
        <w:tc>
          <w:tcPr>
            <w:tcW w:w="2615" w:type="dxa"/>
            <w:vAlign w:val="center"/>
          </w:tcPr>
          <w:p>
            <w:pPr>
              <w:jc w:val="center"/>
              <w:rPr>
                <w:rFonts w:hint="eastAsia"/>
                <w:lang w:val="en-US" w:eastAsia="zh-CN"/>
              </w:rPr>
            </w:pPr>
            <w:r>
              <w:rPr>
                <w:rFonts w:hint="eastAsia" w:asciiTheme="minorHAnsi" w:hAnsiTheme="minorHAnsi" w:eastAsiaTheme="minorEastAsia" w:cstheme="minorBidi"/>
                <w:kern w:val="2"/>
                <w:sz w:val="21"/>
                <w:szCs w:val="21"/>
                <w:lang w:val="en-US" w:eastAsia="zh-CN" w:bidi="ar-SA"/>
              </w:rPr>
              <w:t>桐柏县行政审批服务中心</w:t>
            </w:r>
            <w:r>
              <w:rPr>
                <w:rFonts w:hint="eastAsia" w:cstheme="minorBidi"/>
                <w:kern w:val="2"/>
                <w:sz w:val="21"/>
                <w:szCs w:val="21"/>
                <w:lang w:val="en-US" w:eastAsia="zh-CN" w:bidi="ar-SA"/>
              </w:rPr>
              <w:t>住建局窗口</w:t>
            </w:r>
          </w:p>
        </w:tc>
        <w:tc>
          <w:tcPr>
            <w:tcW w:w="1792" w:type="dxa"/>
            <w:vAlign w:val="center"/>
          </w:tcPr>
          <w:p>
            <w:pPr>
              <w:pStyle w:val="2"/>
              <w:spacing w:before="1"/>
              <w:ind w:left="133" w:leftChars="0"/>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决定机构</w:t>
            </w:r>
          </w:p>
        </w:tc>
        <w:tc>
          <w:tcPr>
            <w:tcW w:w="2894" w:type="dxa"/>
            <w:vAlign w:val="center"/>
          </w:tcPr>
          <w:p>
            <w:pPr>
              <w:pStyle w:val="2"/>
              <w:spacing w:before="7"/>
              <w:jc w:val="center"/>
              <w:rPr>
                <w:rFonts w:hint="eastAsia" w:eastAsia="黑体"/>
                <w:spacing w:val="-2"/>
                <w:lang w:val="en-US" w:eastAsia="zh-CN"/>
              </w:rPr>
            </w:pPr>
            <w:r>
              <w:rPr>
                <w:rFonts w:hint="eastAsia" w:asciiTheme="minorHAnsi" w:hAnsiTheme="minorHAnsi" w:eastAsiaTheme="minorEastAsia" w:cstheme="minorBidi"/>
                <w:kern w:val="2"/>
                <w:sz w:val="21"/>
                <w:szCs w:val="21"/>
                <w:lang w:val="en-US" w:eastAsia="zh-CN" w:bidi="ar-SA"/>
              </w:rPr>
              <w:t>桐柏县</w:t>
            </w:r>
            <w:r>
              <w:rPr>
                <w:rFonts w:hint="eastAsia" w:cstheme="minorBidi"/>
                <w:kern w:val="2"/>
                <w:sz w:val="21"/>
                <w:szCs w:val="21"/>
                <w:lang w:val="en-US" w:eastAsia="zh-CN" w:bidi="ar-SA"/>
              </w:rPr>
              <w:t>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737" w:type="dxa"/>
            <w:vAlign w:val="center"/>
          </w:tcPr>
          <w:p>
            <w:pPr>
              <w:jc w:val="center"/>
              <w:rPr>
                <w:rFonts w:hint="eastAsia" w:ascii="黑体" w:eastAsia="黑体"/>
              </w:rPr>
            </w:pPr>
            <w:r>
              <w:rPr>
                <w:rFonts w:hint="eastAsia" w:ascii="黑体" w:hAnsi="黑体" w:eastAsia="黑体" w:cs="黑体"/>
                <w:kern w:val="0"/>
                <w:sz w:val="21"/>
                <w:szCs w:val="21"/>
                <w:vertAlign w:val="baseline"/>
                <w:lang w:val="en-US" w:eastAsia="zh-CN" w:bidi="ar"/>
              </w:rPr>
              <w:t>办理时限</w:t>
            </w:r>
          </w:p>
        </w:tc>
        <w:tc>
          <w:tcPr>
            <w:tcW w:w="2615"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法定时限：15</w:t>
            </w:r>
            <w:r>
              <w:rPr>
                <w:rFonts w:hint="eastAsia"/>
              </w:rPr>
              <w:t>个工作日</w:t>
            </w:r>
          </w:p>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承诺时限：1个工作日</w:t>
            </w:r>
          </w:p>
        </w:tc>
        <w:tc>
          <w:tcPr>
            <w:tcW w:w="1792" w:type="dxa"/>
            <w:vAlign w:val="center"/>
          </w:tcPr>
          <w:p>
            <w:pPr>
              <w:pStyle w:val="2"/>
              <w:spacing w:before="1"/>
              <w:ind w:left="133" w:leftChars="0"/>
              <w:jc w:val="center"/>
              <w:rPr>
                <w:rFonts w:hint="eastAsia" w:ascii="黑体" w:eastAsia="黑体" w:hAnsiTheme="minorHAnsi" w:cstheme="minorBidi"/>
                <w:kern w:val="2"/>
                <w:sz w:val="21"/>
                <w:szCs w:val="24"/>
                <w:lang w:val="en-US" w:eastAsia="zh-CN" w:bidi="ar-SA"/>
              </w:rPr>
            </w:pPr>
            <w:r>
              <w:rPr>
                <w:rFonts w:hint="eastAsia" w:ascii="黑体" w:eastAsia="黑体" w:cstheme="minorBidi"/>
                <w:kern w:val="2"/>
                <w:sz w:val="21"/>
                <w:szCs w:val="24"/>
                <w:lang w:val="en-US" w:eastAsia="zh-CN" w:bidi="ar-SA"/>
              </w:rPr>
              <w:t>咨询方式</w:t>
            </w:r>
          </w:p>
        </w:tc>
        <w:tc>
          <w:tcPr>
            <w:tcW w:w="2894" w:type="dxa"/>
            <w:vAlign w:val="center"/>
          </w:tcPr>
          <w:p>
            <w:pPr>
              <w:jc w:val="left"/>
              <w:rPr>
                <w:rFonts w:hint="eastAsia" w:asciiTheme="minorHAnsi" w:hAnsiTheme="minorHAnsi" w:eastAsiaTheme="minorEastAsia" w:cstheme="minorBidi"/>
                <w:kern w:val="2"/>
                <w:sz w:val="21"/>
                <w:szCs w:val="21"/>
                <w:lang w:val="en-US" w:eastAsia="zh-CN" w:bidi="ar-SA"/>
              </w:rPr>
            </w:pPr>
            <w:r>
              <w:rPr>
                <w:rFonts w:hint="eastAsia"/>
                <w:lang w:val="en-US" w:eastAsia="zh-CN"/>
              </w:rPr>
              <w:t>现场咨询</w:t>
            </w:r>
          </w:p>
          <w:p>
            <w:pPr>
              <w:pStyle w:val="2"/>
              <w:spacing w:before="7"/>
              <w:jc w:val="left"/>
              <w:rPr>
                <w:rFonts w:hint="default"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电话咨询：0377-60361117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1737"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eastAsia="黑体" w:hAnsiTheme="minorHAnsi" w:cstheme="minorBidi"/>
                <w:kern w:val="2"/>
                <w:sz w:val="21"/>
                <w:szCs w:val="24"/>
                <w:lang w:val="en-US" w:eastAsia="zh-CN" w:bidi="ar-SA"/>
              </w:rPr>
              <w:t>受理</w:t>
            </w:r>
            <w:r>
              <w:rPr>
                <w:rFonts w:hint="eastAsia" w:ascii="黑体" w:eastAsia="黑体" w:cstheme="minorBidi"/>
                <w:kern w:val="2"/>
                <w:sz w:val="21"/>
                <w:szCs w:val="24"/>
                <w:lang w:val="en-US" w:eastAsia="zh-CN" w:bidi="ar-SA"/>
              </w:rPr>
              <w:t>方式</w:t>
            </w:r>
          </w:p>
        </w:tc>
        <w:tc>
          <w:tcPr>
            <w:tcW w:w="2615" w:type="dxa"/>
            <w:vAlign w:val="center"/>
          </w:tcPr>
          <w:p>
            <w:pPr>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窗口受理、网上申报</w:t>
            </w:r>
          </w:p>
        </w:tc>
        <w:tc>
          <w:tcPr>
            <w:tcW w:w="1792" w:type="dxa"/>
            <w:vAlign w:val="center"/>
          </w:tcPr>
          <w:p>
            <w:pPr>
              <w:pStyle w:val="2"/>
              <w:spacing w:before="1"/>
              <w:ind w:left="133" w:leftChars="0"/>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结果送达</w:t>
            </w:r>
          </w:p>
        </w:tc>
        <w:tc>
          <w:tcPr>
            <w:tcW w:w="2894" w:type="dxa"/>
            <w:vAlign w:val="center"/>
          </w:tcPr>
          <w:p>
            <w:pPr>
              <w:pStyle w:val="2"/>
              <w:spacing w:before="7"/>
              <w:jc w:val="left"/>
              <w:rPr>
                <w:rFonts w:hint="eastAsia" w:cstheme="minorBidi"/>
                <w:kern w:val="2"/>
                <w:sz w:val="21"/>
                <w:szCs w:val="21"/>
                <w:lang w:val="en-US" w:eastAsia="zh-CN" w:bidi="ar-SA"/>
              </w:rPr>
            </w:pPr>
            <w:r>
              <w:rPr>
                <w:rFonts w:hint="eastAsia" w:cstheme="minorBidi"/>
                <w:kern w:val="2"/>
                <w:sz w:val="21"/>
                <w:szCs w:val="21"/>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3" w:hRule="atLeast"/>
        </w:trPr>
        <w:tc>
          <w:tcPr>
            <w:tcW w:w="173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hAnsi="黑体" w:eastAsia="黑体" w:cs="黑体"/>
                <w:kern w:val="0"/>
                <w:sz w:val="21"/>
                <w:szCs w:val="21"/>
                <w:vertAlign w:val="baseline"/>
                <w:lang w:val="en-US" w:eastAsia="zh-CN" w:bidi="ar"/>
              </w:rPr>
              <w:t>设立依据</w:t>
            </w:r>
          </w:p>
        </w:tc>
        <w:tc>
          <w:tcPr>
            <w:tcW w:w="7301" w:type="dxa"/>
            <w:gridSpan w:val="3"/>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 xml:space="preserve">一、《建筑工程质量管理条例》（2000年国务院令第279号）第四十九条：建设单位应当自建设工程竣工验收合格之日起15日内内，将建设工程竣工验收报告和规划、公安消防、环保等部门出具的认可文件或者准许使用文件报建设行政主客部门或者其他有关部门备案。                         </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黑体" w:hAnsi="黑体" w:eastAsia="黑体" w:cs="黑体"/>
                <w:kern w:val="0"/>
                <w:sz w:val="52"/>
                <w:szCs w:val="52"/>
                <w:vertAlign w:val="baseline"/>
                <w:lang w:val="en-US" w:eastAsia="zh-CN" w:bidi="ar"/>
              </w:rPr>
            </w:pPr>
            <w:r>
              <w:rPr>
                <w:rFonts w:hint="eastAsia" w:ascii="宋体" w:hAnsi="宋体" w:eastAsia="宋体" w:cs="宋体"/>
                <w:kern w:val="0"/>
                <w:sz w:val="21"/>
                <w:szCs w:val="21"/>
                <w:lang w:val="en-US" w:eastAsia="zh-CN" w:bidi="ar"/>
              </w:rPr>
              <w:t>二、《房屋建筑和市政基础设施工程竣工验收备案管理办法》（住房城乡建设部令第2号）第四条：建设单位应当自工程竣工验收合格之日起15日内，依照本办法规定，向工程所在地的县级以上地方人民政府建设主管部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2" w:hRule="atLeast"/>
        </w:trPr>
        <w:tc>
          <w:tcPr>
            <w:tcW w:w="1737" w:type="dxa"/>
            <w:vAlign w:val="center"/>
          </w:tcPr>
          <w:p>
            <w:pPr>
              <w:pStyle w:val="2"/>
              <w:ind w:firstLine="420" w:firstLineChars="200"/>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办理条件</w:t>
            </w:r>
          </w:p>
        </w:tc>
        <w:tc>
          <w:tcPr>
            <w:tcW w:w="7301" w:type="dxa"/>
            <w:gridSpan w:val="3"/>
            <w:vAlign w:val="center"/>
          </w:tcPr>
          <w:p>
            <w:pPr>
              <w:jc w:val="left"/>
              <w:rPr>
                <w:rFonts w:hint="eastAsia" w:ascii="黑体" w:hAnsi="黑体" w:eastAsia="黑体" w:cs="黑体"/>
                <w:kern w:val="0"/>
                <w:sz w:val="52"/>
                <w:szCs w:val="52"/>
                <w:vertAlign w:val="baseline"/>
                <w:lang w:val="en-US" w:eastAsia="zh-CN" w:bidi="ar"/>
              </w:rPr>
            </w:pPr>
            <w:r>
              <w:rPr>
                <w:rFonts w:hint="eastAsia"/>
              </w:rPr>
              <w:t>《房屋建筑和市政基础设施工程竣工验收备案管理办法》（住房城乡建设部令第2号）第五条：建设单位办理工程竣工验收备案应当提交下列文件：（一）工程竣工验收备案表；（二）工程竣工验收报告。竣工验收报告应当包括工程报建日期，施工许可证号，施工图设计文件审查意见，勘察、设计、施工、工程监理等单位分别签署的质量合格文件及验收人员签署的竣工验收原始文件，市政基础设施的有关质量检测和功能性试验资料以及备案机关认为需要提供的有关资料；（三）法律、行政法规规定应当由规划、环保等部门出具的认可文件或者准许使用文件；（四）法律规定应当由公安消防部门出具的对大型的人员密集场所和其他特殊建设工程验收合格的证明文件；（五）施工单位签署的工程质量保修书；（六）法规、规章规定必须提供的其他文件。住宅工程还应当提交《住宅质量保证书》和《住宅使用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2" w:hRule="atLeast"/>
        </w:trPr>
        <w:tc>
          <w:tcPr>
            <w:tcW w:w="1737"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hAnsiTheme="minorHAnsi" w:cstheme="minorBidi"/>
                <w:kern w:val="2"/>
                <w:sz w:val="21"/>
                <w:szCs w:val="24"/>
                <w:lang w:val="en-US" w:eastAsia="zh-CN" w:bidi="ar-SA"/>
              </w:rPr>
              <w:t>申办</w:t>
            </w:r>
            <w:r>
              <w:rPr>
                <w:rFonts w:hint="eastAsia" w:ascii="黑体" w:eastAsia="黑体" w:cstheme="minorBidi"/>
                <w:kern w:val="2"/>
                <w:sz w:val="21"/>
                <w:szCs w:val="24"/>
                <w:lang w:val="en-US" w:eastAsia="zh-CN" w:bidi="ar-SA"/>
              </w:rPr>
              <w:t>材料</w:t>
            </w:r>
          </w:p>
        </w:tc>
        <w:tc>
          <w:tcPr>
            <w:tcW w:w="7301" w:type="dxa"/>
            <w:gridSpan w:val="3"/>
            <w:vAlign w:val="center"/>
          </w:tcPr>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"http://59.207.104.2:8060/smp/asmp/jsp/service/service_edit.jsp?unid=6C18C776E9B89EF74DE7FFF1B181DE76&amp;parentunid=DA86F929D07E914A74616E1E1E612C86&amp;deptunid=001003023006019003032&amp;savelogo=1&amp;dialogId=2E43A79F6428539CDCB3501D91AED5D1"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1、人防工程竣工验收备案表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"http://59.207.104.2:8060/smp/asmp/jsp/service/service_edit.jsp?unid=6C18C776E9B89EF74DE7FFF1B181DE76&amp;parentunid=DA86F929D07E914A74616E1E1E612C86&amp;deptunid=001003023006019003032&amp;savelogo=1&amp;dialogId=2E43A79F6428539CDCB3501D91AED5D1"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2、河南省房屋建筑和市政基础设施工程竣工验收备案申请表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"http://59.207.104.2:8060/smp/asmp/jsp/service/service_edit.jsp?unid=6C18C776E9B89EF74DE7FFF1B181DE76&amp;parentunid=DA86F929D07E914A74616E1E1E612C86&amp;deptunid=001003023006019003032&amp;savelogo=1&amp;dialogId=2E43A79F6428539CDCB3501D91AED5D1"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3、工程质量监督报告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"http://59.207.104.2:8060/smp/asmp/jsp/service/service_edit.jsp?unid=6C18C776E9B89EF74DE7FFF1B181DE76&amp;parentunid=DA86F929D07E914A74616E1E1E612C86&amp;deptunid=001003023006019003032&amp;savelogo=1&amp;dialogId=2E43A79F6428539CDCB3501D91AED5D1"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4、建设工程档案认可文件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"http://59.207.104.2:8060/smp/asmp/jsp/service/service_edit.jsp?unid=6C18C776E9B89EF74DE7FFF1B181DE76&amp;parentunid=DA86F929D07E914A74616E1E1E612C86&amp;deptunid=001003023006019003032&amp;savelogo=1&amp;dialogId=2E43A79F6428539CDCB3501D91AED5D1"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5、工程竣工验收报告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"http://59.207.104.2:8060/smp/asmp/jsp/service/service_edit.jsp?unid=6C18C776E9B89EF74DE7FFF1B181DE76&amp;parentunid=DA86F929D07E914A74616E1E1E612C86&amp;deptunid=001003023006019003032&amp;savelogo=1&amp;dialogId=2E43A79F6428539CDCB3501D91AED5D1"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6、建设工程规划核实意见书 </w:t>
            </w:r>
            <w:r>
              <w:rPr>
                <w:rFonts w:hint="eastAsia"/>
                <w:lang w:val="en-US" w:eastAsia="zh-CN"/>
              </w:rPr>
              <w:fldChar w:fldCharType="end"/>
            </w:r>
          </w:p>
          <w:p>
            <w:pPr>
              <w:jc w:val="left"/>
              <w:rPr>
                <w:rFonts w:hint="eastAsia"/>
              </w:rPr>
            </w:pPr>
            <w:r>
              <w:rPr>
                <w:rFonts w:hint="eastAsia"/>
                <w:lang w:val="en-US" w:eastAsia="zh-CN"/>
              </w:rPr>
              <w:fldChar w:fldCharType="begin"/>
            </w:r>
            <w:r>
              <w:rPr>
                <w:rFonts w:hint="eastAsia"/>
                <w:lang w:val="en-US" w:eastAsia="zh-CN"/>
              </w:rPr>
              <w:instrText xml:space="preserve"> HYPERLINK "http://59.207.104.2:8060/smp/asmp/jsp/service/service_edit.jsp?unid=6C18C776E9B89EF74DE7FFF1B181DE76&amp;parentunid=DA86F929D07E914A74616E1E1E612C86&amp;deptunid=001003023006019003032&amp;savelogo=1&amp;dialogId=2E43A79F6428539CDCB3501D91AED5D1"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7、特殊建设工程消防验收意见书 </w:t>
            </w:r>
            <w:r>
              <w:rPr>
                <w:rFonts w:hint="eastAsia"/>
                <w:lang w:val="en-US" w:eastAsia="zh-CN"/>
              </w:rPr>
              <w:fldChar w:fldCharType="end"/>
            </w:r>
          </w:p>
          <w:p>
            <w:pPr>
              <w:jc w:val="left"/>
              <w:rPr>
                <w:rFonts w:hint="eastAsia" w:ascii="黑体" w:hAnsi="黑体" w:eastAsia="黑体" w:cs="黑体"/>
                <w:kern w:val="0"/>
                <w:sz w:val="52"/>
                <w:szCs w:val="52"/>
                <w:vertAlign w:val="baseline"/>
                <w:lang w:val="en-US" w:eastAsia="zh-CN" w:bidi="ar"/>
              </w:rPr>
            </w:pPr>
            <w:r>
              <w:rPr>
                <w:rFonts w:hint="eastAsia"/>
                <w:lang w:val="en-US" w:eastAsia="zh-CN"/>
              </w:rPr>
              <w:fldChar w:fldCharType="begin"/>
            </w:r>
            <w:r>
              <w:rPr>
                <w:rFonts w:hint="eastAsia"/>
                <w:lang w:val="en-US" w:eastAsia="zh-CN"/>
              </w:rPr>
              <w:instrText xml:space="preserve"> HYPERLINK "http://59.207.104.2:8060/smp/asmp/jsp/service/service_edit.jsp?unid=6C18C776E9B89EF74DE7FFF1B181DE76&amp;parentunid=DA86F929D07E914A74616E1E1E612C86&amp;deptunid=001003023006019003032&amp;savelogo=1&amp;dialogId=2E43A79F6428539CDCB3501D91AED5D1" </w:instrText>
            </w:r>
            <w:r>
              <w:rPr>
                <w:rFonts w:hint="eastAsia"/>
                <w:lang w:val="en-US" w:eastAsia="zh-CN"/>
              </w:rPr>
              <w:fldChar w:fldCharType="separate"/>
            </w:r>
            <w:r>
              <w:rPr>
                <w:rFonts w:hint="eastAsia"/>
              </w:rPr>
              <w:t xml:space="preserve">8、施工单位签署的工程质量保修书 </w:t>
            </w:r>
            <w:r>
              <w:rPr>
                <w:rFonts w:hint="eastAsia"/>
                <w:lang w:val="en-US" w:eastAsia="zh-CN"/>
              </w:rPr>
              <w:fldChar w:fldCharType="end"/>
            </w:r>
          </w:p>
        </w:tc>
      </w:tr>
    </w:tbl>
    <w:tbl>
      <w:tblPr>
        <w:tblStyle w:val="5"/>
        <w:tblpPr w:leftFromText="180" w:rightFromText="180" w:vertAnchor="text" w:horzAnchor="page" w:tblpX="1573" w:tblpY="347"/>
        <w:tblOverlap w:val="never"/>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2" w:hRule="atLeast"/>
        </w:trPr>
        <w:tc>
          <w:tcPr>
            <w:tcW w:w="1951" w:type="dxa"/>
            <w:vAlign w:val="center"/>
          </w:tcPr>
          <w:p>
            <w:pPr>
              <w:jc w:val="center"/>
              <w:rPr>
                <w:rFonts w:hint="eastAsia" w:ascii="黑体" w:hAnsi="黑体" w:eastAsia="黑体" w:cs="黑体"/>
                <w:kern w:val="0"/>
                <w:sz w:val="21"/>
                <w:szCs w:val="21"/>
                <w:vertAlign w:val="baseline"/>
                <w:lang w:val="en-US" w:eastAsia="zh-CN" w:bidi="ar"/>
              </w:rPr>
            </w:pPr>
            <w:r>
              <w:rPr>
                <w:rFonts w:hint="eastAsia" w:ascii="黑体" w:hAnsi="黑体" w:eastAsia="黑体" w:cs="黑体"/>
                <w:kern w:val="0"/>
                <w:sz w:val="21"/>
                <w:szCs w:val="21"/>
                <w:vertAlign w:val="baseline"/>
                <w:lang w:val="en-US" w:eastAsia="zh-CN" w:bidi="ar"/>
              </w:rPr>
              <w:t>办理流程</w:t>
            </w:r>
          </w:p>
        </w:tc>
        <w:tc>
          <w:tcPr>
            <w:tcW w:w="7428" w:type="dxa"/>
            <w:vAlign w:val="center"/>
          </w:tcPr>
          <w:p>
            <w:pPr>
              <w:pStyle w:val="3"/>
              <w:keepNext w:val="0"/>
              <w:keepLines w:val="0"/>
              <w:widowControl/>
              <w:numPr>
                <w:ilvl w:val="0"/>
                <w:numId w:val="1"/>
              </w:numPr>
              <w:suppressLineNumbers w:val="0"/>
              <w:spacing w:line="360" w:lineRule="auto"/>
              <w:ind w:left="0" w:leftChars="0" w:right="0" w:rightChars="0" w:firstLine="0" w:firstLineChars="0"/>
            </w:pPr>
            <w: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1"/>
              </w:numPr>
              <w:suppressLineNumbers w:val="0"/>
              <w:spacing w:line="360" w:lineRule="auto"/>
              <w:ind w:left="0" w:leftChars="0" w:right="0" w:rightChars="0" w:firstLine="0" w:firstLineChars="0"/>
            </w:pPr>
            <w: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1"/>
              </w:numPr>
              <w:suppressLineNumbers w:val="0"/>
              <w:spacing w:line="360" w:lineRule="auto"/>
              <w:ind w:left="0" w:leftChars="0" w:right="0" w:rightChars="0" w:firstLine="0" w:firstLineChars="0"/>
              <w:rPr>
                <w:rFonts w:hint="eastAsia"/>
                <w:lang w:val="en-US" w:eastAsia="zh-CN"/>
              </w:rPr>
            </w:pPr>
            <w:r>
              <w:t xml:space="preserve">审查：在受理项目申请报告后，由行政审批办公室对内容进行审查。 </w:t>
            </w:r>
          </w:p>
          <w:p>
            <w:pPr>
              <w:pStyle w:val="3"/>
              <w:keepNext w:val="0"/>
              <w:keepLines w:val="0"/>
              <w:widowControl/>
              <w:numPr>
                <w:ilvl w:val="0"/>
                <w:numId w:val="1"/>
              </w:numPr>
              <w:suppressLineNumbers w:val="0"/>
              <w:spacing w:line="360" w:lineRule="auto"/>
              <w:ind w:left="0" w:leftChars="0" w:right="0" w:rightChars="0" w:firstLine="0" w:firstLineChars="0"/>
              <w:rPr>
                <w:rFonts w:hint="eastAsia" w:ascii="黑体" w:hAnsi="黑体" w:eastAsia="黑体" w:cs="黑体"/>
                <w:kern w:val="0"/>
                <w:sz w:val="21"/>
                <w:szCs w:val="21"/>
                <w:vertAlign w:val="baseline"/>
                <w:lang w:val="en-US" w:eastAsia="zh-CN" w:bidi="ar"/>
              </w:rPr>
            </w:pPr>
            <w: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9" w:hRule="atLeast"/>
        </w:trPr>
        <w:tc>
          <w:tcPr>
            <w:tcW w:w="1951" w:type="dxa"/>
            <w:vAlign w:val="center"/>
          </w:tcPr>
          <w:p>
            <w:pPr>
              <w:jc w:val="center"/>
              <w:rPr>
                <w:rFonts w:hint="eastAsia" w:ascii="黑体" w:hAnsi="黑体" w:eastAsia="黑体" w:cs="黑体"/>
                <w:kern w:val="0"/>
                <w:sz w:val="52"/>
                <w:szCs w:val="52"/>
                <w:vertAlign w:val="baseline"/>
                <w:lang w:val="en-US" w:eastAsia="zh-CN" w:bidi="ar"/>
              </w:rPr>
            </w:pPr>
            <w:r>
              <w:rPr>
                <w:rFonts w:hint="eastAsia" w:ascii="黑体" w:eastAsia="黑体"/>
                <w:lang w:val="en-US" w:eastAsia="zh-CN"/>
              </w:rPr>
              <w:t>收费依据及标准</w:t>
            </w:r>
          </w:p>
        </w:tc>
        <w:tc>
          <w:tcPr>
            <w:tcW w:w="7428" w:type="dxa"/>
            <w:vAlign w:val="center"/>
          </w:tcPr>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不收费</w:t>
            </w:r>
          </w:p>
          <w:p>
            <w:pPr>
              <w:pStyle w:val="2"/>
              <w:spacing w:before="7"/>
              <w:jc w:val="center"/>
              <w:rPr>
                <w:rFonts w:hint="eastAsia" w:asciiTheme="minorHAnsi" w:hAnsiTheme="minorHAnsi" w:eastAsiaTheme="minorEastAsia" w:cstheme="minorBidi"/>
                <w:kern w:val="2"/>
                <w:sz w:val="21"/>
                <w:szCs w:val="21"/>
                <w:lang w:val="en-US" w:eastAsia="zh-CN" w:bidi="ar-SA"/>
              </w:rPr>
            </w:pPr>
          </w:p>
          <w:p>
            <w:pPr>
              <w:pStyle w:val="2"/>
              <w:spacing w:before="7"/>
              <w:jc w:val="center"/>
              <w:rPr>
                <w:rFonts w:hint="eastAsia" w:asciiTheme="minorHAnsi" w:hAnsiTheme="minorHAnsi" w:eastAsiaTheme="minorEastAsia" w:cstheme="minorBidi"/>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1951"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监督投诉渠道</w:t>
            </w:r>
          </w:p>
        </w:tc>
        <w:tc>
          <w:tcPr>
            <w:tcW w:w="7428" w:type="dxa"/>
            <w:vAlign w:val="center"/>
          </w:tcPr>
          <w:p>
            <w:pPr>
              <w:jc w:val="center"/>
              <w:rPr>
                <w:rFonts w:hint="eastAsia" w:ascii="黑体" w:eastAsia="黑体" w:cstheme="minorBidi"/>
                <w:kern w:val="2"/>
                <w:sz w:val="21"/>
                <w:szCs w:val="24"/>
                <w:lang w:val="en-US" w:eastAsia="zh-CN" w:bidi="ar-SA"/>
              </w:rPr>
            </w:pPr>
            <w:r>
              <w:rPr>
                <w:rFonts w:hint="eastAsia" w:ascii="黑体" w:eastAsia="黑体" w:cstheme="minorBidi"/>
                <w:kern w:val="2"/>
                <w:sz w:val="21"/>
                <w:szCs w:val="24"/>
                <w:lang w:val="en-US" w:eastAsia="zh-CN" w:bidi="ar-SA"/>
              </w:rPr>
              <w:t>中心督查股、12345热线电话</w:t>
            </w:r>
          </w:p>
        </w:tc>
      </w:tr>
    </w:tbl>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bookmarkStart w:id="0" w:name="_GoBack"/>
      <w:bookmarkEnd w:id="0"/>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8FA7C"/>
    <w:multiLevelType w:val="singleLevel"/>
    <w:tmpl w:val="BDE8FA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045D0FBE"/>
    <w:rsid w:val="113719A0"/>
    <w:rsid w:val="119E3A20"/>
    <w:rsid w:val="1D4F5573"/>
    <w:rsid w:val="256636F2"/>
    <w:rsid w:val="263879B9"/>
    <w:rsid w:val="27850BE0"/>
    <w:rsid w:val="2FAB29FB"/>
    <w:rsid w:val="3A1F2332"/>
    <w:rsid w:val="3B7A167D"/>
    <w:rsid w:val="3F345010"/>
    <w:rsid w:val="49CC6710"/>
    <w:rsid w:val="59DD77B5"/>
    <w:rsid w:val="5B10607B"/>
    <w:rsid w:val="5B422FE3"/>
    <w:rsid w:val="67B268DD"/>
    <w:rsid w:val="6D535020"/>
    <w:rsid w:val="74544908"/>
    <w:rsid w:val="7893699E"/>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94BBAEBFCD9E4089846554035F09AD51</vt:lpwstr>
  </property>
</Properties>
</file>