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0"/>
        <w:jc w:val="center"/>
        <w:textAlignment w:val="baseline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bdr w:val="none" w:color="auto" w:sz="0" w:space="0"/>
          <w:vertAlign w:val="baseline"/>
          <w:lang w:val="en-US" w:eastAsia="zh-CN" w:bidi="ar"/>
        </w:rPr>
        <w:t>出版物批发单位变更经营地址审核（工作场所为单位自有产权）办事指南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出版物批发单位变更经营地址审核（工作场所为单位自有产权）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其他行政权力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上级下放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南阳市社旗区（县）赊店镇街道；红旗西路县行政审批服务中心1楼东厅综合窗口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社旗县行政审批服务中心综合窗口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二、网上投诉地址： 1、河南省政务服务网上投诉平台: http://was.hnzwfw.gov.cn/evaluation-web/userAuthent/getUserAuthent.do?flag=4 2、河南省信访局网上投诉平台: http://wsxfdt.xfj.henan.gov.cn:8080/zfp/webroot/index.html 3、河南省纪委网上投诉平台: http://henan.12388.gov.cn/ 社旗（区）县红旗西路街道1号1楼 四、邮件投诉:sqxfgf@163.com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3086"/>
        <w:gridCol w:w="2114"/>
        <w:gridCol w:w="52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XWCB00000QTKP52700e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TE411327XWCB00000A4411039041W0006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一、已完成工商注册登记，具有法人资格；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二、工商登记经营范围含出版物批发业务；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三、有与出版物批发业务相适应的设备和固定的经营场所，经营场所面积合计不少于50平方米；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四、具备健全的管理制度并具有符合行业标准的信息管理系统。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《出版管理条例》（国务院令第343号）第三十五条：“单位从事出版物批发业务的，须经省、自治区、直辖市人民政府出版行政主管部门审核许可，取得《出版物经营许可证》。”第三十七条：“从事出版物发行业务的单位和个体工商户变更《出版物经营许可证》登记事项，或者兼并、合并、分立的，应当依照本条例第三十五条的规定办理审批手续。”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《出版物市场管理规定》（《国家新闻出版广电总局、中华人民共和国商务部》令第十号）第八条：单位申请从事出版物批发业务，可向所在地地市级人民政府出版行政主管部门提交申请材料，地市级人民政府出版行政主管部门在接受申请材料之日起10个工作日内完成审核，审核后报省、自治区、直辖市人民政府出版行政主管部门审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8465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1637"/>
        <w:gridCol w:w="949"/>
        <w:gridCol w:w="3015"/>
        <w:gridCol w:w="1401"/>
        <w:gridCol w:w="947"/>
        <w:gridCol w:w="1407"/>
        <w:gridCol w:w="19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材料下载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纸质材料规格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填报须知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受理标准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材料依据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河南省出版物经营许可证变更申请表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"https://uploadmatter.hnzwfw.gov.cn/fileserver/download.jsp?filePath=/group1/M00/16/59/rBQCQl9bNm-AX4FNAABWANzNmzw469.doc"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空表下载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"https://uploadmatter.hnzwfw.gov.cn/fileserver/download.jsp?filePath=/group1/M00/16/59/rBQCQl9bNmmAZDsTAABaADCRpXk735.doc"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样表下载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查看须知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查看受理标准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195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查看依据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"https://uploadmatter.hnzwfw.gov.cn/fileserver/download.jsp?filePath=/group3/M00/0E/C0/rBQdF2IOBWiAD-i3AA2eGseCaVs827.pdf"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样表下载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查看须知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查看受理标准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195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查看依据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企业章程修正案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"https://uploadmatter.hnzwfw.gov.cn/fileserver/download.jsp?filePath=/group1/M00/3D/4F/rBQCQmS2VHSAU1DEAAAyACTA6ZI756.doc"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样表下载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查看须知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查看受理标准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195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查看依据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不动产权属证书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"https://uploadmatter.hnzwfw.gov.cn/fileserver/download.jsp?filePath=/group1/M00/3D/4F/rBQCQmS2VICAViQnAAByKdDoyr8530.jpg"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样表下载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查看须知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查看受理标准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195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查看依据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"https://uploadmatter.hnzwfw.gov.cn/fileserver/download.jsp?filePath=/group1/M00/16/10/rBQCQl9XOPaAbYHsADWTz08PMqQ932.pdf"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1"/>
                <w:szCs w:val="21"/>
                <w:u w:val="none"/>
                <w:bdr w:val="none" w:color="auto" w:sz="0" w:space="0"/>
                <w:vertAlign w:val="baseline"/>
              </w:rPr>
              <w:t>样表下载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查看须知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查看受理标准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195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查看依据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"https://uploadmatter.hnzwfw.gov.cn/fileserver/download.jsp?filePath=/group1/M00/35/5D/rBQCQmKoRH2AZn5GAAEF67V_50Q746.jpg"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申请人通过窗口或河南省政务服务网进行事项申请，提交申请材料，并对其申请材料实质内容的真实性负责。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出版和版权科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能当场受理或通过当场补正达到受理条件的，直接进入受理步骤，符合条件予以审核上报；初步审核后材料不符合要求的不予以受理。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受理单位对申报材料及内容进行审核，需补正材料的，需通知申请人一次性补正补充材料；材料完整的，做出是否受理决定。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决定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1个工作日审批人: 市新闻出版局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对审核情况提出意见。申请符合规定的，准予审批通过；申请不符合规定的，不予审批通过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承办科室（处室）审查完成后，实施部门在承诺时限内作出是否同意申请事项的决定。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签章上报，窗口领取、代理人领取、委托送达、公告送达、邮寄送达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实施部门作出决定后，在规定时限内将办理结果送达申请人。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9"/>
        <w:gridCol w:w="1890"/>
        <w:gridCol w:w="1899"/>
        <w:gridCol w:w="3299"/>
        <w:gridCol w:w="957"/>
        <w:gridCol w:w="3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窗口领取、邮寄、电子证照下载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不能代领，不能邮递、无指定快递。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11E4E3"/>
    <w:multiLevelType w:val="multilevel"/>
    <w:tmpl w:val="4A11E4E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1560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2024-01-10T09:42:33Z</dcterms:created>
  <dc:creator>Administrator</dc:creator>
  <cp:lastModifiedBy>默默</cp:lastModifiedBy>
  <dcterms:modified xsi:type="dcterms:W3CDTF">2024-01-10T09:43:58Z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28F82F42030B48CA80D4F7D11DA5BBF7_12</vt:lpwstr>
  </property>
</Properties>
</file>