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center"/>
        <w:textAlignment w:val="baseline"/>
        <w:rPr>
          <w:rFonts w:hint="eastAsia" w:ascii="微软雅黑" w:hAnsi="微软雅黑" w:eastAsia="微软雅黑" w:cs="微软雅黑"/>
          <w:b/>
          <w:bCs/>
          <w:i w:val="0"/>
          <w:iCs w:val="0"/>
          <w:caps w:val="0"/>
          <w:color w:val="333333"/>
          <w:spacing w:val="0"/>
          <w:sz w:val="36"/>
          <w:szCs w:val="36"/>
          <w:lang w:eastAsia="zh-CN"/>
        </w:rPr>
      </w:pPr>
      <w:bookmarkStart w:id="0" w:name="_GoBack"/>
      <w:bookmarkEnd w:id="0"/>
      <w:r>
        <w:rPr>
          <w:rFonts w:ascii="微软雅黑" w:hAnsi="微软雅黑" w:eastAsia="微软雅黑" w:cs="微软雅黑"/>
          <w:b/>
          <w:bCs/>
          <w:i w:val="0"/>
          <w:iCs w:val="0"/>
          <w:caps w:val="0"/>
          <w:color w:val="333333"/>
          <w:spacing w:val="0"/>
          <w:sz w:val="36"/>
          <w:szCs w:val="36"/>
        </w:rPr>
        <w:t>从事包装装潢印刷品和其他印刷品印刷经营活动企业变更名称审批</w:t>
      </w:r>
      <w:r>
        <w:rPr>
          <w:rFonts w:hint="eastAsia" w:ascii="微软雅黑" w:hAnsi="微软雅黑" w:eastAsia="微软雅黑" w:cs="微软雅黑"/>
          <w:b/>
          <w:bCs/>
          <w:i w:val="0"/>
          <w:iCs w:val="0"/>
          <w:caps w:val="0"/>
          <w:color w:val="333333"/>
          <w:spacing w:val="0"/>
          <w:sz w:val="36"/>
          <w:szCs w:val="36"/>
          <w:lang w:eastAsia="zh-CN"/>
        </w:rPr>
        <w:t>办事指南</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ascii="微软雅黑" w:hAnsi="微软雅黑" w:eastAsia="微软雅黑" w:cs="微软雅黑"/>
          <w:b/>
          <w:bCs/>
          <w:color w:val="0D1C28"/>
          <w:kern w:val="0"/>
          <w:sz w:val="33"/>
          <w:szCs w:val="33"/>
          <w:bdr w:val="none" w:color="auto" w:sz="0" w:space="0"/>
          <w:vertAlign w:val="baseline"/>
          <w:lang w:val="en-US" w:eastAsia="zh-CN" w:bidi="ar"/>
        </w:rPr>
        <w:t>基本信息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63"/>
        <w:gridCol w:w="7278"/>
        <w:gridCol w:w="1502"/>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从事包装装潢印刷品和其他印刷品印刷经营活动企业变更名称审批</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行政许可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社旗县新闻出版局</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办件类型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即办件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法定办理时限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60个工作日</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承诺办理时限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1个工作日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权力来源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上级下放</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行使层级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是否涉及特殊环节</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是否涉及中介服务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实施主体性质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法定机关</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服务对象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企业法人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是否网办</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办理形式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窗口办理、网上办理、快递申请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网上办理深度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互联网咨询、互联网收件、互联网预审、互联网受理、互联网办理、互联网办理结果信息反馈、互联网电子证照反馈</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通办范围</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全县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数量限制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四办标志</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马上办、网上办、一次办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最多到现场办事次数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0次</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必须现场办理原因说明</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是否支持物流快递</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是否网上支付</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行使内容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国家实行印刷经营许可制度。未依照本条例规定取得印刷经营许可证的，任何单位和个人不得从事印刷经营活动。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权限划分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ascii="PingFang SC" w:hAnsi="PingFang SC" w:eastAsia="PingFang SC" w:cs="PingFang SC"/>
          <w:sz w:val="22"/>
          <w:szCs w:val="22"/>
        </w:rPr>
      </w:pPr>
      <w:r>
        <w:rPr>
          <w:rFonts w:hint="default" w:ascii="PingFang SC" w:hAnsi="PingFang SC" w:eastAsia="PingFang SC" w:cs="PingFang SC"/>
          <w:sz w:val="22"/>
          <w:szCs w:val="22"/>
          <w:bdr w:val="none" w:color="auto" w:sz="0" w:space="0"/>
          <w:vertAlign w:val="baseline"/>
        </w:rPr>
        <w:t>扩展信息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05"/>
        <w:gridCol w:w="4909"/>
        <w:gridCol w:w="688"/>
        <w:gridCol w:w="5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入驻网上办事大厅方式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统一受理式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是否投资事项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是否支持预约办理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是否进驻政务实体大厅</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个人主题分类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是否支持自助终端办理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面向自然人的事件分类(人生事件)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准营准办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面向法人的特定对象分类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民营企业</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面向自然人的特定人群分类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面向法人的经营活动分类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申请资质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办理地址</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南阳市社旗区（县）赊店镇街道；红旗西路县行政审批服务中心1楼东厅综合窗口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窗口描述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社旗县行政审批服务中心综合窗口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交通指引</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乘坐1路公交车到县行政审批服务中心站下车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系统名称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河南省政务服务平台统一受理系统</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地图坐标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112.925344,33.068878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办理系统咨询电话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一、固话咨询:0377-67921750 手机咨询:13723015263 二、网上咨询地址：http://was.hnzwfw.gov.cn/evaluation-web/userAuthent/getUserAuthent.do?flag=3 三、现场咨询:南阳市社旗区（县）赊店镇县行政审批服务中心街道1号1楼东厅综合室（窗口）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监督投诉电话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一、固话投诉:0377-67986201 二、网上投诉地址： 1、河南省政务服务网上投诉平台: http://was.hnzwfw.gov.cn/evaluation-web/userAuthent/getUserAuthent.do?flag=4 2、河南省信访局网上投诉平台: http://wsxfdt.xfj.henan.gov.cn:8080/zfp/webroot/index.html 3、河南省纪委网上投诉平台: http://henan.12388.gov.cn/ 社旗（区）县红旗西路街道1号1楼101室（窗口） 四、邮件投诉:sqxfgf@163.com</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sz w:val="22"/>
          <w:szCs w:val="22"/>
          <w:bdr w:val="none" w:color="auto" w:sz="0" w:space="0"/>
          <w:vertAlign w:val="baseline"/>
        </w:rPr>
        <w:t>编码信息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844"/>
        <w:gridCol w:w="3050"/>
        <w:gridCol w:w="2149"/>
        <w:gridCol w:w="5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地方实施编码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XWCB00000XK8R73J011</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业务办理项编码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TE411327XWCB00000A400013900500017</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申请条件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color w:val="4A4A4A"/>
          <w:bdr w:val="none" w:color="auto" w:sz="0" w:space="0"/>
          <w:vertAlign w:val="baseline"/>
        </w:rPr>
        <w:t>一、有企业的名称、章程；</w:t>
      </w:r>
      <w:r>
        <w:rPr>
          <w:color w:val="4A4A4A"/>
          <w:bdr w:val="none" w:color="auto" w:sz="0" w:space="0"/>
          <w:vertAlign w:val="baseline"/>
        </w:rPr>
        <w:br w:type="textWrapping"/>
      </w:r>
      <w:r>
        <w:rPr>
          <w:color w:val="4A4A4A"/>
          <w:bdr w:val="none" w:color="auto" w:sz="0" w:space="0"/>
          <w:vertAlign w:val="baseline"/>
        </w:rPr>
        <w:t>二、有确定的业务范围；</w:t>
      </w:r>
      <w:r>
        <w:rPr>
          <w:color w:val="4A4A4A"/>
          <w:bdr w:val="none" w:color="auto" w:sz="0" w:space="0"/>
          <w:vertAlign w:val="baseline"/>
        </w:rPr>
        <w:br w:type="textWrapping"/>
      </w:r>
      <w:r>
        <w:rPr>
          <w:color w:val="4A4A4A"/>
          <w:bdr w:val="none" w:color="auto" w:sz="0" w:space="0"/>
          <w:vertAlign w:val="baseline"/>
        </w:rPr>
        <w:t>三、有适应业务需要的固定生产经营场所；</w:t>
      </w:r>
      <w:r>
        <w:rPr>
          <w:color w:val="4A4A4A"/>
          <w:bdr w:val="none" w:color="auto" w:sz="0" w:space="0"/>
          <w:vertAlign w:val="baseline"/>
        </w:rPr>
        <w:br w:type="textWrapping"/>
      </w:r>
      <w:r>
        <w:rPr>
          <w:color w:val="4A4A4A"/>
          <w:bdr w:val="none" w:color="auto" w:sz="0" w:space="0"/>
          <w:vertAlign w:val="baseline"/>
        </w:rPr>
        <w:t>四、有能够维持正常生产经营的资金；</w:t>
      </w:r>
      <w:r>
        <w:rPr>
          <w:color w:val="4A4A4A"/>
          <w:bdr w:val="none" w:color="auto" w:sz="0" w:space="0"/>
          <w:vertAlign w:val="baseline"/>
        </w:rPr>
        <w:br w:type="textWrapping"/>
      </w:r>
      <w:r>
        <w:rPr>
          <w:color w:val="4A4A4A"/>
          <w:bdr w:val="none" w:color="auto" w:sz="0" w:space="0"/>
          <w:vertAlign w:val="baseline"/>
        </w:rPr>
        <w:t>五、有必要的出版物印刷设备，具备2台以上十年生产的且未列入《淘汰落后生产能力、工艺和产品的目录》的自动对开胶印印刷设备；</w:t>
      </w:r>
      <w:r>
        <w:rPr>
          <w:color w:val="4A4A4A"/>
          <w:bdr w:val="none" w:color="auto" w:sz="0" w:space="0"/>
          <w:vertAlign w:val="baseline"/>
        </w:rPr>
        <w:br w:type="textWrapping"/>
      </w:r>
      <w:r>
        <w:rPr>
          <w:color w:val="4A4A4A"/>
          <w:bdr w:val="none" w:color="auto" w:sz="0" w:space="0"/>
          <w:vertAlign w:val="baseline"/>
        </w:rPr>
        <w:t>六、有适应业务范围需要的组织机构和人员，法定代表人及主要生产、经营负责人必须取得省级新闻出版行政部门颁发的《印刷法规培训合格证书》；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设定依据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color w:val="4A4A4A"/>
          <w:bdr w:val="none" w:color="auto" w:sz="0" w:space="0"/>
          <w:vertAlign w:val="baseline"/>
        </w:rPr>
        <w:t>《印刷业管理条例》（2001年8月2日国务院令第315号，2016年2月6日予以修改）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w:t>
      </w:r>
      <w:r>
        <w:rPr>
          <w:color w:val="4A4A4A"/>
          <w:bdr w:val="none" w:color="auto" w:sz="0" w:space="0"/>
          <w:vertAlign w:val="baseline"/>
        </w:rPr>
        <w:br w:type="textWrapping"/>
      </w:r>
      <w:r>
        <w:rPr>
          <w:color w:val="4A4A4A"/>
          <w:bdr w:val="none" w:color="auto" w:sz="0" w:space="0"/>
          <w:vertAlign w:val="baseline"/>
        </w:rPr>
        <w:t>第十二条：印刷业经营者申请兼营或者变更从事出版物、包装装潢印刷品或者其他印刷品印刷经营活动，或者兼并其他印刷业经营者，或者因合并、分立而设立新的印刷业经营者，应当依照本条例第十条的规定办理手续。</w:t>
      </w:r>
      <w:r>
        <w:rPr>
          <w:color w:val="4A4A4A"/>
          <w:bdr w:val="none" w:color="auto" w:sz="0" w:space="0"/>
          <w:vertAlign w:val="baseline"/>
        </w:rPr>
        <w:br w:type="textWrapping"/>
      </w:r>
      <w:r>
        <w:rPr>
          <w:color w:val="4A4A4A"/>
          <w:bdr w:val="none" w:color="auto" w:sz="0" w:space="0"/>
          <w:vertAlign w:val="baseline"/>
        </w:rPr>
        <w:t>《出版管理条例》（2001年10月25日国务院令第343号，2016年2月6日予以修改）第三十条：从事出版物印刷或者复制业务的单位，应当向所在地省、自治区、直辖市人民政府出版行政部门提出申请，经审核许可，并依照国家有关规定到工商行政管理部门办理相关手续后，方可从事出版物的印刷或者复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r>
        <w:rPr>
          <w:rFonts w:ascii="宋体" w:hAnsi="宋体" w:eastAsia="宋体" w:cs="宋体"/>
          <w:color w:val="2850A0"/>
          <w:kern w:val="0"/>
          <w:sz w:val="21"/>
          <w:szCs w:val="21"/>
          <w:u w:val="none"/>
          <w:bdr w:val="none" w:color="auto" w:sz="0" w:space="0"/>
          <w:shd w:val="clear" w:fill="F1F2F3"/>
          <w:vertAlign w:val="baseline"/>
          <w:lang w:val="en-US" w:eastAsia="zh-CN" w:bidi="ar"/>
        </w:rPr>
        <w:fldChar w:fldCharType="begin"/>
      </w:r>
      <w:r>
        <w:rPr>
          <w:rFonts w:ascii="宋体" w:hAnsi="宋体" w:eastAsia="宋体" w:cs="宋体"/>
          <w:color w:val="2850A0"/>
          <w:kern w:val="0"/>
          <w:sz w:val="21"/>
          <w:szCs w:val="21"/>
          <w:u w:val="none"/>
          <w:bdr w:val="none" w:color="auto" w:sz="0" w:space="0"/>
          <w:shd w:val="clear" w:fill="F1F2F3"/>
          <w:vertAlign w:val="baseline"/>
          <w:lang w:val="en-US" w:eastAsia="zh-CN" w:bidi="ar"/>
        </w:rPr>
        <w:instrText xml:space="preserve"> HYPERLINK "javascript:void(0);" </w:instrText>
      </w:r>
      <w:r>
        <w:rPr>
          <w:rFonts w:ascii="宋体" w:hAnsi="宋体" w:eastAsia="宋体" w:cs="宋体"/>
          <w:color w:val="2850A0"/>
          <w:kern w:val="0"/>
          <w:sz w:val="21"/>
          <w:szCs w:val="21"/>
          <w:u w:val="none"/>
          <w:bdr w:val="none" w:color="auto" w:sz="0" w:space="0"/>
          <w:shd w:val="clear" w:fill="F1F2F3"/>
          <w:vertAlign w:val="baseline"/>
          <w:lang w:val="en-US" w:eastAsia="zh-CN" w:bidi="ar"/>
        </w:rPr>
        <w:fldChar w:fldCharType="separate"/>
      </w:r>
      <w:r>
        <w:rPr>
          <w:rStyle w:val="8"/>
          <w:rFonts w:ascii="宋体" w:hAnsi="宋体" w:eastAsia="宋体" w:cs="宋体"/>
          <w:color w:val="2850A0"/>
          <w:sz w:val="21"/>
          <w:szCs w:val="21"/>
          <w:u w:val="none"/>
          <w:bdr w:val="none" w:color="auto" w:sz="0" w:space="0"/>
          <w:shd w:val="clear" w:fill="F1F2F3"/>
          <w:vertAlign w:val="baseline"/>
        </w:rPr>
        <w:t>收起</w:t>
      </w:r>
      <w:r>
        <w:rPr>
          <w:rFonts w:ascii="宋体" w:hAnsi="宋体" w:eastAsia="宋体" w:cs="宋体"/>
          <w:color w:val="2850A0"/>
          <w:kern w:val="0"/>
          <w:sz w:val="21"/>
          <w:szCs w:val="21"/>
          <w:u w:val="none"/>
          <w:bdr w:val="none" w:color="auto" w:sz="0" w:space="0"/>
          <w:shd w:val="clear" w:fill="F1F2F3"/>
          <w:vertAlign w:val="baseline"/>
          <w:lang w:val="en-US" w:eastAsia="zh-CN" w:bidi="ar"/>
        </w:rPr>
        <w:fldChar w:fldCharType="end"/>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申请材料</w:t>
      </w:r>
    </w:p>
    <w:tbl>
      <w:tblPr>
        <w:tblW w:w="1112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85"/>
        <w:gridCol w:w="2700"/>
        <w:gridCol w:w="1401"/>
        <w:gridCol w:w="1401"/>
        <w:gridCol w:w="1172"/>
        <w:gridCol w:w="949"/>
        <w:gridCol w:w="3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序号</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来源渠道说明</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材料必要性</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收取方式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企业章程修正案</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2</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河南省印刷企业变更申请表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原件:1</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复印件:0</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3</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营业执照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市场监管部门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bl>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收费信息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PingFang SC" w:hAnsi="PingFang SC" w:eastAsia="PingFang SC" w:cs="PingFang SC"/>
        </w:rPr>
      </w:pPr>
      <w:r>
        <w:rPr>
          <w:rFonts w:hint="default" w:ascii="PingFang SC" w:hAnsi="PingFang SC" w:eastAsia="PingFang SC" w:cs="PingFang SC"/>
          <w:bdr w:val="none" w:color="auto" w:sz="0" w:space="0"/>
          <w:vertAlign w:val="baseline"/>
        </w:rPr>
        <w:t>不收费</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办理流程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"https://uploadmatter.hnzwfw.gov.cn/fileserver/download.jsp?filePath=/group1/M00/35/5D/rBQCQmKoRReAM5aCAAEF67V_50Q248.jpg"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流程图预览</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1</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收件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即时收件审批人: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材料齐全符合法定形式的出具《收件通知单》；材料不齐全或不符合法定形式的出具《一次性告知单》</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申请人通过窗口或河南省政务服务网进行事项申请，提交申请材料，并对其申请材料实质内容的真实性负责。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2</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即时受理审批人: 出版和版权科</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能当场受理或通过当场补正达到受理条件的，直接进入受理步骤；初步审核后材料不符合要求的不予以受理。提出初步意见，转入决定步骤</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受理单位对申报材料及内容进行审核，需补正材料的，需通知申请人一次性补正补充材料；材料完整的，做出是否受理决定。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3</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即时决定审批人: 市新闻出版局</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申请符合规定的，准予审批通过；申请不符合规定的，不予审批通过</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承办科室（处室）审查完成后，实施部门在承诺时限内作出是否同意申请事项的决定。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4</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当场送达审批人: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窗口领取、代理人领取、委托送达、公告送达、邮寄送达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实施部门作出决定后，在规定时限内将办理结果送达申请人。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审批结果</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585"/>
        <w:gridCol w:w="2001"/>
        <w:gridCol w:w="2010"/>
        <w:gridCol w:w="2001"/>
        <w:gridCol w:w="1152"/>
        <w:gridCol w:w="4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序列</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结果样本</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结果获取方式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领取说明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印刷经营许可证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"https://uploadmatter.hnzwfw.gov.cn/fileserver/download.jsp?filePath=/group1/M00/16/10/rBQCQl9XOymAefVKAC95SnFo3DE509.jpg"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印刷经营许可证</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窗口领取、邮寄</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证照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不能代领，不能邮递、无指定快递。</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PingFang SC">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4A5172"/>
    <w:multiLevelType w:val="multilevel"/>
    <w:tmpl w:val="9D4A517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MWM1ZWRkZjgyYzMzZWFlOGM4ZGZhYjM1M2Y5NmMifQ=="/>
  </w:docVars>
  <w:rsids>
    <w:rsidRoot w:val="00000000"/>
    <w:rsid w:val="1E3B3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2024-01-10T10:00:00Z</dcterms:created>
  <dc:creator>Administrator</dc:creator>
  <cp:lastModifiedBy>默默</cp:lastModifiedBy>
  <dcterms:modified xsi:type="dcterms:W3CDTF">2024-01-10T10:01:24Z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49132D18F4BE446E921D74AD57692038_12</vt:lpwstr>
  </property>
</Properties>
</file>