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非公司企业法人开业登记 </w:t>
      </w:r>
      <w:r>
        <w:rPr>
          <w:rFonts w:hint="eastAsia"/>
          <w:u w:val="single"/>
          <w:lang w:val="en-US" w:eastAsia="zh-CN"/>
        </w:rPr>
        <w:t xml:space="preserve">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住所使用证明  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  <w:bookmarkStart w:id="6" w:name="bookmark5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市场监管总局关于印发〈企业登记申请文书规范〉〈企业登记提交材料规范〉的通知》 国市监注〔</w:t>
      </w:r>
      <w:bookmarkStart w:id="18" w:name="_GoBack"/>
      <w:bookmarkEnd w:id="18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2019〕2号二、非公司企业登记提交材料规范(一) 非公司企业开业登记提交材料规范〔11〕非公司企业法人开业登记提交材料规范  6.住所使用证明。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textWrapping"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20" w:firstLineChar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7" w:name="bookmark59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住所使用证明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F5531"/>
    <w:rsid w:val="1DC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2021-07-29T09:27:00Z</dcterms:created>
  <dc:creator>追寻风向标的风</dc:creator>
  <cp:lastModifiedBy>追寻风向标的风</cp:lastModifiedBy>
  <dcterms:modified xsi:type="dcterms:W3CDTF">2021-07-29T09:33:21Z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466601750B5041328BD5CCEF892C5A08</vt:lpwstr>
  </property>
</Properties>
</file>