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kern w:val="0"/>
          <w:sz w:val="32"/>
          <w:szCs w:val="32"/>
        </w:rPr>
      </w:pPr>
      <w:r>
        <w:rPr>
          <w:rFonts w:hint="eastAsia" w:ascii="黑体" w:hAnsi="黑体" w:eastAsia="黑体"/>
          <w:kern w:val="0"/>
          <w:sz w:val="32"/>
          <w:szCs w:val="32"/>
        </w:rPr>
        <w:t>附件2</w:t>
      </w:r>
    </w:p>
    <w:p>
      <w:pPr>
        <w:autoSpaceDN w:val="0"/>
        <w:spacing w:line="700" w:lineRule="exact"/>
        <w:jc w:val="center"/>
        <w:textAlignment w:val="center"/>
        <w:rPr>
          <w:rFonts w:ascii="方正小标宋简体" w:hAnsi="方正小标宋简体" w:eastAsia="方正小标宋简体" w:cs="方正小标宋简体"/>
          <w:sz w:val="44"/>
          <w:szCs w:val="44"/>
        </w:rPr>
      </w:pPr>
      <w:r>
        <w:rPr>
          <w:rFonts w:hint="eastAsia" w:ascii="方正小标宋_GBK" w:hAnsi="方正小标宋_GBK" w:eastAsia="方正小标宋_GBK" w:cs="方正小标宋_GBK"/>
          <w:sz w:val="44"/>
          <w:szCs w:val="44"/>
        </w:rPr>
        <w:t>内乡县发展和改革委员会调整的权责清单</w:t>
      </w:r>
    </w:p>
    <w:p>
      <w:pPr>
        <w:widowControl/>
        <w:textAlignment w:val="center"/>
        <w:rPr>
          <w:rFonts w:ascii="黑体" w:hAnsi="黑体" w:eastAsia="黑体"/>
          <w:kern w:val="0"/>
          <w:sz w:val="24"/>
        </w:rPr>
      </w:pPr>
    </w:p>
    <w:tbl>
      <w:tblPr>
        <w:tblStyle w:val="8"/>
        <w:tblW w:w="14650" w:type="dxa"/>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812"/>
        <w:gridCol w:w="7306"/>
        <w:gridCol w:w="750"/>
        <w:gridCol w:w="13"/>
        <w:gridCol w:w="737"/>
        <w:gridCol w:w="13"/>
        <w:gridCol w:w="2349"/>
        <w:gridCol w:w="16"/>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tblHeader/>
        </w:trPr>
        <w:tc>
          <w:tcPr>
            <w:tcW w:w="544"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812"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w:t>
            </w:r>
          </w:p>
          <w:p>
            <w:pPr>
              <w:widowControl/>
              <w:jc w:val="center"/>
              <w:textAlignment w:val="center"/>
              <w:rPr>
                <w:rFonts w:ascii="黑体" w:hAnsi="黑体" w:eastAsia="黑体"/>
                <w:kern w:val="0"/>
                <w:sz w:val="24"/>
              </w:rPr>
            </w:pPr>
            <w:r>
              <w:rPr>
                <w:rFonts w:hint="eastAsia" w:ascii="黑体" w:hAnsi="黑体" w:eastAsia="黑体"/>
                <w:kern w:val="0"/>
                <w:sz w:val="24"/>
              </w:rPr>
              <w:t>名称</w:t>
            </w:r>
          </w:p>
        </w:tc>
        <w:tc>
          <w:tcPr>
            <w:tcW w:w="7306"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750" w:type="dxa"/>
            <w:gridSpan w:val="2"/>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办理环节</w:t>
            </w:r>
          </w:p>
        </w:tc>
        <w:tc>
          <w:tcPr>
            <w:tcW w:w="2378" w:type="dxa"/>
            <w:gridSpan w:val="3"/>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211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w:t>
            </w:r>
          </w:p>
          <w:p>
            <w:pPr>
              <w:widowControl/>
              <w:jc w:val="center"/>
              <w:textAlignment w:val="center"/>
              <w:rPr>
                <w:rFonts w:ascii="黑体" w:hAnsi="黑体" w:eastAsia="黑体"/>
                <w:kern w:val="0"/>
                <w:sz w:val="24"/>
              </w:rPr>
            </w:pPr>
            <w:r>
              <w:rPr>
                <w:rFonts w:hint="eastAsia" w:ascii="黑体" w:hAnsi="黑体" w:eastAsia="黑体"/>
                <w:kern w:val="0"/>
                <w:sz w:val="24"/>
              </w:rPr>
              <w:t>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3" w:hRule="atLeast"/>
        </w:trPr>
        <w:tc>
          <w:tcPr>
            <w:tcW w:w="544" w:type="dxa"/>
            <w:vMerge w:val="restart"/>
            <w:vAlign w:val="center"/>
          </w:tcPr>
          <w:p>
            <w:pPr>
              <w:widowControl/>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w:t>
            </w:r>
          </w:p>
        </w:tc>
        <w:tc>
          <w:tcPr>
            <w:tcW w:w="812" w:type="dxa"/>
            <w:vMerge w:val="restart"/>
            <w:vAlign w:val="center"/>
          </w:tcPr>
          <w:p>
            <w:pPr>
              <w:spacing w:line="24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《政府核准的投资项目目录（河南省）》确定的项目审核（核准）</w:t>
            </w:r>
          </w:p>
        </w:tc>
        <w:tc>
          <w:tcPr>
            <w:tcW w:w="7306" w:type="dxa"/>
            <w:vMerge w:val="restart"/>
            <w:vAlign w:val="center"/>
          </w:tcPr>
          <w:p>
            <w:pPr>
              <w:spacing w:line="24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企业投资项目核准和备案管理条例》（国务院令第673号）第三条：“对关系国家安全、涉及全国重大生产力布局、战略性资源开发和重大公共利益等项目，实行核准管理。具体项目范围以及核准机关、核准权限依照政府核准的投资项目目录执行。”</w:t>
            </w:r>
          </w:p>
          <w:p>
            <w:pPr>
              <w:spacing w:line="24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企业投资项目核准和备案管理办法》（国家发展改革委令2017年第2号）第三条：“县级以上人民政府投资主管部门对投资项目履行综合管理职责。”第五条第一款：“实行核准管理的具体项目范围以及核准机关、核准权限，由国务院颁布的《政府核准的投资项目目录》（以下简称《核准目录》）确定。”第七条：“依据本办法第五条第一款规定具有项目核准权限的行政机关统称项目核准机关。《核准目录》所称国务院投资主管部门是指国家发展和改革委员会；《核准目录》规定由省级政府、地方政府核准的项目，其具体项目核准机关由省级政府确定。项目核准机关对项目进行的核准是行政许可事项，实施行政许可所需经费应当由本级财政予以保障。”</w:t>
            </w:r>
          </w:p>
          <w:p>
            <w:pPr>
              <w:spacing w:line="24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《河南省人民政府办公厅关于发布政府核准的投资项目目录（河南省2017年本）的通知》（豫政办〔2017〕56号）规定部分项目由省政府投资主管部门核准。</w:t>
            </w:r>
          </w:p>
        </w:tc>
        <w:tc>
          <w:tcPr>
            <w:tcW w:w="750" w:type="dxa"/>
            <w:vMerge w:val="restart"/>
            <w:vAlign w:val="center"/>
          </w:tcPr>
          <w:p>
            <w:pPr>
              <w:spacing w:line="24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行政许可</w:t>
            </w:r>
          </w:p>
        </w:tc>
        <w:tc>
          <w:tcPr>
            <w:tcW w:w="750" w:type="dxa"/>
            <w:gridSpan w:val="2"/>
            <w:vAlign w:val="center"/>
          </w:tcPr>
          <w:p>
            <w:pPr>
              <w:widowControl/>
              <w:spacing w:line="24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受理</w:t>
            </w:r>
          </w:p>
        </w:tc>
        <w:tc>
          <w:tcPr>
            <w:tcW w:w="2378" w:type="dxa"/>
            <w:gridSpan w:val="3"/>
            <w:vAlign w:val="center"/>
          </w:tcPr>
          <w:p>
            <w:pPr>
              <w:widowControl/>
              <w:spacing w:line="24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1、受理相关资料</w:t>
            </w:r>
          </w:p>
        </w:tc>
        <w:tc>
          <w:tcPr>
            <w:tcW w:w="2110" w:type="dxa"/>
            <w:vAlign w:val="center"/>
          </w:tcPr>
          <w:p>
            <w:pPr>
              <w:spacing w:line="24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6" w:hRule="atLeast"/>
        </w:trPr>
        <w:tc>
          <w:tcPr>
            <w:tcW w:w="544" w:type="dxa"/>
            <w:vMerge w:val="continue"/>
            <w:vAlign w:val="center"/>
          </w:tcPr>
          <w:p>
            <w:pPr>
              <w:widowControl/>
              <w:textAlignment w:val="center"/>
              <w:rPr>
                <w:rFonts w:ascii="仿宋_GB2312" w:hAnsi="仿宋_GB2312" w:eastAsia="仿宋_GB2312" w:cs="仿宋_GB2312"/>
                <w:szCs w:val="21"/>
              </w:rPr>
            </w:pPr>
          </w:p>
        </w:tc>
        <w:tc>
          <w:tcPr>
            <w:tcW w:w="812" w:type="dxa"/>
            <w:vMerge w:val="continue"/>
            <w:vAlign w:val="center"/>
          </w:tcPr>
          <w:p>
            <w:pPr>
              <w:spacing w:line="240" w:lineRule="exact"/>
              <w:rPr>
                <w:rFonts w:ascii="仿宋_GB2312" w:hAnsi="仿宋_GB2312" w:eastAsia="仿宋_GB2312" w:cs="仿宋_GB2312"/>
                <w:szCs w:val="21"/>
              </w:rPr>
            </w:pPr>
          </w:p>
        </w:tc>
        <w:tc>
          <w:tcPr>
            <w:tcW w:w="7306" w:type="dxa"/>
            <w:vMerge w:val="continue"/>
            <w:vAlign w:val="center"/>
          </w:tcPr>
          <w:p>
            <w:pPr>
              <w:spacing w:line="240" w:lineRule="exact"/>
              <w:rPr>
                <w:rFonts w:ascii="仿宋_GB2312" w:hAnsi="仿宋_GB2312" w:eastAsia="仿宋_GB2312" w:cs="仿宋_GB2312"/>
                <w:szCs w:val="21"/>
              </w:rPr>
            </w:pPr>
          </w:p>
        </w:tc>
        <w:tc>
          <w:tcPr>
            <w:tcW w:w="750" w:type="dxa"/>
            <w:vMerge w:val="continue"/>
            <w:vAlign w:val="center"/>
          </w:tcPr>
          <w:p>
            <w:pPr>
              <w:spacing w:line="240" w:lineRule="exact"/>
              <w:jc w:val="center"/>
              <w:rPr>
                <w:rFonts w:ascii="仿宋_GB2312" w:hAnsi="仿宋_GB2312" w:eastAsia="仿宋_GB2312" w:cs="仿宋_GB2312"/>
                <w:szCs w:val="21"/>
              </w:rPr>
            </w:pPr>
          </w:p>
        </w:tc>
        <w:tc>
          <w:tcPr>
            <w:tcW w:w="750" w:type="dxa"/>
            <w:gridSpan w:val="2"/>
            <w:vAlign w:val="center"/>
          </w:tcPr>
          <w:p>
            <w:pPr>
              <w:widowControl/>
              <w:spacing w:line="24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审核</w:t>
            </w:r>
          </w:p>
        </w:tc>
        <w:tc>
          <w:tcPr>
            <w:tcW w:w="2378" w:type="dxa"/>
            <w:gridSpan w:val="3"/>
            <w:vAlign w:val="center"/>
          </w:tcPr>
          <w:p>
            <w:pPr>
              <w:widowControl/>
              <w:spacing w:line="24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2、审查责任：对项目是否符合产业政策、项目申请报告、土地预审批复、规划许可进行审查，必要时召开评审会，对合规性审核。</w:t>
            </w:r>
          </w:p>
        </w:tc>
        <w:tc>
          <w:tcPr>
            <w:tcW w:w="2110" w:type="dxa"/>
            <w:vAlign w:val="center"/>
          </w:tcPr>
          <w:p>
            <w:pPr>
              <w:spacing w:line="24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业务审查：投资股、社会股、城乡建设股、农业股、工业股等</w:t>
            </w:r>
          </w:p>
          <w:p>
            <w:pPr>
              <w:spacing w:line="240" w:lineRule="exact"/>
              <w:jc w:val="left"/>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9"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812" w:type="dxa"/>
            <w:vMerge w:val="continue"/>
            <w:vAlign w:val="center"/>
          </w:tcPr>
          <w:p>
            <w:pPr>
              <w:spacing w:line="240" w:lineRule="exact"/>
              <w:rPr>
                <w:rFonts w:ascii="仿宋_GB2312" w:hAnsi="仿宋_GB2312" w:eastAsia="仿宋_GB2312" w:cs="仿宋_GB2312"/>
                <w:kern w:val="0"/>
                <w:szCs w:val="21"/>
              </w:rPr>
            </w:pPr>
          </w:p>
        </w:tc>
        <w:tc>
          <w:tcPr>
            <w:tcW w:w="7306" w:type="dxa"/>
            <w:vMerge w:val="continue"/>
            <w:vAlign w:val="center"/>
          </w:tcPr>
          <w:p>
            <w:pPr>
              <w:spacing w:line="240" w:lineRule="exact"/>
              <w:rPr>
                <w:rFonts w:ascii="仿宋_GB2312" w:hAnsi="仿宋_GB2312" w:eastAsia="仿宋_GB2312" w:cs="仿宋_GB2312"/>
                <w:kern w:val="0"/>
                <w:szCs w:val="21"/>
              </w:rPr>
            </w:pPr>
          </w:p>
        </w:tc>
        <w:tc>
          <w:tcPr>
            <w:tcW w:w="750" w:type="dxa"/>
            <w:vMerge w:val="continue"/>
            <w:vAlign w:val="center"/>
          </w:tcPr>
          <w:p>
            <w:pPr>
              <w:spacing w:line="240" w:lineRule="exact"/>
              <w:jc w:val="center"/>
              <w:rPr>
                <w:rFonts w:ascii="仿宋_GB2312" w:hAnsi="仿宋_GB2312" w:eastAsia="仿宋_GB2312" w:cs="仿宋_GB2312"/>
                <w:kern w:val="0"/>
                <w:szCs w:val="21"/>
              </w:rPr>
            </w:pPr>
          </w:p>
        </w:tc>
        <w:tc>
          <w:tcPr>
            <w:tcW w:w="750" w:type="dxa"/>
            <w:gridSpan w:val="2"/>
            <w:vAlign w:val="center"/>
          </w:tcPr>
          <w:p>
            <w:pPr>
              <w:spacing w:line="24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办结</w:t>
            </w:r>
          </w:p>
        </w:tc>
        <w:tc>
          <w:tcPr>
            <w:tcW w:w="2378" w:type="dxa"/>
            <w:gridSpan w:val="3"/>
            <w:vAlign w:val="center"/>
          </w:tcPr>
          <w:p>
            <w:pPr>
              <w:spacing w:line="24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3、办结责任：行政许可在1日内办结。</w:t>
            </w:r>
          </w:p>
        </w:tc>
        <w:tc>
          <w:tcPr>
            <w:tcW w:w="2110" w:type="dxa"/>
            <w:vAlign w:val="center"/>
          </w:tcPr>
          <w:p>
            <w:pPr>
              <w:spacing w:line="24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14106" w:type="dxa"/>
            <w:gridSpan w:val="9"/>
            <w:vAlign w:val="center"/>
          </w:tcPr>
          <w:p>
            <w:pPr>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调整情况：整合原来单列的审批事项，优化权责目录；取消决定办理环节。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14106" w:type="dxa"/>
            <w:gridSpan w:val="9"/>
            <w:vAlign w:val="center"/>
          </w:tcPr>
          <w:p>
            <w:pPr>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调整原因：参照市发改委优化权责清单，根据“三集中三到位”工作要求，审批环节由4个环节调整为3个。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restart"/>
            <w:vAlign w:val="center"/>
          </w:tcPr>
          <w:p>
            <w:pPr>
              <w:widowControl/>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2</w:t>
            </w:r>
          </w:p>
        </w:tc>
        <w:tc>
          <w:tcPr>
            <w:tcW w:w="812" w:type="dxa"/>
            <w:vMerge w:val="restart"/>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政府投资项目审核（批）</w:t>
            </w:r>
          </w:p>
          <w:p>
            <w:pPr>
              <w:spacing w:line="300" w:lineRule="exact"/>
              <w:jc w:val="left"/>
              <w:rPr>
                <w:rFonts w:ascii="仿宋_GB2312" w:hAnsi="仿宋_GB2312" w:eastAsia="仿宋_GB2312" w:cs="仿宋_GB2312"/>
                <w:szCs w:val="21"/>
                <w:shd w:val="clear" w:color="070000" w:fill="FFFFFF"/>
              </w:rPr>
            </w:pPr>
          </w:p>
        </w:tc>
        <w:tc>
          <w:tcPr>
            <w:tcW w:w="7306" w:type="dxa"/>
            <w:vMerge w:val="restart"/>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政府投资条例》（国务院令第712号）第九条第一款：“政府采取直接投资方式、资本金注入方式投资的项目（以下统称政府投资项目），项目单位应当编制项目建议书、可行性研究报告、初步设计，按照政府投资管理权限和规定的程序，报投资主管部门或者其他有关部门审批。”</w:t>
            </w:r>
          </w:p>
          <w:p>
            <w:pPr>
              <w:spacing w:line="300" w:lineRule="exact"/>
              <w:rPr>
                <w:rFonts w:ascii="仿宋_GB2312" w:hAnsi="仿宋_GB2312" w:eastAsia="仿宋_GB2312" w:cs="仿宋_GB2312"/>
                <w:szCs w:val="21"/>
                <w:shd w:val="clear" w:color="070000" w:fill="FFFFFF"/>
              </w:rPr>
            </w:pPr>
          </w:p>
        </w:tc>
        <w:tc>
          <w:tcPr>
            <w:tcW w:w="750" w:type="dxa"/>
            <w:vMerge w:val="restart"/>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其他职权</w:t>
            </w:r>
          </w:p>
          <w:p>
            <w:pPr>
              <w:spacing w:line="300" w:lineRule="exact"/>
              <w:jc w:val="center"/>
              <w:rPr>
                <w:rFonts w:ascii="仿宋_GB2312" w:hAnsi="仿宋_GB2312" w:eastAsia="仿宋_GB2312" w:cs="仿宋_GB2312"/>
                <w:szCs w:val="21"/>
                <w:shd w:val="clear" w:color="070000" w:fill="FFFFFF"/>
              </w:rPr>
            </w:pPr>
          </w:p>
        </w:tc>
        <w:tc>
          <w:tcPr>
            <w:tcW w:w="750" w:type="dxa"/>
            <w:gridSpan w:val="2"/>
            <w:vAlign w:val="center"/>
          </w:tcPr>
          <w:p>
            <w:pPr>
              <w:pStyle w:val="10"/>
              <w:spacing w:beforeAutospacing="0" w:afterAutospacing="0" w:line="300" w:lineRule="exact"/>
              <w:jc w:val="center"/>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受理</w:t>
            </w:r>
          </w:p>
        </w:tc>
        <w:tc>
          <w:tcPr>
            <w:tcW w:w="2378" w:type="dxa"/>
            <w:gridSpan w:val="3"/>
            <w:vAlign w:val="center"/>
          </w:tcPr>
          <w:p>
            <w:pPr>
              <w:pStyle w:val="10"/>
              <w:spacing w:beforeAutospacing="0" w:afterAutospacing="0" w:line="300" w:lineRule="exact"/>
              <w:jc w:val="both"/>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1.依法依规对法人资料进行梳理，要件不全或不符要求的要求补正，并结合行业发展规划，做出受理或不予受理的决定。</w:t>
            </w:r>
          </w:p>
        </w:tc>
        <w:tc>
          <w:tcPr>
            <w:tcW w:w="2110" w:type="dxa"/>
            <w:vMerge w:val="restart"/>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政府投资条例》（2019年4月国务院令第712号）：第三十二条：“有下列情形之一的，责令改正，对负有责任的领导人员和直接责任人员依法给予处分：（一）超越审批权限审批政府投资项目；（二）对不符合规定的政府投资项目予以批准；（三）未按照规定核定或者调整政府投资项目的投资概算；（四）为不符合规定的项目安排投资补助、贷款贴息等政府投资资金；（五）履行政府投资管理职责中其他玩忽职守、滥用职权、徇私舞弊的情形。”</w:t>
            </w:r>
          </w:p>
          <w:p>
            <w:pPr>
              <w:pStyle w:val="2"/>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pStyle w:val="2"/>
              <w:rPr>
                <w:rFonts w:ascii="仿宋_GB2312" w:hAnsi="仿宋_GB2312" w:eastAsia="仿宋_GB2312" w:cs="仿宋_GB2312"/>
                <w:spacing w:val="-11"/>
                <w:szCs w:val="21"/>
                <w:shd w:val="clear" w:color="070000" w:fill="FFFFFF"/>
              </w:rPr>
            </w:pPr>
          </w:p>
          <w:p>
            <w:pPr/>
          </w:p>
          <w:p>
            <w:pPr>
              <w:widowControl/>
              <w:spacing w:line="300" w:lineRule="exact"/>
              <w:rPr>
                <w:rFonts w:ascii="仿宋_GB2312" w:hAnsi="仿宋_GB2312" w:eastAsia="仿宋_GB2312" w:cs="仿宋_GB2312"/>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812"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7306"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750" w:type="dxa"/>
            <w:vMerge w:val="continue"/>
            <w:vAlign w:val="center"/>
          </w:tcPr>
          <w:p>
            <w:pPr>
              <w:spacing w:line="300" w:lineRule="exact"/>
              <w:jc w:val="center"/>
              <w:rPr>
                <w:rFonts w:ascii="仿宋_GB2312" w:hAnsi="仿宋_GB2312" w:eastAsia="仿宋_GB2312" w:cs="仿宋_GB2312"/>
                <w:szCs w:val="21"/>
                <w:shd w:val="clear" w:color="070000" w:fill="FFFFFF"/>
              </w:rPr>
            </w:pPr>
          </w:p>
        </w:tc>
        <w:tc>
          <w:tcPr>
            <w:tcW w:w="750" w:type="dxa"/>
            <w:gridSpan w:val="2"/>
            <w:vAlign w:val="center"/>
          </w:tcPr>
          <w:p>
            <w:pPr>
              <w:pStyle w:val="10"/>
              <w:widowControl/>
              <w:spacing w:beforeAutospacing="0" w:afterAutospacing="0" w:line="300" w:lineRule="exact"/>
              <w:jc w:val="center"/>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审查</w:t>
            </w:r>
          </w:p>
        </w:tc>
        <w:tc>
          <w:tcPr>
            <w:tcW w:w="2378" w:type="dxa"/>
            <w:gridSpan w:val="3"/>
            <w:vAlign w:val="center"/>
          </w:tcPr>
          <w:p>
            <w:pPr>
              <w:pStyle w:val="10"/>
              <w:widowControl/>
              <w:spacing w:beforeAutospacing="0" w:afterAutospacing="0" w:line="300" w:lineRule="exact"/>
              <w:jc w:val="both"/>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2.通过书面审查、实地核查、专家评审等方式进行审查。对合规性审核。</w:t>
            </w:r>
          </w:p>
        </w:tc>
        <w:tc>
          <w:tcPr>
            <w:tcW w:w="2110" w:type="dxa"/>
            <w:vMerge w:val="continue"/>
            <w:vAlign w:val="center"/>
          </w:tcPr>
          <w:p>
            <w:pPr>
              <w:widowControl/>
              <w:spacing w:line="300" w:lineRule="exact"/>
              <w:rPr>
                <w:rFonts w:ascii="仿宋_GB2312" w:hAnsi="仿宋_GB2312" w:eastAsia="仿宋_GB2312" w:cs="仿宋_GB2312"/>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8"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812"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7306"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750" w:type="dxa"/>
            <w:vMerge w:val="continue"/>
            <w:vAlign w:val="center"/>
          </w:tcPr>
          <w:p>
            <w:pPr>
              <w:spacing w:line="300" w:lineRule="exact"/>
              <w:jc w:val="center"/>
              <w:rPr>
                <w:rFonts w:ascii="仿宋_GB2312" w:hAnsi="仿宋_GB2312" w:eastAsia="仿宋_GB2312" w:cs="仿宋_GB2312"/>
                <w:szCs w:val="21"/>
                <w:shd w:val="clear" w:color="070000" w:fill="FFFFFF"/>
              </w:rPr>
            </w:pPr>
          </w:p>
        </w:tc>
        <w:tc>
          <w:tcPr>
            <w:tcW w:w="750" w:type="dxa"/>
            <w:gridSpan w:val="2"/>
            <w:vAlign w:val="center"/>
          </w:tcPr>
          <w:p>
            <w:pPr>
              <w:pStyle w:val="10"/>
              <w:widowControl/>
              <w:spacing w:beforeAutospacing="0" w:afterAutospacing="0" w:line="300" w:lineRule="exact"/>
              <w:jc w:val="center"/>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制发文件</w:t>
            </w:r>
          </w:p>
        </w:tc>
        <w:tc>
          <w:tcPr>
            <w:tcW w:w="2378" w:type="dxa"/>
            <w:gridSpan w:val="3"/>
            <w:vAlign w:val="center"/>
          </w:tcPr>
          <w:p>
            <w:pPr>
              <w:pStyle w:val="10"/>
              <w:widowControl/>
              <w:spacing w:beforeAutospacing="0" w:afterAutospacing="0" w:line="300" w:lineRule="exact"/>
              <w:jc w:val="both"/>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3.制发批准文书，可以公开的依法予以公开。</w:t>
            </w:r>
          </w:p>
        </w:tc>
        <w:tc>
          <w:tcPr>
            <w:tcW w:w="2110" w:type="dxa"/>
            <w:vMerge w:val="continue"/>
            <w:vAlign w:val="center"/>
          </w:tcPr>
          <w:p>
            <w:pPr>
              <w:spacing w:line="300" w:lineRule="exact"/>
              <w:rPr>
                <w:rFonts w:ascii="仿宋_GB2312" w:hAnsi="仿宋_GB2312" w:eastAsia="仿宋_GB2312" w:cs="仿宋_GB2312"/>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14106" w:type="dxa"/>
            <w:gridSpan w:val="9"/>
            <w:vAlign w:val="center"/>
          </w:tcPr>
          <w:p>
            <w:pPr>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调整情况：整合原来单列的审批事项，优化权责目录。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14106" w:type="dxa"/>
            <w:gridSpan w:val="9"/>
            <w:vAlign w:val="center"/>
          </w:tcPr>
          <w:p>
            <w:pPr>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调整原因：参照市发改委优化权责清单。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restart"/>
            <w:vAlign w:val="center"/>
          </w:tcPr>
          <w:p>
            <w:pPr>
              <w:widowControl/>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w:t>
            </w:r>
          </w:p>
        </w:tc>
        <w:tc>
          <w:tcPr>
            <w:tcW w:w="812" w:type="dxa"/>
            <w:vMerge w:val="restart"/>
            <w:vAlign w:val="center"/>
          </w:tcPr>
          <w:p>
            <w:pPr>
              <w:jc w:val="right"/>
              <w:rPr>
                <w:rFonts w:ascii="仿宋_GB2312" w:hAnsi="仿宋_GB2312" w:eastAsia="仿宋_GB2312" w:cs="仿宋_GB2312"/>
                <w:szCs w:val="21"/>
                <w:shd w:val="clear" w:color="070000" w:fill="FFFFFF"/>
              </w:rPr>
            </w:pPr>
          </w:p>
        </w:tc>
        <w:tc>
          <w:tcPr>
            <w:tcW w:w="7306" w:type="dxa"/>
            <w:vMerge w:val="restart"/>
            <w:vAlign w:val="center"/>
          </w:tcPr>
          <w:p>
            <w:pPr>
              <w:autoSpaceDN w:val="0"/>
              <w:spacing w:line="300" w:lineRule="exact"/>
              <w:jc w:val="left"/>
              <w:textAlignment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《中华人民共和国价格法》第二十条第二款“省、自治区、直辖市人民政府价格主管部门和其他有关部门，应当按照地方定价目录规定的定价权限和具体适用范围制定在本地区执行的政府指导价、政府定价。”</w:t>
            </w:r>
          </w:p>
          <w:p>
            <w:pPr>
              <w:autoSpaceDN w:val="0"/>
              <w:spacing w:line="30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《河南省定价目录》省政府审核同意、国家发展改革委审定，（豫发改价调〔2018〕530号）。</w:t>
            </w: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p>
            <w:pPr>
              <w:spacing w:line="300" w:lineRule="exact"/>
              <w:rPr>
                <w:rFonts w:ascii="仿宋_GB2312" w:hAnsi="仿宋_GB2312" w:eastAsia="仿宋_GB2312" w:cs="仿宋_GB2312"/>
                <w:spacing w:val="-11"/>
                <w:szCs w:val="21"/>
                <w:shd w:val="clear" w:color="070000" w:fill="FFFFFF"/>
              </w:rPr>
            </w:pPr>
          </w:p>
        </w:tc>
        <w:tc>
          <w:tcPr>
            <w:tcW w:w="763" w:type="dxa"/>
            <w:gridSpan w:val="2"/>
            <w:vMerge w:val="restart"/>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其他职权</w:t>
            </w:r>
          </w:p>
          <w:p>
            <w:pPr>
              <w:spacing w:line="300" w:lineRule="exact"/>
              <w:jc w:val="center"/>
              <w:rPr>
                <w:rFonts w:ascii="仿宋_GB2312" w:hAnsi="仿宋_GB2312" w:eastAsia="仿宋_GB2312" w:cs="仿宋_GB2312"/>
                <w:spacing w:val="-11"/>
                <w:szCs w:val="21"/>
                <w:shd w:val="clear" w:color="070000" w:fill="FFFFFF"/>
              </w:rPr>
            </w:pPr>
          </w:p>
        </w:tc>
        <w:tc>
          <w:tcPr>
            <w:tcW w:w="750" w:type="dxa"/>
            <w:gridSpan w:val="2"/>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受理</w:t>
            </w:r>
          </w:p>
        </w:tc>
        <w:tc>
          <w:tcPr>
            <w:tcW w:w="2349"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申报项目资料是否齐全</w:t>
            </w:r>
          </w:p>
        </w:tc>
        <w:tc>
          <w:tcPr>
            <w:tcW w:w="2126" w:type="dxa"/>
            <w:gridSpan w:val="2"/>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812" w:type="dxa"/>
            <w:vMerge w:val="continue"/>
            <w:vAlign w:val="center"/>
          </w:tcPr>
          <w:p>
            <w:pPr>
              <w:rPr>
                <w:rFonts w:ascii="仿宋_GB2312" w:hAnsi="仿宋_GB2312" w:eastAsia="仿宋_GB2312" w:cs="仿宋_GB2312"/>
                <w:szCs w:val="21"/>
                <w:shd w:val="clear" w:color="070000" w:fill="FFFFFF"/>
              </w:rPr>
            </w:pPr>
          </w:p>
        </w:tc>
        <w:tc>
          <w:tcPr>
            <w:tcW w:w="7306" w:type="dxa"/>
            <w:vMerge w:val="continue"/>
            <w:vAlign w:val="center"/>
          </w:tcPr>
          <w:p>
            <w:pPr>
              <w:rPr>
                <w:rFonts w:ascii="仿宋_GB2312" w:hAnsi="仿宋_GB2312" w:eastAsia="仿宋_GB2312" w:cs="仿宋_GB2312"/>
                <w:szCs w:val="21"/>
                <w:shd w:val="clear" w:color="070000" w:fill="FFFFFF"/>
              </w:rPr>
            </w:pPr>
          </w:p>
        </w:tc>
        <w:tc>
          <w:tcPr>
            <w:tcW w:w="763" w:type="dxa"/>
            <w:gridSpan w:val="2"/>
            <w:vMerge w:val="continue"/>
            <w:vAlign w:val="center"/>
          </w:tcPr>
          <w:p>
            <w:pPr>
              <w:rPr>
                <w:rFonts w:ascii="仿宋_GB2312" w:hAnsi="仿宋_GB2312" w:eastAsia="仿宋_GB2312" w:cs="仿宋_GB2312"/>
                <w:szCs w:val="21"/>
                <w:shd w:val="clear" w:color="070000" w:fill="FFFFFF"/>
              </w:rPr>
            </w:pPr>
          </w:p>
        </w:tc>
        <w:tc>
          <w:tcPr>
            <w:tcW w:w="750" w:type="dxa"/>
            <w:gridSpan w:val="2"/>
            <w:vMerge w:val="restart"/>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审核</w:t>
            </w:r>
          </w:p>
        </w:tc>
        <w:tc>
          <w:tcPr>
            <w:tcW w:w="2349"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成本监审或成本调查</w:t>
            </w:r>
          </w:p>
        </w:tc>
        <w:tc>
          <w:tcPr>
            <w:tcW w:w="2126" w:type="dxa"/>
            <w:gridSpan w:val="2"/>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物价管理股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812" w:type="dxa"/>
            <w:vMerge w:val="continue"/>
            <w:vAlign w:val="center"/>
          </w:tcPr>
          <w:p>
            <w:pPr>
              <w:rPr>
                <w:rFonts w:ascii="仿宋_GB2312" w:hAnsi="仿宋_GB2312" w:eastAsia="仿宋_GB2312" w:cs="仿宋_GB2312"/>
                <w:szCs w:val="21"/>
                <w:shd w:val="clear" w:color="070000" w:fill="FFFFFF"/>
              </w:rPr>
            </w:pPr>
          </w:p>
        </w:tc>
        <w:tc>
          <w:tcPr>
            <w:tcW w:w="7306" w:type="dxa"/>
            <w:vMerge w:val="continue"/>
            <w:vAlign w:val="center"/>
          </w:tcPr>
          <w:p>
            <w:pPr>
              <w:rPr>
                <w:rFonts w:ascii="仿宋_GB2312" w:hAnsi="仿宋_GB2312" w:eastAsia="仿宋_GB2312" w:cs="仿宋_GB2312"/>
                <w:szCs w:val="21"/>
                <w:shd w:val="clear" w:color="070000" w:fill="FFFFFF"/>
              </w:rPr>
            </w:pPr>
          </w:p>
        </w:tc>
        <w:tc>
          <w:tcPr>
            <w:tcW w:w="763" w:type="dxa"/>
            <w:gridSpan w:val="2"/>
            <w:vMerge w:val="continue"/>
            <w:vAlign w:val="center"/>
          </w:tcPr>
          <w:p>
            <w:pPr>
              <w:rPr>
                <w:rFonts w:ascii="仿宋_GB2312" w:hAnsi="仿宋_GB2312" w:eastAsia="仿宋_GB2312" w:cs="仿宋_GB2312"/>
                <w:szCs w:val="21"/>
                <w:shd w:val="clear" w:color="070000" w:fill="FFFFFF"/>
              </w:rPr>
            </w:pPr>
          </w:p>
        </w:tc>
        <w:tc>
          <w:tcPr>
            <w:tcW w:w="750" w:type="dxa"/>
            <w:gridSpan w:val="2"/>
            <w:vMerge w:val="continue"/>
            <w:vAlign w:val="center"/>
          </w:tcPr>
          <w:p>
            <w:pPr>
              <w:rPr>
                <w:rFonts w:ascii="仿宋_GB2312" w:hAnsi="仿宋_GB2312" w:eastAsia="仿宋_GB2312" w:cs="仿宋_GB2312"/>
                <w:szCs w:val="21"/>
                <w:shd w:val="clear" w:color="070000" w:fill="FFFFFF"/>
              </w:rPr>
            </w:pPr>
          </w:p>
        </w:tc>
        <w:tc>
          <w:tcPr>
            <w:tcW w:w="2349"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价格调查、听取社会意见，形成制定价格方案和进行合法性审查等。</w:t>
            </w:r>
          </w:p>
        </w:tc>
        <w:tc>
          <w:tcPr>
            <w:tcW w:w="2126" w:type="dxa"/>
            <w:gridSpan w:val="2"/>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物价管理股</w:t>
            </w:r>
          </w:p>
          <w:p>
            <w:pPr>
              <w:spacing w:line="300" w:lineRule="exact"/>
              <w:jc w:val="center"/>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812" w:type="dxa"/>
            <w:vMerge w:val="continue"/>
            <w:vAlign w:val="center"/>
          </w:tcPr>
          <w:p>
            <w:pPr>
              <w:rPr>
                <w:rFonts w:ascii="仿宋_GB2312" w:hAnsi="仿宋_GB2312" w:eastAsia="仿宋_GB2312" w:cs="仿宋_GB2312"/>
                <w:szCs w:val="21"/>
                <w:shd w:val="clear" w:color="070000" w:fill="FFFFFF"/>
              </w:rPr>
            </w:pPr>
          </w:p>
        </w:tc>
        <w:tc>
          <w:tcPr>
            <w:tcW w:w="7306" w:type="dxa"/>
            <w:vMerge w:val="continue"/>
            <w:vAlign w:val="center"/>
          </w:tcPr>
          <w:p>
            <w:pPr>
              <w:rPr>
                <w:rFonts w:ascii="仿宋_GB2312" w:hAnsi="仿宋_GB2312" w:eastAsia="仿宋_GB2312" w:cs="仿宋_GB2312"/>
                <w:szCs w:val="21"/>
                <w:shd w:val="clear" w:color="070000" w:fill="FFFFFF"/>
              </w:rPr>
            </w:pPr>
          </w:p>
        </w:tc>
        <w:tc>
          <w:tcPr>
            <w:tcW w:w="763" w:type="dxa"/>
            <w:gridSpan w:val="2"/>
            <w:vMerge w:val="continue"/>
            <w:vAlign w:val="center"/>
          </w:tcPr>
          <w:p>
            <w:pPr>
              <w:rPr>
                <w:rFonts w:ascii="仿宋_GB2312" w:hAnsi="仿宋_GB2312" w:eastAsia="仿宋_GB2312" w:cs="仿宋_GB2312"/>
                <w:szCs w:val="21"/>
                <w:shd w:val="clear" w:color="070000" w:fill="FFFFFF"/>
              </w:rPr>
            </w:pPr>
          </w:p>
        </w:tc>
        <w:tc>
          <w:tcPr>
            <w:tcW w:w="750" w:type="dxa"/>
            <w:gridSpan w:val="2"/>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决定</w:t>
            </w:r>
          </w:p>
        </w:tc>
        <w:tc>
          <w:tcPr>
            <w:tcW w:w="2349" w:type="dxa"/>
            <w:vAlign w:val="center"/>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提请集体审议，由主管领导同意作出制定价格的决定。</w:t>
            </w:r>
          </w:p>
        </w:tc>
        <w:tc>
          <w:tcPr>
            <w:tcW w:w="2126" w:type="dxa"/>
            <w:gridSpan w:val="2"/>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812" w:type="dxa"/>
            <w:vMerge w:val="continue"/>
            <w:vAlign w:val="center"/>
          </w:tcPr>
          <w:p>
            <w:pPr>
              <w:rPr>
                <w:rFonts w:ascii="仿宋_GB2312" w:hAnsi="仿宋_GB2312" w:eastAsia="仿宋_GB2312" w:cs="仿宋_GB2312"/>
                <w:szCs w:val="21"/>
                <w:shd w:val="clear" w:color="070000" w:fill="FFFFFF"/>
              </w:rPr>
            </w:pPr>
          </w:p>
        </w:tc>
        <w:tc>
          <w:tcPr>
            <w:tcW w:w="7306" w:type="dxa"/>
            <w:vMerge w:val="continue"/>
            <w:vAlign w:val="center"/>
          </w:tcPr>
          <w:p>
            <w:pPr>
              <w:rPr>
                <w:rFonts w:ascii="仿宋_GB2312" w:hAnsi="仿宋_GB2312" w:eastAsia="仿宋_GB2312" w:cs="仿宋_GB2312"/>
                <w:szCs w:val="21"/>
                <w:shd w:val="clear" w:color="070000" w:fill="FFFFFF"/>
              </w:rPr>
            </w:pPr>
          </w:p>
        </w:tc>
        <w:tc>
          <w:tcPr>
            <w:tcW w:w="763" w:type="dxa"/>
            <w:gridSpan w:val="2"/>
            <w:vMerge w:val="continue"/>
            <w:vAlign w:val="center"/>
          </w:tcPr>
          <w:p>
            <w:pPr>
              <w:rPr>
                <w:rFonts w:ascii="仿宋_GB2312" w:hAnsi="仿宋_GB2312" w:eastAsia="仿宋_GB2312" w:cs="仿宋_GB2312"/>
                <w:szCs w:val="21"/>
                <w:shd w:val="clear" w:color="070000" w:fill="FFFFFF"/>
              </w:rPr>
            </w:pPr>
          </w:p>
        </w:tc>
        <w:tc>
          <w:tcPr>
            <w:tcW w:w="750" w:type="dxa"/>
            <w:gridSpan w:val="2"/>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办结</w:t>
            </w:r>
          </w:p>
        </w:tc>
        <w:tc>
          <w:tcPr>
            <w:tcW w:w="2349"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完成文件制定</w:t>
            </w:r>
          </w:p>
        </w:tc>
        <w:tc>
          <w:tcPr>
            <w:tcW w:w="2126" w:type="dxa"/>
            <w:gridSpan w:val="2"/>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14106" w:type="dxa"/>
            <w:gridSpan w:val="9"/>
            <w:vAlign w:val="center"/>
          </w:tcPr>
          <w:p>
            <w:pPr>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调整情况：整合原来单列的审批事项，优化权责目录。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544" w:type="dxa"/>
            <w:vMerge w:val="continue"/>
            <w:vAlign w:val="center"/>
          </w:tcPr>
          <w:p>
            <w:pPr>
              <w:widowControl/>
              <w:textAlignment w:val="center"/>
              <w:rPr>
                <w:rFonts w:ascii="仿宋_GB2312" w:hAnsi="仿宋_GB2312" w:eastAsia="仿宋_GB2312" w:cs="仿宋_GB2312"/>
                <w:kern w:val="0"/>
                <w:szCs w:val="21"/>
              </w:rPr>
            </w:pPr>
          </w:p>
        </w:tc>
        <w:tc>
          <w:tcPr>
            <w:tcW w:w="14106" w:type="dxa"/>
            <w:gridSpan w:val="9"/>
            <w:vAlign w:val="center"/>
          </w:tcPr>
          <w:p>
            <w:pPr>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调整原因：参照市发改委优化权责清单。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1" w:hRule="atLeast"/>
        </w:trPr>
        <w:tc>
          <w:tcPr>
            <w:tcW w:w="544" w:type="dxa"/>
            <w:vMerge w:val="restart"/>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4</w:t>
            </w:r>
          </w:p>
        </w:tc>
        <w:tc>
          <w:tcPr>
            <w:tcW w:w="812" w:type="dxa"/>
            <w:vMerge w:val="restart"/>
            <w:vAlign w:val="center"/>
          </w:tcPr>
          <w:p>
            <w:pPr>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固定资产投资项目</w:t>
            </w:r>
          </w:p>
          <w:p>
            <w:pPr>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节能审查</w:t>
            </w:r>
          </w:p>
        </w:tc>
        <w:tc>
          <w:tcPr>
            <w:tcW w:w="7306" w:type="dxa"/>
            <w:vMerge w:val="restar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中华人民共和国节约能源法》（2018年10月26日第十三届全国人民代表大会常务委员会第六次会议第二次修正）第十五条：“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 《固定资产投资项目节能审查办法》（国家发展和改革委员会令第44号）第二条：“本办法适用于各级人民政府投资主管部门管理的在 我国境内建设的固定资产投资项目。本办法所称节能审查，是指 根据节能法律法规、政策标准等，对项目节能情况进行审查并形 成审查意见的行为。” 第三条：“ 固定资产投资项目节能审查意见是项目开工建设、 竣工验收和运营管理的重要依据。政府投资项目，建设单位在报送项目可行性研究报告前，需取得节能审查机关出具的节能审查意见。企业投资项目，建设单位需在开工建设前取得节能审查机关出具的节能审查意见。未按本办法规定进行节能审查，或节能审查未通过的项目，建设单位不得开工建设，已经建成的不得投入生产、使用。”《固定资产投资项目节能审查办法》（国家发展和改革委员会令第2号）第二条：“本办法适用于各级人民政府投资主管部门管理的在我国境内建设的固定资产投资项目。本办法所称节能审查，是指根据节能法律法规、政策标准等，对项目能源消费、能效水平及节能措施等情况进行审查并形成审查意见的行为。” 第三条：“ 固定资产投资项目节能审查意见是项目开工建设、竣工验收和运营管理的重要依据。政府投资项目，建设单位在报送项目可行性研究报告前，需取得节能审查机关出具的节能审查意见。企业投资项目，建设单位需在开工建设前取得节能审查机关出具的节能审查意见。未按本办法规定进行节能审查，或节能审查未通过的项目，建设单位不得开工建设，已经建成的不得投入生产、使用。”《河南省节约能源条例》（河南省第十二届人民代表大会常务委员会第三十二次会议） 第十三条：“实行固定资产投资项目节能评估和审查制度。固定资产投资项目的建设单位应当按照规定进行节能评估，编制节能报告，并按照节能审查权限报发展改革部门审查。不符合强制性节能标准的项目，建设单位不得开工建设；已经建成的，不得投入生产、使用。政府投资项目不符合强制性节能标准的，依法负责项目审批的机关不得批准建设。” 《河南省固定资产投资项目节能审查实施细则》（豫发改环资〔2017〕399号）第二条：“本细则适用于县级以上投资主管部门管理的在我省行政区域内建设的固定资产投资项目。 本细则所称节能审查，是指根据节能法律法规、政策标准等，对项目节能情况进行审查并形成审查意见的行为。”第四条：“固定资产投资项目节能审查意见是项目开工建设、竣工验收和运营管理的重要依据。政府投资项目，建设单位在报送项目可行性研究报告前，需取得节能审查机关出具的节能审查意见。企业投资项目，建设单位需在开工建设前取得节能审查机关出具的节能审查意见。未按规定进行节能审查，或节能审查未获通过的固定资产投资项目，建设单位不得开工建设，已经建成的不得投入生产、使用。” 《河南省固定资产投资项目节能审查实施办法》（豫发改环资〔2023〕383号）第二条：“本实施办法适用于本省行政区域内的固定资产投资项目。”第五条：“固定资产投资项目节能审查意见是项目开工建设、竣工验收和运营管理的重要依据。政府投资项目，建设单位在报送项目可行性研究报告前，需取得节能审查机关出具的节能审查意见。企业投资项目，建设单位需在开工建设前取得节能审查机关出具的节能审查意见。未按规定进行节能审查，或节能审查未通过的固定资产投资项目，建设单位不得开工建设，已经建成的不得投入生产、使用。”</w:t>
            </w:r>
          </w:p>
        </w:tc>
        <w:tc>
          <w:tcPr>
            <w:tcW w:w="750" w:type="dxa"/>
            <w:vMerge w:val="restart"/>
            <w:vAlign w:val="center"/>
          </w:tcPr>
          <w:p>
            <w:pPr>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w:t>
            </w:r>
          </w:p>
          <w:p>
            <w:pPr>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许可</w:t>
            </w:r>
          </w:p>
        </w:tc>
        <w:tc>
          <w:tcPr>
            <w:tcW w:w="750" w:type="dxa"/>
            <w:gridSpan w:val="2"/>
            <w:vAlign w:val="center"/>
          </w:tcPr>
          <w:p>
            <w:pPr>
              <w:widowControl/>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受理</w:t>
            </w:r>
          </w:p>
        </w:tc>
        <w:tc>
          <w:tcPr>
            <w:tcW w:w="2378" w:type="dxa"/>
            <w:gridSpan w:val="3"/>
            <w:vAlign w:val="center"/>
          </w:tcPr>
          <w:p>
            <w:pPr>
              <w:widowControl/>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1、受理相关资料</w:t>
            </w:r>
          </w:p>
        </w:tc>
        <w:tc>
          <w:tcPr>
            <w:tcW w:w="2110" w:type="dxa"/>
            <w:vAlign w:val="center"/>
          </w:tcPr>
          <w:p>
            <w:pPr>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1" w:hRule="atLeast"/>
        </w:trPr>
        <w:tc>
          <w:tcPr>
            <w:tcW w:w="544" w:type="dxa"/>
            <w:vMerge w:val="continue"/>
            <w:vAlign w:val="center"/>
          </w:tcPr>
          <w:p>
            <w:pPr>
              <w:widowControl/>
              <w:jc w:val="center"/>
              <w:textAlignment w:val="center"/>
              <w:rPr>
                <w:rFonts w:ascii="仿宋_GB2312" w:hAnsi="仿宋_GB2312" w:eastAsia="仿宋_GB2312" w:cs="仿宋_GB2312"/>
                <w:szCs w:val="21"/>
              </w:rPr>
            </w:pPr>
          </w:p>
        </w:tc>
        <w:tc>
          <w:tcPr>
            <w:tcW w:w="812" w:type="dxa"/>
            <w:vMerge w:val="continue"/>
            <w:vAlign w:val="center"/>
          </w:tcPr>
          <w:p>
            <w:pPr>
              <w:widowControl/>
              <w:jc w:val="center"/>
              <w:textAlignment w:val="center"/>
              <w:rPr>
                <w:rFonts w:ascii="仿宋_GB2312" w:hAnsi="仿宋_GB2312" w:eastAsia="仿宋_GB2312" w:cs="仿宋_GB2312"/>
                <w:szCs w:val="21"/>
              </w:rPr>
            </w:pPr>
          </w:p>
        </w:tc>
        <w:tc>
          <w:tcPr>
            <w:tcW w:w="7306" w:type="dxa"/>
            <w:vMerge w:val="continue"/>
            <w:vAlign w:val="center"/>
          </w:tcPr>
          <w:p>
            <w:pPr>
              <w:widowControl/>
              <w:jc w:val="center"/>
              <w:textAlignment w:val="center"/>
              <w:rPr>
                <w:rFonts w:ascii="仿宋_GB2312" w:hAnsi="仿宋_GB2312" w:eastAsia="仿宋_GB2312" w:cs="仿宋_GB2312"/>
                <w:szCs w:val="21"/>
              </w:rPr>
            </w:pPr>
          </w:p>
        </w:tc>
        <w:tc>
          <w:tcPr>
            <w:tcW w:w="750" w:type="dxa"/>
            <w:vMerge w:val="continue"/>
            <w:vAlign w:val="center"/>
          </w:tcPr>
          <w:p>
            <w:pPr>
              <w:jc w:val="center"/>
              <w:rPr>
                <w:rFonts w:ascii="仿宋_GB2312" w:hAnsi="仿宋_GB2312" w:eastAsia="仿宋_GB2312" w:cs="仿宋_GB2312"/>
                <w:szCs w:val="21"/>
              </w:rPr>
            </w:pPr>
          </w:p>
        </w:tc>
        <w:tc>
          <w:tcPr>
            <w:tcW w:w="750" w:type="dxa"/>
            <w:gridSpan w:val="2"/>
            <w:vAlign w:val="center"/>
          </w:tcPr>
          <w:p>
            <w:pPr>
              <w:widowControl/>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审核</w:t>
            </w:r>
          </w:p>
        </w:tc>
        <w:tc>
          <w:tcPr>
            <w:tcW w:w="2378" w:type="dxa"/>
            <w:gridSpan w:val="3"/>
            <w:vAlign w:val="center"/>
          </w:tcPr>
          <w:p>
            <w:pPr>
              <w:widowControl/>
              <w:spacing w:line="26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2、审查责任：根据节能法律法规、政策标准等，对项目节能情况进行审查，必要时召开评审会，对合规性审核。</w:t>
            </w:r>
          </w:p>
        </w:tc>
        <w:tc>
          <w:tcPr>
            <w:tcW w:w="2110" w:type="dxa"/>
            <w:vAlign w:val="center"/>
          </w:tcPr>
          <w:p>
            <w:pPr>
              <w:spacing w:line="26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业务审查：工业股</w:t>
            </w:r>
          </w:p>
          <w:p>
            <w:pPr>
              <w:spacing w:line="260" w:lineRule="exact"/>
              <w:jc w:val="left"/>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1" w:hRule="atLeast"/>
        </w:trPr>
        <w:tc>
          <w:tcPr>
            <w:tcW w:w="544" w:type="dxa"/>
            <w:vMerge w:val="continue"/>
            <w:vAlign w:val="center"/>
          </w:tcPr>
          <w:p>
            <w:pPr>
              <w:widowControl/>
              <w:jc w:val="center"/>
              <w:textAlignment w:val="center"/>
              <w:rPr>
                <w:rFonts w:ascii="仿宋_GB2312" w:hAnsi="仿宋_GB2312" w:eastAsia="仿宋_GB2312" w:cs="仿宋_GB2312"/>
                <w:kern w:val="0"/>
                <w:szCs w:val="21"/>
              </w:rPr>
            </w:pPr>
          </w:p>
        </w:tc>
        <w:tc>
          <w:tcPr>
            <w:tcW w:w="812" w:type="dxa"/>
            <w:vMerge w:val="continue"/>
            <w:vAlign w:val="center"/>
          </w:tcPr>
          <w:p>
            <w:pPr>
              <w:widowControl/>
              <w:jc w:val="center"/>
              <w:textAlignment w:val="center"/>
              <w:rPr>
                <w:rFonts w:ascii="仿宋_GB2312" w:hAnsi="仿宋_GB2312" w:eastAsia="仿宋_GB2312" w:cs="仿宋_GB2312"/>
                <w:kern w:val="0"/>
                <w:szCs w:val="21"/>
              </w:rPr>
            </w:pPr>
          </w:p>
        </w:tc>
        <w:tc>
          <w:tcPr>
            <w:tcW w:w="7306" w:type="dxa"/>
            <w:vMerge w:val="continue"/>
            <w:vAlign w:val="center"/>
          </w:tcPr>
          <w:p>
            <w:pPr>
              <w:widowControl/>
              <w:jc w:val="center"/>
              <w:textAlignment w:val="center"/>
              <w:rPr>
                <w:rFonts w:ascii="仿宋_GB2312" w:hAnsi="仿宋_GB2312" w:eastAsia="仿宋_GB2312" w:cs="仿宋_GB2312"/>
                <w:kern w:val="0"/>
                <w:szCs w:val="21"/>
              </w:rPr>
            </w:pPr>
          </w:p>
        </w:tc>
        <w:tc>
          <w:tcPr>
            <w:tcW w:w="750" w:type="dxa"/>
            <w:vMerge w:val="continue"/>
            <w:vAlign w:val="center"/>
          </w:tcPr>
          <w:p>
            <w:pPr>
              <w:jc w:val="center"/>
              <w:rPr>
                <w:rFonts w:ascii="仿宋_GB2312" w:hAnsi="仿宋_GB2312" w:eastAsia="仿宋_GB2312" w:cs="仿宋_GB2312"/>
                <w:kern w:val="0"/>
                <w:szCs w:val="21"/>
              </w:rPr>
            </w:pPr>
          </w:p>
        </w:tc>
        <w:tc>
          <w:tcPr>
            <w:tcW w:w="750" w:type="dxa"/>
            <w:gridSpan w:val="2"/>
            <w:vAlign w:val="center"/>
          </w:tcPr>
          <w:p>
            <w:pP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办结</w:t>
            </w:r>
          </w:p>
        </w:tc>
        <w:tc>
          <w:tcPr>
            <w:tcW w:w="2378" w:type="dxa"/>
            <w:gridSpan w:val="3"/>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3、办结责任：行政许可在5日内办结。</w:t>
            </w:r>
          </w:p>
        </w:tc>
        <w:tc>
          <w:tcPr>
            <w:tcW w:w="2110" w:type="dxa"/>
            <w:vAlign w:val="center"/>
          </w:tcPr>
          <w:p>
            <w:pPr>
              <w:spacing w:line="24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4" w:type="dxa"/>
            <w:vMerge w:val="continue"/>
            <w:vAlign w:val="center"/>
          </w:tcPr>
          <w:p>
            <w:pPr>
              <w:widowControl/>
              <w:jc w:val="center"/>
              <w:textAlignment w:val="center"/>
              <w:rPr>
                <w:rFonts w:ascii="仿宋_GB2312" w:hAnsi="仿宋_GB2312" w:eastAsia="仿宋_GB2312" w:cs="仿宋_GB2312"/>
                <w:kern w:val="0"/>
                <w:sz w:val="22"/>
                <w:szCs w:val="22"/>
              </w:rPr>
            </w:pPr>
          </w:p>
        </w:tc>
        <w:tc>
          <w:tcPr>
            <w:tcW w:w="14106" w:type="dxa"/>
            <w:gridSpan w:val="9"/>
            <w:vAlign w:val="center"/>
          </w:tcPr>
          <w:p>
            <w:pPr>
              <w:jc w:val="lef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调整情况：修改依据；取消决定办理环节。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544" w:type="dxa"/>
            <w:vMerge w:val="continue"/>
            <w:vAlign w:val="center"/>
          </w:tcPr>
          <w:p>
            <w:pPr>
              <w:widowControl/>
              <w:jc w:val="center"/>
              <w:textAlignment w:val="center"/>
              <w:rPr>
                <w:rFonts w:ascii="仿宋_GB2312" w:hAnsi="仿宋_GB2312" w:eastAsia="仿宋_GB2312" w:cs="仿宋_GB2312"/>
                <w:kern w:val="0"/>
                <w:sz w:val="22"/>
                <w:szCs w:val="22"/>
              </w:rPr>
            </w:pPr>
          </w:p>
        </w:tc>
        <w:tc>
          <w:tcPr>
            <w:tcW w:w="14106" w:type="dxa"/>
            <w:gridSpan w:val="9"/>
            <w:vAlign w:val="center"/>
          </w:tcPr>
          <w:p>
            <w:pPr>
              <w:jc w:val="lef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原因：根据《固定资产投资项目节能审查办法》（国家发展和改革委员会令第2号）、《河南省固定资产投资项目节能审查实施办法》（豫发改环资〔2023〕383号）最新内容进行更新；根据“三集中三到位”工作要求，审批环节由4个环节调整为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1" w:hRule="atLeast"/>
        </w:trPr>
        <w:tc>
          <w:tcPr>
            <w:tcW w:w="544" w:type="dxa"/>
            <w:vMerge w:val="restart"/>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5</w:t>
            </w:r>
          </w:p>
        </w:tc>
        <w:tc>
          <w:tcPr>
            <w:tcW w:w="812" w:type="dxa"/>
            <w:vAlign w:val="center"/>
          </w:tcPr>
          <w:p>
            <w:pPr>
              <w:widowControl/>
              <w:spacing w:line="26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县本级政府投资的县重点项目招投标监督检查</w:t>
            </w:r>
          </w:p>
        </w:tc>
        <w:tc>
          <w:tcPr>
            <w:tcW w:w="7306" w:type="dxa"/>
            <w:vAlign w:val="center"/>
          </w:tcPr>
          <w:p>
            <w:pPr>
              <w:widowControl/>
              <w:spacing w:line="26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《中华人民共和国招标投标法实施条例》第4条“国务院发展改革部门指导和协调全国招标投标工作，对国家重大建设项目的工程招标投标活动实施监督检查。”</w:t>
            </w:r>
          </w:p>
        </w:tc>
        <w:tc>
          <w:tcPr>
            <w:tcW w:w="750" w:type="dxa"/>
            <w:vAlign w:val="center"/>
          </w:tcPr>
          <w:p>
            <w:pPr>
              <w:widowControl/>
              <w:spacing w:line="26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行政检查</w:t>
            </w:r>
          </w:p>
        </w:tc>
        <w:tc>
          <w:tcPr>
            <w:tcW w:w="750" w:type="dxa"/>
            <w:gridSpan w:val="2"/>
            <w:vAlign w:val="center"/>
          </w:tcPr>
          <w:p>
            <w:pPr>
              <w:widowControl/>
              <w:spacing w:beforeAutospacing="1" w:afterAutospacing="1" w:line="26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检查</w:t>
            </w:r>
          </w:p>
        </w:tc>
        <w:tc>
          <w:tcPr>
            <w:tcW w:w="2378" w:type="dxa"/>
            <w:gridSpan w:val="3"/>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由行业部门分类自行监督，县发改部门对行业部门招投标行为进行监督检查。</w:t>
            </w:r>
          </w:p>
          <w:p>
            <w:pPr>
              <w:widowControl/>
              <w:spacing w:beforeAutospacing="1" w:afterAutospacing="1" w:line="260" w:lineRule="exact"/>
              <w:jc w:val="left"/>
              <w:rPr>
                <w:rFonts w:ascii="仿宋_GB2312" w:hAnsi="仿宋_GB2312" w:eastAsia="仿宋_GB2312" w:cs="仿宋_GB2312"/>
                <w:kern w:val="0"/>
                <w:szCs w:val="21"/>
              </w:rPr>
            </w:pPr>
          </w:p>
        </w:tc>
        <w:tc>
          <w:tcPr>
            <w:tcW w:w="2110" w:type="dxa"/>
            <w:vAlign w:val="center"/>
          </w:tcPr>
          <w:p>
            <w:pPr>
              <w:spacing w:line="24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项目办、投资股、社会股、城乡建设股、农业股、工业股等</w:t>
            </w:r>
          </w:p>
          <w:p>
            <w:pPr>
              <w:widowControl/>
              <w:jc w:val="center"/>
              <w:textAlignment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544" w:type="dxa"/>
            <w:vMerge w:val="continue"/>
            <w:vAlign w:val="center"/>
          </w:tcPr>
          <w:p>
            <w:pPr>
              <w:widowControl/>
              <w:jc w:val="center"/>
              <w:textAlignment w:val="center"/>
              <w:rPr>
                <w:rFonts w:ascii="仿宋_GB2312" w:hAnsi="仿宋_GB2312" w:eastAsia="仿宋_GB2312" w:cs="仿宋_GB2312"/>
                <w:szCs w:val="21"/>
              </w:rPr>
            </w:pPr>
          </w:p>
        </w:tc>
        <w:tc>
          <w:tcPr>
            <w:tcW w:w="14106" w:type="dxa"/>
            <w:gridSpan w:val="9"/>
            <w:vAlign w:val="center"/>
          </w:tcPr>
          <w:p>
            <w:pPr>
              <w:jc w:val="lef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调整情况：责任事项及责任科室进行了调整。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544" w:type="dxa"/>
            <w:vMerge w:val="continue"/>
            <w:vAlign w:val="center"/>
          </w:tcPr>
          <w:p>
            <w:pPr>
              <w:widowControl/>
              <w:jc w:val="center"/>
              <w:textAlignment w:val="center"/>
              <w:rPr>
                <w:rFonts w:ascii="仿宋_GB2312" w:hAnsi="仿宋_GB2312" w:eastAsia="仿宋_GB2312" w:cs="仿宋_GB2312"/>
                <w:szCs w:val="21"/>
              </w:rPr>
            </w:pPr>
          </w:p>
        </w:tc>
        <w:tc>
          <w:tcPr>
            <w:tcW w:w="14106" w:type="dxa"/>
            <w:gridSpan w:val="9"/>
            <w:vAlign w:val="center"/>
          </w:tcPr>
          <w:p>
            <w:pPr>
              <w:jc w:val="lef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调整原因：根据《关于进一步加强招标投标活动行政监督的通知》（宛政办明电〔2022〕61号）进行调整。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8" w:hRule="atLeast"/>
        </w:trPr>
        <w:tc>
          <w:tcPr>
            <w:tcW w:w="544" w:type="dxa"/>
            <w:vMerge w:val="restart"/>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812" w:type="dxa"/>
            <w:vMerge w:val="restart"/>
            <w:vAlign w:val="center"/>
          </w:tcPr>
          <w:p>
            <w:pPr>
              <w:rPr>
                <w:rFonts w:ascii="仿宋_GB2312" w:hAnsi="仿宋_GB2312" w:eastAsia="仿宋_GB2312" w:cs="仿宋_GB2312"/>
                <w:szCs w:val="21"/>
              </w:rPr>
            </w:pPr>
            <w:r>
              <w:rPr>
                <w:rFonts w:hint="eastAsia" w:ascii="仿宋_GB2312" w:hAnsi="仿宋_GB2312" w:eastAsia="仿宋_GB2312" w:cs="仿宋_GB2312"/>
                <w:szCs w:val="21"/>
                <w:shd w:val="clear" w:color="070000" w:fill="FFFFFF"/>
              </w:rPr>
              <w:t>企业技术中心认定</w:t>
            </w:r>
          </w:p>
        </w:tc>
        <w:tc>
          <w:tcPr>
            <w:tcW w:w="7306" w:type="dxa"/>
            <w:vMerge w:val="restart"/>
            <w:vAlign w:val="center"/>
          </w:tcPr>
          <w:p>
            <w:pPr>
              <w:spacing w:line="260" w:lineRule="exact"/>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《国家企业技术中心认定管理办法》（国家发展改革委2016年第34号令）第四条：国家发展改革委、科技部、财政部、海关总署、税务 总局负责指导协调国家企业技术中心相关工作。国家发展改革委牵 头开展国家企业技术中心的认定与运行评价。 各省、自治区、直辖市、计划单列市及新疆生产建设兵团发展 改革部门或地方人民政府指定的部门会同同级管理部门，负责国家 企业技术中心的申报、管理等事项；第六条：国家企业技术中心应当具备以下基本条件（五）具有省级企业技术中心资格两年以上；第二十七条：各地方政府主管部门可参考本办法，结合本地实际，在职责范围内依法制定相应政策，支持企业技术中心建设。</w:t>
            </w:r>
          </w:p>
          <w:p>
            <w:pPr>
              <w:spacing w:line="260" w:lineRule="exact"/>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河南省企业技术中心认定管理办法》（豫发改高技〔2018〕939号，发改、财政、科技、税务、海关等部门联合发文）第四条：河南省发展改革委牵头，会同省科技厅、财政厅、税务局、郑州海关负责省企业技术中心的指导和监督管理。省企业技术中心实行属地化管理，各省辖市、直管县（市）发展改革委会同同级管理部门是省企业技术中心的直接管理单位，负责省企业技术中心的创建、日常管理等工作。</w:t>
            </w:r>
          </w:p>
          <w:p>
            <w:pPr>
              <w:spacing w:line="260" w:lineRule="exact"/>
              <w:rPr>
                <w:rFonts w:ascii="仿宋_GB2312" w:hAnsi="仿宋_GB2312" w:eastAsia="仿宋_GB2312" w:cs="仿宋_GB2312"/>
                <w:color w:val="FF0000"/>
                <w:szCs w:val="21"/>
              </w:rPr>
            </w:pPr>
            <w:r>
              <w:rPr>
                <w:rFonts w:hint="eastAsia" w:ascii="仿宋_GB2312" w:hAnsi="仿宋_GB2312" w:eastAsia="仿宋_GB2312" w:cs="仿宋_GB2312"/>
                <w:szCs w:val="21"/>
                <w:shd w:val="clear" w:color="070000" w:fill="FFFFFF"/>
              </w:rPr>
              <w:t>《南阳市企业技术中心认定管理办法》（宛发改高技[2017]257号）第四条：南阳市发展改革委、科技局、财政局、国税局、地税局、南阳海关负责市企业技术中心的相关工作。南阳市发展改革委牵头开展市企业技术中心的认定与运行管理。各县区发展改革部门或政府指定的部门（简称主管部门，下同）会同同级科技、财政、国税、地税等管理部门，依据属地管理原则，负责市企业技术中心的申报、管理等事项。</w:t>
            </w:r>
          </w:p>
        </w:tc>
        <w:tc>
          <w:tcPr>
            <w:tcW w:w="750" w:type="dxa"/>
            <w:vMerge w:val="restart"/>
            <w:vAlign w:val="center"/>
          </w:tcPr>
          <w:p>
            <w:pPr>
              <w:jc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行政</w:t>
            </w:r>
          </w:p>
          <w:p>
            <w:pPr>
              <w:jc w:val="center"/>
              <w:rPr>
                <w:rFonts w:ascii="仿宋_GB2312" w:hAnsi="仿宋_GB2312" w:eastAsia="仿宋_GB2312" w:cs="仿宋_GB2312"/>
                <w:color w:val="FF0000"/>
                <w:szCs w:val="21"/>
              </w:rPr>
            </w:pPr>
            <w:r>
              <w:rPr>
                <w:rFonts w:hint="eastAsia" w:ascii="仿宋_GB2312" w:hAnsi="仿宋_GB2312" w:eastAsia="仿宋_GB2312" w:cs="仿宋_GB2312"/>
                <w:szCs w:val="21"/>
                <w:shd w:val="clear" w:color="070000" w:fill="FFFFFF"/>
              </w:rPr>
              <w:t>确认</w:t>
            </w:r>
          </w:p>
        </w:tc>
        <w:tc>
          <w:tcPr>
            <w:tcW w:w="750" w:type="dxa"/>
            <w:gridSpan w:val="2"/>
            <w:vAlign w:val="center"/>
          </w:tcPr>
          <w:p>
            <w:pPr>
              <w:jc w:val="center"/>
              <w:rPr>
                <w:rFonts w:ascii="仿宋_GB2312" w:hAnsi="仿宋_GB2312" w:eastAsia="仿宋_GB2312" w:cs="仿宋_GB2312"/>
                <w:color w:val="FF0000"/>
                <w:kern w:val="0"/>
                <w:szCs w:val="21"/>
              </w:rPr>
            </w:pPr>
            <w:r>
              <w:rPr>
                <w:rFonts w:hint="eastAsia" w:ascii="仿宋_GB2312" w:hAnsi="仿宋_GB2312" w:eastAsia="仿宋_GB2312" w:cs="仿宋_GB2312"/>
                <w:szCs w:val="21"/>
                <w:shd w:val="clear" w:color="070000" w:fill="FFFFFF"/>
              </w:rPr>
              <w:t>受理</w:t>
            </w:r>
          </w:p>
        </w:tc>
        <w:tc>
          <w:tcPr>
            <w:tcW w:w="2378" w:type="dxa"/>
            <w:gridSpan w:val="3"/>
            <w:vAlign w:val="center"/>
          </w:tcPr>
          <w:p>
            <w:pPr>
              <w:spacing w:line="240" w:lineRule="exact"/>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1.企业所在行政区发改部门登录南阳市政务服务网，找到市发改委事项页面，找到“企业技术中心认定”事项，上传“南阳市企业技术中心请示文件”和“南阳市企业技术中心申报材料”两项内容，进行在线申报。</w:t>
            </w:r>
          </w:p>
          <w:p>
            <w:pPr>
              <w:spacing w:line="240" w:lineRule="exact"/>
              <w:rPr>
                <w:rFonts w:ascii="仿宋_GB2312" w:hAnsi="仿宋_GB2312" w:eastAsia="仿宋_GB2312" w:cs="仿宋_GB2312"/>
                <w:color w:val="FF0000"/>
                <w:kern w:val="0"/>
                <w:szCs w:val="21"/>
              </w:rPr>
            </w:pPr>
            <w:r>
              <w:rPr>
                <w:rFonts w:hint="eastAsia" w:ascii="仿宋_GB2312" w:hAnsi="仿宋_GB2312" w:eastAsia="仿宋_GB2312" w:cs="仿宋_GB2312"/>
                <w:szCs w:val="21"/>
                <w:shd w:val="clear" w:color="070000" w:fill="FFFFFF"/>
              </w:rPr>
              <w:t>业务科室登录南阳市政务服务网，在线受理提交的推荐请示文件和企业编制的市级企业技术中心认定申请报告。一次性告知补正材料；依法受理或不予受理（不予受理的依法告知理由）。</w:t>
            </w:r>
          </w:p>
        </w:tc>
        <w:tc>
          <w:tcPr>
            <w:tcW w:w="2110" w:type="dxa"/>
            <w:vAlign w:val="center"/>
          </w:tcPr>
          <w:p>
            <w:pPr>
              <w:rPr>
                <w:rFonts w:ascii="仿宋_GB2312" w:hAnsi="仿宋_GB2312" w:eastAsia="仿宋_GB2312" w:cs="仿宋_GB2312"/>
                <w:color w:val="FF0000"/>
                <w:kern w:val="0"/>
                <w:szCs w:val="21"/>
              </w:rPr>
            </w:pPr>
            <w:r>
              <w:rPr>
                <w:rFonts w:hint="eastAsia" w:ascii="仿宋_GB2312" w:hAnsi="仿宋_GB2312" w:eastAsia="仿宋_GB2312" w:cs="仿宋_GB2312"/>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44" w:type="dxa"/>
            <w:vMerge w:val="continue"/>
            <w:vAlign w:val="center"/>
          </w:tcPr>
          <w:p>
            <w:pPr>
              <w:widowControl/>
              <w:jc w:val="center"/>
              <w:textAlignment w:val="center"/>
              <w:rPr>
                <w:rFonts w:ascii="仿宋_GB2312" w:hAnsi="仿宋_GB2312" w:eastAsia="仿宋_GB2312" w:cs="仿宋_GB2312"/>
                <w:color w:val="FF0000"/>
                <w:szCs w:val="21"/>
              </w:rPr>
            </w:pPr>
          </w:p>
        </w:tc>
        <w:tc>
          <w:tcPr>
            <w:tcW w:w="812" w:type="dxa"/>
            <w:vMerge w:val="continue"/>
            <w:vAlign w:val="center"/>
          </w:tcPr>
          <w:p>
            <w:pPr>
              <w:rPr>
                <w:rFonts w:ascii="仿宋_GB2312" w:hAnsi="仿宋_GB2312" w:eastAsia="仿宋_GB2312" w:cs="仿宋_GB2312"/>
                <w:color w:val="FF0000"/>
                <w:szCs w:val="21"/>
              </w:rPr>
            </w:pPr>
          </w:p>
        </w:tc>
        <w:tc>
          <w:tcPr>
            <w:tcW w:w="7306" w:type="dxa"/>
            <w:vMerge w:val="continue"/>
            <w:vAlign w:val="center"/>
          </w:tcPr>
          <w:p>
            <w:pPr>
              <w:rPr>
                <w:rFonts w:ascii="仿宋_GB2312" w:hAnsi="仿宋_GB2312" w:eastAsia="仿宋_GB2312" w:cs="仿宋_GB2312"/>
                <w:color w:val="FF0000"/>
                <w:szCs w:val="21"/>
              </w:rPr>
            </w:pPr>
          </w:p>
        </w:tc>
        <w:tc>
          <w:tcPr>
            <w:tcW w:w="750" w:type="dxa"/>
            <w:vMerge w:val="continue"/>
            <w:vAlign w:val="center"/>
          </w:tcPr>
          <w:p>
            <w:pPr>
              <w:rPr>
                <w:rFonts w:ascii="仿宋_GB2312" w:hAnsi="仿宋_GB2312" w:eastAsia="仿宋_GB2312" w:cs="仿宋_GB2312"/>
                <w:color w:val="FF0000"/>
                <w:szCs w:val="21"/>
              </w:rPr>
            </w:pPr>
          </w:p>
        </w:tc>
        <w:tc>
          <w:tcPr>
            <w:tcW w:w="750" w:type="dxa"/>
            <w:gridSpan w:val="2"/>
            <w:vAlign w:val="center"/>
          </w:tcPr>
          <w:p>
            <w:pPr>
              <w:jc w:val="center"/>
              <w:rPr>
                <w:rFonts w:ascii="仿宋_GB2312" w:hAnsi="仿宋_GB2312" w:eastAsia="仿宋_GB2312" w:cs="仿宋_GB2312"/>
                <w:color w:val="FF0000"/>
                <w:kern w:val="0"/>
                <w:szCs w:val="21"/>
              </w:rPr>
            </w:pPr>
            <w:r>
              <w:rPr>
                <w:rFonts w:hint="eastAsia" w:ascii="仿宋_GB2312" w:hAnsi="仿宋_GB2312" w:eastAsia="仿宋_GB2312" w:cs="仿宋_GB2312"/>
                <w:szCs w:val="21"/>
                <w:shd w:val="clear" w:color="070000" w:fill="FFFFFF"/>
              </w:rPr>
              <w:t>审核</w:t>
            </w:r>
          </w:p>
        </w:tc>
        <w:tc>
          <w:tcPr>
            <w:tcW w:w="2378" w:type="dxa"/>
            <w:gridSpan w:val="3"/>
            <w:vAlign w:val="center"/>
          </w:tcPr>
          <w:p>
            <w:pPr>
              <w:spacing w:line="24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2.业务科室根据相关文件要求，进行材料审查。咨询评估（专家评审），征求财政局、国税局、税务局等部门意见。对合规性审核。</w:t>
            </w:r>
          </w:p>
        </w:tc>
        <w:tc>
          <w:tcPr>
            <w:tcW w:w="2110" w:type="dxa"/>
            <w:vAlign w:val="center"/>
          </w:tcPr>
          <w:p>
            <w:pPr>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业务审查：投资股</w:t>
            </w:r>
          </w:p>
          <w:p>
            <w:pP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544" w:type="dxa"/>
            <w:vMerge w:val="continue"/>
            <w:vAlign w:val="center"/>
          </w:tcPr>
          <w:p>
            <w:pPr>
              <w:rPr>
                <w:rFonts w:ascii="仿宋_GB2312" w:hAnsi="仿宋_GB2312" w:eastAsia="仿宋_GB2312" w:cs="仿宋_GB2312"/>
                <w:color w:val="FF0000"/>
                <w:szCs w:val="21"/>
              </w:rPr>
            </w:pPr>
          </w:p>
        </w:tc>
        <w:tc>
          <w:tcPr>
            <w:tcW w:w="812" w:type="dxa"/>
            <w:vMerge w:val="continue"/>
            <w:vAlign w:val="center"/>
          </w:tcPr>
          <w:p>
            <w:pPr>
              <w:rPr>
                <w:rFonts w:ascii="仿宋_GB2312" w:hAnsi="仿宋_GB2312" w:eastAsia="仿宋_GB2312" w:cs="仿宋_GB2312"/>
                <w:color w:val="FF0000"/>
                <w:szCs w:val="21"/>
              </w:rPr>
            </w:pPr>
          </w:p>
        </w:tc>
        <w:tc>
          <w:tcPr>
            <w:tcW w:w="7306" w:type="dxa"/>
            <w:vMerge w:val="continue"/>
            <w:vAlign w:val="center"/>
          </w:tcPr>
          <w:p>
            <w:pPr>
              <w:rPr>
                <w:rFonts w:ascii="仿宋_GB2312" w:hAnsi="仿宋_GB2312" w:eastAsia="仿宋_GB2312" w:cs="仿宋_GB2312"/>
                <w:color w:val="FF0000"/>
                <w:szCs w:val="21"/>
              </w:rPr>
            </w:pPr>
          </w:p>
        </w:tc>
        <w:tc>
          <w:tcPr>
            <w:tcW w:w="750" w:type="dxa"/>
            <w:vMerge w:val="continue"/>
            <w:vAlign w:val="center"/>
          </w:tcPr>
          <w:p>
            <w:pPr>
              <w:rPr>
                <w:rFonts w:ascii="仿宋_GB2312" w:hAnsi="仿宋_GB2312" w:eastAsia="仿宋_GB2312" w:cs="仿宋_GB2312"/>
                <w:color w:val="FF0000"/>
                <w:szCs w:val="21"/>
              </w:rPr>
            </w:pPr>
          </w:p>
        </w:tc>
        <w:tc>
          <w:tcPr>
            <w:tcW w:w="750" w:type="dxa"/>
            <w:gridSpan w:val="2"/>
            <w:vAlign w:val="center"/>
          </w:tcPr>
          <w:p>
            <w:pPr>
              <w:jc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办结</w:t>
            </w:r>
          </w:p>
        </w:tc>
        <w:tc>
          <w:tcPr>
            <w:tcW w:w="2378" w:type="dxa"/>
            <w:gridSpan w:val="3"/>
            <w:vAlign w:val="center"/>
          </w:tcPr>
          <w:p>
            <w:pPr>
              <w:spacing w:line="240" w:lineRule="exact"/>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3.根据办理结果出台相关认定文件，依法予以公开。</w:t>
            </w:r>
          </w:p>
        </w:tc>
        <w:tc>
          <w:tcPr>
            <w:tcW w:w="2110" w:type="dxa"/>
            <w:vAlign w:val="center"/>
          </w:tcPr>
          <w:p>
            <w:pPr>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44" w:type="dxa"/>
            <w:vMerge w:val="continue"/>
            <w:vAlign w:val="center"/>
          </w:tcPr>
          <w:p>
            <w:pPr>
              <w:widowControl/>
              <w:spacing w:line="300" w:lineRule="exact"/>
              <w:jc w:val="center"/>
              <w:textAlignment w:val="center"/>
              <w:rPr>
                <w:rFonts w:ascii="仿宋_GB2312" w:hAnsi="仿宋_GB2312" w:eastAsia="仿宋_GB2312" w:cs="仿宋_GB2312"/>
                <w:color w:val="FF0000"/>
                <w:kern w:val="0"/>
                <w:szCs w:val="21"/>
              </w:rPr>
            </w:pPr>
          </w:p>
        </w:tc>
        <w:tc>
          <w:tcPr>
            <w:tcW w:w="14106" w:type="dxa"/>
            <w:gridSpan w:val="9"/>
            <w:vAlign w:val="center"/>
          </w:tcPr>
          <w:p>
            <w:pPr>
              <w:jc w:val="lef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调整情况：取消决定办理环节。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44" w:type="dxa"/>
            <w:vMerge w:val="continue"/>
            <w:vAlign w:val="center"/>
          </w:tcPr>
          <w:p>
            <w:pPr>
              <w:widowControl/>
              <w:spacing w:line="300" w:lineRule="exact"/>
              <w:jc w:val="center"/>
              <w:textAlignment w:val="center"/>
              <w:rPr>
                <w:rFonts w:ascii="仿宋_GB2312" w:hAnsi="仿宋_GB2312" w:eastAsia="仿宋_GB2312" w:cs="仿宋_GB2312"/>
                <w:color w:val="FF0000"/>
                <w:kern w:val="0"/>
                <w:szCs w:val="21"/>
              </w:rPr>
            </w:pPr>
          </w:p>
        </w:tc>
        <w:tc>
          <w:tcPr>
            <w:tcW w:w="14106" w:type="dxa"/>
            <w:gridSpan w:val="9"/>
            <w:vAlign w:val="center"/>
          </w:tcPr>
          <w:p>
            <w:pPr>
              <w:jc w:val="lef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调整原因：根据“三集中三到位”工作要求，审批环节由4个环节调整为3个。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2" w:hRule="atLeast"/>
        </w:trPr>
        <w:tc>
          <w:tcPr>
            <w:tcW w:w="544" w:type="dxa"/>
            <w:vMerge w:val="restart"/>
            <w:vAlign w:val="center"/>
          </w:tcPr>
          <w:p>
            <w:pPr>
              <w:widowControl/>
              <w:spacing w:line="260" w:lineRule="exact"/>
              <w:rPr>
                <w:rFonts w:ascii="仿宋_GB2312" w:hAnsi="仿宋_GB2312" w:eastAsia="仿宋_GB2312" w:cs="仿宋_GB2312"/>
                <w:kern w:val="0"/>
                <w:szCs w:val="21"/>
              </w:rPr>
            </w:pPr>
            <w:r>
              <w:rPr>
                <w:rFonts w:hint="eastAsia" w:ascii="仿宋_GB2312" w:hAnsi="仿宋_GB2312" w:eastAsia="仿宋_GB2312" w:cs="仿宋_GB2312"/>
                <w:kern w:val="0"/>
                <w:szCs w:val="21"/>
              </w:rPr>
              <w:t xml:space="preserve">7                                                                                                                                                                                                                                                                                                                                                                                                            </w:t>
            </w:r>
          </w:p>
        </w:tc>
        <w:tc>
          <w:tcPr>
            <w:tcW w:w="812" w:type="dxa"/>
            <w:vAlign w:val="center"/>
          </w:tcPr>
          <w:p>
            <w:pPr>
              <w:widowControl/>
              <w:spacing w:line="26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全县重点项目监督检查</w:t>
            </w:r>
          </w:p>
        </w:tc>
        <w:tc>
          <w:tcPr>
            <w:tcW w:w="7306" w:type="dxa"/>
            <w:vAlign w:val="center"/>
          </w:tcPr>
          <w:p>
            <w:pP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《南阳市人民政府办公室转发市发展改革委关于改进重点项目建设管理完善协调推进机制意见（试行）的通知》（宛政办〔2009〕28号）、《中共南阳市委  南阳市人民政府关于进一步加快重点项目建设的意见》（宛发〔2011〕34号）</w:t>
            </w: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tc>
        <w:tc>
          <w:tcPr>
            <w:tcW w:w="750" w:type="dxa"/>
            <w:vAlign w:val="center"/>
          </w:tcPr>
          <w:p>
            <w:pPr>
              <w:widowControl/>
              <w:spacing w:line="26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w:t>
            </w:r>
          </w:p>
          <w:p>
            <w:pPr>
              <w:widowControl/>
              <w:spacing w:line="26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检查</w:t>
            </w:r>
          </w:p>
        </w:tc>
        <w:tc>
          <w:tcPr>
            <w:tcW w:w="750" w:type="dxa"/>
            <w:gridSpan w:val="2"/>
            <w:vAlign w:val="center"/>
          </w:tcPr>
          <w:p>
            <w:pPr>
              <w:widowControl/>
              <w:spacing w:beforeAutospacing="1" w:afterAutospacing="1" w:line="26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检查</w:t>
            </w:r>
          </w:p>
        </w:tc>
        <w:tc>
          <w:tcPr>
            <w:tcW w:w="2378" w:type="dxa"/>
            <w:gridSpan w:val="3"/>
            <w:vAlign w:val="center"/>
          </w:tcPr>
          <w:p>
            <w:pPr>
              <w:widowControl/>
              <w:spacing w:beforeAutospacing="1" w:afterAutospacing="1" w:line="26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对全县重点项目建设全过程监督检查</w:t>
            </w:r>
          </w:p>
        </w:tc>
        <w:tc>
          <w:tcPr>
            <w:tcW w:w="2110" w:type="dxa"/>
            <w:vAlign w:val="center"/>
          </w:tcPr>
          <w:p>
            <w:pPr>
              <w:widowControl/>
              <w:spacing w:line="26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项目办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544" w:type="dxa"/>
            <w:vMerge w:val="continue"/>
            <w:vAlign w:val="center"/>
          </w:tcPr>
          <w:p>
            <w:pPr>
              <w:widowControl/>
              <w:jc w:val="center"/>
              <w:textAlignment w:val="center"/>
              <w:rPr>
                <w:rFonts w:ascii="仿宋_GB2312" w:hAnsi="仿宋_GB2312" w:eastAsia="仿宋_GB2312" w:cs="仿宋_GB2312"/>
                <w:szCs w:val="21"/>
              </w:rPr>
            </w:pPr>
          </w:p>
        </w:tc>
        <w:tc>
          <w:tcPr>
            <w:tcW w:w="14106" w:type="dxa"/>
            <w:gridSpan w:val="9"/>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shd w:val="clear" w:color="070000" w:fill="FFFFFF"/>
              </w:rPr>
              <w:t>调整情况：新增</w:t>
            </w:r>
            <w:r>
              <w:rPr>
                <w:rFonts w:hint="eastAsia" w:ascii="仿宋_GB2312" w:hAnsi="仿宋_GB2312" w:eastAsia="仿宋_GB2312" w:cs="仿宋_GB2312"/>
                <w:spacing w:val="-11"/>
                <w:szCs w:val="21"/>
                <w:shd w:val="clear" w:color="070000" w:fill="FFFFFF"/>
              </w:rPr>
              <w:t>全县重点项目监督检查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544" w:type="dxa"/>
            <w:vMerge w:val="continue"/>
            <w:vAlign w:val="center"/>
          </w:tcPr>
          <w:p>
            <w:pPr>
              <w:widowControl/>
              <w:jc w:val="center"/>
              <w:textAlignment w:val="center"/>
              <w:rPr>
                <w:rFonts w:ascii="仿宋_GB2312" w:hAnsi="仿宋_GB2312" w:eastAsia="仿宋_GB2312" w:cs="仿宋_GB2312"/>
                <w:szCs w:val="21"/>
              </w:rPr>
            </w:pPr>
          </w:p>
        </w:tc>
        <w:tc>
          <w:tcPr>
            <w:tcW w:w="14106" w:type="dxa"/>
            <w:gridSpan w:val="9"/>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shd w:val="clear" w:color="070000" w:fill="FFFFFF"/>
              </w:rPr>
              <w:t>调整原因：县发改委重点项目稽查职责。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544" w:type="dxa"/>
            <w:vMerge w:val="restart"/>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12" w:type="dxa"/>
            <w:vMerge w:val="restart"/>
            <w:vAlign w:val="center"/>
          </w:tcPr>
          <w:p>
            <w:pPr>
              <w:spacing w:line="32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政府投资项目</w:t>
            </w:r>
          </w:p>
          <w:p>
            <w:pPr>
              <w:spacing w:line="320" w:lineRule="exact"/>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审核（批）</w:t>
            </w:r>
          </w:p>
        </w:tc>
        <w:tc>
          <w:tcPr>
            <w:tcW w:w="7306" w:type="dxa"/>
            <w:vMerge w:val="restart"/>
            <w:vAlign w:val="center"/>
          </w:tcPr>
          <w:p>
            <w:pPr>
              <w:spacing w:line="320" w:lineRule="exact"/>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政府投资条例》（国务院令第712号）第九条第一款：“政府采取直接投资方式、资本金注入方式投资的项目（以下统称政府投资项目），项目单位应当编制项目建议书、可行性研究报告、初步设计，按照政府投资管理权限和规定的程序，报投资主管部门或者其他有关部门审批。”</w:t>
            </w:r>
          </w:p>
        </w:tc>
        <w:tc>
          <w:tcPr>
            <w:tcW w:w="750" w:type="dxa"/>
            <w:vMerge w:val="restart"/>
            <w:vAlign w:val="center"/>
          </w:tcPr>
          <w:p>
            <w:pPr>
              <w:spacing w:line="32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其他</w:t>
            </w:r>
          </w:p>
          <w:p>
            <w:pPr>
              <w:spacing w:line="320" w:lineRule="exact"/>
              <w:jc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职权</w:t>
            </w:r>
          </w:p>
        </w:tc>
        <w:tc>
          <w:tcPr>
            <w:tcW w:w="750" w:type="dxa"/>
            <w:gridSpan w:val="2"/>
            <w:vAlign w:val="center"/>
          </w:tcPr>
          <w:p>
            <w:pPr>
              <w:pStyle w:val="10"/>
              <w:spacing w:beforeAutospacing="0" w:afterAutospacing="0" w:line="320" w:lineRule="exact"/>
              <w:jc w:val="center"/>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受理</w:t>
            </w:r>
          </w:p>
        </w:tc>
        <w:tc>
          <w:tcPr>
            <w:tcW w:w="2378" w:type="dxa"/>
            <w:gridSpan w:val="3"/>
            <w:vAlign w:val="center"/>
          </w:tcPr>
          <w:p>
            <w:pPr>
              <w:pStyle w:val="10"/>
              <w:spacing w:beforeAutospacing="0" w:afterAutospacing="0" w:line="320" w:lineRule="exact"/>
              <w:jc w:val="both"/>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1.依法依规对法人资料进行梳理，要件不全或不符要求的要求补正，并结合行业发展规划，做出受理或不予受理的决定。</w:t>
            </w:r>
          </w:p>
        </w:tc>
        <w:tc>
          <w:tcPr>
            <w:tcW w:w="2110" w:type="dxa"/>
            <w:vAlign w:val="center"/>
          </w:tcPr>
          <w:p>
            <w:pPr>
              <w:spacing w:line="260" w:lineRule="exact"/>
              <w:jc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4" w:hRule="atLeast"/>
        </w:trPr>
        <w:tc>
          <w:tcPr>
            <w:tcW w:w="544" w:type="dxa"/>
            <w:vMerge w:val="continue"/>
            <w:vAlign w:val="center"/>
          </w:tcPr>
          <w:p>
            <w:pPr>
              <w:widowControl/>
              <w:jc w:val="left"/>
              <w:textAlignment w:val="center"/>
              <w:rPr>
                <w:rFonts w:ascii="仿宋_GB2312" w:hAnsi="仿宋_GB2312" w:eastAsia="仿宋_GB2312" w:cs="仿宋_GB2312"/>
                <w:szCs w:val="21"/>
              </w:rPr>
            </w:pPr>
          </w:p>
        </w:tc>
        <w:tc>
          <w:tcPr>
            <w:tcW w:w="812" w:type="dxa"/>
            <w:vMerge w:val="continue"/>
            <w:vAlign w:val="center"/>
          </w:tcPr>
          <w:p>
            <w:pPr>
              <w:spacing w:line="320" w:lineRule="exact"/>
              <w:rPr>
                <w:rFonts w:ascii="仿宋_GB2312" w:hAnsi="仿宋_GB2312" w:eastAsia="仿宋_GB2312" w:cs="仿宋_GB2312"/>
                <w:szCs w:val="21"/>
                <w:shd w:val="clear" w:color="070000" w:fill="FFFFFF"/>
              </w:rPr>
            </w:pPr>
          </w:p>
        </w:tc>
        <w:tc>
          <w:tcPr>
            <w:tcW w:w="7306" w:type="dxa"/>
            <w:vMerge w:val="continue"/>
            <w:vAlign w:val="center"/>
          </w:tcPr>
          <w:p>
            <w:pPr>
              <w:spacing w:line="320" w:lineRule="exact"/>
              <w:rPr>
                <w:rFonts w:ascii="仿宋_GB2312" w:hAnsi="仿宋_GB2312" w:eastAsia="仿宋_GB2312" w:cs="仿宋_GB2312"/>
                <w:szCs w:val="21"/>
                <w:shd w:val="clear" w:color="070000" w:fill="FFFFFF"/>
              </w:rPr>
            </w:pPr>
          </w:p>
        </w:tc>
        <w:tc>
          <w:tcPr>
            <w:tcW w:w="750" w:type="dxa"/>
            <w:vMerge w:val="continue"/>
            <w:vAlign w:val="center"/>
          </w:tcPr>
          <w:p>
            <w:pPr>
              <w:spacing w:line="320" w:lineRule="exact"/>
              <w:jc w:val="center"/>
              <w:rPr>
                <w:rFonts w:ascii="仿宋_GB2312" w:hAnsi="仿宋_GB2312" w:eastAsia="仿宋_GB2312" w:cs="仿宋_GB2312"/>
                <w:szCs w:val="21"/>
                <w:shd w:val="clear" w:color="070000" w:fill="FFFFFF"/>
              </w:rPr>
            </w:pPr>
          </w:p>
        </w:tc>
        <w:tc>
          <w:tcPr>
            <w:tcW w:w="750" w:type="dxa"/>
            <w:gridSpan w:val="2"/>
            <w:vAlign w:val="center"/>
          </w:tcPr>
          <w:p>
            <w:pPr>
              <w:pStyle w:val="10"/>
              <w:widowControl/>
              <w:spacing w:beforeAutospacing="0" w:afterAutospacing="0" w:line="320" w:lineRule="exact"/>
              <w:jc w:val="center"/>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审查</w:t>
            </w:r>
          </w:p>
        </w:tc>
        <w:tc>
          <w:tcPr>
            <w:tcW w:w="2378" w:type="dxa"/>
            <w:gridSpan w:val="3"/>
            <w:vAlign w:val="center"/>
          </w:tcPr>
          <w:p>
            <w:pPr>
              <w:pStyle w:val="10"/>
              <w:widowControl/>
              <w:spacing w:beforeAutospacing="0" w:afterAutospacing="0" w:line="320" w:lineRule="exact"/>
              <w:jc w:val="both"/>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2.通过书面审查、实地核查、专家评审等方式进行审查。对合规性审核。</w:t>
            </w:r>
          </w:p>
        </w:tc>
        <w:tc>
          <w:tcPr>
            <w:tcW w:w="2110" w:type="dxa"/>
            <w:vAlign w:val="center"/>
          </w:tcPr>
          <w:p>
            <w:pPr>
              <w:spacing w:line="24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业务审查：投资股、社会股、城乡建设股、农业股、工业股等</w:t>
            </w:r>
          </w:p>
          <w:p>
            <w:pPr>
              <w:spacing w:line="260" w:lineRule="exact"/>
              <w:jc w:val="center"/>
              <w:rPr>
                <w:rFonts w:ascii="仿宋_GB2312" w:hAnsi="仿宋_GB2312" w:eastAsia="仿宋_GB2312" w:cs="仿宋_GB2312"/>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3" w:hRule="atLeast"/>
        </w:trPr>
        <w:tc>
          <w:tcPr>
            <w:tcW w:w="544" w:type="dxa"/>
            <w:vMerge w:val="continue"/>
            <w:vAlign w:val="center"/>
          </w:tcPr>
          <w:p>
            <w:pPr>
              <w:widowControl/>
              <w:jc w:val="left"/>
              <w:textAlignment w:val="center"/>
              <w:rPr>
                <w:rFonts w:ascii="仿宋_GB2312" w:hAnsi="仿宋_GB2312" w:eastAsia="仿宋_GB2312" w:cs="仿宋_GB2312"/>
                <w:szCs w:val="21"/>
              </w:rPr>
            </w:pPr>
          </w:p>
        </w:tc>
        <w:tc>
          <w:tcPr>
            <w:tcW w:w="812" w:type="dxa"/>
            <w:vMerge w:val="continue"/>
            <w:vAlign w:val="center"/>
          </w:tcPr>
          <w:p>
            <w:pPr>
              <w:spacing w:line="320" w:lineRule="exact"/>
              <w:rPr>
                <w:rFonts w:ascii="仿宋_GB2312" w:hAnsi="仿宋_GB2312" w:eastAsia="仿宋_GB2312" w:cs="仿宋_GB2312"/>
                <w:szCs w:val="21"/>
                <w:shd w:val="clear" w:color="070000" w:fill="FFFFFF"/>
              </w:rPr>
            </w:pPr>
          </w:p>
        </w:tc>
        <w:tc>
          <w:tcPr>
            <w:tcW w:w="7306" w:type="dxa"/>
            <w:vMerge w:val="continue"/>
            <w:vAlign w:val="center"/>
          </w:tcPr>
          <w:p>
            <w:pPr>
              <w:spacing w:line="320" w:lineRule="exact"/>
              <w:rPr>
                <w:rFonts w:ascii="仿宋_GB2312" w:hAnsi="仿宋_GB2312" w:eastAsia="仿宋_GB2312" w:cs="仿宋_GB2312"/>
                <w:szCs w:val="21"/>
                <w:shd w:val="clear" w:color="070000" w:fill="FFFFFF"/>
              </w:rPr>
            </w:pPr>
          </w:p>
        </w:tc>
        <w:tc>
          <w:tcPr>
            <w:tcW w:w="750" w:type="dxa"/>
            <w:vMerge w:val="continue"/>
            <w:vAlign w:val="center"/>
          </w:tcPr>
          <w:p>
            <w:pPr>
              <w:spacing w:line="320" w:lineRule="exact"/>
              <w:jc w:val="center"/>
              <w:rPr>
                <w:rFonts w:ascii="仿宋_GB2312" w:hAnsi="仿宋_GB2312" w:eastAsia="仿宋_GB2312" w:cs="仿宋_GB2312"/>
                <w:szCs w:val="21"/>
                <w:shd w:val="clear" w:color="070000" w:fill="FFFFFF"/>
              </w:rPr>
            </w:pPr>
          </w:p>
        </w:tc>
        <w:tc>
          <w:tcPr>
            <w:tcW w:w="750" w:type="dxa"/>
            <w:gridSpan w:val="2"/>
            <w:vAlign w:val="center"/>
          </w:tcPr>
          <w:p>
            <w:pPr>
              <w:pStyle w:val="10"/>
              <w:widowControl/>
              <w:spacing w:beforeAutospacing="0" w:afterAutospacing="0" w:line="320" w:lineRule="exact"/>
              <w:jc w:val="center"/>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制发文件</w:t>
            </w:r>
          </w:p>
        </w:tc>
        <w:tc>
          <w:tcPr>
            <w:tcW w:w="2378" w:type="dxa"/>
            <w:gridSpan w:val="3"/>
            <w:vAlign w:val="center"/>
          </w:tcPr>
          <w:p>
            <w:pPr>
              <w:pStyle w:val="10"/>
              <w:widowControl/>
              <w:spacing w:beforeAutospacing="0" w:afterAutospacing="0" w:line="320" w:lineRule="exact"/>
              <w:jc w:val="both"/>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3.制发批准文书，可以公开的依法予以公开。</w:t>
            </w:r>
          </w:p>
        </w:tc>
        <w:tc>
          <w:tcPr>
            <w:tcW w:w="2110" w:type="dxa"/>
            <w:vAlign w:val="center"/>
          </w:tcPr>
          <w:p>
            <w:pPr>
              <w:spacing w:line="260" w:lineRule="exact"/>
              <w:jc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544" w:type="dxa"/>
            <w:vMerge w:val="continue"/>
            <w:vAlign w:val="center"/>
          </w:tcPr>
          <w:p>
            <w:pPr>
              <w:jc w:val="left"/>
              <w:rPr>
                <w:rFonts w:ascii="仿宋_GB2312" w:hAnsi="仿宋_GB2312" w:eastAsia="仿宋_GB2312" w:cs="仿宋_GB2312"/>
                <w:szCs w:val="21"/>
              </w:rPr>
            </w:pPr>
          </w:p>
        </w:tc>
        <w:tc>
          <w:tcPr>
            <w:tcW w:w="14106" w:type="dxa"/>
            <w:gridSpan w:val="9"/>
            <w:vAlign w:val="center"/>
          </w:tcPr>
          <w:p>
            <w:pPr>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调整情况：取消决定办理环节。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544" w:type="dxa"/>
            <w:vMerge w:val="continue"/>
            <w:vAlign w:val="center"/>
          </w:tcPr>
          <w:p>
            <w:pPr>
              <w:jc w:val="left"/>
              <w:rPr>
                <w:rFonts w:ascii="仿宋_GB2312" w:hAnsi="仿宋_GB2312" w:eastAsia="仿宋_GB2312" w:cs="仿宋_GB2312"/>
                <w:szCs w:val="21"/>
              </w:rPr>
            </w:pPr>
          </w:p>
        </w:tc>
        <w:tc>
          <w:tcPr>
            <w:tcW w:w="14106" w:type="dxa"/>
            <w:gridSpan w:val="9"/>
            <w:vAlign w:val="center"/>
          </w:tcPr>
          <w:p>
            <w:pPr>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调整原因：根据“三集中三到位”工作要求，审批环节由4个环节调整为3个。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544" w:type="dxa"/>
            <w:vMerge w:val="restart"/>
            <w:vAlign w:val="center"/>
          </w:tcPr>
          <w:p>
            <w:pPr>
              <w:widowControl/>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812" w:type="dxa"/>
            <w:vAlign w:val="center"/>
          </w:tcPr>
          <w:p>
            <w:pPr>
              <w:autoSpaceDN w:val="0"/>
              <w:jc w:val="left"/>
              <w:textAlignment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价格争议纠纷调解</w:t>
            </w:r>
          </w:p>
        </w:tc>
        <w:tc>
          <w:tcPr>
            <w:tcW w:w="7306" w:type="dxa"/>
            <w:vAlign w:val="center"/>
          </w:tcPr>
          <w:p>
            <w:pPr>
              <w:autoSpaceDN w:val="0"/>
              <w:spacing w:line="440" w:lineRule="exact"/>
              <w:jc w:val="left"/>
              <w:textAlignment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《中共中央 国务院关于推进价格机制改革的若干意见》（中发〔2015〕28号）第二十五条：“加强民生领域价格监管，做好价格争议纠纷调解处理，维护群众合法价格权益。”</w:t>
            </w:r>
          </w:p>
          <w:p>
            <w:pPr>
              <w:autoSpaceDN w:val="0"/>
              <w:spacing w:line="440" w:lineRule="exact"/>
              <w:jc w:val="left"/>
              <w:textAlignment w:val="center"/>
              <w:rPr>
                <w:rFonts w:ascii="仿宋_GB2312" w:hAnsi="仿宋_GB2312" w:eastAsia="仿宋_GB2312" w:cs="仿宋_GB2312"/>
                <w:spacing w:val="-11"/>
                <w:szCs w:val="21"/>
                <w:u w:val="single"/>
                <w:shd w:val="clear" w:color="070000" w:fill="FFFFFF"/>
              </w:rPr>
            </w:pPr>
            <w:r>
              <w:rPr>
                <w:rFonts w:hint="eastAsia" w:ascii="仿宋_GB2312" w:hAnsi="仿宋_GB2312" w:eastAsia="仿宋_GB2312" w:cs="仿宋_GB2312"/>
                <w:spacing w:val="-11"/>
                <w:szCs w:val="21"/>
                <w:u w:val="single"/>
                <w:shd w:val="clear" w:color="070000" w:fill="FFFFFF"/>
              </w:rPr>
              <w:t>《关于深入开展价格争议纠纷调解工作的意见》（法发〔2019〕32号）第二条第四款：价格争议纠纷是平等民事主体之间因商品或者服务价格产生的纠纷。主要涉及交通事故赔偿、消费者权益保障、医疗服务、物业服务、旅游餐饮服务、工程建设造价、农业生产资料、保险理赔等民生领域的价格争议纠纷。</w:t>
            </w:r>
          </w:p>
          <w:p>
            <w:pPr>
              <w:autoSpaceDN w:val="0"/>
              <w:spacing w:line="440" w:lineRule="exact"/>
              <w:jc w:val="left"/>
              <w:textAlignment w:val="center"/>
              <w:rPr>
                <w:rFonts w:ascii="仿宋_GB2312" w:hAnsi="仿宋_GB2312" w:eastAsia="仿宋_GB2312" w:cs="仿宋_GB2312"/>
                <w:szCs w:val="21"/>
                <w:shd w:val="clear" w:color="070000" w:fill="FFFFFF"/>
              </w:rPr>
            </w:pPr>
          </w:p>
        </w:tc>
        <w:tc>
          <w:tcPr>
            <w:tcW w:w="750" w:type="dxa"/>
            <w:vAlign w:val="center"/>
          </w:tcPr>
          <w:p>
            <w:pPr>
              <w:jc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其他职权</w:t>
            </w:r>
          </w:p>
        </w:tc>
        <w:tc>
          <w:tcPr>
            <w:tcW w:w="750" w:type="dxa"/>
            <w:gridSpan w:val="2"/>
            <w:vAlign w:val="center"/>
          </w:tcPr>
          <w:p>
            <w:pPr>
              <w:pStyle w:val="11"/>
              <w:widowControl/>
              <w:spacing w:beforeAutospacing="0" w:afterAutospacing="0"/>
              <w:jc w:val="center"/>
              <w:rPr>
                <w:rFonts w:ascii="仿宋_GB2312" w:hAnsi="仿宋_GB2312" w:eastAsia="仿宋_GB2312" w:cs="仿宋_GB2312"/>
                <w:sz w:val="21"/>
                <w:szCs w:val="21"/>
                <w:shd w:val="clear" w:color="070000" w:fill="FFFFFF"/>
              </w:rPr>
            </w:pPr>
          </w:p>
        </w:tc>
        <w:tc>
          <w:tcPr>
            <w:tcW w:w="2378" w:type="dxa"/>
            <w:gridSpan w:val="3"/>
            <w:vAlign w:val="center"/>
          </w:tcPr>
          <w:p>
            <w:pPr>
              <w:pStyle w:val="11"/>
              <w:widowControl/>
              <w:tabs>
                <w:tab w:val="left" w:pos="671"/>
              </w:tabs>
              <w:spacing w:beforeAutospacing="0" w:afterAutospacing="0" w:line="300" w:lineRule="exact"/>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sz w:val="21"/>
                <w:szCs w:val="21"/>
                <w:shd w:val="clear" w:color="070000" w:fill="FFFFFF"/>
              </w:rPr>
              <w:t>河南省未出台相关细则，此项工作暂未开展。</w:t>
            </w:r>
          </w:p>
        </w:tc>
        <w:tc>
          <w:tcPr>
            <w:tcW w:w="2110" w:type="dxa"/>
            <w:vAlign w:val="center"/>
          </w:tcPr>
          <w:p>
            <w:pPr>
              <w:widowControl/>
              <w:spacing w:line="260" w:lineRule="exact"/>
              <w:jc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价格认定股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544" w:type="dxa"/>
            <w:vMerge w:val="continue"/>
            <w:vAlign w:val="center"/>
          </w:tcPr>
          <w:p>
            <w:pPr>
              <w:jc w:val="left"/>
              <w:rPr>
                <w:rFonts w:ascii="仿宋_GB2312" w:hAnsi="仿宋_GB2312" w:eastAsia="仿宋_GB2312" w:cs="仿宋_GB2312"/>
                <w:szCs w:val="21"/>
              </w:rPr>
            </w:pPr>
          </w:p>
        </w:tc>
        <w:tc>
          <w:tcPr>
            <w:tcW w:w="14106" w:type="dxa"/>
            <w:gridSpan w:val="9"/>
            <w:vAlign w:val="center"/>
          </w:tcPr>
          <w:p>
            <w:pPr>
              <w:jc w:val="left"/>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调整情况：增加依据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544" w:type="dxa"/>
            <w:vMerge w:val="continue"/>
            <w:vAlign w:val="center"/>
          </w:tcPr>
          <w:p>
            <w:pPr>
              <w:jc w:val="left"/>
              <w:rPr>
                <w:rFonts w:ascii="仿宋_GB2312" w:hAnsi="仿宋_GB2312" w:eastAsia="仿宋_GB2312" w:cs="仿宋_GB2312"/>
                <w:szCs w:val="21"/>
              </w:rPr>
            </w:pPr>
          </w:p>
        </w:tc>
        <w:tc>
          <w:tcPr>
            <w:tcW w:w="14106" w:type="dxa"/>
            <w:gridSpan w:val="9"/>
            <w:vAlign w:val="center"/>
          </w:tcPr>
          <w:p>
            <w:pPr>
              <w:jc w:val="left"/>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调整原因：根据</w:t>
            </w:r>
            <w:r>
              <w:rPr>
                <w:rFonts w:hint="eastAsia" w:ascii="仿宋_GB2312" w:hAnsi="仿宋_GB2312" w:eastAsia="仿宋_GB2312" w:cs="仿宋_GB2312"/>
                <w:spacing w:val="-11"/>
                <w:szCs w:val="21"/>
                <w:shd w:val="clear" w:color="070000" w:fill="FFFFFF"/>
              </w:rPr>
              <w:t>《关于深入开展价格争议纠纷调解工作的意见》（法发〔2019〕32号）增加。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1" w:hRule="atLeast"/>
        </w:trPr>
        <w:tc>
          <w:tcPr>
            <w:tcW w:w="544" w:type="dxa"/>
            <w:vMerge w:val="restart"/>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12" w:type="dxa"/>
            <w:vMerge w:val="restart"/>
            <w:vAlign w:val="center"/>
          </w:tcPr>
          <w:p>
            <w:pPr>
              <w:autoSpaceDN w:val="0"/>
              <w:spacing w:line="280" w:lineRule="exact"/>
              <w:jc w:val="left"/>
              <w:textAlignment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农村电网改造升级中央预算内投资工程验收</w:t>
            </w:r>
          </w:p>
        </w:tc>
        <w:tc>
          <w:tcPr>
            <w:tcW w:w="7306" w:type="dxa"/>
            <w:vMerge w:val="restart"/>
            <w:vAlign w:val="center"/>
          </w:tcPr>
          <w:p>
            <w:pPr>
              <w:spacing w:line="28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国家能源局关于印发〈农村电网改造升级工程验收指南〉的通知，（国能综新能〔2010〕2520号）附件第一条，第一，二、三款：“农网改造升级工程验收，原则上按照工程实施年度组织年度验收，必要时可对连续2年年度工程组织一次性验收。 项目法人负责组织单项工程的验收，完成全部单项工程验收后编制单项工程验收报告，报省级发展改革委、能源局备案。 省级发展改革委、能源局收到单项工程总体验收报告后，应及时组织农网改造升级总体工程验收，并对农网改造升级投资计划和执行情况进行总结。”</w:t>
            </w:r>
          </w:p>
          <w:p>
            <w:pPr>
              <w:spacing w:line="28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国家发展改革委办公厅关于印发〈新一轮农村电网改造升级项目管理办法〉的通知》（发改办能源〔2016〕671号）附件第四十条“农网改造升级工程项目完工后，省级发展改革委应及时组织对本省级区域内农网改造升级项目进行总体竣工验收，验收报告应报国家发展改革委备案。项目法人负责单项工程的验收，验收报告报省级发展改革委备案。”</w:t>
            </w:r>
          </w:p>
          <w:p>
            <w:pPr>
              <w:autoSpaceDN w:val="0"/>
              <w:spacing w:line="280" w:lineRule="exact"/>
              <w:jc w:val="left"/>
              <w:textAlignment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国家能源局、财政部、农业部关于印发绿色能源示范县建设管理办法的通知》（国能新能〔2011〕2164号）附件第18条：“示范县项目全部建成后，由省级能源主管部门会同财政、农业主管部门依据批复的实施方案及有关文件规定，对示范县进行验收，验收报告报国家能源局、财政部和农业部。”按省发改委安排开展工作。</w:t>
            </w:r>
          </w:p>
        </w:tc>
        <w:tc>
          <w:tcPr>
            <w:tcW w:w="750" w:type="dxa"/>
            <w:vMerge w:val="restart"/>
            <w:vAlign w:val="center"/>
          </w:tcPr>
          <w:p>
            <w:pPr>
              <w:spacing w:line="260" w:lineRule="exact"/>
              <w:jc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其他职权</w:t>
            </w:r>
          </w:p>
        </w:tc>
        <w:tc>
          <w:tcPr>
            <w:tcW w:w="750" w:type="dxa"/>
            <w:gridSpan w:val="2"/>
            <w:vAlign w:val="center"/>
          </w:tcPr>
          <w:p>
            <w:pPr>
              <w:widowControl/>
              <w:spacing w:line="300" w:lineRule="exact"/>
              <w:jc w:val="center"/>
              <w:textAlignment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受理</w:t>
            </w:r>
          </w:p>
        </w:tc>
        <w:tc>
          <w:tcPr>
            <w:tcW w:w="2378" w:type="dxa"/>
            <w:gridSpan w:val="3"/>
            <w:vAlign w:val="center"/>
          </w:tcPr>
          <w:p>
            <w:pPr>
              <w:widowControl/>
              <w:snapToGrid w:val="0"/>
              <w:spacing w:line="300" w:lineRule="exact"/>
              <w:jc w:val="left"/>
              <w:textAlignment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1.依法依规对法人资料进行梳理，要件不全或不符要求的要求补正，并结合行业发展规划，做出受理或不予受理的决定。</w:t>
            </w:r>
          </w:p>
        </w:tc>
        <w:tc>
          <w:tcPr>
            <w:tcW w:w="2110" w:type="dxa"/>
            <w:vAlign w:val="center"/>
          </w:tcPr>
          <w:p>
            <w:pPr>
              <w:widowControl/>
              <w:jc w:val="center"/>
              <w:textAlignment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1" w:hRule="atLeast"/>
        </w:trPr>
        <w:tc>
          <w:tcPr>
            <w:tcW w:w="544" w:type="dxa"/>
            <w:vMerge w:val="continue"/>
            <w:vAlign w:val="center"/>
          </w:tcPr>
          <w:p>
            <w:pPr>
              <w:jc w:val="left"/>
              <w:rPr>
                <w:rFonts w:ascii="仿宋_GB2312" w:hAnsi="仿宋_GB2312" w:eastAsia="仿宋_GB2312" w:cs="仿宋_GB2312"/>
                <w:szCs w:val="21"/>
              </w:rPr>
            </w:pPr>
          </w:p>
        </w:tc>
        <w:tc>
          <w:tcPr>
            <w:tcW w:w="812" w:type="dxa"/>
            <w:vMerge w:val="continue"/>
            <w:vAlign w:val="center"/>
          </w:tcPr>
          <w:p>
            <w:pPr>
              <w:autoSpaceDN w:val="0"/>
              <w:spacing w:line="280" w:lineRule="exact"/>
              <w:jc w:val="left"/>
              <w:textAlignment w:val="center"/>
              <w:rPr>
                <w:rFonts w:ascii="仿宋_GB2312" w:hAnsi="仿宋_GB2312" w:eastAsia="仿宋_GB2312" w:cs="仿宋_GB2312"/>
                <w:szCs w:val="21"/>
                <w:shd w:val="clear" w:color="070000" w:fill="FFFFFF"/>
              </w:rPr>
            </w:pPr>
          </w:p>
        </w:tc>
        <w:tc>
          <w:tcPr>
            <w:tcW w:w="7306" w:type="dxa"/>
            <w:vMerge w:val="continue"/>
            <w:vAlign w:val="center"/>
          </w:tcPr>
          <w:p>
            <w:pPr>
              <w:autoSpaceDN w:val="0"/>
              <w:spacing w:line="280" w:lineRule="exact"/>
              <w:jc w:val="left"/>
              <w:textAlignment w:val="center"/>
              <w:rPr>
                <w:rFonts w:ascii="仿宋_GB2312" w:hAnsi="仿宋_GB2312" w:eastAsia="仿宋_GB2312" w:cs="仿宋_GB2312"/>
                <w:szCs w:val="21"/>
                <w:shd w:val="clear" w:color="070000" w:fill="FFFFFF"/>
              </w:rPr>
            </w:pPr>
          </w:p>
        </w:tc>
        <w:tc>
          <w:tcPr>
            <w:tcW w:w="750" w:type="dxa"/>
            <w:vMerge w:val="continue"/>
            <w:vAlign w:val="center"/>
          </w:tcPr>
          <w:p>
            <w:pPr>
              <w:spacing w:line="260" w:lineRule="exact"/>
              <w:jc w:val="center"/>
              <w:rPr>
                <w:rFonts w:ascii="仿宋_GB2312" w:hAnsi="仿宋_GB2312" w:eastAsia="仿宋_GB2312" w:cs="仿宋_GB2312"/>
                <w:szCs w:val="21"/>
                <w:shd w:val="clear" w:color="070000" w:fill="FFFFFF"/>
              </w:rPr>
            </w:pPr>
          </w:p>
        </w:tc>
        <w:tc>
          <w:tcPr>
            <w:tcW w:w="750" w:type="dxa"/>
            <w:gridSpan w:val="2"/>
            <w:vAlign w:val="center"/>
          </w:tcPr>
          <w:p>
            <w:pPr>
              <w:pStyle w:val="10"/>
              <w:widowControl/>
              <w:spacing w:beforeAutospacing="0" w:afterAutospacing="0" w:line="300" w:lineRule="exact"/>
              <w:jc w:val="center"/>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审查</w:t>
            </w:r>
          </w:p>
        </w:tc>
        <w:tc>
          <w:tcPr>
            <w:tcW w:w="2378" w:type="dxa"/>
            <w:gridSpan w:val="3"/>
            <w:vAlign w:val="center"/>
          </w:tcPr>
          <w:p>
            <w:pPr>
              <w:pStyle w:val="10"/>
              <w:widowControl/>
              <w:spacing w:beforeAutospacing="0" w:afterAutospacing="0" w:line="300" w:lineRule="exact"/>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2.审查责任：根据省发改委批次验收的相关要求，对年度农网改造建设材料初步审查。</w:t>
            </w:r>
          </w:p>
        </w:tc>
        <w:tc>
          <w:tcPr>
            <w:tcW w:w="2110" w:type="dxa"/>
            <w:vAlign w:val="center"/>
          </w:tcPr>
          <w:p>
            <w:pPr>
              <w:spacing w:line="26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工业股</w:t>
            </w:r>
          </w:p>
          <w:p>
            <w:pPr>
              <w:pStyle w:val="2"/>
              <w:jc w:val="center"/>
              <w:rPr>
                <w:rFonts w:ascii="仿宋_GB2312" w:hAnsi="仿宋_GB2312" w:eastAsia="仿宋_GB2312" w:cs="仿宋_GB2312"/>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1" w:hRule="atLeast"/>
        </w:trPr>
        <w:tc>
          <w:tcPr>
            <w:tcW w:w="544" w:type="dxa"/>
            <w:vMerge w:val="continue"/>
            <w:vAlign w:val="center"/>
          </w:tcPr>
          <w:p>
            <w:pPr>
              <w:jc w:val="left"/>
              <w:rPr>
                <w:rFonts w:ascii="仿宋_GB2312" w:hAnsi="仿宋_GB2312" w:eastAsia="仿宋_GB2312" w:cs="仿宋_GB2312"/>
                <w:szCs w:val="21"/>
              </w:rPr>
            </w:pPr>
          </w:p>
        </w:tc>
        <w:tc>
          <w:tcPr>
            <w:tcW w:w="812" w:type="dxa"/>
            <w:vMerge w:val="continue"/>
            <w:vAlign w:val="center"/>
          </w:tcPr>
          <w:p>
            <w:pPr>
              <w:autoSpaceDN w:val="0"/>
              <w:spacing w:line="260" w:lineRule="exact"/>
              <w:jc w:val="center"/>
              <w:textAlignment w:val="center"/>
              <w:rPr>
                <w:rFonts w:ascii="仿宋_GB2312" w:hAnsi="仿宋_GB2312" w:eastAsia="仿宋_GB2312" w:cs="仿宋_GB2312"/>
                <w:szCs w:val="21"/>
                <w:shd w:val="clear" w:color="070000" w:fill="FFFFFF"/>
              </w:rPr>
            </w:pPr>
          </w:p>
        </w:tc>
        <w:tc>
          <w:tcPr>
            <w:tcW w:w="7306" w:type="dxa"/>
            <w:vMerge w:val="continue"/>
            <w:vAlign w:val="center"/>
          </w:tcPr>
          <w:p>
            <w:pPr>
              <w:autoSpaceDN w:val="0"/>
              <w:spacing w:line="260" w:lineRule="exact"/>
              <w:jc w:val="center"/>
              <w:textAlignment w:val="center"/>
              <w:rPr>
                <w:rFonts w:ascii="仿宋_GB2312" w:hAnsi="仿宋_GB2312" w:eastAsia="仿宋_GB2312" w:cs="仿宋_GB2312"/>
                <w:szCs w:val="21"/>
                <w:shd w:val="clear" w:color="070000" w:fill="FFFFFF"/>
              </w:rPr>
            </w:pPr>
          </w:p>
        </w:tc>
        <w:tc>
          <w:tcPr>
            <w:tcW w:w="750" w:type="dxa"/>
            <w:vMerge w:val="continue"/>
            <w:vAlign w:val="center"/>
          </w:tcPr>
          <w:p>
            <w:pPr>
              <w:autoSpaceDN w:val="0"/>
              <w:spacing w:line="260" w:lineRule="exact"/>
              <w:jc w:val="center"/>
              <w:textAlignment w:val="center"/>
              <w:rPr>
                <w:rFonts w:ascii="仿宋_GB2312" w:hAnsi="仿宋_GB2312" w:eastAsia="仿宋_GB2312" w:cs="仿宋_GB2312"/>
                <w:szCs w:val="21"/>
                <w:shd w:val="clear" w:color="070000" w:fill="FFFFFF"/>
              </w:rPr>
            </w:pPr>
          </w:p>
        </w:tc>
        <w:tc>
          <w:tcPr>
            <w:tcW w:w="750" w:type="dxa"/>
            <w:gridSpan w:val="2"/>
            <w:vAlign w:val="center"/>
          </w:tcPr>
          <w:p>
            <w:pPr>
              <w:pStyle w:val="10"/>
              <w:widowControl/>
              <w:spacing w:beforeAutospacing="0" w:afterAutospacing="0" w:line="300" w:lineRule="exact"/>
              <w:jc w:val="center"/>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验收</w:t>
            </w:r>
          </w:p>
        </w:tc>
        <w:tc>
          <w:tcPr>
            <w:tcW w:w="2378" w:type="dxa"/>
            <w:gridSpan w:val="3"/>
            <w:vAlign w:val="center"/>
          </w:tcPr>
          <w:p>
            <w:pPr>
              <w:pStyle w:val="10"/>
              <w:widowControl/>
              <w:spacing w:beforeAutospacing="0" w:afterAutospacing="0" w:line="300" w:lineRule="exact"/>
              <w:rPr>
                <w:rFonts w:ascii="仿宋_GB2312" w:hAnsi="仿宋_GB2312" w:eastAsia="仿宋_GB2312" w:cs="仿宋_GB231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3.验收责任：按要求组织相关部门专家实地查验工程质量及相关资料。</w:t>
            </w:r>
          </w:p>
        </w:tc>
        <w:tc>
          <w:tcPr>
            <w:tcW w:w="2110" w:type="dxa"/>
            <w:vAlign w:val="center"/>
          </w:tcPr>
          <w:p>
            <w:pPr>
              <w:autoSpaceDN w:val="0"/>
              <w:spacing w:line="260" w:lineRule="exact"/>
              <w:jc w:val="center"/>
              <w:textAlignment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1" w:hRule="atLeast"/>
        </w:trPr>
        <w:tc>
          <w:tcPr>
            <w:tcW w:w="544" w:type="dxa"/>
            <w:vMerge w:val="continue"/>
            <w:vAlign w:val="center"/>
          </w:tcPr>
          <w:p>
            <w:pPr>
              <w:jc w:val="left"/>
              <w:rPr>
                <w:rFonts w:ascii="仿宋_GB2312" w:hAnsi="仿宋_GB2312" w:eastAsia="仿宋_GB2312" w:cs="仿宋_GB2312"/>
                <w:szCs w:val="21"/>
              </w:rPr>
            </w:pPr>
          </w:p>
        </w:tc>
        <w:tc>
          <w:tcPr>
            <w:tcW w:w="812" w:type="dxa"/>
            <w:vMerge w:val="continue"/>
            <w:vAlign w:val="center"/>
          </w:tcPr>
          <w:p>
            <w:pPr>
              <w:autoSpaceDN w:val="0"/>
              <w:spacing w:line="260" w:lineRule="exact"/>
              <w:jc w:val="center"/>
              <w:textAlignment w:val="center"/>
              <w:rPr>
                <w:rFonts w:ascii="仿宋_GB2312" w:hAnsi="仿宋_GB2312" w:eastAsia="仿宋_GB2312" w:cs="仿宋_GB2312"/>
                <w:szCs w:val="21"/>
                <w:shd w:val="clear" w:color="070000" w:fill="FFFFFF"/>
              </w:rPr>
            </w:pPr>
          </w:p>
        </w:tc>
        <w:tc>
          <w:tcPr>
            <w:tcW w:w="7306" w:type="dxa"/>
            <w:vMerge w:val="continue"/>
            <w:vAlign w:val="center"/>
          </w:tcPr>
          <w:p>
            <w:pPr>
              <w:autoSpaceDN w:val="0"/>
              <w:spacing w:line="260" w:lineRule="exact"/>
              <w:jc w:val="center"/>
              <w:textAlignment w:val="center"/>
              <w:rPr>
                <w:rFonts w:ascii="仿宋_GB2312" w:hAnsi="仿宋_GB2312" w:eastAsia="仿宋_GB2312" w:cs="仿宋_GB2312"/>
                <w:szCs w:val="21"/>
                <w:shd w:val="clear" w:color="070000" w:fill="FFFFFF"/>
              </w:rPr>
            </w:pPr>
          </w:p>
        </w:tc>
        <w:tc>
          <w:tcPr>
            <w:tcW w:w="750" w:type="dxa"/>
            <w:vMerge w:val="continue"/>
            <w:vAlign w:val="center"/>
          </w:tcPr>
          <w:p>
            <w:pPr>
              <w:autoSpaceDN w:val="0"/>
              <w:spacing w:line="260" w:lineRule="exact"/>
              <w:jc w:val="center"/>
              <w:textAlignment w:val="center"/>
              <w:rPr>
                <w:rFonts w:ascii="仿宋_GB2312" w:hAnsi="仿宋_GB2312" w:eastAsia="仿宋_GB2312" w:cs="仿宋_GB2312"/>
                <w:szCs w:val="21"/>
                <w:shd w:val="clear" w:color="070000" w:fill="FFFFFF"/>
              </w:rPr>
            </w:pPr>
          </w:p>
        </w:tc>
        <w:tc>
          <w:tcPr>
            <w:tcW w:w="750" w:type="dxa"/>
            <w:gridSpan w:val="2"/>
            <w:vAlign w:val="center"/>
          </w:tcPr>
          <w:p>
            <w:pPr>
              <w:spacing w:line="300" w:lineRule="exact"/>
              <w:jc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报备</w:t>
            </w:r>
          </w:p>
        </w:tc>
        <w:tc>
          <w:tcPr>
            <w:tcW w:w="2378" w:type="dxa"/>
            <w:gridSpan w:val="3"/>
            <w:vAlign w:val="center"/>
          </w:tcPr>
          <w:p>
            <w:pPr>
              <w:spacing w:line="300" w:lineRule="exact"/>
              <w:jc w:val="left"/>
              <w:rPr>
                <w:rFonts w:ascii="仿宋_GB2312" w:hAnsi="仿宋_GB2312" w:eastAsia="仿宋_GB2312" w:cs="仿宋_GB2312"/>
                <w:szCs w:val="21"/>
                <w:shd w:val="clear" w:color="070000" w:fill="FFFFFF"/>
              </w:rPr>
            </w:pPr>
            <w:r>
              <w:rPr>
                <w:rFonts w:hint="eastAsia" w:ascii="仿宋_GB2312" w:hAnsi="仿宋_GB2312" w:eastAsia="仿宋_GB2312" w:cs="仿宋_GB2312"/>
                <w:spacing w:val="-11"/>
                <w:szCs w:val="21"/>
                <w:shd w:val="clear" w:color="070000" w:fill="FFFFFF"/>
              </w:rPr>
              <w:t>4.报备责任：验收后及时将验收情况上报省发改委。</w:t>
            </w:r>
          </w:p>
        </w:tc>
        <w:tc>
          <w:tcPr>
            <w:tcW w:w="2110" w:type="dxa"/>
            <w:vAlign w:val="center"/>
          </w:tcPr>
          <w:p>
            <w:pPr>
              <w:autoSpaceDN w:val="0"/>
              <w:spacing w:line="260" w:lineRule="exact"/>
              <w:jc w:val="center"/>
              <w:textAlignment w:val="center"/>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544" w:type="dxa"/>
            <w:vMerge w:val="continue"/>
            <w:vAlign w:val="center"/>
          </w:tcPr>
          <w:p>
            <w:pPr>
              <w:jc w:val="left"/>
              <w:rPr>
                <w:rFonts w:ascii="仿宋_GB2312" w:hAnsi="仿宋_GB2312" w:eastAsia="仿宋_GB2312" w:cs="仿宋_GB2312"/>
                <w:szCs w:val="21"/>
              </w:rPr>
            </w:pPr>
          </w:p>
        </w:tc>
        <w:tc>
          <w:tcPr>
            <w:tcW w:w="14106" w:type="dxa"/>
            <w:gridSpan w:val="9"/>
            <w:vAlign w:val="center"/>
          </w:tcPr>
          <w:p>
            <w:pPr>
              <w:jc w:val="left"/>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调整情况：增加大厅窗口受理环节。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544" w:type="dxa"/>
            <w:vMerge w:val="continue"/>
            <w:vAlign w:val="center"/>
          </w:tcPr>
          <w:p>
            <w:pPr>
              <w:jc w:val="left"/>
              <w:rPr>
                <w:rFonts w:ascii="仿宋_GB2312" w:hAnsi="仿宋_GB2312" w:eastAsia="仿宋_GB2312" w:cs="仿宋_GB2312"/>
                <w:szCs w:val="21"/>
              </w:rPr>
            </w:pPr>
          </w:p>
        </w:tc>
        <w:tc>
          <w:tcPr>
            <w:tcW w:w="14106" w:type="dxa"/>
            <w:gridSpan w:val="9"/>
            <w:vAlign w:val="center"/>
          </w:tcPr>
          <w:p>
            <w:pPr>
              <w:jc w:val="left"/>
              <w:rPr>
                <w:rFonts w:ascii="仿宋_GB2312" w:hAnsi="仿宋_GB2312" w:eastAsia="仿宋_GB2312" w:cs="仿宋_GB2312"/>
                <w:szCs w:val="21"/>
                <w:shd w:val="clear" w:color="070000" w:fill="FFFFFF"/>
              </w:rPr>
            </w:pPr>
            <w:r>
              <w:rPr>
                <w:rFonts w:hint="eastAsia" w:ascii="仿宋_GB2312" w:hAnsi="仿宋_GB2312" w:eastAsia="仿宋_GB2312" w:cs="仿宋_GB2312"/>
                <w:szCs w:val="21"/>
                <w:shd w:val="clear" w:color="070000" w:fill="FFFFFF"/>
              </w:rPr>
              <w:t>调整原因：根据“三集中三到位”工作要求。</w:t>
            </w:r>
          </w:p>
        </w:tc>
      </w:tr>
    </w:tbl>
    <w:p>
      <w:pPr>
        <w:spacing w:line="20" w:lineRule="exact"/>
        <w:rPr>
          <w:rFonts w:ascii="仿宋_GB2312" w:hAnsi="仿宋_GB2312" w:eastAsia="仿宋_GB2312" w:cs="仿宋_GB2312"/>
          <w:sz w:val="22"/>
          <w:szCs w:val="22"/>
        </w:rPr>
      </w:pPr>
    </w:p>
    <w:p>
      <w:pPr>
        <w:spacing w:line="600" w:lineRule="exact"/>
        <w:rPr>
          <w:rFonts w:ascii="黑体" w:hAnsi="黑体" w:eastAsia="黑体"/>
          <w:kern w:val="0"/>
          <w:sz w:val="32"/>
          <w:szCs w:val="32"/>
        </w:rPr>
      </w:pPr>
    </w:p>
    <w:p>
      <w:pPr>
        <w:spacing w:line="600" w:lineRule="exact"/>
        <w:rPr>
          <w:rFonts w:ascii="黑体" w:hAnsi="黑体" w:eastAsia="黑体"/>
          <w:kern w:val="0"/>
          <w:sz w:val="32"/>
          <w:szCs w:val="32"/>
        </w:rPr>
      </w:pPr>
    </w:p>
    <w:p>
      <w:pPr>
        <w:spacing w:line="600" w:lineRule="exact"/>
        <w:rPr>
          <w:rFonts w:ascii="方正小标宋_GBK" w:hAnsi="方正小标宋_GBK" w:eastAsia="方正小标宋_GBK" w:cs="方正小标宋_GBK"/>
          <w:kern w:val="0"/>
          <w:sz w:val="40"/>
          <w:szCs w:val="40"/>
        </w:rPr>
      </w:pPr>
      <w:r>
        <w:rPr>
          <w:rFonts w:hint="eastAsia" w:ascii="黑体" w:hAnsi="黑体" w:eastAsia="黑体"/>
          <w:kern w:val="0"/>
          <w:sz w:val="28"/>
          <w:szCs w:val="28"/>
        </w:rPr>
        <w:t>附件3</w:t>
      </w:r>
    </w:p>
    <w:p>
      <w:pPr>
        <w:spacing w:line="600" w:lineRule="exact"/>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kern w:val="0"/>
          <w:sz w:val="40"/>
          <w:szCs w:val="40"/>
        </w:rPr>
        <w:t>内乡县发展和改革委员会</w:t>
      </w:r>
      <w:r>
        <w:rPr>
          <w:rFonts w:hint="eastAsia" w:ascii="方正小标宋_GBK" w:hAnsi="方正小标宋_GBK" w:eastAsia="方正小标宋_GBK" w:cs="方正小标宋_GBK"/>
          <w:sz w:val="40"/>
          <w:szCs w:val="40"/>
        </w:rPr>
        <w:t>保留的权责清单</w:t>
      </w: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4950"/>
        <w:gridCol w:w="705"/>
        <w:gridCol w:w="720"/>
        <w:gridCol w:w="1245"/>
        <w:gridCol w:w="4155"/>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4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0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72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24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415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9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1</w:t>
            </w:r>
          </w:p>
        </w:tc>
        <w:tc>
          <w:tcPr>
            <w:tcW w:w="765" w:type="dxa"/>
            <w:vMerge w:val="restart"/>
          </w:tcPr>
          <w:p>
            <w:pPr>
              <w:pStyle w:val="2"/>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《政府核准的投资项目目录（河南省）》确定的项目审核（核准）</w:t>
            </w:r>
          </w:p>
        </w:tc>
        <w:tc>
          <w:tcPr>
            <w:tcW w:w="4950" w:type="dxa"/>
            <w:vMerge w:val="restart"/>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企业投资项目核准和备案管理条例》（国务院令第673号）第三条：“对关系国家安全、涉及全国重大生产力布局、战略性资源开发和重大公共利益等项目，实行核准管理。具体项目范围以及核准机关、核准权限依照政府核准的投资项目目录执行。”</w:t>
            </w:r>
          </w:p>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企业投资项目核准和备案管理办法》（国家发展改革委令2017年第2号）第三条：“县级以上人民政府投资主管部门对投资项目履行综合管理职责。”第五条第一款：“实行核准管理的具体项目范围以及核准机关、核准权限，由国务院颁布的《政府核准的投资项目目录》（以下简称《核准目录》）确定。”第七条：“依据本办法第五条第一款规定具有项目核准权限的行政机关统称项目核准机关。《核准目录》所称国务院投资主管部门是指国家发展和改革委员会；《核准目录》规定由省级政府、地方政府核准的项目，其具体项目核准机关由省级政府确定。项目核准机关对项目进行的核准是行政许可事项，实施行政许可所需经费应当由本级财政予以保障。”</w:t>
            </w:r>
          </w:p>
          <w:p>
            <w:pPr>
              <w:pStyle w:val="2"/>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《河南省人民政府办公厅关于发布政府核准的投资项目目录（河南省2017年本）的通知》（豫政办〔2017〕56号）规定部分项目由省政府投资主管部门核准。</w:t>
            </w:r>
          </w:p>
        </w:tc>
        <w:tc>
          <w:tcPr>
            <w:tcW w:w="705" w:type="dxa"/>
            <w:vMerge w:val="restart"/>
          </w:tcPr>
          <w:p>
            <w:pPr>
              <w:pStyle w:val="2"/>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行政许可</w:t>
            </w:r>
          </w:p>
        </w:tc>
        <w:tc>
          <w:tcPr>
            <w:tcW w:w="72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受理</w:t>
            </w:r>
          </w:p>
        </w:tc>
        <w:tc>
          <w:tcPr>
            <w:tcW w:w="124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1、受理相关资料</w:t>
            </w:r>
          </w:p>
        </w:tc>
        <w:tc>
          <w:tcPr>
            <w:tcW w:w="4155" w:type="dxa"/>
            <w:vMerge w:val="restart"/>
          </w:tcPr>
          <w:p>
            <w:pPr>
              <w:spacing w:line="24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《企业投资项目核准和备案管理办法》（2017年3月国家发展改革委令第2号）第五十二条　项目核准、备案机关有下列情形之一的，由其上级行政机关责令改正，对负有责任的领导人员和直接责任人员由有关单位和部门依纪依法给予处分：</w:t>
            </w:r>
          </w:p>
          <w:p>
            <w:pPr>
              <w:spacing w:line="24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（一）超越法定职权予以核准或备案的；</w:t>
            </w:r>
          </w:p>
          <w:p>
            <w:pPr>
              <w:spacing w:line="24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（二）对不符合法定条件的项目予以核准的；</w:t>
            </w:r>
          </w:p>
          <w:p>
            <w:pPr>
              <w:spacing w:line="24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（三）对符合法定条件的项目不予核准的；</w:t>
            </w:r>
          </w:p>
          <w:p>
            <w:pPr>
              <w:spacing w:line="24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（四）擅自增减核准审查条件的，或者以备案名义变相审批、核准的；</w:t>
            </w:r>
          </w:p>
          <w:p>
            <w:pPr>
              <w:spacing w:line="24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（五）不在法定期限内作出核准决定的；</w:t>
            </w:r>
          </w:p>
          <w:p>
            <w:pPr>
              <w:spacing w:line="24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（六）不依法履行监管职责或者监督不力，造成严重后果的。</w:t>
            </w:r>
          </w:p>
          <w:p>
            <w:pPr>
              <w:spacing w:line="24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第五十三条　项目核准、备案机关及其工作人员，以及其他相关部门及其工作人员，在项目核准、备案以及相关审批手续办理过程中玩忽职守、滥用职权、徇私舞弊、索贿受贿的，对负有责任的领导人员和直接责任人员依法给予处分；构成犯罪的，依法追究刑事责任。</w:t>
            </w:r>
          </w:p>
          <w:p>
            <w:pPr>
              <w:pStyle w:val="2"/>
              <w:spacing w:line="240" w:lineRule="exact"/>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第五十四条　项目核准、备案机关，以及国土（海洋）资源、城乡规划、水行政管理、环境保护、节能审查、安全监管、建设等部门违反相关法律法规规定，未依法履行监管职责的，对直接负责的主管人员和其他直接责任人员，依法给予处分；构成犯罪的，依法追究刑事责任。项目所在地的地方政府有关部门不履行企业投资监管职责的，对直接负责的主管人员和其他直接责任人员，依法给予处分。</w:t>
            </w:r>
          </w:p>
        </w:tc>
        <w:tc>
          <w:tcPr>
            <w:tcW w:w="899" w:type="dxa"/>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大厅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4950" w:type="dxa"/>
            <w:vMerge w:val="continue"/>
          </w:tcPr>
          <w:p>
            <w:pPr>
              <w:pStyle w:val="2"/>
              <w:rPr>
                <w:rFonts w:ascii="方正小标宋_GBK" w:hAnsi="方正小标宋_GBK" w:eastAsia="方正小标宋_GBK" w:cs="方正小标宋_GBK"/>
                <w:sz w:val="44"/>
                <w:szCs w:val="44"/>
              </w:rPr>
            </w:pPr>
          </w:p>
        </w:tc>
        <w:tc>
          <w:tcPr>
            <w:tcW w:w="705" w:type="dxa"/>
            <w:vMerge w:val="continue"/>
          </w:tcPr>
          <w:p>
            <w:pPr>
              <w:pStyle w:val="2"/>
              <w:rPr>
                <w:rFonts w:ascii="方正小标宋_GBK" w:hAnsi="方正小标宋_GBK" w:eastAsia="方正小标宋_GBK" w:cs="方正小标宋_GBK"/>
                <w:sz w:val="44"/>
                <w:szCs w:val="44"/>
              </w:rPr>
            </w:pPr>
          </w:p>
        </w:tc>
        <w:tc>
          <w:tcPr>
            <w:tcW w:w="72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审核</w:t>
            </w:r>
          </w:p>
        </w:tc>
        <w:tc>
          <w:tcPr>
            <w:tcW w:w="124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2、审查责任：对项目是否符合产业政策、项目申请报告、土地预审批复、规划许可进行审查，必要时召开评审会，对合规性审核。</w:t>
            </w:r>
          </w:p>
        </w:tc>
        <w:tc>
          <w:tcPr>
            <w:tcW w:w="4155" w:type="dxa"/>
            <w:vMerge w:val="continue"/>
          </w:tcPr>
          <w:p>
            <w:pPr>
              <w:pStyle w:val="2"/>
              <w:rPr>
                <w:rFonts w:ascii="方正小标宋_GBK" w:hAnsi="方正小标宋_GBK" w:eastAsia="方正小标宋_GBK" w:cs="方正小标宋_GBK"/>
                <w:sz w:val="44"/>
                <w:szCs w:val="44"/>
              </w:rPr>
            </w:pPr>
          </w:p>
        </w:tc>
        <w:tc>
          <w:tcPr>
            <w:tcW w:w="899" w:type="dxa"/>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业务审查：投资股、社会股、城乡建设股、农业股、工业股等</w:t>
            </w:r>
          </w:p>
          <w:p>
            <w:pPr>
              <w:spacing w:line="300" w:lineRule="exact"/>
              <w:jc w:val="left"/>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4950" w:type="dxa"/>
            <w:vMerge w:val="continue"/>
          </w:tcPr>
          <w:p>
            <w:pPr>
              <w:pStyle w:val="2"/>
              <w:rPr>
                <w:rFonts w:ascii="方正小标宋_GBK" w:hAnsi="方正小标宋_GBK" w:eastAsia="方正小标宋_GBK" w:cs="方正小标宋_GBK"/>
                <w:sz w:val="44"/>
                <w:szCs w:val="44"/>
              </w:rPr>
            </w:pPr>
          </w:p>
        </w:tc>
        <w:tc>
          <w:tcPr>
            <w:tcW w:w="705" w:type="dxa"/>
            <w:vMerge w:val="continue"/>
          </w:tcPr>
          <w:p>
            <w:pPr>
              <w:pStyle w:val="2"/>
              <w:rPr>
                <w:rFonts w:ascii="方正小标宋_GBK" w:hAnsi="方正小标宋_GBK" w:eastAsia="方正小标宋_GBK" w:cs="方正小标宋_GBK"/>
                <w:sz w:val="44"/>
                <w:szCs w:val="44"/>
              </w:rPr>
            </w:pPr>
          </w:p>
        </w:tc>
        <w:tc>
          <w:tcPr>
            <w:tcW w:w="72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办结</w:t>
            </w:r>
          </w:p>
        </w:tc>
        <w:tc>
          <w:tcPr>
            <w:tcW w:w="1245"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3、办结责任：行政许可在1日内办结。</w:t>
            </w:r>
          </w:p>
        </w:tc>
        <w:tc>
          <w:tcPr>
            <w:tcW w:w="4155" w:type="dxa"/>
            <w:vMerge w:val="continue"/>
          </w:tcPr>
          <w:p>
            <w:pPr>
              <w:pStyle w:val="2"/>
              <w:rPr>
                <w:rFonts w:ascii="方正小标宋_GBK" w:hAnsi="方正小标宋_GBK" w:eastAsia="方正小标宋_GBK" w:cs="方正小标宋_GBK"/>
                <w:sz w:val="44"/>
                <w:szCs w:val="44"/>
              </w:rPr>
            </w:pPr>
          </w:p>
        </w:tc>
        <w:tc>
          <w:tcPr>
            <w:tcW w:w="899" w:type="dxa"/>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Style w:val="2"/>
        <w:rPr>
          <w:rFonts w:ascii="方正小标宋_GBK" w:hAnsi="方正小标宋_GBK" w:eastAsia="方正小标宋_GBK" w:cs="方正小标宋_GBK"/>
          <w:sz w:val="44"/>
          <w:szCs w:val="44"/>
        </w:rPr>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5436"/>
        <w:gridCol w:w="780"/>
        <w:gridCol w:w="840"/>
        <w:gridCol w:w="1500"/>
        <w:gridCol w:w="3219"/>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436"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8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4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5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321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9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2</w:t>
            </w:r>
          </w:p>
        </w:tc>
        <w:tc>
          <w:tcPr>
            <w:tcW w:w="765" w:type="dxa"/>
            <w:vMerge w:val="restart"/>
            <w:vAlign w:val="center"/>
          </w:tcPr>
          <w:p>
            <w:pPr>
              <w:widowControl/>
              <w:spacing w:line="300" w:lineRule="exact"/>
              <w:jc w:val="center"/>
              <w:textAlignment w:val="center"/>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固定资产投资项目节能审查</w:t>
            </w:r>
          </w:p>
        </w:tc>
        <w:tc>
          <w:tcPr>
            <w:tcW w:w="5436" w:type="dxa"/>
            <w:vMerge w:val="restart"/>
            <w:vAlign w:val="center"/>
          </w:tcPr>
          <w:p>
            <w:pPr>
              <w:spacing w:line="28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节约能源法》（2018年10月26日第十三届全国人民代表大会常务委员会第六次会议第二次修正）第十五条：“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 《固定资产投资项目节能审查办法》（国家发展和改革委员会令第44号）第二条：“本办法适用于各级人民政府投资主管部门管理的在 我国境内建设的固定资产投资项目。本办法所称节能审查，是指 根据节能法律法规、政策标准等，对项目节能情况进行审查并形 成审查意见的行为。” 第三条：“ 固定资产投资项目节能审查意见是项目开工建设、 竣工验收和运营管理的重要依据。政府投资项目，建设单位在报 送项目可行性研究报告前，需取得节能审查机关出具的节能审查 意见。企业投资项目，建设单位需在开工建设前取得节能审查机 关出具的节能审查意见。未按本办法规定进行节能审查，或节能 审查未通过的项目，建设单位不得开工建设，已经建成的不得投 入生产、使用。”《固定资产投资项目节能审查办法》（国家发展和改革委员会令第2号）第二条：“本办法适用于各级人民政府投资主管部门管理的在我国境内建设的固定资产投资项目。本办法所称节能审查，是指根据节能法律法规、政策标准等，对项目能源消费、能效水平及节能措施等情况进行审查并形成审查意见的行为。” 第三条：“ 固定资产投资项目节能审查意见是项目开工建设、竣工验收和运营管理的重要依据。政府投资项目，建设单位在报送项目可行性研究报告前，需取得节能审查机关出具的节能审查意见。企业投资项目，建设单位需在开工建设前取得节能审查机关出具的节能审查意见。未按本办法规定进行节能审查，或节能审查未通过的项目，建设单位不得开工建设，已经建成的不得投入生产、使用。”《河南省节约能源条例》（河南省第十二届人民代表大会常务委员会第三十二次会议） 第十三条：“实行固定资产投资项目节能评估和审查制度。固定资产投资项目的建设单位应当按照规定进行节能评估，编制节能报告，并按照节能审查权限报发展改革部门审查。不符合强制性节能标准的项目，建设单位不得开工建设；已经建成的，不得投入生产、使用。政府投资项目不符合强制性节能标准的，依法负责项目审批的机关不得批准建设。” 《河南省固定资产投资项目节能审查实施细则》（豫发改环资〔2017〕399号）第二条：“本细则适用于县级以上投资主管部门管理的在我省行政区域内建设的固定资产投资项目。 本细则所称节能审查，是指根据节能法律法规、政策标准等，对项目节能情况进行审查并形成审查意见的行为。”第四条：“固定资产投资项目节能审查意见是项目开工建设、竣工验收和运营管理的重要依据。政府投资项目，建设单位在报送项目可行性研究报告前，需取得节能审查机关出具的节能审查意见。企业投资项目，建设单位需在开工建设前取得节能审查机关出具的节能审查意见。未按规定进行节能审查，或节能审查未获通过的固定资产投资项目，建设单位不得开工建设，已经建成的不得投入生产、使用。” 《河南省固定资产投资项目节能审查实施办法》（豫发改环资〔2023〕383号）第二条：“本实施办法适用于本省行政区域内的固定资产投资项目。”第五条：固定资产投资项目节能审查意见是项目开工建设、竣工验收和运营管理的重要依据。政府投资项目，建设单位在报送项目可行性研究报告前，需取得节能审查机关出具的节能审查意见。企业投资项目，</w:t>
            </w:r>
          </w:p>
          <w:p>
            <w:pPr>
              <w:spacing w:line="280" w:lineRule="exac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建设单位需在开工建设前取得节能审查机关出具的节能审查意见。未按规定进行节能审查，或节能审查未通过的固定资产投资项目，建设单位不得开工建设，已经建成的不得投入生产、使用。</w:t>
            </w:r>
          </w:p>
        </w:tc>
        <w:tc>
          <w:tcPr>
            <w:tcW w:w="780" w:type="dxa"/>
            <w:vMerge w:val="restart"/>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w:t>
            </w:r>
          </w:p>
          <w:p>
            <w:pPr>
              <w:spacing w:line="300" w:lineRule="exact"/>
              <w:jc w:val="center"/>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许可</w:t>
            </w:r>
          </w:p>
        </w:tc>
        <w:tc>
          <w:tcPr>
            <w:tcW w:w="840" w:type="dxa"/>
            <w:vAlign w:val="center"/>
          </w:tcPr>
          <w:p>
            <w:pPr>
              <w:widowControl/>
              <w:spacing w:line="300" w:lineRule="exac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受理</w:t>
            </w:r>
          </w:p>
        </w:tc>
        <w:tc>
          <w:tcPr>
            <w:tcW w:w="1500" w:type="dxa"/>
            <w:vAlign w:val="center"/>
          </w:tcPr>
          <w:p>
            <w:pPr>
              <w:widowControl/>
              <w:spacing w:line="300" w:lineRule="exact"/>
              <w:jc w:val="lef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1、受理相关资料</w:t>
            </w:r>
          </w:p>
        </w:tc>
        <w:tc>
          <w:tcPr>
            <w:tcW w:w="3219" w:type="dxa"/>
            <w:vMerge w:val="restart"/>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节约能源法》（1997年11月通过，2018年10月第二次修正）：第六十八条：“负责审批政府投资项目的机关违反本法规定，对不符合强制性节能标准的项目予以批准建设的，对直接负责的主管人员和其他直接责任人员依法给予处分。”第八十五条：“违反本法规定，构成犯罪的，依法追究刑事责任。”第八十六条：“国家工作人员在节能管理工作中滥用职权、玩忽职守、徇私舞弊，构成犯罪的，依法追究刑事责任；尚不构成犯罪的，依法给予处分。”</w:t>
            </w:r>
          </w:p>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《固定资产投资项目节能审查办法》（国家发展和改革委员会令2023年第2号）第二十九条 负责审批政府投资项目的工作人员，对未进行节能审查或节能审查未获通过的项目，违反本办法规定予以批准的，依法给予处分。 第三十条 节能审查机关、节能评审机构工作人员以及其他参与评审的有关人员在节能评审中存在违纪违法行为，依法给予处分，构成犯罪的依法追究刑事责任。</w:t>
            </w:r>
          </w:p>
          <w:p>
            <w:pPr>
              <w:widowControl/>
              <w:spacing w:line="300" w:lineRule="exact"/>
              <w:jc w:val="left"/>
              <w:rPr>
                <w:rFonts w:ascii="仿宋_GB2312" w:hAnsi="仿宋_GB2312" w:eastAsia="仿宋_GB2312" w:cs="仿宋_GB2312"/>
                <w:b/>
                <w:bCs/>
                <w:kern w:val="0"/>
                <w:szCs w:val="21"/>
              </w:rPr>
            </w:pPr>
          </w:p>
        </w:tc>
        <w:tc>
          <w:tcPr>
            <w:tcW w:w="899"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大厅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436" w:type="dxa"/>
            <w:vMerge w:val="continue"/>
          </w:tcPr>
          <w:p>
            <w:pPr>
              <w:pStyle w:val="2"/>
              <w:rPr>
                <w:rFonts w:ascii="方正小标宋_GBK" w:hAnsi="方正小标宋_GBK" w:eastAsia="方正小标宋_GBK" w:cs="方正小标宋_GBK"/>
                <w:sz w:val="44"/>
                <w:szCs w:val="44"/>
              </w:rPr>
            </w:pPr>
          </w:p>
        </w:tc>
        <w:tc>
          <w:tcPr>
            <w:tcW w:w="780" w:type="dxa"/>
            <w:vMerge w:val="continue"/>
          </w:tcPr>
          <w:p>
            <w:pPr>
              <w:pStyle w:val="2"/>
              <w:rPr>
                <w:rFonts w:ascii="方正小标宋_GBK" w:hAnsi="方正小标宋_GBK" w:eastAsia="方正小标宋_GBK" w:cs="方正小标宋_GBK"/>
                <w:sz w:val="44"/>
                <w:szCs w:val="44"/>
              </w:rPr>
            </w:pPr>
          </w:p>
        </w:tc>
        <w:tc>
          <w:tcPr>
            <w:tcW w:w="840" w:type="dxa"/>
            <w:vAlign w:val="center"/>
          </w:tcPr>
          <w:p>
            <w:pPr>
              <w:widowControl/>
              <w:spacing w:line="300" w:lineRule="exac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审核</w:t>
            </w:r>
          </w:p>
        </w:tc>
        <w:tc>
          <w:tcPr>
            <w:tcW w:w="1500" w:type="dxa"/>
            <w:vAlign w:val="center"/>
          </w:tcPr>
          <w:p>
            <w:pPr>
              <w:widowControl/>
              <w:spacing w:line="300" w:lineRule="exac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2、审查责任：根据节能法律法规、政策标准等，对项目节能情况进行审查，必要时召开评审会，对合规性审核。</w:t>
            </w:r>
          </w:p>
        </w:tc>
        <w:tc>
          <w:tcPr>
            <w:tcW w:w="3219"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业务审查：投资股、社会股、城乡建设股、农业股、工业股等</w:t>
            </w:r>
          </w:p>
          <w:p>
            <w:pPr>
              <w:spacing w:line="300" w:lineRule="exact"/>
              <w:jc w:val="center"/>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436" w:type="dxa"/>
            <w:vMerge w:val="continue"/>
          </w:tcPr>
          <w:p>
            <w:pPr>
              <w:pStyle w:val="2"/>
              <w:rPr>
                <w:rFonts w:ascii="方正小标宋_GBK" w:hAnsi="方正小标宋_GBK" w:eastAsia="方正小标宋_GBK" w:cs="方正小标宋_GBK"/>
                <w:sz w:val="44"/>
                <w:szCs w:val="44"/>
              </w:rPr>
            </w:pPr>
          </w:p>
        </w:tc>
        <w:tc>
          <w:tcPr>
            <w:tcW w:w="780" w:type="dxa"/>
            <w:vMerge w:val="continue"/>
          </w:tcPr>
          <w:p>
            <w:pPr>
              <w:pStyle w:val="2"/>
              <w:rPr>
                <w:rFonts w:ascii="方正小标宋_GBK" w:hAnsi="方正小标宋_GBK" w:eastAsia="方正小标宋_GBK" w:cs="方正小标宋_GBK"/>
                <w:sz w:val="44"/>
                <w:szCs w:val="44"/>
              </w:rPr>
            </w:pPr>
          </w:p>
        </w:tc>
        <w:tc>
          <w:tcPr>
            <w:tcW w:w="840" w:type="dxa"/>
            <w:vAlign w:val="center"/>
          </w:tcPr>
          <w:p>
            <w:pPr>
              <w:spacing w:line="300" w:lineRule="exact"/>
              <w:jc w:val="center"/>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办结</w:t>
            </w:r>
          </w:p>
        </w:tc>
        <w:tc>
          <w:tcPr>
            <w:tcW w:w="1500" w:type="dxa"/>
            <w:vAlign w:val="center"/>
          </w:tcPr>
          <w:p>
            <w:pPr>
              <w:spacing w:line="300" w:lineRule="exac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3、办结责任：行政许可在1日内办结。</w:t>
            </w:r>
          </w:p>
        </w:tc>
        <w:tc>
          <w:tcPr>
            <w:tcW w:w="3219"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3058"/>
        <w:gridCol w:w="1365"/>
        <w:gridCol w:w="1185"/>
        <w:gridCol w:w="2948"/>
        <w:gridCol w:w="3219"/>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058"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3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118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948"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321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9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3</w:t>
            </w:r>
          </w:p>
        </w:tc>
        <w:tc>
          <w:tcPr>
            <w:tcW w:w="765" w:type="dxa"/>
            <w:vMerge w:val="restart"/>
            <w:vAlign w:val="center"/>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石油天然气管道受限制区域施工保护方案许可</w:t>
            </w:r>
          </w:p>
        </w:tc>
        <w:tc>
          <w:tcPr>
            <w:tcW w:w="3058" w:type="dxa"/>
            <w:vMerge w:val="restart"/>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tc>
        <w:tc>
          <w:tcPr>
            <w:tcW w:w="1365" w:type="dxa"/>
            <w:vMerge w:val="restart"/>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行政许可</w:t>
            </w:r>
          </w:p>
        </w:tc>
        <w:tc>
          <w:tcPr>
            <w:tcW w:w="1185"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受理</w:t>
            </w:r>
          </w:p>
          <w:p>
            <w:pPr>
              <w:widowControl/>
              <w:spacing w:line="300" w:lineRule="exact"/>
              <w:jc w:val="center"/>
              <w:rPr>
                <w:rFonts w:ascii="仿宋_GB2312" w:hAnsi="仿宋_GB2312" w:eastAsia="仿宋_GB2312" w:cs="仿宋_GB2312"/>
                <w:spacing w:val="-11"/>
                <w:szCs w:val="21"/>
                <w:shd w:val="clear" w:color="070000" w:fill="FFFFFF"/>
              </w:rPr>
            </w:pPr>
          </w:p>
          <w:p>
            <w:pPr>
              <w:widowControl/>
              <w:spacing w:line="300" w:lineRule="exact"/>
              <w:jc w:val="center"/>
              <w:rPr>
                <w:rFonts w:ascii="仿宋_GB2312" w:hAnsi="仿宋_GB2312" w:eastAsia="仿宋_GB2312" w:cs="仿宋_GB2312"/>
                <w:spacing w:val="-11"/>
                <w:szCs w:val="21"/>
                <w:shd w:val="clear" w:color="070000" w:fill="FFFFFF"/>
              </w:rPr>
            </w:pPr>
          </w:p>
        </w:tc>
        <w:tc>
          <w:tcPr>
            <w:tcW w:w="2948"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 xml:space="preserve">1.受理责任：公示依法应当提交的材料；一次性告知补正材料；依法受理或不予受理（不予受理应当告知理由）。                                      </w:t>
            </w:r>
          </w:p>
          <w:p>
            <w:pPr>
              <w:widowControl/>
              <w:spacing w:line="300" w:lineRule="exact"/>
              <w:jc w:val="left"/>
              <w:rPr>
                <w:rFonts w:ascii="仿宋_GB2312" w:hAnsi="仿宋_GB2312" w:eastAsia="仿宋_GB2312" w:cs="仿宋_GB2312"/>
                <w:spacing w:val="-11"/>
                <w:szCs w:val="21"/>
                <w:shd w:val="clear" w:color="070000" w:fill="FFFFFF"/>
              </w:rPr>
            </w:pPr>
          </w:p>
        </w:tc>
        <w:tc>
          <w:tcPr>
            <w:tcW w:w="3219" w:type="dxa"/>
            <w:vMerge w:val="restart"/>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《中华人民共和国石油天然气管道保护法》第</w:t>
            </w:r>
            <w:r>
              <w:rPr>
                <w:rFonts w:ascii="仿宋_GB2312" w:hAnsi="仿宋_GB2312" w:eastAsia="仿宋_GB2312" w:cs="仿宋_GB2312"/>
                <w:spacing w:val="-11"/>
                <w:szCs w:val="21"/>
                <w:shd w:val="clear" w:color="070000" w:fill="FFFFFF"/>
              </w:rPr>
              <w:t>五十六条 县级以上地方人民政府及其主管管道保护工作的部门或者其他有关部门，违反本法规定，对应当组织排除的管道外部安全隐患不及时组织排除，发现危害管道安全的行为或者接到对危害管道安全行为的举报后不依法予以查处，或者有其他不依照本法规定履行职责的行为的，由其上级机关责令改正，对直接负责的主管人员和其他直接责任人员依法给予处分。</w:t>
            </w:r>
          </w:p>
        </w:tc>
        <w:tc>
          <w:tcPr>
            <w:tcW w:w="899"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 xml:space="preserve"> 行政审批服务股</w:t>
            </w:r>
          </w:p>
          <w:p>
            <w:pPr>
              <w:spacing w:line="300" w:lineRule="exact"/>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3058" w:type="dxa"/>
            <w:vMerge w:val="continue"/>
          </w:tcPr>
          <w:p>
            <w:pPr>
              <w:pStyle w:val="2"/>
              <w:rPr>
                <w:rFonts w:ascii="方正小标宋_GBK" w:hAnsi="方正小标宋_GBK" w:eastAsia="方正小标宋_GBK" w:cs="方正小标宋_GBK"/>
                <w:sz w:val="44"/>
                <w:szCs w:val="44"/>
              </w:rPr>
            </w:pPr>
          </w:p>
        </w:tc>
        <w:tc>
          <w:tcPr>
            <w:tcW w:w="1365" w:type="dxa"/>
            <w:vMerge w:val="continue"/>
          </w:tcPr>
          <w:p>
            <w:pPr>
              <w:pStyle w:val="2"/>
              <w:rPr>
                <w:rFonts w:ascii="方正小标宋_GBK" w:hAnsi="方正小标宋_GBK" w:eastAsia="方正小标宋_GBK" w:cs="方正小标宋_GBK"/>
                <w:sz w:val="44"/>
                <w:szCs w:val="44"/>
              </w:rPr>
            </w:pPr>
          </w:p>
        </w:tc>
        <w:tc>
          <w:tcPr>
            <w:tcW w:w="1185" w:type="dxa"/>
            <w:vAlign w:val="center"/>
          </w:tcPr>
          <w:p>
            <w:pPr>
              <w:widowControl/>
              <w:spacing w:line="300" w:lineRule="exac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审核</w:t>
            </w:r>
          </w:p>
        </w:tc>
        <w:tc>
          <w:tcPr>
            <w:tcW w:w="2948"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2.审核责任：材料审核（包括国土、规划、节能等有关部门出具的意见书）；组织专家评审；根据需要征求部门意见、公众意见等；提出初审意见。</w:t>
            </w:r>
          </w:p>
          <w:p>
            <w:pPr>
              <w:widowControl/>
              <w:spacing w:line="300" w:lineRule="exact"/>
              <w:rPr>
                <w:rFonts w:ascii="仿宋_GB2312" w:hAnsi="仿宋_GB2312" w:eastAsia="仿宋_GB2312" w:cs="仿宋_GB2312"/>
                <w:b/>
                <w:bCs/>
                <w:kern w:val="0"/>
                <w:szCs w:val="21"/>
              </w:rPr>
            </w:pPr>
          </w:p>
        </w:tc>
        <w:tc>
          <w:tcPr>
            <w:tcW w:w="3219"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工业发展股</w:t>
            </w:r>
          </w:p>
          <w:p>
            <w:pPr>
              <w:spacing w:line="300" w:lineRule="exact"/>
              <w:jc w:val="center"/>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3058" w:type="dxa"/>
            <w:vMerge w:val="continue"/>
          </w:tcPr>
          <w:p>
            <w:pPr>
              <w:pStyle w:val="2"/>
              <w:rPr>
                <w:rFonts w:ascii="方正小标宋_GBK" w:hAnsi="方正小标宋_GBK" w:eastAsia="方正小标宋_GBK" w:cs="方正小标宋_GBK"/>
                <w:sz w:val="44"/>
                <w:szCs w:val="44"/>
              </w:rPr>
            </w:pPr>
          </w:p>
        </w:tc>
        <w:tc>
          <w:tcPr>
            <w:tcW w:w="1365" w:type="dxa"/>
            <w:vMerge w:val="continue"/>
          </w:tcPr>
          <w:p>
            <w:pPr>
              <w:pStyle w:val="2"/>
              <w:rPr>
                <w:rFonts w:ascii="方正小标宋_GBK" w:hAnsi="方正小标宋_GBK" w:eastAsia="方正小标宋_GBK" w:cs="方正小标宋_GBK"/>
                <w:sz w:val="44"/>
                <w:szCs w:val="44"/>
              </w:rPr>
            </w:pPr>
          </w:p>
        </w:tc>
        <w:tc>
          <w:tcPr>
            <w:tcW w:w="1185" w:type="dxa"/>
            <w:vAlign w:val="center"/>
          </w:tcPr>
          <w:p>
            <w:pPr>
              <w:widowControl/>
              <w:spacing w:line="300" w:lineRule="exact"/>
              <w:jc w:val="center"/>
              <w:rPr>
                <w:rFonts w:ascii="仿宋_GB2312" w:hAnsi="仿宋_GB2312" w:eastAsia="仿宋_GB2312" w:cs="仿宋_GB2312"/>
                <w:spacing w:val="-11"/>
                <w:szCs w:val="21"/>
                <w:shd w:val="clear" w:color="070000" w:fill="FFFFFF"/>
              </w:rPr>
            </w:pPr>
          </w:p>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决定</w:t>
            </w:r>
          </w:p>
          <w:p>
            <w:pPr>
              <w:spacing w:line="300" w:lineRule="exact"/>
              <w:jc w:val="center"/>
              <w:rPr>
                <w:rFonts w:ascii="仿宋_GB2312" w:hAnsi="仿宋_GB2312" w:eastAsia="仿宋_GB2312" w:cs="仿宋_GB2312"/>
                <w:b/>
                <w:bCs/>
                <w:kern w:val="0"/>
                <w:szCs w:val="21"/>
              </w:rPr>
            </w:pPr>
          </w:p>
        </w:tc>
        <w:tc>
          <w:tcPr>
            <w:tcW w:w="2948"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3.决定责任：作出决定（不予批准的应当告知理由）。</w:t>
            </w:r>
          </w:p>
          <w:p>
            <w:pPr>
              <w:spacing w:line="300" w:lineRule="exact"/>
              <w:rPr>
                <w:rFonts w:ascii="仿宋_GB2312" w:hAnsi="仿宋_GB2312" w:eastAsia="仿宋_GB2312" w:cs="仿宋_GB2312"/>
                <w:b/>
                <w:bCs/>
                <w:kern w:val="0"/>
                <w:szCs w:val="21"/>
              </w:rPr>
            </w:pPr>
          </w:p>
        </w:tc>
        <w:tc>
          <w:tcPr>
            <w:tcW w:w="3219"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工业发展股</w:t>
            </w:r>
          </w:p>
          <w:p>
            <w:pPr>
              <w:spacing w:line="300" w:lineRule="exact"/>
              <w:jc w:val="center"/>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3058" w:type="dxa"/>
            <w:vMerge w:val="continue"/>
          </w:tcPr>
          <w:p>
            <w:pPr>
              <w:pStyle w:val="2"/>
              <w:rPr>
                <w:rFonts w:ascii="方正小标宋_GBK" w:hAnsi="方正小标宋_GBK" w:eastAsia="方正小标宋_GBK" w:cs="方正小标宋_GBK"/>
                <w:sz w:val="44"/>
                <w:szCs w:val="44"/>
              </w:rPr>
            </w:pPr>
          </w:p>
        </w:tc>
        <w:tc>
          <w:tcPr>
            <w:tcW w:w="1365" w:type="dxa"/>
          </w:tcPr>
          <w:p>
            <w:pPr>
              <w:pStyle w:val="2"/>
              <w:rPr>
                <w:rFonts w:ascii="方正小标宋_GBK" w:hAnsi="方正小标宋_GBK" w:eastAsia="方正小标宋_GBK" w:cs="方正小标宋_GBK"/>
                <w:sz w:val="44"/>
                <w:szCs w:val="44"/>
              </w:rPr>
            </w:pPr>
          </w:p>
        </w:tc>
        <w:tc>
          <w:tcPr>
            <w:tcW w:w="1185"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 xml:space="preserve">                                                                        </w:t>
            </w:r>
          </w:p>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送达</w:t>
            </w:r>
          </w:p>
        </w:tc>
        <w:tc>
          <w:tcPr>
            <w:tcW w:w="2948"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4.送达责任：制发送达文书；信息公开。</w:t>
            </w:r>
          </w:p>
        </w:tc>
        <w:tc>
          <w:tcPr>
            <w:tcW w:w="3219"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行政审批服务股</w:t>
            </w:r>
          </w:p>
          <w:p>
            <w:pPr>
              <w:spacing w:line="300" w:lineRule="exact"/>
              <w:jc w:val="center"/>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Style w:val="2"/>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p>
      <w:pPr/>
    </w:p>
    <w:p>
      <w:pPr>
        <w:pStyle w:val="2"/>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3058"/>
        <w:gridCol w:w="1365"/>
        <w:gridCol w:w="1185"/>
        <w:gridCol w:w="2948"/>
        <w:gridCol w:w="3219"/>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058"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3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118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948"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321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9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4</w:t>
            </w:r>
          </w:p>
        </w:tc>
        <w:tc>
          <w:tcPr>
            <w:tcW w:w="765" w:type="dxa"/>
            <w:vMerge w:val="restart"/>
            <w:vAlign w:val="center"/>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石油天然气管道保护范围内特定施工作业许可</w:t>
            </w:r>
          </w:p>
        </w:tc>
        <w:tc>
          <w:tcPr>
            <w:tcW w:w="3058" w:type="dxa"/>
            <w:vMerge w:val="restart"/>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《中华人民共和国石油天然气管道保护法》第三十五条 进行下列施工作业，施工单位应当向管道所在地县级人民政府主管管道保护工作的部门提出申请:(一)穿跨越管道的施工作业;(二)在管道线路中心线两侧各五米至五十米和本法第五十八条第一项所列管道附属设施周边一百米地域范围内，新建、改建、扩建铁路、公路、河渠，架设电力线路，埋设地下电缆、光缆，设置安全接地体、避雷接地体;(三)在管道线路中心线两侧各二百米和本法第五十八条第一项所列管道附属设施周边五百米地域范围内，进行爆破、地震法勘探或者工程挖掘、工程钻探、采矿。县级人民政府主管管道保护工作的部门接到申请后，应当组织施工单位与管道企业协商确定施工作业方案，并签订安全防护协议;协商不成的，主管管道保护工作的部门应当组织进行安全评审，作出是否批准作业的决定。</w:t>
            </w:r>
          </w:p>
        </w:tc>
        <w:tc>
          <w:tcPr>
            <w:tcW w:w="1365" w:type="dxa"/>
            <w:vMerge w:val="restart"/>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行政许可</w:t>
            </w:r>
          </w:p>
        </w:tc>
        <w:tc>
          <w:tcPr>
            <w:tcW w:w="1185"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受理</w:t>
            </w:r>
          </w:p>
          <w:p>
            <w:pPr>
              <w:widowControl/>
              <w:spacing w:line="300" w:lineRule="exact"/>
              <w:jc w:val="center"/>
              <w:rPr>
                <w:rFonts w:ascii="仿宋_GB2312" w:hAnsi="仿宋_GB2312" w:eastAsia="仿宋_GB2312" w:cs="仿宋_GB2312"/>
                <w:spacing w:val="-11"/>
                <w:szCs w:val="21"/>
                <w:shd w:val="clear" w:color="070000" w:fill="FFFFFF"/>
              </w:rPr>
            </w:pPr>
          </w:p>
          <w:p>
            <w:pPr>
              <w:widowControl/>
              <w:spacing w:line="300" w:lineRule="exact"/>
              <w:jc w:val="center"/>
              <w:rPr>
                <w:rFonts w:ascii="仿宋_GB2312" w:hAnsi="仿宋_GB2312" w:eastAsia="仿宋_GB2312" w:cs="仿宋_GB2312"/>
                <w:spacing w:val="-11"/>
                <w:szCs w:val="21"/>
                <w:shd w:val="clear" w:color="070000" w:fill="FFFFFF"/>
              </w:rPr>
            </w:pPr>
          </w:p>
        </w:tc>
        <w:tc>
          <w:tcPr>
            <w:tcW w:w="2948"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 xml:space="preserve">1.受理责任：公示依法应当提交的材料；一次性告知补正材料；依法受理或不予受理（不予受理应当告知理由）。                                      </w:t>
            </w:r>
          </w:p>
          <w:p>
            <w:pPr>
              <w:widowControl/>
              <w:spacing w:line="300" w:lineRule="exact"/>
              <w:jc w:val="left"/>
              <w:rPr>
                <w:rFonts w:ascii="仿宋_GB2312" w:hAnsi="仿宋_GB2312" w:eastAsia="仿宋_GB2312" w:cs="仿宋_GB2312"/>
                <w:spacing w:val="-11"/>
                <w:szCs w:val="21"/>
                <w:shd w:val="clear" w:color="070000" w:fill="FFFFFF"/>
              </w:rPr>
            </w:pPr>
          </w:p>
        </w:tc>
        <w:tc>
          <w:tcPr>
            <w:tcW w:w="3219" w:type="dxa"/>
            <w:vMerge w:val="restart"/>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《中华人民共和国石油天然气管道保护法》第</w:t>
            </w:r>
            <w:r>
              <w:rPr>
                <w:rFonts w:ascii="仿宋_GB2312" w:hAnsi="仿宋_GB2312" w:eastAsia="仿宋_GB2312" w:cs="仿宋_GB2312"/>
                <w:spacing w:val="-11"/>
                <w:szCs w:val="21"/>
                <w:shd w:val="clear" w:color="070000" w:fill="FFFFFF"/>
              </w:rPr>
              <w:t>五十六条 县级以上地方人民政府及其主管管道保护工作的部门或者其他有关部门，违反本法规定，对应当组织排除的管道外部安全隐患不及时组织排除，发现危害管道安全的行为或者接到对危害管道安全行为的举报后不依法予以查处，或者有其他不依照本法规定履行职责的行为的，由其上级机关责令改正，对直接负责的主管人员和其他直接责任人员依法给予处分。</w:t>
            </w:r>
          </w:p>
        </w:tc>
        <w:tc>
          <w:tcPr>
            <w:tcW w:w="899"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 xml:space="preserve"> 行政审批服务股</w:t>
            </w:r>
          </w:p>
          <w:p>
            <w:pPr>
              <w:spacing w:line="300" w:lineRule="exact"/>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3058" w:type="dxa"/>
            <w:vMerge w:val="continue"/>
          </w:tcPr>
          <w:p>
            <w:pPr>
              <w:pStyle w:val="2"/>
              <w:rPr>
                <w:rFonts w:ascii="方正小标宋_GBK" w:hAnsi="方正小标宋_GBK" w:eastAsia="方正小标宋_GBK" w:cs="方正小标宋_GBK"/>
                <w:sz w:val="44"/>
                <w:szCs w:val="44"/>
              </w:rPr>
            </w:pPr>
          </w:p>
        </w:tc>
        <w:tc>
          <w:tcPr>
            <w:tcW w:w="1365" w:type="dxa"/>
            <w:vMerge w:val="continue"/>
          </w:tcPr>
          <w:p>
            <w:pPr>
              <w:pStyle w:val="2"/>
              <w:rPr>
                <w:rFonts w:ascii="方正小标宋_GBK" w:hAnsi="方正小标宋_GBK" w:eastAsia="方正小标宋_GBK" w:cs="方正小标宋_GBK"/>
                <w:sz w:val="44"/>
                <w:szCs w:val="44"/>
              </w:rPr>
            </w:pPr>
          </w:p>
        </w:tc>
        <w:tc>
          <w:tcPr>
            <w:tcW w:w="1185" w:type="dxa"/>
            <w:vAlign w:val="center"/>
          </w:tcPr>
          <w:p>
            <w:pPr>
              <w:widowControl/>
              <w:spacing w:line="300" w:lineRule="exac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审核</w:t>
            </w:r>
          </w:p>
        </w:tc>
        <w:tc>
          <w:tcPr>
            <w:tcW w:w="2948"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2.审核责任：材料审核（包括国土、规划、节能等有关部门出具的意见书）；组织专家评审；根据需要征求部门意见、公众意见等；提出初审意见。</w:t>
            </w:r>
          </w:p>
          <w:p>
            <w:pPr>
              <w:widowControl/>
              <w:spacing w:line="300" w:lineRule="exact"/>
              <w:rPr>
                <w:rFonts w:ascii="仿宋_GB2312" w:hAnsi="仿宋_GB2312" w:eastAsia="仿宋_GB2312" w:cs="仿宋_GB2312"/>
                <w:b/>
                <w:bCs/>
                <w:kern w:val="0"/>
                <w:szCs w:val="21"/>
              </w:rPr>
            </w:pPr>
          </w:p>
        </w:tc>
        <w:tc>
          <w:tcPr>
            <w:tcW w:w="3219"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工业发展股</w:t>
            </w:r>
          </w:p>
          <w:p>
            <w:pPr>
              <w:spacing w:line="300" w:lineRule="exact"/>
              <w:jc w:val="center"/>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3058" w:type="dxa"/>
            <w:vMerge w:val="continue"/>
          </w:tcPr>
          <w:p>
            <w:pPr>
              <w:pStyle w:val="2"/>
              <w:rPr>
                <w:rFonts w:ascii="方正小标宋_GBK" w:hAnsi="方正小标宋_GBK" w:eastAsia="方正小标宋_GBK" w:cs="方正小标宋_GBK"/>
                <w:sz w:val="44"/>
                <w:szCs w:val="44"/>
              </w:rPr>
            </w:pPr>
          </w:p>
        </w:tc>
        <w:tc>
          <w:tcPr>
            <w:tcW w:w="1365" w:type="dxa"/>
            <w:vMerge w:val="continue"/>
          </w:tcPr>
          <w:p>
            <w:pPr>
              <w:pStyle w:val="2"/>
              <w:rPr>
                <w:rFonts w:ascii="方正小标宋_GBK" w:hAnsi="方正小标宋_GBK" w:eastAsia="方正小标宋_GBK" w:cs="方正小标宋_GBK"/>
                <w:sz w:val="44"/>
                <w:szCs w:val="44"/>
              </w:rPr>
            </w:pPr>
          </w:p>
        </w:tc>
        <w:tc>
          <w:tcPr>
            <w:tcW w:w="1185" w:type="dxa"/>
            <w:vAlign w:val="center"/>
          </w:tcPr>
          <w:p>
            <w:pPr>
              <w:widowControl/>
              <w:spacing w:line="300" w:lineRule="exact"/>
              <w:jc w:val="center"/>
              <w:rPr>
                <w:rFonts w:ascii="仿宋_GB2312" w:hAnsi="仿宋_GB2312" w:eastAsia="仿宋_GB2312" w:cs="仿宋_GB2312"/>
                <w:spacing w:val="-11"/>
                <w:szCs w:val="21"/>
                <w:shd w:val="clear" w:color="070000" w:fill="FFFFFF"/>
              </w:rPr>
            </w:pPr>
          </w:p>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决定</w:t>
            </w:r>
          </w:p>
          <w:p>
            <w:pPr>
              <w:spacing w:line="300" w:lineRule="exact"/>
              <w:jc w:val="center"/>
              <w:rPr>
                <w:rFonts w:ascii="仿宋_GB2312" w:hAnsi="仿宋_GB2312" w:eastAsia="仿宋_GB2312" w:cs="仿宋_GB2312"/>
                <w:b/>
                <w:bCs/>
                <w:kern w:val="0"/>
                <w:szCs w:val="21"/>
              </w:rPr>
            </w:pPr>
          </w:p>
        </w:tc>
        <w:tc>
          <w:tcPr>
            <w:tcW w:w="2948"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3.决定责任：作出决定（不予批准的应当告知理由）。</w:t>
            </w:r>
          </w:p>
          <w:p>
            <w:pPr>
              <w:spacing w:line="300" w:lineRule="exact"/>
              <w:rPr>
                <w:rFonts w:ascii="仿宋_GB2312" w:hAnsi="仿宋_GB2312" w:eastAsia="仿宋_GB2312" w:cs="仿宋_GB2312"/>
                <w:b/>
                <w:bCs/>
                <w:kern w:val="0"/>
                <w:szCs w:val="21"/>
              </w:rPr>
            </w:pPr>
          </w:p>
        </w:tc>
        <w:tc>
          <w:tcPr>
            <w:tcW w:w="3219"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工业发展股</w:t>
            </w:r>
          </w:p>
          <w:p>
            <w:pPr>
              <w:spacing w:line="300" w:lineRule="exact"/>
              <w:jc w:val="center"/>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3058" w:type="dxa"/>
            <w:vMerge w:val="continue"/>
          </w:tcPr>
          <w:p>
            <w:pPr>
              <w:pStyle w:val="2"/>
              <w:rPr>
                <w:rFonts w:ascii="方正小标宋_GBK" w:hAnsi="方正小标宋_GBK" w:eastAsia="方正小标宋_GBK" w:cs="方正小标宋_GBK"/>
                <w:sz w:val="44"/>
                <w:szCs w:val="44"/>
              </w:rPr>
            </w:pPr>
          </w:p>
        </w:tc>
        <w:tc>
          <w:tcPr>
            <w:tcW w:w="1365" w:type="dxa"/>
          </w:tcPr>
          <w:p>
            <w:pPr>
              <w:pStyle w:val="2"/>
              <w:rPr>
                <w:rFonts w:ascii="方正小标宋_GBK" w:hAnsi="方正小标宋_GBK" w:eastAsia="方正小标宋_GBK" w:cs="方正小标宋_GBK"/>
                <w:sz w:val="44"/>
                <w:szCs w:val="44"/>
              </w:rPr>
            </w:pPr>
          </w:p>
        </w:tc>
        <w:tc>
          <w:tcPr>
            <w:tcW w:w="1185"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 xml:space="preserve">                                                                        </w:t>
            </w:r>
          </w:p>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送达</w:t>
            </w:r>
          </w:p>
        </w:tc>
        <w:tc>
          <w:tcPr>
            <w:tcW w:w="2948"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4.送达责任：制发送达文书；信息公开。</w:t>
            </w:r>
          </w:p>
        </w:tc>
        <w:tc>
          <w:tcPr>
            <w:tcW w:w="3219"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行政审批服务股</w:t>
            </w:r>
          </w:p>
          <w:p>
            <w:pPr>
              <w:spacing w:line="300" w:lineRule="exact"/>
              <w:jc w:val="center"/>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5368"/>
        <w:gridCol w:w="750"/>
        <w:gridCol w:w="1335"/>
        <w:gridCol w:w="2685"/>
        <w:gridCol w:w="163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368"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133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68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163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9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widowControl/>
              <w:spacing w:line="300" w:lineRule="exact"/>
              <w:jc w:val="center"/>
              <w:rPr>
                <w:rFonts w:ascii="方正小标宋_GBK" w:hAnsi="方正小标宋_GBK" w:eastAsia="方正小标宋_GBK" w:cs="方正小标宋_GBK"/>
                <w:sz w:val="44"/>
                <w:szCs w:val="44"/>
              </w:rPr>
            </w:pPr>
            <w:r>
              <w:rPr>
                <w:rFonts w:hint="eastAsia" w:ascii="仿宋_GB2312" w:hAnsi="仿宋_GB2312" w:eastAsia="仿宋_GB2312" w:cs="仿宋_GB2312"/>
                <w:kern w:val="0"/>
                <w:szCs w:val="21"/>
              </w:rPr>
              <w:t>1</w:t>
            </w:r>
          </w:p>
        </w:tc>
        <w:tc>
          <w:tcPr>
            <w:tcW w:w="765" w:type="dxa"/>
            <w:vMerge w:val="restart"/>
            <w:vAlign w:val="center"/>
          </w:tcPr>
          <w:p>
            <w:pPr>
              <w:widowControl/>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用能单位节能监察</w:t>
            </w:r>
          </w:p>
        </w:tc>
        <w:tc>
          <w:tcPr>
            <w:tcW w:w="5368" w:type="dxa"/>
            <w:vMerge w:val="restart"/>
            <w:vAlign w:val="center"/>
          </w:tcPr>
          <w:p>
            <w:pPr>
              <w:widowControl/>
              <w:spacing w:line="340" w:lineRule="exact"/>
              <w:rPr>
                <w:rFonts w:ascii="仿宋_GB2312" w:hAnsi="仿宋_GB2312" w:eastAsia="仿宋_GB2312" w:cs="仿宋_GB2312"/>
              </w:rPr>
            </w:pPr>
            <w:r>
              <w:rPr>
                <w:rFonts w:hint="eastAsia" w:ascii="仿宋_GB2312" w:hAnsi="仿宋_GB2312" w:eastAsia="仿宋_GB2312" w:cs="仿宋_GB2312"/>
              </w:rPr>
              <w:t>《中华人民共和国节约能源法》（2018年10月26日第十三届全国人民代表大会常务委员会第六次会议第二次修正）第十二条第一款：“县级以上人民政府管理节能工作的部门和有关部门应当在各自的职责范围内，加强对节能法律法规和节能标准执行情况的监督检查，依法查处违法用能行为。”</w:t>
            </w:r>
          </w:p>
          <w:p>
            <w:pPr>
              <w:widowControl/>
              <w:spacing w:line="340" w:lineRule="exact"/>
              <w:rPr>
                <w:rFonts w:ascii="仿宋_GB2312" w:hAnsi="仿宋_GB2312" w:eastAsia="仿宋_GB2312" w:cs="仿宋_GB2312"/>
              </w:rPr>
            </w:pPr>
            <w:r>
              <w:rPr>
                <w:rFonts w:hint="eastAsia" w:ascii="仿宋_GB2312" w:hAnsi="仿宋_GB2312" w:eastAsia="仿宋_GB2312" w:cs="仿宋_GB2312"/>
              </w:rPr>
              <w:t>《中华人民共和国节约能源法》（2018年10月26日第十三届全国人民代表大会常务委员会第六次会议第二次修正）第六十八条：“固定资产投资项目建设单位开工建设不符合强制性节能标准的项目或者将该项目投入生产、使用的，由管理节能工作的部门责令停止建设或者停止生产、使用，限期改造；不能改造或者逾期不改造的生产性项目，由管理节能工作的部门报请本级人民政府按照国务院规定的权限责令关闭。”第七十一条：“使用国家明令淘汰的用能设备或者生产工艺的，由管理节能工作的部门责令停止使用，没收国家明令淘汰的用能设备；情节严重的，可以由管理节能工作的部门提出意见，报请本级人民政府按照国务院规定的权限责令停业整顿或者关闭。”第七十二条：“生产单位超过单位产品能耗限额标准用能，情节严重，经限期治理逾期不治理或者没有达到治理要求的，可以由管理节能工作的部门提出意见，报请本级人民政府按照国务院规定的权限责令停业整顿或者关闭。”第七十六条：“从事节能咨询、设计、评估、检测、审计、认证等服务的机构提供虚假信息的，由管理节能工作的部门责令改正，没收违法所得，并处五万元以上十万元以下罚款。”第七十七条：“违反本法规定，无偿向本单位职工提供能源或者对能源消费实行包费制的，由管理节能工作的部门责令限期改正；逾期不改正的，处五万元以上二十万元以下罚款。”第八十三条：“重点用能单位无正当理由拒不落实本法第五十四条规定的整改要求或者整改没有达到要求的，由管理节能工作的部门处十万元以上三十万元以下罚款。”第八十四条：“重点用能单位未按照本法规定设立能源管理岗位，聘任能源管理负责人，并报管理节能工作的部门和有关部门备案的，由管理节能工作的部门责令改正；拒不改正的，处一万元以上三万元以下罚款。”《河南省节约能源条例》（河南省第十二届人民代表大会常务委员会第三十二次会议）第九条第一款“县级以上人民政府发展改革部门是节能行政主管部门，负责本行政区域内的节能监督管理工作，其所属的节能监察机构负责节能监察日常工作”。第四十六条“《中华人民共和国节约能源法》等法律法规和本条例规定由发展改革部门行使的行政处罚权，已设立节能监察机构的，由发展改革部门委托节能监察机构行使。”</w:t>
            </w:r>
          </w:p>
          <w:p>
            <w:pPr>
              <w:widowControl/>
              <w:spacing w:line="340" w:lineRule="exact"/>
              <w:rPr>
                <w:rFonts w:ascii="仿宋_GB2312" w:hAnsi="仿宋_GB2312" w:eastAsia="仿宋_GB2312" w:cs="仿宋_GB2312"/>
              </w:rPr>
            </w:pPr>
            <w:r>
              <w:rPr>
                <w:rFonts w:hint="eastAsia" w:ascii="仿宋_GB2312" w:hAnsi="仿宋_GB2312" w:eastAsia="仿宋_GB2312" w:cs="仿宋_GB2312"/>
              </w:rPr>
              <w:t>《河南省节能监察办法》第四条第一款：“县级以上人民政府节能行政主管部门负责本行政区域内节能监察工作，其所属的节能监察机构负责本行政区域内节能监察日常工作。”</w:t>
            </w:r>
          </w:p>
          <w:p>
            <w:pPr>
              <w:pStyle w:val="2"/>
              <w:rPr>
                <w:rFonts w:ascii="仿宋_GB2312" w:hAnsi="仿宋_GB2312" w:eastAsia="仿宋_GB2312" w:cs="仿宋_GB2312"/>
                <w:spacing w:val="-11"/>
                <w:szCs w:val="21"/>
                <w:shd w:val="clear" w:color="070000" w:fill="FFFFFF"/>
              </w:rPr>
            </w:pPr>
          </w:p>
        </w:tc>
        <w:tc>
          <w:tcPr>
            <w:tcW w:w="750" w:type="dxa"/>
            <w:vMerge w:val="restart"/>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w:t>
            </w:r>
          </w:p>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处罚</w:t>
            </w:r>
          </w:p>
        </w:tc>
        <w:tc>
          <w:tcPr>
            <w:tcW w:w="1335" w:type="dxa"/>
            <w:vAlign w:val="center"/>
          </w:tcPr>
          <w:p>
            <w:pPr>
              <w:widowControl/>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制定计划</w:t>
            </w:r>
          </w:p>
        </w:tc>
        <w:tc>
          <w:tcPr>
            <w:tcW w:w="2685"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会同有关部门结合本地实际编制</w:t>
            </w:r>
          </w:p>
        </w:tc>
        <w:tc>
          <w:tcPr>
            <w:tcW w:w="1637" w:type="dxa"/>
            <w:vMerge w:val="restart"/>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《河南省节约能源条例》第三十一条　节能主管部门或者其他有关部门及其工作人员，有下列情形之一的，由其所在单位、上级主管部门或者监察机关给予行政处分；构成犯罪的，依法追究刑事责任。（一）对未达到国家规定的合理用能标准和节能设计规范要求的固定资产投资项目批准建设的；（二）未依法履行节能监督检查职责或者对应当责令改正和查处的违法行为不制止、不查处，造成严重后果的；（三）违反规定收费、罚款的；（四）有其他玩忽职守、滥用职权、徇私舞弊行为的。</w:t>
            </w:r>
          </w:p>
        </w:tc>
        <w:tc>
          <w:tcPr>
            <w:tcW w:w="899"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kern w:val="0"/>
                <w:szCs w:val="21"/>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vAlign w:val="center"/>
          </w:tcPr>
          <w:p>
            <w:pPr>
              <w:widowControl/>
              <w:spacing w:line="300" w:lineRule="exact"/>
              <w:jc w:val="center"/>
              <w:rPr>
                <w:rFonts w:ascii="仿宋_GB2312" w:hAnsi="仿宋_GB2312" w:eastAsia="仿宋_GB2312" w:cs="仿宋_GB2312"/>
                <w:kern w:val="0"/>
                <w:szCs w:val="21"/>
              </w:rPr>
            </w:pPr>
          </w:p>
        </w:tc>
        <w:tc>
          <w:tcPr>
            <w:tcW w:w="765" w:type="dxa"/>
            <w:vMerge w:val="continue"/>
            <w:vAlign w:val="center"/>
          </w:tcPr>
          <w:p>
            <w:pPr>
              <w:widowControl/>
              <w:spacing w:line="300" w:lineRule="exact"/>
              <w:rPr>
                <w:rFonts w:ascii="仿宋_GB2312" w:hAnsi="仿宋_GB2312" w:eastAsia="仿宋_GB2312" w:cs="仿宋_GB2312"/>
                <w:spacing w:val="-11"/>
                <w:szCs w:val="21"/>
                <w:shd w:val="clear" w:color="070000" w:fill="FFFFFF"/>
              </w:rPr>
            </w:pPr>
          </w:p>
        </w:tc>
        <w:tc>
          <w:tcPr>
            <w:tcW w:w="5368" w:type="dxa"/>
            <w:vMerge w:val="continue"/>
            <w:vAlign w:val="center"/>
          </w:tcPr>
          <w:p>
            <w:pPr>
              <w:pStyle w:val="2"/>
              <w:rPr>
                <w:rFonts w:ascii="仿宋_GB2312" w:hAnsi="仿宋_GB2312" w:eastAsia="仿宋_GB2312" w:cs="仿宋_GB2312"/>
                <w:spacing w:val="-11"/>
                <w:szCs w:val="21"/>
                <w:shd w:val="clear" w:color="070000" w:fill="FFFFFF"/>
              </w:rPr>
            </w:pPr>
          </w:p>
        </w:tc>
        <w:tc>
          <w:tcPr>
            <w:tcW w:w="750" w:type="dxa"/>
            <w:vMerge w:val="continue"/>
            <w:vAlign w:val="center"/>
          </w:tcPr>
          <w:p>
            <w:pPr>
              <w:widowControl/>
              <w:spacing w:line="300" w:lineRule="exact"/>
              <w:jc w:val="center"/>
              <w:rPr>
                <w:rFonts w:ascii="仿宋_GB2312" w:hAnsi="仿宋_GB2312" w:eastAsia="仿宋_GB2312" w:cs="仿宋_GB2312"/>
                <w:spacing w:val="-11"/>
                <w:szCs w:val="21"/>
                <w:shd w:val="clear" w:color="070000" w:fill="FFFFFF"/>
              </w:rPr>
            </w:pPr>
          </w:p>
        </w:tc>
        <w:tc>
          <w:tcPr>
            <w:tcW w:w="1335" w:type="dxa"/>
            <w:vAlign w:val="center"/>
          </w:tcPr>
          <w:p>
            <w:pPr>
              <w:widowControl/>
              <w:spacing w:line="300" w:lineRule="exac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书面监察和现场监察</w:t>
            </w:r>
          </w:p>
        </w:tc>
        <w:tc>
          <w:tcPr>
            <w:tcW w:w="2685" w:type="dxa"/>
            <w:vAlign w:val="center"/>
          </w:tcPr>
          <w:p>
            <w:pPr>
              <w:widowControl/>
              <w:spacing w:line="300" w:lineRule="exact"/>
              <w:jc w:val="lef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将实施监察的依据、内容、时间和要求书面通知被监察单位。现场监察应当有两名以上节能监察人员在场，并出示有效的行政执法证件，告知被监察单位实施节能监察的依据、内容、要求和方法，并制作现场监察笔录，必要时还应当制作询问笔录。</w:t>
            </w:r>
          </w:p>
        </w:tc>
        <w:tc>
          <w:tcPr>
            <w:tcW w:w="1637" w:type="dxa"/>
            <w:vMerge w:val="continue"/>
            <w:vAlign w:val="center"/>
          </w:tcPr>
          <w:p>
            <w:pPr>
              <w:widowControl/>
              <w:spacing w:line="300" w:lineRule="exact"/>
              <w:jc w:val="left"/>
              <w:rPr>
                <w:rFonts w:ascii="仿宋_GB2312" w:hAnsi="仿宋_GB2312" w:eastAsia="仿宋_GB2312" w:cs="仿宋_GB2312"/>
                <w:spacing w:val="-11"/>
                <w:szCs w:val="21"/>
                <w:shd w:val="clear" w:color="070000" w:fill="FFFFFF"/>
              </w:rPr>
            </w:pPr>
          </w:p>
        </w:tc>
        <w:tc>
          <w:tcPr>
            <w:tcW w:w="899" w:type="dxa"/>
            <w:vAlign w:val="center"/>
          </w:tcPr>
          <w:p>
            <w:pPr>
              <w:widowControl/>
              <w:spacing w:line="30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vAlign w:val="center"/>
          </w:tcPr>
          <w:p>
            <w:pPr>
              <w:widowControl/>
              <w:spacing w:line="300" w:lineRule="exact"/>
              <w:jc w:val="center"/>
              <w:rPr>
                <w:rFonts w:ascii="方正小标宋_GBK" w:hAnsi="方正小标宋_GBK" w:eastAsia="方正小标宋_GBK" w:cs="方正小标宋_GBK"/>
                <w:sz w:val="44"/>
                <w:szCs w:val="44"/>
              </w:rPr>
            </w:pPr>
          </w:p>
        </w:tc>
        <w:tc>
          <w:tcPr>
            <w:tcW w:w="765" w:type="dxa"/>
            <w:vMerge w:val="continue"/>
            <w:vAlign w:val="center"/>
          </w:tcPr>
          <w:p>
            <w:pPr>
              <w:widowControl/>
              <w:spacing w:line="300" w:lineRule="exact"/>
              <w:rPr>
                <w:rFonts w:ascii="方正小标宋_GBK" w:hAnsi="方正小标宋_GBK" w:eastAsia="方正小标宋_GBK" w:cs="方正小标宋_GBK"/>
                <w:sz w:val="44"/>
                <w:szCs w:val="44"/>
              </w:rPr>
            </w:pPr>
          </w:p>
        </w:tc>
        <w:tc>
          <w:tcPr>
            <w:tcW w:w="5368" w:type="dxa"/>
            <w:vMerge w:val="continue"/>
            <w:vAlign w:val="center"/>
          </w:tcPr>
          <w:p>
            <w:pPr>
              <w:widowControl/>
              <w:spacing w:line="300" w:lineRule="exact"/>
              <w:rPr>
                <w:rFonts w:ascii="方正小标宋_GBK" w:hAnsi="方正小标宋_GBK" w:eastAsia="方正小标宋_GBK" w:cs="方正小标宋_GBK"/>
                <w:sz w:val="44"/>
                <w:szCs w:val="44"/>
              </w:rPr>
            </w:pPr>
          </w:p>
        </w:tc>
        <w:tc>
          <w:tcPr>
            <w:tcW w:w="750" w:type="dxa"/>
            <w:vMerge w:val="continue"/>
            <w:vAlign w:val="center"/>
          </w:tcPr>
          <w:p>
            <w:pPr>
              <w:widowControl/>
              <w:spacing w:line="300" w:lineRule="exact"/>
              <w:jc w:val="center"/>
              <w:rPr>
                <w:rFonts w:ascii="方正小标宋_GBK" w:hAnsi="方正小标宋_GBK" w:eastAsia="方正小标宋_GBK" w:cs="方正小标宋_GBK"/>
                <w:sz w:val="44"/>
                <w:szCs w:val="44"/>
              </w:rPr>
            </w:pPr>
          </w:p>
        </w:tc>
        <w:tc>
          <w:tcPr>
            <w:tcW w:w="1335" w:type="dxa"/>
            <w:vAlign w:val="center"/>
          </w:tcPr>
          <w:p>
            <w:pPr>
              <w:widowControl/>
              <w:spacing w:line="300" w:lineRule="exac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监察通过，或下达限期整改通知书，或下达节能监察建议书</w:t>
            </w:r>
          </w:p>
        </w:tc>
        <w:tc>
          <w:tcPr>
            <w:tcW w:w="2685" w:type="dxa"/>
            <w:vAlign w:val="center"/>
          </w:tcPr>
          <w:p>
            <w:pPr>
              <w:widowControl/>
              <w:spacing w:line="300" w:lineRule="exact"/>
              <w:jc w:val="left"/>
              <w:rPr>
                <w:rFonts w:ascii="仿宋_GB2312" w:hAnsi="仿宋_GB2312" w:eastAsia="仿宋_GB2312" w:cs="仿宋_GB2312"/>
                <w:b/>
                <w:bCs/>
                <w:kern w:val="0"/>
                <w:szCs w:val="21"/>
              </w:rPr>
            </w:pPr>
            <w:r>
              <w:rPr>
                <w:rFonts w:hint="eastAsia" w:ascii="仿宋_GB2312" w:hAnsi="仿宋_GB2312" w:eastAsia="仿宋_GB2312" w:cs="仿宋_GB2312"/>
                <w:spacing w:val="-11"/>
                <w:szCs w:val="21"/>
                <w:shd w:val="clear" w:color="070000" w:fill="FFFFFF"/>
              </w:rPr>
              <w:t>限期整改通知书或者节能监察建议书应当在对本单位的节能检查活动结束后十五日内送达被监察单位。</w:t>
            </w:r>
          </w:p>
        </w:tc>
        <w:tc>
          <w:tcPr>
            <w:tcW w:w="1637" w:type="dxa"/>
            <w:vMerge w:val="continue"/>
            <w:vAlign w:val="center"/>
          </w:tcPr>
          <w:p>
            <w:pPr>
              <w:widowControl/>
              <w:spacing w:line="300" w:lineRule="exact"/>
              <w:jc w:val="left"/>
              <w:rPr>
                <w:rFonts w:ascii="方正小标宋_GBK" w:hAnsi="方正小标宋_GBK" w:eastAsia="方正小标宋_GBK" w:cs="方正小标宋_GBK"/>
                <w:sz w:val="44"/>
                <w:szCs w:val="44"/>
              </w:rPr>
            </w:pPr>
          </w:p>
        </w:tc>
        <w:tc>
          <w:tcPr>
            <w:tcW w:w="899"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kern w:val="0"/>
                <w:szCs w:val="21"/>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vAlign w:val="center"/>
          </w:tcPr>
          <w:p>
            <w:pPr>
              <w:widowControl/>
              <w:spacing w:line="300" w:lineRule="exact"/>
              <w:jc w:val="center"/>
              <w:rPr>
                <w:rFonts w:ascii="方正小标宋_GBK" w:hAnsi="方正小标宋_GBK" w:eastAsia="方正小标宋_GBK" w:cs="方正小标宋_GBK"/>
                <w:sz w:val="44"/>
                <w:szCs w:val="44"/>
              </w:rPr>
            </w:pPr>
          </w:p>
        </w:tc>
        <w:tc>
          <w:tcPr>
            <w:tcW w:w="765" w:type="dxa"/>
            <w:vMerge w:val="continue"/>
            <w:vAlign w:val="center"/>
          </w:tcPr>
          <w:p>
            <w:pPr>
              <w:widowControl/>
              <w:spacing w:line="300" w:lineRule="exact"/>
              <w:rPr>
                <w:rFonts w:ascii="方正小标宋_GBK" w:hAnsi="方正小标宋_GBK" w:eastAsia="方正小标宋_GBK" w:cs="方正小标宋_GBK"/>
                <w:sz w:val="44"/>
                <w:szCs w:val="44"/>
              </w:rPr>
            </w:pPr>
          </w:p>
        </w:tc>
        <w:tc>
          <w:tcPr>
            <w:tcW w:w="5368" w:type="dxa"/>
            <w:vMerge w:val="continue"/>
            <w:vAlign w:val="center"/>
          </w:tcPr>
          <w:p>
            <w:pPr>
              <w:widowControl/>
              <w:spacing w:line="300" w:lineRule="exact"/>
              <w:rPr>
                <w:rFonts w:ascii="方正小标宋_GBK" w:hAnsi="方正小标宋_GBK" w:eastAsia="方正小标宋_GBK" w:cs="方正小标宋_GBK"/>
                <w:sz w:val="44"/>
                <w:szCs w:val="44"/>
              </w:rPr>
            </w:pPr>
          </w:p>
        </w:tc>
        <w:tc>
          <w:tcPr>
            <w:tcW w:w="750" w:type="dxa"/>
            <w:vMerge w:val="continue"/>
            <w:vAlign w:val="center"/>
          </w:tcPr>
          <w:p>
            <w:pPr>
              <w:widowControl/>
              <w:spacing w:line="300" w:lineRule="exact"/>
              <w:jc w:val="center"/>
              <w:rPr>
                <w:rFonts w:ascii="方正小标宋_GBK" w:hAnsi="方正小标宋_GBK" w:eastAsia="方正小标宋_GBK" w:cs="方正小标宋_GBK"/>
                <w:sz w:val="44"/>
                <w:szCs w:val="44"/>
              </w:rPr>
            </w:pPr>
          </w:p>
        </w:tc>
        <w:tc>
          <w:tcPr>
            <w:tcW w:w="1335" w:type="dxa"/>
            <w:vAlign w:val="center"/>
          </w:tcPr>
          <w:p>
            <w:pPr>
              <w:widowControl/>
              <w:spacing w:line="300" w:lineRule="exact"/>
            </w:pPr>
            <w:r>
              <w:rPr>
                <w:rFonts w:hint="eastAsia" w:ascii="仿宋_GB2312" w:hAnsi="仿宋_GB2312" w:eastAsia="仿宋_GB2312" w:cs="仿宋_GB2312"/>
                <w:spacing w:val="-11"/>
                <w:szCs w:val="21"/>
                <w:shd w:val="clear" w:color="070000" w:fill="FFFFFF"/>
              </w:rPr>
              <w:t>制定计划</w:t>
            </w:r>
          </w:p>
        </w:tc>
        <w:tc>
          <w:tcPr>
            <w:tcW w:w="2685" w:type="dxa"/>
            <w:vAlign w:val="center"/>
          </w:tcPr>
          <w:p>
            <w:pPr>
              <w:widowControl/>
              <w:spacing w:line="300" w:lineRule="exact"/>
              <w:jc w:val="left"/>
            </w:pPr>
            <w:r>
              <w:rPr>
                <w:rFonts w:hint="eastAsia" w:ascii="仿宋_GB2312" w:hAnsi="仿宋_GB2312" w:eastAsia="仿宋_GB2312" w:cs="仿宋_GB2312"/>
                <w:spacing w:val="-11"/>
                <w:szCs w:val="21"/>
                <w:shd w:val="clear" w:color="070000" w:fill="FFFFFF"/>
              </w:rPr>
              <w:t>会同有关部门结合本地实际编制</w:t>
            </w:r>
          </w:p>
        </w:tc>
        <w:tc>
          <w:tcPr>
            <w:tcW w:w="1637" w:type="dxa"/>
            <w:vMerge w:val="continue"/>
            <w:vAlign w:val="center"/>
          </w:tcPr>
          <w:p>
            <w:pPr>
              <w:widowControl/>
              <w:spacing w:line="300" w:lineRule="exact"/>
              <w:jc w:val="left"/>
              <w:rPr>
                <w:rFonts w:ascii="方正小标宋_GBK" w:hAnsi="方正小标宋_GBK" w:eastAsia="方正小标宋_GBK" w:cs="方正小标宋_GBK"/>
                <w:sz w:val="44"/>
                <w:szCs w:val="44"/>
              </w:rPr>
            </w:pPr>
          </w:p>
        </w:tc>
        <w:tc>
          <w:tcPr>
            <w:tcW w:w="899"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kern w:val="0"/>
                <w:szCs w:val="21"/>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4" w:type="dxa"/>
            <w:gridSpan w:val="8"/>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zCs w:val="21"/>
                <w:shd w:val="clear" w:color="070000" w:fill="FFFFFF"/>
              </w:rPr>
              <w:t>服务电话：65333226           投诉机构：县纪委监委派驻县发改委纪检组         投诉电话：65333226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pStyle w:val="2"/>
      </w:pPr>
    </w:p>
    <w:p>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5713"/>
        <w:gridCol w:w="870"/>
        <w:gridCol w:w="855"/>
        <w:gridCol w:w="2820"/>
        <w:gridCol w:w="151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71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87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5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82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151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9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kern w:val="0"/>
                <w:szCs w:val="21"/>
              </w:rPr>
              <w:t>2</w:t>
            </w:r>
          </w:p>
        </w:tc>
        <w:tc>
          <w:tcPr>
            <w:tcW w:w="765" w:type="dxa"/>
            <w:vMerge w:val="restart"/>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危害管道安全行为的处罚</w:t>
            </w:r>
          </w:p>
          <w:p>
            <w:pPr>
              <w:spacing w:line="300" w:lineRule="exact"/>
              <w:jc w:val="left"/>
              <w:rPr>
                <w:rFonts w:ascii="仿宋_GB2312" w:hAnsi="仿宋_GB2312" w:eastAsia="仿宋_GB2312" w:cs="仿宋_GB2312"/>
                <w:spacing w:val="-11"/>
                <w:szCs w:val="21"/>
                <w:shd w:val="clear" w:color="070000" w:fill="FFFFFF"/>
              </w:rPr>
            </w:pPr>
          </w:p>
        </w:tc>
        <w:tc>
          <w:tcPr>
            <w:tcW w:w="5713" w:type="dxa"/>
            <w:vMerge w:val="restart"/>
            <w:vAlign w:val="center"/>
          </w:tcPr>
          <w:p>
            <w:pPr>
              <w:widowControl/>
              <w:shd w:val="clear" w:color="auto" w:fill="FFFFFF"/>
              <w:spacing w:line="340" w:lineRule="exact"/>
              <w:textAlignment w:val="top"/>
              <w:rPr>
                <w:rFonts w:ascii="仿宋_GB2312" w:hAnsi="仿宋_GB2312" w:eastAsia="仿宋_GB2312" w:cs="仿宋_GB2312"/>
              </w:rPr>
            </w:pPr>
            <w:r>
              <w:rPr>
                <w:rFonts w:hint="eastAsia" w:ascii="仿宋_GB2312" w:hAnsi="仿宋_GB2312" w:eastAsia="仿宋_GB2312" w:cs="仿宋_GB2312"/>
              </w:rPr>
              <w:t>《中华人民共和国石油天然气管道保护法》（2010年6月主席令第30号）第五十二条违反本法第二十九条、第三十条、第三十二条或者第三十三条第一款的规定，实施危害管道安全行为的，由县级以上地方人民政府主管管道保护工作的部门责令停止违法行为；情节较重的，对单位处一万元以上十万元以下的罚款，对个人处二百元以上二千元以下的罚款；对违法修建的建筑物、构筑物或者其他设施限期拆除；逾期未拆除的，由县级以上地方人民政府主管管道保护工作的部门组织拆除，所需费用由违法行为人承担。第五十三条未经依法批准，进行本法第三十三条第二款或者第三十五条规定的施工作业的，由县级以上地方人民政府主管管道保护工作的部门责令停止违法行为；情节较重的，处一万元以上五万元以下的罚款；对违法修建的危害管道安全的建筑物、构筑物或者其他设施限期拆除；逾期未拆除的，由县级以上地方人民政府主管管道保护工作的部门组织拆除，所需费用由违法行为人承担。第五十四条违反本法规定，有下列行为之一的，由县级以上地方人民政府主管管道保护工作的部门责令改正；情节严重的，处二百元以上一千元以下的罚款： （一）擅自开启、关闭管道阀门的； （二）移动、毁损、涂改管道标志的； （三）在埋地管道上方巡查便道上行驶重型车辆的； （四）在地面管道线路、架空管道线路和管桥上行走或者放置重物的； （五）阻碍依法进行的管道建设的。《河南省实施〈中华人民共和国石油天然气管道保护法〉办法》（省政府令 第181号）第二十八条　管道企业有下列行为之一的，由县级以上人民政府能源主管部门责令限期改正；逾期不改正的，处2万元以上10万元以下的罚款；对直接负责的主管人员和其他直接责任人员依法给予处分：（一）未依照本办法规定设置管道标志或者警示牌（桩）的；（二）未依照本办法规定将管道竣工测量图报能源主管部门备案的；（三）未依照本办法规定对管道进行检测、维修和巡护的；（四）未制定本企业管道事故应急预案，或者未将本企业管道事故应急预案报能源主管部门备案的；（五）发生管道事故，未采取有效措施消除或者减轻事故危害的。第二十九条　违反本办法规定有下列实施危害管道安全行为之一的，由县级以上人民政府能源主管部门责令停止违法行为；情节较重的，对单位处1万元以上10万元以下的罚款，对个人处200元以上2000元以下的罚款；对违法修建的建（构）筑物或者其他设施限期拆除，逾期未拆除的由县级以上人民政府能源主管部门组织拆除，所需费用由违法行为人承担：（一）种植乔木、灌木、藤类、芦苇、竹子或者其他根系深达管道埋设部位可能损坏管道防腐层的深根植物；（二）取土、采石、用火、堆放重物、排放腐蚀性物质、使用机械工具进行挖掘施工；（三）挖塘、修渠、修晒场、修建水产养殖场、建温室、建家畜棚圈、建房以及修建其他建（构）筑物。</w:t>
            </w:r>
          </w:p>
          <w:p>
            <w:pPr>
              <w:pStyle w:val="2"/>
              <w:rPr>
                <w:rFonts w:ascii="仿宋_GB2312" w:hAnsi="仿宋_GB2312" w:eastAsia="仿宋_GB2312" w:cs="仿宋_GB2312"/>
              </w:rPr>
            </w:pPr>
          </w:p>
          <w:p>
            <w:pPr>
              <w:spacing w:line="300" w:lineRule="exact"/>
              <w:rPr>
                <w:rFonts w:ascii="仿宋_GB2312" w:hAnsi="仿宋_GB2312" w:eastAsia="仿宋_GB2312" w:cs="仿宋_GB2312"/>
                <w:spacing w:val="-11"/>
                <w:szCs w:val="21"/>
                <w:shd w:val="clear" w:color="070000" w:fill="FFFFFF"/>
              </w:rPr>
            </w:pPr>
          </w:p>
        </w:tc>
        <w:tc>
          <w:tcPr>
            <w:tcW w:w="870" w:type="dxa"/>
            <w:vMerge w:val="restart"/>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w:t>
            </w:r>
          </w:p>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处罚</w:t>
            </w:r>
          </w:p>
          <w:p>
            <w:pPr>
              <w:spacing w:line="300" w:lineRule="exact"/>
              <w:jc w:val="center"/>
              <w:rPr>
                <w:rFonts w:ascii="仿宋_GB2312" w:hAnsi="仿宋_GB2312" w:eastAsia="仿宋_GB2312" w:cs="仿宋_GB2312"/>
                <w:spacing w:val="-11"/>
                <w:szCs w:val="21"/>
                <w:shd w:val="clear" w:color="070000" w:fill="FFFFFF"/>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立案</w:t>
            </w:r>
          </w:p>
        </w:tc>
        <w:tc>
          <w:tcPr>
            <w:tcW w:w="282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1.立案责任：检查中发现有危害管道安全行为或接到举报，予以审查，决定是否立案。</w:t>
            </w:r>
          </w:p>
        </w:tc>
        <w:tc>
          <w:tcPr>
            <w:tcW w:w="1517" w:type="dxa"/>
            <w:vMerge w:val="restart"/>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《中华人民共和国石油天然气管道保护法》（2010年6月主席令第30号）第五十六条 县级以上地方人民政府及其主管管道保护工作的部门或者其他有关部门，违反本法规定，对应当组织排除的管道外部安全隐患不及时组织排除，发现危害管道安全的行为或者接到对危害管道安全行为的举报后不依法予以查处，或者有其他不依照本法规定履行职责的行为的，由其上级机关责令改正，对直接负责的主管人员和其他直接责任人员依法给予处分。</w:t>
            </w:r>
          </w:p>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 xml:space="preserve"> </w:t>
            </w:r>
          </w:p>
          <w:p>
            <w:pPr>
              <w:widowControl/>
              <w:spacing w:line="300" w:lineRule="exact"/>
              <w:jc w:val="left"/>
              <w:rPr>
                <w:rFonts w:ascii="仿宋_GB2312" w:hAnsi="仿宋_GB2312" w:eastAsia="仿宋_GB2312" w:cs="仿宋_GB2312"/>
                <w:kern w:val="0"/>
                <w:szCs w:val="21"/>
              </w:rPr>
            </w:pPr>
          </w:p>
          <w:p>
            <w:pPr>
              <w:spacing w:line="300" w:lineRule="exact"/>
              <w:rPr>
                <w:rFonts w:ascii="仿宋_GB2312" w:hAnsi="仿宋_GB2312" w:eastAsia="仿宋_GB2312" w:cs="仿宋_GB2312"/>
                <w:spacing w:val="-11"/>
                <w:szCs w:val="21"/>
                <w:shd w:val="clear" w:color="070000" w:fill="FFFFFF"/>
              </w:rPr>
            </w:pPr>
          </w:p>
        </w:tc>
        <w:tc>
          <w:tcPr>
            <w:tcW w:w="89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713" w:type="dxa"/>
            <w:vMerge w:val="continue"/>
          </w:tcPr>
          <w:p>
            <w:pPr>
              <w:pStyle w:val="2"/>
              <w:rPr>
                <w:rFonts w:ascii="方正小标宋_GBK" w:hAnsi="方正小标宋_GBK" w:eastAsia="方正小标宋_GBK" w:cs="方正小标宋_GBK"/>
                <w:sz w:val="44"/>
                <w:szCs w:val="44"/>
              </w:rPr>
            </w:pPr>
          </w:p>
        </w:tc>
        <w:tc>
          <w:tcPr>
            <w:tcW w:w="870"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调查</w:t>
            </w:r>
          </w:p>
        </w:tc>
        <w:tc>
          <w:tcPr>
            <w:tcW w:w="282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517"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713" w:type="dxa"/>
            <w:vMerge w:val="continue"/>
          </w:tcPr>
          <w:p>
            <w:pPr>
              <w:pStyle w:val="2"/>
              <w:rPr>
                <w:rFonts w:ascii="方正小标宋_GBK" w:hAnsi="方正小标宋_GBK" w:eastAsia="方正小标宋_GBK" w:cs="方正小标宋_GBK"/>
                <w:sz w:val="44"/>
                <w:szCs w:val="44"/>
              </w:rPr>
            </w:pPr>
          </w:p>
        </w:tc>
        <w:tc>
          <w:tcPr>
            <w:tcW w:w="870"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审查</w:t>
            </w:r>
          </w:p>
        </w:tc>
        <w:tc>
          <w:tcPr>
            <w:tcW w:w="282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3.审查责任：审理案件调查报告，对案件违法事实、证据、调查取证程序、法律适用、处罚种类和幅度、行政相对人陈述和申辩理由等方面进行审查，提出处理意见。</w:t>
            </w:r>
          </w:p>
        </w:tc>
        <w:tc>
          <w:tcPr>
            <w:tcW w:w="1517"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713" w:type="dxa"/>
            <w:vMerge w:val="continue"/>
          </w:tcPr>
          <w:p>
            <w:pPr>
              <w:pStyle w:val="2"/>
              <w:rPr>
                <w:rFonts w:ascii="方正小标宋_GBK" w:hAnsi="方正小标宋_GBK" w:eastAsia="方正小标宋_GBK" w:cs="方正小标宋_GBK"/>
                <w:sz w:val="44"/>
                <w:szCs w:val="44"/>
              </w:rPr>
            </w:pPr>
          </w:p>
        </w:tc>
        <w:tc>
          <w:tcPr>
            <w:tcW w:w="870"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告知</w:t>
            </w:r>
          </w:p>
        </w:tc>
        <w:tc>
          <w:tcPr>
            <w:tcW w:w="2820"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4.告知责任：作出行政处罚决定前，告知违法事实及其享有的陈述、申辩等权利。符合听证规定，告知行政相对人有要求举行听证的权利。</w:t>
            </w:r>
          </w:p>
        </w:tc>
        <w:tc>
          <w:tcPr>
            <w:tcW w:w="1517"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713" w:type="dxa"/>
            <w:vMerge w:val="continue"/>
          </w:tcPr>
          <w:p>
            <w:pPr>
              <w:pStyle w:val="2"/>
              <w:rPr>
                <w:rFonts w:ascii="方正小标宋_GBK" w:hAnsi="方正小标宋_GBK" w:eastAsia="方正小标宋_GBK" w:cs="方正小标宋_GBK"/>
                <w:sz w:val="44"/>
                <w:szCs w:val="44"/>
              </w:rPr>
            </w:pPr>
          </w:p>
        </w:tc>
        <w:tc>
          <w:tcPr>
            <w:tcW w:w="870" w:type="dxa"/>
            <w:vMerge w:val="continue"/>
            <w:vAlign w:val="center"/>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决定</w:t>
            </w:r>
          </w:p>
        </w:tc>
        <w:tc>
          <w:tcPr>
            <w:tcW w:w="282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5.决定责任：依法提出行政处罚告知书和行政处罚决定书，载明行政处罚告知、行政相对人陈述申辩或者听证情况等内容。</w:t>
            </w:r>
          </w:p>
        </w:tc>
        <w:tc>
          <w:tcPr>
            <w:tcW w:w="1517" w:type="dxa"/>
            <w:vMerge w:val="continue"/>
            <w:vAlign w:val="center"/>
          </w:tcPr>
          <w:p>
            <w:pPr>
              <w:pStyle w:val="2"/>
              <w:rPr>
                <w:rFonts w:ascii="方正小标宋_GBK" w:hAnsi="方正小标宋_GBK" w:eastAsia="方正小标宋_GBK" w:cs="方正小标宋_GBK"/>
                <w:sz w:val="44"/>
                <w:szCs w:val="44"/>
              </w:rPr>
            </w:pPr>
          </w:p>
        </w:tc>
        <w:tc>
          <w:tcPr>
            <w:tcW w:w="89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713" w:type="dxa"/>
            <w:vMerge w:val="continue"/>
          </w:tcPr>
          <w:p>
            <w:pPr>
              <w:pStyle w:val="2"/>
              <w:rPr>
                <w:rFonts w:ascii="方正小标宋_GBK" w:hAnsi="方正小标宋_GBK" w:eastAsia="方正小标宋_GBK" w:cs="方正小标宋_GBK"/>
                <w:sz w:val="44"/>
                <w:szCs w:val="44"/>
              </w:rPr>
            </w:pPr>
          </w:p>
        </w:tc>
        <w:tc>
          <w:tcPr>
            <w:tcW w:w="870"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送达</w:t>
            </w:r>
          </w:p>
        </w:tc>
        <w:tc>
          <w:tcPr>
            <w:tcW w:w="282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6.送达责任：行政处罚决定书在7日内送达当事人。</w:t>
            </w:r>
          </w:p>
        </w:tc>
        <w:tc>
          <w:tcPr>
            <w:tcW w:w="1517"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713" w:type="dxa"/>
            <w:vMerge w:val="continue"/>
          </w:tcPr>
          <w:p>
            <w:pPr>
              <w:pStyle w:val="2"/>
              <w:rPr>
                <w:rFonts w:ascii="方正小标宋_GBK" w:hAnsi="方正小标宋_GBK" w:eastAsia="方正小标宋_GBK" w:cs="方正小标宋_GBK"/>
                <w:sz w:val="44"/>
                <w:szCs w:val="44"/>
              </w:rPr>
            </w:pPr>
          </w:p>
        </w:tc>
        <w:tc>
          <w:tcPr>
            <w:tcW w:w="870"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执行</w:t>
            </w:r>
          </w:p>
        </w:tc>
        <w:tc>
          <w:tcPr>
            <w:tcW w:w="282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7.执行责任：监督当事人在决定的期限内，履行生效的行政处罚决定。当事人在法定期限内不申请行政复议或提起行政诉讼，又不履行的，可依法采取强制执行或者申请人民法院强制执行。</w:t>
            </w:r>
          </w:p>
        </w:tc>
        <w:tc>
          <w:tcPr>
            <w:tcW w:w="1517"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Style w:val="2"/>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p>
      <w:pPr>
        <w:pStyle w:val="2"/>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2773"/>
        <w:gridCol w:w="720"/>
        <w:gridCol w:w="810"/>
        <w:gridCol w:w="4635"/>
        <w:gridCol w:w="283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77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2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1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463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283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9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kern w:val="0"/>
                <w:szCs w:val="21"/>
              </w:rPr>
              <w:t>3</w:t>
            </w:r>
          </w:p>
        </w:tc>
        <w:tc>
          <w:tcPr>
            <w:tcW w:w="765" w:type="dxa"/>
            <w:vMerge w:val="restart"/>
            <w:vAlign w:val="center"/>
          </w:tcPr>
          <w:p>
            <w:pPr>
              <w:widowControl/>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未按规定使用粮食仓储设施、运输工具的处罚</w:t>
            </w:r>
          </w:p>
        </w:tc>
        <w:tc>
          <w:tcPr>
            <w:tcW w:w="2773" w:type="dxa"/>
            <w:vMerge w:val="restart"/>
            <w:vAlign w:val="center"/>
          </w:tcPr>
          <w:p>
            <w:pPr>
              <w:widowControl/>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《粮食流通管理条例》（国务院令第407号） 第四十六条：“粮食经营者未按照本条例规定使用粮食仓储设施、运输工具的，由粮食行政管理部门或者卫生部门责令改正，给予警告；被污染的粮食不得非法销售、加工。”</w:t>
            </w:r>
          </w:p>
        </w:tc>
        <w:tc>
          <w:tcPr>
            <w:tcW w:w="720" w:type="dxa"/>
            <w:vMerge w:val="restart"/>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w:t>
            </w:r>
          </w:p>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处罚</w:t>
            </w:r>
          </w:p>
          <w:p>
            <w:pPr>
              <w:spacing w:line="300" w:lineRule="exact"/>
              <w:jc w:val="center"/>
              <w:rPr>
                <w:rFonts w:ascii="仿宋_GB2312" w:hAnsi="仿宋_GB2312" w:eastAsia="仿宋_GB2312" w:cs="仿宋_GB2312"/>
                <w:spacing w:val="-11"/>
                <w:szCs w:val="21"/>
                <w:shd w:val="clear" w:color="070000" w:fill="FFFFFF"/>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立案</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1.立案责任：检查中发现有危害管道安全行为或接到举报，予以审查，决定是否立案。</w:t>
            </w:r>
          </w:p>
        </w:tc>
        <w:tc>
          <w:tcPr>
            <w:tcW w:w="2837" w:type="dxa"/>
            <w:vMerge w:val="restart"/>
            <w:vAlign w:val="center"/>
          </w:tcPr>
          <w:p>
            <w:pPr>
              <w:widowControl/>
              <w:spacing w:line="300" w:lineRule="exact"/>
              <w:jc w:val="left"/>
              <w:rPr>
                <w:rFonts w:ascii="宋体" w:hAnsi="宋体" w:cs="宋体"/>
                <w:color w:val="000000"/>
                <w:kern w:val="0"/>
                <w:sz w:val="18"/>
                <w:szCs w:val="18"/>
              </w:rPr>
            </w:pPr>
            <w:r>
              <w:rPr>
                <w:rFonts w:hint="eastAsia" w:ascii="仿宋_GB2312" w:hAnsi="仿宋_GB2312" w:eastAsia="仿宋_GB2312" w:cs="仿宋_GB2312"/>
                <w:spacing w:val="-11"/>
                <w:szCs w:val="21"/>
                <w:shd w:val="clear" w:color="070000" w:fill="FFFFFF"/>
              </w:rPr>
              <w:t xml:space="preserve"> </w:t>
            </w:r>
            <w:r>
              <w:rPr>
                <w:rFonts w:hint="eastAsia" w:ascii="宋体" w:hAnsi="宋体" w:cs="宋体"/>
                <w:color w:val="000000"/>
                <w:kern w:val="0"/>
                <w:sz w:val="18"/>
                <w:szCs w:val="18"/>
              </w:rPr>
              <w:t>《粮食流通管理条例》第四</w:t>
            </w:r>
            <w:r>
              <w:rPr>
                <w:rFonts w:ascii="宋体" w:hAnsi="宋体" w:cs="宋体"/>
                <w:color w:val="000000"/>
                <w:kern w:val="0"/>
                <w:sz w:val="18"/>
                <w:szCs w:val="18"/>
              </w:rPr>
              <w:t>十二条　违反本条例规定，粮食和储备行政管理部门和其他有关部门不依法履行粮食流通管理和监督职责的，对负有责任的领导人员和直接责任人员依法给予处分。</w:t>
            </w:r>
          </w:p>
          <w:p>
            <w:pPr>
              <w:widowControl/>
              <w:spacing w:line="300" w:lineRule="exact"/>
              <w:jc w:val="left"/>
              <w:rPr>
                <w:rFonts w:ascii="仿宋_GB2312" w:hAnsi="仿宋_GB2312" w:eastAsia="仿宋_GB2312" w:cs="仿宋_GB2312"/>
                <w:kern w:val="0"/>
                <w:szCs w:val="21"/>
              </w:rPr>
            </w:pPr>
          </w:p>
          <w:p>
            <w:pPr>
              <w:spacing w:line="300" w:lineRule="exact"/>
              <w:rPr>
                <w:rFonts w:ascii="仿宋_GB2312" w:hAnsi="仿宋_GB2312" w:eastAsia="仿宋_GB2312" w:cs="仿宋_GB2312"/>
                <w:spacing w:val="-11"/>
                <w:szCs w:val="21"/>
                <w:shd w:val="clear" w:color="070000" w:fill="FFFFFF"/>
              </w:rPr>
            </w:pPr>
          </w:p>
        </w:tc>
        <w:tc>
          <w:tcPr>
            <w:tcW w:w="89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调查</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2837"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审查</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3.审查责任：审理案件调查报告，对案件违法事实、证据、调查取证程序、法律适用、处罚种类和幅度、行政相对人陈述和申辩理由等方面进行审查，提出处理意见。</w:t>
            </w:r>
          </w:p>
        </w:tc>
        <w:tc>
          <w:tcPr>
            <w:tcW w:w="2837"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告知</w:t>
            </w:r>
          </w:p>
        </w:tc>
        <w:tc>
          <w:tcPr>
            <w:tcW w:w="4635"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4.告知责任：作出行政处罚决定前，告知违法事实及其享有的陈述、申辩等权利。符合听证规定，告知行政相对人有要求举行听证的权利。</w:t>
            </w:r>
          </w:p>
        </w:tc>
        <w:tc>
          <w:tcPr>
            <w:tcW w:w="2837"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vAlign w:val="center"/>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决定</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5.决定责任：依法提出行政处罚告知书和行政处罚决定书，载明行政处罚告知、行政相对人陈述申辩或者听证情况等内容。</w:t>
            </w:r>
          </w:p>
        </w:tc>
        <w:tc>
          <w:tcPr>
            <w:tcW w:w="2837" w:type="dxa"/>
            <w:vMerge w:val="continue"/>
            <w:vAlign w:val="center"/>
          </w:tcPr>
          <w:p>
            <w:pPr>
              <w:pStyle w:val="2"/>
              <w:rPr>
                <w:rFonts w:ascii="方正小标宋_GBK" w:hAnsi="方正小标宋_GBK" w:eastAsia="方正小标宋_GBK" w:cs="方正小标宋_GBK"/>
                <w:sz w:val="44"/>
                <w:szCs w:val="44"/>
              </w:rPr>
            </w:pPr>
          </w:p>
        </w:tc>
        <w:tc>
          <w:tcPr>
            <w:tcW w:w="89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送达</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6.送达责任：行政处罚决定书在7日内送达当事人。</w:t>
            </w:r>
          </w:p>
        </w:tc>
        <w:tc>
          <w:tcPr>
            <w:tcW w:w="2837"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执行</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7.执行责任：监督当事人在决定的期限内，履行生效的行政处罚决定。当事人在法定期限内不申请行政复议或提起行政诉讼，又不履行的，可依法采取强制执行或者申请人民法院强制执行。</w:t>
            </w:r>
          </w:p>
        </w:tc>
        <w:tc>
          <w:tcPr>
            <w:tcW w:w="2837" w:type="dxa"/>
            <w:vMerge w:val="continue"/>
          </w:tcPr>
          <w:p>
            <w:pPr>
              <w:pStyle w:val="2"/>
              <w:rPr>
                <w:rFonts w:ascii="方正小标宋_GBK" w:hAnsi="方正小标宋_GBK" w:eastAsia="方正小标宋_GBK" w:cs="方正小标宋_GBK"/>
                <w:sz w:val="44"/>
                <w:szCs w:val="44"/>
              </w:rPr>
            </w:pPr>
          </w:p>
        </w:tc>
        <w:tc>
          <w:tcPr>
            <w:tcW w:w="89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tbl>
      <w:tblPr>
        <w:tblStyle w:val="9"/>
        <w:tblW w:w="14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2773"/>
        <w:gridCol w:w="720"/>
        <w:gridCol w:w="810"/>
        <w:gridCol w:w="4635"/>
        <w:gridCol w:w="2837"/>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77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2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1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463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283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7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kern w:val="0"/>
                <w:szCs w:val="21"/>
              </w:rPr>
              <w:t>4</w:t>
            </w:r>
          </w:p>
        </w:tc>
        <w:tc>
          <w:tcPr>
            <w:tcW w:w="765" w:type="dxa"/>
            <w:vMerge w:val="restart"/>
            <w:vAlign w:val="center"/>
          </w:tcPr>
          <w:p>
            <w:pPr>
              <w:widowControl/>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对粮食和储备行政管理部门和其他有关部门不依法履行粮食流通管理和监督职责的处罚</w:t>
            </w:r>
          </w:p>
        </w:tc>
        <w:tc>
          <w:tcPr>
            <w:tcW w:w="2773" w:type="dxa"/>
            <w:vMerge w:val="restart"/>
            <w:vAlign w:val="center"/>
          </w:tcPr>
          <w:p>
            <w:pPr>
              <w:widowControl/>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《粮食流通管理条例》（国务院令第740号）第四十二条　违反本条例</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规定，粮食和储备行政管理部门和其他有关部门不依法履行粮食流通管理和监督职责的，对负有责任的领导人员和直接责任人员依法给予处分。</w:t>
            </w:r>
          </w:p>
        </w:tc>
        <w:tc>
          <w:tcPr>
            <w:tcW w:w="720" w:type="dxa"/>
            <w:vMerge w:val="restart"/>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w:t>
            </w:r>
          </w:p>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处罚</w:t>
            </w:r>
          </w:p>
          <w:p>
            <w:pPr>
              <w:spacing w:line="300" w:lineRule="exact"/>
              <w:jc w:val="center"/>
              <w:rPr>
                <w:rFonts w:ascii="仿宋_GB2312" w:hAnsi="仿宋_GB2312" w:eastAsia="仿宋_GB2312" w:cs="仿宋_GB2312"/>
                <w:spacing w:val="-11"/>
                <w:szCs w:val="21"/>
                <w:shd w:val="clear" w:color="070000" w:fill="FFFFFF"/>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立案</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1.立案责任：检查中发现有危害管道安全行为或接到举报，予以审查，决定是否立案。</w:t>
            </w:r>
          </w:p>
        </w:tc>
        <w:tc>
          <w:tcPr>
            <w:tcW w:w="2837" w:type="dxa"/>
            <w:vMerge w:val="restart"/>
            <w:vAlign w:val="center"/>
          </w:tcPr>
          <w:p>
            <w:pPr>
              <w:widowControl/>
              <w:spacing w:line="300" w:lineRule="exact"/>
              <w:jc w:val="left"/>
              <w:rPr>
                <w:rFonts w:ascii="宋体" w:hAnsi="宋体" w:cs="宋体"/>
                <w:color w:val="000000"/>
                <w:kern w:val="0"/>
                <w:sz w:val="18"/>
                <w:szCs w:val="18"/>
              </w:rPr>
            </w:pPr>
            <w:r>
              <w:rPr>
                <w:rFonts w:hint="eastAsia" w:ascii="仿宋_GB2312" w:hAnsi="仿宋_GB2312" w:eastAsia="仿宋_GB2312" w:cs="仿宋_GB2312"/>
                <w:spacing w:val="-11"/>
                <w:szCs w:val="21"/>
                <w:shd w:val="clear" w:color="070000" w:fill="FFFFFF"/>
              </w:rPr>
              <w:t xml:space="preserve"> </w:t>
            </w:r>
            <w:r>
              <w:rPr>
                <w:rFonts w:hint="eastAsia" w:ascii="宋体" w:hAnsi="宋体" w:cs="宋体"/>
                <w:color w:val="000000"/>
                <w:kern w:val="0"/>
                <w:sz w:val="18"/>
                <w:szCs w:val="18"/>
              </w:rPr>
              <w:t>《粮食流通管理条例》第四</w:t>
            </w:r>
            <w:r>
              <w:rPr>
                <w:rFonts w:ascii="宋体" w:hAnsi="宋体" w:cs="宋体"/>
                <w:color w:val="000000"/>
                <w:kern w:val="0"/>
                <w:sz w:val="18"/>
                <w:szCs w:val="18"/>
              </w:rPr>
              <w:t>十二条　违反本条例规定，粮食和储备行政管理部门和其他有关部门不依法履行粮食流通管理和监督职责的，对负有责任的领导人员和直接责任人员依法给予处分。</w:t>
            </w:r>
          </w:p>
          <w:p>
            <w:pPr>
              <w:widowControl/>
              <w:spacing w:line="300" w:lineRule="exact"/>
              <w:jc w:val="left"/>
              <w:rPr>
                <w:rFonts w:ascii="仿宋_GB2312" w:hAnsi="仿宋_GB2312" w:eastAsia="仿宋_GB2312" w:cs="仿宋_GB2312"/>
                <w:kern w:val="0"/>
                <w:szCs w:val="21"/>
              </w:rPr>
            </w:pPr>
          </w:p>
          <w:p>
            <w:pPr>
              <w:spacing w:line="300" w:lineRule="exact"/>
              <w:rPr>
                <w:rFonts w:ascii="仿宋_GB2312" w:hAnsi="仿宋_GB2312" w:eastAsia="仿宋_GB2312" w:cs="仿宋_GB2312"/>
                <w:spacing w:val="-11"/>
                <w:szCs w:val="21"/>
                <w:shd w:val="clear" w:color="070000" w:fill="FFFFFF"/>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调查</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2837"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审查</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3.审查责任：审理案件调查报告，对案件违法事实、证据、调查取证程序、法律适用、处罚种类和幅度、行政相对人陈述和申辩理由等方面进行审查，提出处理意见。</w:t>
            </w:r>
          </w:p>
        </w:tc>
        <w:tc>
          <w:tcPr>
            <w:tcW w:w="2837"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告知</w:t>
            </w:r>
          </w:p>
        </w:tc>
        <w:tc>
          <w:tcPr>
            <w:tcW w:w="4635"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4.告知责任：作出行政处罚决定前，告知违法事实及其享有的陈述、申辩等权利。符合听证规定，告知行政相对人有要求举行听证的权利。</w:t>
            </w:r>
          </w:p>
        </w:tc>
        <w:tc>
          <w:tcPr>
            <w:tcW w:w="2837"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vAlign w:val="center"/>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决定</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5.决定责任：依法提出行政处罚告知书和行政处罚决定书，载明行政处罚告知、行政相对人陈述申辩或者听证情况等内容。</w:t>
            </w:r>
          </w:p>
        </w:tc>
        <w:tc>
          <w:tcPr>
            <w:tcW w:w="2837" w:type="dxa"/>
            <w:vMerge w:val="continue"/>
            <w:vAlign w:val="center"/>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5" w:hRule="atLeast"/>
        </w:trPr>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送达</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6.送达责任：行政处罚决定书在7日内送达当事人。</w:t>
            </w:r>
          </w:p>
        </w:tc>
        <w:tc>
          <w:tcPr>
            <w:tcW w:w="2837"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执行</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7.执行责任：监督当事人在决定的期限内，履行生效的行政处罚决定。当事人在法定期限内不申请行政复议或提起行政诉讼，又不履行的，可依法采取强制执行或者申请人民法院强制执行。</w:t>
            </w:r>
          </w:p>
        </w:tc>
        <w:tc>
          <w:tcPr>
            <w:tcW w:w="2837"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35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35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Style w:val="2"/>
      </w:pPr>
    </w:p>
    <w:p>
      <w:pPr/>
    </w:p>
    <w:p>
      <w:pPr/>
    </w:p>
    <w:tbl>
      <w:tblPr>
        <w:tblStyle w:val="9"/>
        <w:tblW w:w="14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2773"/>
        <w:gridCol w:w="720"/>
        <w:gridCol w:w="810"/>
        <w:gridCol w:w="4635"/>
        <w:gridCol w:w="2837"/>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77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2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1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463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283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7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kern w:val="0"/>
                <w:szCs w:val="21"/>
              </w:rPr>
              <w:t>5</w:t>
            </w:r>
          </w:p>
        </w:tc>
        <w:tc>
          <w:tcPr>
            <w:tcW w:w="765" w:type="dxa"/>
            <w:vMerge w:val="restart"/>
            <w:vAlign w:val="center"/>
          </w:tcPr>
          <w:p>
            <w:pPr>
              <w:widowControl/>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未按照规定备案或者提供虚假备案信息的处罚</w:t>
            </w:r>
          </w:p>
        </w:tc>
        <w:tc>
          <w:tcPr>
            <w:tcW w:w="2773" w:type="dxa"/>
            <w:vMerge w:val="restart"/>
            <w:vAlign w:val="center"/>
          </w:tcPr>
          <w:p>
            <w:pPr>
              <w:widowControl/>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《粮食流通管理条例》（国务院令第740号）第四十三条　粮食收购企业未按照规定备案或者提供虚假备案信息的，由粮食和储备行政管理部门责令改正，给予警告；拒不改正的，处2万元以上5万元以下罚款。</w:t>
            </w:r>
          </w:p>
        </w:tc>
        <w:tc>
          <w:tcPr>
            <w:tcW w:w="720" w:type="dxa"/>
            <w:vMerge w:val="restart"/>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w:t>
            </w:r>
          </w:p>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处罚</w:t>
            </w:r>
          </w:p>
          <w:p>
            <w:pPr>
              <w:spacing w:line="300" w:lineRule="exact"/>
              <w:jc w:val="center"/>
              <w:rPr>
                <w:rFonts w:ascii="仿宋_GB2312" w:hAnsi="仿宋_GB2312" w:eastAsia="仿宋_GB2312" w:cs="仿宋_GB2312"/>
                <w:spacing w:val="-11"/>
                <w:szCs w:val="21"/>
                <w:shd w:val="clear" w:color="070000" w:fill="FFFFFF"/>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立案</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1.立案责任：检查中发现有危害管道安全行为或接到举报，予以审查，决定是否立案。</w:t>
            </w:r>
          </w:p>
        </w:tc>
        <w:tc>
          <w:tcPr>
            <w:tcW w:w="2837" w:type="dxa"/>
            <w:vMerge w:val="restart"/>
            <w:vAlign w:val="center"/>
          </w:tcPr>
          <w:p>
            <w:pPr>
              <w:widowControl/>
              <w:spacing w:line="300" w:lineRule="exact"/>
              <w:jc w:val="left"/>
              <w:rPr>
                <w:rFonts w:ascii="宋体" w:hAnsi="宋体" w:cs="宋体"/>
                <w:color w:val="000000"/>
                <w:kern w:val="0"/>
                <w:sz w:val="18"/>
                <w:szCs w:val="18"/>
              </w:rPr>
            </w:pPr>
            <w:r>
              <w:rPr>
                <w:rFonts w:hint="eastAsia" w:ascii="仿宋_GB2312" w:hAnsi="仿宋_GB2312" w:eastAsia="仿宋_GB2312" w:cs="仿宋_GB2312"/>
                <w:spacing w:val="-11"/>
                <w:szCs w:val="21"/>
                <w:shd w:val="clear" w:color="070000" w:fill="FFFFFF"/>
              </w:rPr>
              <w:t xml:space="preserve"> </w:t>
            </w:r>
            <w:r>
              <w:rPr>
                <w:rFonts w:hint="eastAsia" w:ascii="宋体" w:hAnsi="宋体" w:cs="宋体"/>
                <w:color w:val="000000"/>
                <w:kern w:val="0"/>
                <w:sz w:val="18"/>
                <w:szCs w:val="18"/>
              </w:rPr>
              <w:t>《粮食流通管理条例》第四</w:t>
            </w:r>
            <w:r>
              <w:rPr>
                <w:rFonts w:ascii="宋体" w:hAnsi="宋体" w:cs="宋体"/>
                <w:color w:val="000000"/>
                <w:kern w:val="0"/>
                <w:sz w:val="18"/>
                <w:szCs w:val="18"/>
              </w:rPr>
              <w:t>十二条　违反本条例规定，粮食和储备行政管理部门和其他有关部门不依法履行粮食流通管理和监督职责的，对负有责任的领导人员和直接责任人员依法给予处分。</w:t>
            </w:r>
          </w:p>
          <w:p>
            <w:pPr>
              <w:widowControl/>
              <w:spacing w:line="300" w:lineRule="exact"/>
              <w:jc w:val="left"/>
              <w:rPr>
                <w:rFonts w:ascii="仿宋_GB2312" w:hAnsi="仿宋_GB2312" w:eastAsia="仿宋_GB2312" w:cs="仿宋_GB2312"/>
                <w:kern w:val="0"/>
                <w:szCs w:val="21"/>
              </w:rPr>
            </w:pPr>
          </w:p>
          <w:p>
            <w:pPr>
              <w:spacing w:line="300" w:lineRule="exact"/>
              <w:rPr>
                <w:rFonts w:ascii="仿宋_GB2312" w:hAnsi="仿宋_GB2312" w:eastAsia="仿宋_GB2312" w:cs="仿宋_GB2312"/>
                <w:spacing w:val="-11"/>
                <w:szCs w:val="21"/>
                <w:shd w:val="clear" w:color="070000" w:fill="FFFFFF"/>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调查</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2837"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审查</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3.审查责任：审理案件调查报告，对案件违法事实、证据、调查取证程序、法律适用、处罚种类和幅度、行政相对人陈述和申辩理由等方面进行审查，提出处理意见。</w:t>
            </w:r>
          </w:p>
        </w:tc>
        <w:tc>
          <w:tcPr>
            <w:tcW w:w="2837"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告知</w:t>
            </w:r>
          </w:p>
        </w:tc>
        <w:tc>
          <w:tcPr>
            <w:tcW w:w="4635"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4.告知责任：作出行政处罚决定前，告知违法事实及其享有的陈述、申辩等权利。符合听证规定，告知行政相对人有要求举行听证的权利。</w:t>
            </w:r>
          </w:p>
        </w:tc>
        <w:tc>
          <w:tcPr>
            <w:tcW w:w="2837"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vAlign w:val="center"/>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决定</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5.决定责任：依法提出行政处罚告知书和行政处罚决定书，载明行政处罚告知、行政相对人陈述申辩或者听证情况等内容。</w:t>
            </w:r>
          </w:p>
        </w:tc>
        <w:tc>
          <w:tcPr>
            <w:tcW w:w="2837" w:type="dxa"/>
            <w:vMerge w:val="continue"/>
            <w:vAlign w:val="center"/>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5" w:hRule="atLeast"/>
        </w:trPr>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送达</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6.送达责任：行政处罚决定书在7日内送达当事人。</w:t>
            </w:r>
          </w:p>
        </w:tc>
        <w:tc>
          <w:tcPr>
            <w:tcW w:w="2837"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773" w:type="dxa"/>
            <w:vMerge w:val="continue"/>
          </w:tcPr>
          <w:p>
            <w:pPr>
              <w:pStyle w:val="2"/>
              <w:rPr>
                <w:rFonts w:ascii="方正小标宋_GBK" w:hAnsi="方正小标宋_GBK" w:eastAsia="方正小标宋_GBK" w:cs="方正小标宋_GBK"/>
                <w:sz w:val="44"/>
                <w:szCs w:val="44"/>
              </w:rPr>
            </w:pPr>
          </w:p>
        </w:tc>
        <w:tc>
          <w:tcPr>
            <w:tcW w:w="720" w:type="dxa"/>
            <w:vMerge w:val="continue"/>
          </w:tcPr>
          <w:p>
            <w:pPr>
              <w:pStyle w:val="2"/>
              <w:rPr>
                <w:rFonts w:ascii="方正小标宋_GBK" w:hAnsi="方正小标宋_GBK" w:eastAsia="方正小标宋_GBK" w:cs="方正小标宋_GBK"/>
                <w:sz w:val="44"/>
                <w:szCs w:val="44"/>
              </w:rPr>
            </w:pPr>
          </w:p>
        </w:tc>
        <w:tc>
          <w:tcPr>
            <w:tcW w:w="810"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执行</w:t>
            </w:r>
          </w:p>
        </w:tc>
        <w:tc>
          <w:tcPr>
            <w:tcW w:w="463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7.执行责任：监督当事人在决定的期限内，履行生效的行政处罚决定。当事人在法定期限内不申请行政复议或提起行政诉讼，又不履行的，可依法采取强制执行或者申请人民法院强制执行。</w:t>
            </w:r>
          </w:p>
        </w:tc>
        <w:tc>
          <w:tcPr>
            <w:tcW w:w="2837"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35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35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Style w:val="2"/>
      </w:pPr>
    </w:p>
    <w:p>
      <w:pPr/>
    </w:p>
    <w:p>
      <w:pPr/>
    </w:p>
    <w:tbl>
      <w:tblPr>
        <w:tblStyle w:val="9"/>
        <w:tblW w:w="14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664"/>
        <w:gridCol w:w="3945"/>
        <w:gridCol w:w="765"/>
        <w:gridCol w:w="855"/>
        <w:gridCol w:w="3855"/>
        <w:gridCol w:w="1456"/>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166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94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5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385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1456"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7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kern w:val="0"/>
                <w:szCs w:val="21"/>
              </w:rPr>
              <w:t>6</w:t>
            </w:r>
          </w:p>
        </w:tc>
        <w:tc>
          <w:tcPr>
            <w:tcW w:w="1664" w:type="dxa"/>
            <w:vMerge w:val="restart"/>
            <w:vAlign w:val="center"/>
          </w:tcPr>
          <w:p>
            <w:pPr>
              <w:widowControl/>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未执行国家粮食质量标准、未及时向售粮者支付售粮款、违反本条例规定代扣、代缴税、费和其他款项、未按照国家有关规定进行质量安全检验，或者对不符合食品安全标准的粮食未作为非食用用途单独储存、从事粮食收购、销售、储存、加工的粮食经营者以及饲料、工业用粮企业未建立粮食经营台账，或者未按照规定报送粮食基本数据和有关情况、未按照规定进行粮食销售出库质量安全检验的处罚</w:t>
            </w:r>
          </w:p>
        </w:tc>
        <w:tc>
          <w:tcPr>
            <w:tcW w:w="3945" w:type="dxa"/>
            <w:vMerge w:val="restart"/>
            <w:vAlign w:val="center"/>
          </w:tcPr>
          <w:p>
            <w:pPr>
              <w:widowControl/>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《粮食流通管理条例》（国务院令第740号）第四十五条　有下列情形之一的，由粮食和储备行政管理部门责令改正，给予警告，可以并处20万元以下罚款；情节严重的，并处20万元以上50万元以下罚款：</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（一）粮食收购者未执行国家粮食质量标准；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（二）粮食收购者未及时向售粮者支付售粮款；</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（三）粮食收购者违反本条例规定代扣、代缴税、费和其他款项；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（四）粮食收购者收购粮食，未按照国家有关规定进行质量安全检验，或者对不符合食品安全标准的粮食未作为非食用用途单独储存；</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（五）从事粮食收购、销售、储存、加工的粮食经营者以及饲料、工业用粮企业未建立粮食经营台账，或者未按照规定报送粮食基本数据和有关情况；</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（六）粮食储存企业未按照规定进行粮食销售出库质量安全检验。</w:t>
            </w:r>
          </w:p>
        </w:tc>
        <w:tc>
          <w:tcPr>
            <w:tcW w:w="765" w:type="dxa"/>
            <w:vMerge w:val="restart"/>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w:t>
            </w:r>
          </w:p>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处罚</w:t>
            </w:r>
          </w:p>
          <w:p>
            <w:pPr>
              <w:spacing w:line="300" w:lineRule="exact"/>
              <w:jc w:val="center"/>
              <w:rPr>
                <w:rFonts w:ascii="仿宋_GB2312" w:hAnsi="仿宋_GB2312" w:eastAsia="仿宋_GB2312" w:cs="仿宋_GB2312"/>
                <w:spacing w:val="-11"/>
                <w:szCs w:val="21"/>
                <w:shd w:val="clear" w:color="070000" w:fill="FFFFFF"/>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立案</w:t>
            </w:r>
          </w:p>
        </w:tc>
        <w:tc>
          <w:tcPr>
            <w:tcW w:w="385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1.立案责任：检查中发现有危害管道安全行为或接到举报，予以审查，决定是否立案。</w:t>
            </w:r>
          </w:p>
        </w:tc>
        <w:tc>
          <w:tcPr>
            <w:tcW w:w="1456" w:type="dxa"/>
            <w:vMerge w:val="restart"/>
            <w:vAlign w:val="center"/>
          </w:tcPr>
          <w:p>
            <w:pPr>
              <w:widowControl/>
              <w:spacing w:line="300" w:lineRule="exact"/>
              <w:jc w:val="left"/>
              <w:rPr>
                <w:rFonts w:ascii="宋体" w:hAnsi="宋体" w:cs="宋体"/>
                <w:color w:val="000000"/>
                <w:kern w:val="0"/>
                <w:sz w:val="18"/>
                <w:szCs w:val="18"/>
              </w:rPr>
            </w:pPr>
            <w:r>
              <w:rPr>
                <w:rFonts w:hint="eastAsia" w:ascii="仿宋_GB2312" w:hAnsi="仿宋_GB2312" w:eastAsia="仿宋_GB2312" w:cs="仿宋_GB2312"/>
                <w:spacing w:val="-11"/>
                <w:szCs w:val="21"/>
                <w:shd w:val="clear" w:color="070000" w:fill="FFFFFF"/>
              </w:rPr>
              <w:t xml:space="preserve"> </w:t>
            </w:r>
            <w:r>
              <w:rPr>
                <w:rFonts w:hint="eastAsia" w:ascii="宋体" w:hAnsi="宋体" w:cs="宋体"/>
                <w:color w:val="000000"/>
                <w:kern w:val="0"/>
                <w:sz w:val="18"/>
                <w:szCs w:val="18"/>
              </w:rPr>
              <w:t>《粮食流通管理条例》第四</w:t>
            </w:r>
            <w:r>
              <w:rPr>
                <w:rFonts w:ascii="宋体" w:hAnsi="宋体" w:cs="宋体"/>
                <w:color w:val="000000"/>
                <w:kern w:val="0"/>
                <w:sz w:val="18"/>
                <w:szCs w:val="18"/>
              </w:rPr>
              <w:t>十二条　违反本条例规定，粮食和储备行政管理部门和其他有关部门不依法履行粮食流通管理和监督职责的，对负有责任的领导人员和直接责任人员依法给予处分。</w:t>
            </w:r>
          </w:p>
          <w:p>
            <w:pPr>
              <w:widowControl/>
              <w:spacing w:line="300" w:lineRule="exact"/>
              <w:jc w:val="left"/>
              <w:rPr>
                <w:rFonts w:ascii="仿宋_GB2312" w:hAnsi="仿宋_GB2312" w:eastAsia="仿宋_GB2312" w:cs="仿宋_GB2312"/>
                <w:kern w:val="0"/>
                <w:szCs w:val="21"/>
              </w:rPr>
            </w:pPr>
          </w:p>
          <w:p>
            <w:pPr>
              <w:spacing w:line="300" w:lineRule="exact"/>
              <w:rPr>
                <w:rFonts w:ascii="仿宋_GB2312" w:hAnsi="仿宋_GB2312" w:eastAsia="仿宋_GB2312" w:cs="仿宋_GB2312"/>
                <w:spacing w:val="-11"/>
                <w:szCs w:val="21"/>
                <w:shd w:val="clear" w:color="070000" w:fill="FFFFFF"/>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664" w:type="dxa"/>
            <w:vMerge w:val="continue"/>
          </w:tcPr>
          <w:p>
            <w:pPr>
              <w:pStyle w:val="2"/>
              <w:rPr>
                <w:rFonts w:ascii="方正小标宋_GBK" w:hAnsi="方正小标宋_GBK" w:eastAsia="方正小标宋_GBK" w:cs="方正小标宋_GBK"/>
                <w:sz w:val="44"/>
                <w:szCs w:val="44"/>
              </w:rPr>
            </w:pPr>
          </w:p>
        </w:tc>
        <w:tc>
          <w:tcPr>
            <w:tcW w:w="394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调查</w:t>
            </w:r>
          </w:p>
        </w:tc>
        <w:tc>
          <w:tcPr>
            <w:tcW w:w="385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664" w:type="dxa"/>
            <w:vMerge w:val="continue"/>
          </w:tcPr>
          <w:p>
            <w:pPr>
              <w:pStyle w:val="2"/>
              <w:rPr>
                <w:rFonts w:ascii="方正小标宋_GBK" w:hAnsi="方正小标宋_GBK" w:eastAsia="方正小标宋_GBK" w:cs="方正小标宋_GBK"/>
                <w:sz w:val="44"/>
                <w:szCs w:val="44"/>
              </w:rPr>
            </w:pPr>
          </w:p>
        </w:tc>
        <w:tc>
          <w:tcPr>
            <w:tcW w:w="394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审查</w:t>
            </w:r>
          </w:p>
        </w:tc>
        <w:tc>
          <w:tcPr>
            <w:tcW w:w="385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3.审查责任：审理案件调查报告，对案件违法事实、证据、调查取证程序、法律适用、处罚种类和幅度、行政相对人陈述和申辩理由等方面进行审查，提出处理意见。</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664" w:type="dxa"/>
            <w:vMerge w:val="continue"/>
          </w:tcPr>
          <w:p>
            <w:pPr>
              <w:pStyle w:val="2"/>
              <w:rPr>
                <w:rFonts w:ascii="方正小标宋_GBK" w:hAnsi="方正小标宋_GBK" w:eastAsia="方正小标宋_GBK" w:cs="方正小标宋_GBK"/>
                <w:sz w:val="44"/>
                <w:szCs w:val="44"/>
              </w:rPr>
            </w:pPr>
          </w:p>
        </w:tc>
        <w:tc>
          <w:tcPr>
            <w:tcW w:w="394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告知</w:t>
            </w:r>
          </w:p>
        </w:tc>
        <w:tc>
          <w:tcPr>
            <w:tcW w:w="3855"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4.告知责任：作出行政处罚决定前，告知违法事实及其享有的陈述、申辩等权利。符合听证规定，告知行政相对人有要求举行听证的权利。</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664" w:type="dxa"/>
            <w:vMerge w:val="continue"/>
          </w:tcPr>
          <w:p>
            <w:pPr>
              <w:pStyle w:val="2"/>
              <w:rPr>
                <w:rFonts w:ascii="方正小标宋_GBK" w:hAnsi="方正小标宋_GBK" w:eastAsia="方正小标宋_GBK" w:cs="方正小标宋_GBK"/>
                <w:sz w:val="44"/>
                <w:szCs w:val="44"/>
              </w:rPr>
            </w:pPr>
          </w:p>
        </w:tc>
        <w:tc>
          <w:tcPr>
            <w:tcW w:w="3945" w:type="dxa"/>
            <w:vMerge w:val="continue"/>
          </w:tcPr>
          <w:p>
            <w:pPr>
              <w:pStyle w:val="2"/>
              <w:rPr>
                <w:rFonts w:ascii="方正小标宋_GBK" w:hAnsi="方正小标宋_GBK" w:eastAsia="方正小标宋_GBK" w:cs="方正小标宋_GBK"/>
                <w:sz w:val="44"/>
                <w:szCs w:val="44"/>
              </w:rPr>
            </w:pPr>
          </w:p>
        </w:tc>
        <w:tc>
          <w:tcPr>
            <w:tcW w:w="765" w:type="dxa"/>
            <w:vMerge w:val="continue"/>
            <w:vAlign w:val="center"/>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决定</w:t>
            </w:r>
          </w:p>
        </w:tc>
        <w:tc>
          <w:tcPr>
            <w:tcW w:w="385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5.决定责任：依法提出行政处罚告知书和行政处罚决定书，载明行政处罚告知、行政相对人陈述申辩或者听证情况等内容。</w:t>
            </w:r>
          </w:p>
        </w:tc>
        <w:tc>
          <w:tcPr>
            <w:tcW w:w="1456" w:type="dxa"/>
            <w:vMerge w:val="continue"/>
            <w:vAlign w:val="center"/>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5" w:hRule="atLeast"/>
        </w:trPr>
        <w:tc>
          <w:tcPr>
            <w:tcW w:w="735" w:type="dxa"/>
            <w:vMerge w:val="continue"/>
          </w:tcPr>
          <w:p>
            <w:pPr>
              <w:pStyle w:val="2"/>
              <w:rPr>
                <w:rFonts w:ascii="方正小标宋_GBK" w:hAnsi="方正小标宋_GBK" w:eastAsia="方正小标宋_GBK" w:cs="方正小标宋_GBK"/>
                <w:sz w:val="44"/>
                <w:szCs w:val="44"/>
              </w:rPr>
            </w:pPr>
          </w:p>
        </w:tc>
        <w:tc>
          <w:tcPr>
            <w:tcW w:w="1664" w:type="dxa"/>
            <w:vMerge w:val="continue"/>
          </w:tcPr>
          <w:p>
            <w:pPr>
              <w:pStyle w:val="2"/>
              <w:rPr>
                <w:rFonts w:ascii="方正小标宋_GBK" w:hAnsi="方正小标宋_GBK" w:eastAsia="方正小标宋_GBK" w:cs="方正小标宋_GBK"/>
                <w:sz w:val="44"/>
                <w:szCs w:val="44"/>
              </w:rPr>
            </w:pPr>
          </w:p>
        </w:tc>
        <w:tc>
          <w:tcPr>
            <w:tcW w:w="394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送达</w:t>
            </w:r>
          </w:p>
        </w:tc>
        <w:tc>
          <w:tcPr>
            <w:tcW w:w="385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6.送达责任：行政处罚决定书在7日内送达当事人。</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664" w:type="dxa"/>
            <w:vMerge w:val="continue"/>
          </w:tcPr>
          <w:p>
            <w:pPr>
              <w:pStyle w:val="2"/>
              <w:rPr>
                <w:rFonts w:ascii="方正小标宋_GBK" w:hAnsi="方正小标宋_GBK" w:eastAsia="方正小标宋_GBK" w:cs="方正小标宋_GBK"/>
                <w:sz w:val="44"/>
                <w:szCs w:val="44"/>
              </w:rPr>
            </w:pPr>
          </w:p>
        </w:tc>
        <w:tc>
          <w:tcPr>
            <w:tcW w:w="394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执行</w:t>
            </w:r>
          </w:p>
        </w:tc>
        <w:tc>
          <w:tcPr>
            <w:tcW w:w="385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7.执行责任：监督当事人在决定的期限内，履行生效的行政处罚决定。当事人在法定期限内不申请行政复议或提起行政诉讼，又不履行的，可依法采取强制执行或者申请人民法院强制执行。</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35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35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Style w:val="2"/>
        <w:rPr>
          <w:rFonts w:ascii="方正小标宋_GBK" w:hAnsi="方正小标宋_GBK" w:eastAsia="方正小标宋_GBK" w:cs="方正小标宋_GBK"/>
          <w:sz w:val="15"/>
          <w:szCs w:val="15"/>
        </w:rPr>
      </w:pPr>
    </w:p>
    <w:tbl>
      <w:tblPr>
        <w:tblStyle w:val="9"/>
        <w:tblW w:w="14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289"/>
        <w:gridCol w:w="3015"/>
        <w:gridCol w:w="855"/>
        <w:gridCol w:w="765"/>
        <w:gridCol w:w="5160"/>
        <w:gridCol w:w="1456"/>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128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01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85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516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1456"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7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kern w:val="0"/>
                <w:szCs w:val="21"/>
              </w:rPr>
              <w:t>7</w:t>
            </w:r>
          </w:p>
        </w:tc>
        <w:tc>
          <w:tcPr>
            <w:tcW w:w="1289" w:type="dxa"/>
            <w:vMerge w:val="restart"/>
            <w:vAlign w:val="center"/>
          </w:tcPr>
          <w:p>
            <w:pPr>
              <w:widowControl/>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问题粮食作为食用用途销售出库的处罚</w:t>
            </w:r>
          </w:p>
        </w:tc>
        <w:tc>
          <w:tcPr>
            <w:tcW w:w="3015" w:type="dxa"/>
            <w:vMerge w:val="restart"/>
            <w:vAlign w:val="center"/>
          </w:tcPr>
          <w:p>
            <w:pPr>
              <w:widowControl/>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《粮食流通管理条例》（国务院令第740号）第四十七条　粮食收购者、粮食储存企业将下列粮食作为食用用途销售出库的，由粮食和储备行政管理部门没收违法所得；违法销售出库的粮食货值金额不足1万元的，并处1万元以上5万元以下罚款，货值金额1万元以上的，并处货值金额1倍以上5倍以下罚款：</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（一）真菌毒素、农药残留、重金属等污染物质以及其他危害人体健康的物质含量超过食品安全标准限量的；</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（二）霉变或者色泽、气味异常的；</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（三）储存期间使用储粮药剂未满安全间隔期的；</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（四）被包装材料、容器、运输工具等污染的；</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（五）其他法律、法规或者国家有关规定明确不得作为食用用途销售的。</w:t>
            </w:r>
          </w:p>
        </w:tc>
        <w:tc>
          <w:tcPr>
            <w:tcW w:w="855" w:type="dxa"/>
            <w:vMerge w:val="restart"/>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w:t>
            </w:r>
          </w:p>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处罚</w:t>
            </w:r>
          </w:p>
          <w:p>
            <w:pPr>
              <w:spacing w:line="300" w:lineRule="exact"/>
              <w:jc w:val="center"/>
              <w:rPr>
                <w:rFonts w:ascii="仿宋_GB2312" w:hAnsi="仿宋_GB2312" w:eastAsia="仿宋_GB2312" w:cs="仿宋_GB2312"/>
                <w:spacing w:val="-11"/>
                <w:szCs w:val="21"/>
                <w:shd w:val="clear" w:color="070000" w:fill="FFFFFF"/>
              </w:rPr>
            </w:pPr>
          </w:p>
        </w:tc>
        <w:tc>
          <w:tcPr>
            <w:tcW w:w="76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立案</w:t>
            </w:r>
          </w:p>
        </w:tc>
        <w:tc>
          <w:tcPr>
            <w:tcW w:w="516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1.立案责任：检查中发现有危害管道安全行为或接到举报，予以审查，决定是否立案。</w:t>
            </w:r>
          </w:p>
        </w:tc>
        <w:tc>
          <w:tcPr>
            <w:tcW w:w="1456" w:type="dxa"/>
            <w:vMerge w:val="restart"/>
            <w:vAlign w:val="center"/>
          </w:tcPr>
          <w:p>
            <w:pPr>
              <w:widowControl/>
              <w:spacing w:line="300" w:lineRule="exact"/>
              <w:jc w:val="left"/>
              <w:rPr>
                <w:rFonts w:ascii="宋体" w:hAnsi="宋体" w:cs="宋体"/>
                <w:color w:val="000000"/>
                <w:kern w:val="0"/>
                <w:sz w:val="18"/>
                <w:szCs w:val="18"/>
              </w:rPr>
            </w:pPr>
            <w:r>
              <w:rPr>
                <w:rFonts w:hint="eastAsia" w:ascii="仿宋_GB2312" w:hAnsi="仿宋_GB2312" w:eastAsia="仿宋_GB2312" w:cs="仿宋_GB2312"/>
                <w:spacing w:val="-11"/>
                <w:szCs w:val="21"/>
                <w:shd w:val="clear" w:color="070000" w:fill="FFFFFF"/>
              </w:rPr>
              <w:t xml:space="preserve"> </w:t>
            </w:r>
            <w:r>
              <w:rPr>
                <w:rFonts w:hint="eastAsia" w:ascii="宋体" w:hAnsi="宋体" w:cs="宋体"/>
                <w:color w:val="000000"/>
                <w:kern w:val="0"/>
                <w:sz w:val="18"/>
                <w:szCs w:val="18"/>
              </w:rPr>
              <w:t>《粮食流通管理条例》第四</w:t>
            </w:r>
            <w:r>
              <w:rPr>
                <w:rFonts w:ascii="宋体" w:hAnsi="宋体" w:cs="宋体"/>
                <w:color w:val="000000"/>
                <w:kern w:val="0"/>
                <w:sz w:val="18"/>
                <w:szCs w:val="18"/>
              </w:rPr>
              <w:t>十二条　违反本条例规定，粮食和储备行政管理部门和其他有关部门不依法履行粮食流通管理和监督职责的，对负有责任的领导人员和直接责任人员依法给予处分。</w:t>
            </w:r>
          </w:p>
          <w:p>
            <w:pPr>
              <w:widowControl/>
              <w:spacing w:line="300" w:lineRule="exact"/>
              <w:jc w:val="left"/>
              <w:rPr>
                <w:rFonts w:ascii="仿宋_GB2312" w:hAnsi="仿宋_GB2312" w:eastAsia="仿宋_GB2312" w:cs="仿宋_GB2312"/>
                <w:kern w:val="0"/>
                <w:szCs w:val="21"/>
              </w:rPr>
            </w:pPr>
          </w:p>
          <w:p>
            <w:pPr>
              <w:spacing w:line="300" w:lineRule="exact"/>
              <w:rPr>
                <w:rFonts w:ascii="仿宋_GB2312" w:hAnsi="仿宋_GB2312" w:eastAsia="仿宋_GB2312" w:cs="仿宋_GB2312"/>
                <w:spacing w:val="-11"/>
                <w:szCs w:val="21"/>
                <w:shd w:val="clear" w:color="070000" w:fill="FFFFFF"/>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015" w:type="dxa"/>
            <w:vMerge w:val="continue"/>
          </w:tcPr>
          <w:p>
            <w:pPr>
              <w:pStyle w:val="2"/>
              <w:rPr>
                <w:rFonts w:ascii="方正小标宋_GBK" w:hAnsi="方正小标宋_GBK" w:eastAsia="方正小标宋_GBK" w:cs="方正小标宋_GBK"/>
                <w:sz w:val="44"/>
                <w:szCs w:val="44"/>
              </w:rPr>
            </w:pPr>
          </w:p>
        </w:tc>
        <w:tc>
          <w:tcPr>
            <w:tcW w:w="855" w:type="dxa"/>
            <w:vMerge w:val="continue"/>
          </w:tcPr>
          <w:p>
            <w:pPr>
              <w:pStyle w:val="2"/>
              <w:rPr>
                <w:rFonts w:ascii="方正小标宋_GBK" w:hAnsi="方正小标宋_GBK" w:eastAsia="方正小标宋_GBK" w:cs="方正小标宋_GBK"/>
                <w:sz w:val="44"/>
                <w:szCs w:val="44"/>
              </w:rPr>
            </w:pPr>
          </w:p>
        </w:tc>
        <w:tc>
          <w:tcPr>
            <w:tcW w:w="76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调查</w:t>
            </w:r>
          </w:p>
        </w:tc>
        <w:tc>
          <w:tcPr>
            <w:tcW w:w="516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015" w:type="dxa"/>
            <w:vMerge w:val="continue"/>
          </w:tcPr>
          <w:p>
            <w:pPr>
              <w:pStyle w:val="2"/>
              <w:rPr>
                <w:rFonts w:ascii="方正小标宋_GBK" w:hAnsi="方正小标宋_GBK" w:eastAsia="方正小标宋_GBK" w:cs="方正小标宋_GBK"/>
                <w:sz w:val="44"/>
                <w:szCs w:val="44"/>
              </w:rPr>
            </w:pPr>
          </w:p>
        </w:tc>
        <w:tc>
          <w:tcPr>
            <w:tcW w:w="855" w:type="dxa"/>
            <w:vMerge w:val="continue"/>
          </w:tcPr>
          <w:p>
            <w:pPr>
              <w:pStyle w:val="2"/>
              <w:rPr>
                <w:rFonts w:ascii="方正小标宋_GBK" w:hAnsi="方正小标宋_GBK" w:eastAsia="方正小标宋_GBK" w:cs="方正小标宋_GBK"/>
                <w:sz w:val="44"/>
                <w:szCs w:val="44"/>
              </w:rPr>
            </w:pPr>
          </w:p>
        </w:tc>
        <w:tc>
          <w:tcPr>
            <w:tcW w:w="76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审查</w:t>
            </w:r>
          </w:p>
        </w:tc>
        <w:tc>
          <w:tcPr>
            <w:tcW w:w="516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3.审查责任：审理案件调查报告，对案件违法事实、证据、调查取证程序、法律适用、处罚种类和幅度、行政相对人陈述和申辩理由等方面进行审查，提出处理意见。</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015" w:type="dxa"/>
            <w:vMerge w:val="continue"/>
          </w:tcPr>
          <w:p>
            <w:pPr>
              <w:pStyle w:val="2"/>
              <w:rPr>
                <w:rFonts w:ascii="方正小标宋_GBK" w:hAnsi="方正小标宋_GBK" w:eastAsia="方正小标宋_GBK" w:cs="方正小标宋_GBK"/>
                <w:sz w:val="44"/>
                <w:szCs w:val="44"/>
              </w:rPr>
            </w:pPr>
          </w:p>
        </w:tc>
        <w:tc>
          <w:tcPr>
            <w:tcW w:w="855" w:type="dxa"/>
            <w:vMerge w:val="continue"/>
          </w:tcPr>
          <w:p>
            <w:pPr>
              <w:pStyle w:val="2"/>
              <w:rPr>
                <w:rFonts w:ascii="方正小标宋_GBK" w:hAnsi="方正小标宋_GBK" w:eastAsia="方正小标宋_GBK" w:cs="方正小标宋_GBK"/>
                <w:sz w:val="44"/>
                <w:szCs w:val="44"/>
              </w:rPr>
            </w:pPr>
          </w:p>
        </w:tc>
        <w:tc>
          <w:tcPr>
            <w:tcW w:w="765"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告知</w:t>
            </w:r>
          </w:p>
        </w:tc>
        <w:tc>
          <w:tcPr>
            <w:tcW w:w="5160"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4.告知责任：作出行政处罚决定前，告知违法事实及其享有的陈述、申辩等权利。符合听证规定，告知行政相对人有要求举行听证的权利。</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015" w:type="dxa"/>
            <w:vMerge w:val="continue"/>
          </w:tcPr>
          <w:p>
            <w:pPr>
              <w:pStyle w:val="2"/>
              <w:rPr>
                <w:rFonts w:ascii="方正小标宋_GBK" w:hAnsi="方正小标宋_GBK" w:eastAsia="方正小标宋_GBK" w:cs="方正小标宋_GBK"/>
                <w:sz w:val="44"/>
                <w:szCs w:val="44"/>
              </w:rPr>
            </w:pPr>
          </w:p>
        </w:tc>
        <w:tc>
          <w:tcPr>
            <w:tcW w:w="855" w:type="dxa"/>
            <w:vMerge w:val="continue"/>
            <w:vAlign w:val="center"/>
          </w:tcPr>
          <w:p>
            <w:pPr>
              <w:pStyle w:val="2"/>
              <w:rPr>
                <w:rFonts w:ascii="方正小标宋_GBK" w:hAnsi="方正小标宋_GBK" w:eastAsia="方正小标宋_GBK" w:cs="方正小标宋_GBK"/>
                <w:sz w:val="44"/>
                <w:szCs w:val="44"/>
              </w:rPr>
            </w:pPr>
          </w:p>
        </w:tc>
        <w:tc>
          <w:tcPr>
            <w:tcW w:w="76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决定</w:t>
            </w:r>
          </w:p>
        </w:tc>
        <w:tc>
          <w:tcPr>
            <w:tcW w:w="516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5.决定责任：依法提出行政处罚告知书和行政处罚决定书，载明行政处罚告知、行政相对人陈述申辩或者听证情况等内容。</w:t>
            </w:r>
          </w:p>
        </w:tc>
        <w:tc>
          <w:tcPr>
            <w:tcW w:w="1456" w:type="dxa"/>
            <w:vMerge w:val="continue"/>
            <w:vAlign w:val="center"/>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5" w:hRule="atLeast"/>
        </w:trPr>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015" w:type="dxa"/>
            <w:vMerge w:val="continue"/>
          </w:tcPr>
          <w:p>
            <w:pPr>
              <w:pStyle w:val="2"/>
              <w:rPr>
                <w:rFonts w:ascii="方正小标宋_GBK" w:hAnsi="方正小标宋_GBK" w:eastAsia="方正小标宋_GBK" w:cs="方正小标宋_GBK"/>
                <w:sz w:val="44"/>
                <w:szCs w:val="44"/>
              </w:rPr>
            </w:pPr>
          </w:p>
        </w:tc>
        <w:tc>
          <w:tcPr>
            <w:tcW w:w="855" w:type="dxa"/>
            <w:vMerge w:val="continue"/>
          </w:tcPr>
          <w:p>
            <w:pPr>
              <w:pStyle w:val="2"/>
              <w:rPr>
                <w:rFonts w:ascii="方正小标宋_GBK" w:hAnsi="方正小标宋_GBK" w:eastAsia="方正小标宋_GBK" w:cs="方正小标宋_GBK"/>
                <w:sz w:val="44"/>
                <w:szCs w:val="44"/>
              </w:rPr>
            </w:pPr>
          </w:p>
        </w:tc>
        <w:tc>
          <w:tcPr>
            <w:tcW w:w="76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送达</w:t>
            </w:r>
          </w:p>
        </w:tc>
        <w:tc>
          <w:tcPr>
            <w:tcW w:w="516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6.送达责任：行政处罚决定书在7日内送达当事人。</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015" w:type="dxa"/>
            <w:vMerge w:val="continue"/>
          </w:tcPr>
          <w:p>
            <w:pPr>
              <w:pStyle w:val="2"/>
              <w:rPr>
                <w:rFonts w:ascii="方正小标宋_GBK" w:hAnsi="方正小标宋_GBK" w:eastAsia="方正小标宋_GBK" w:cs="方正小标宋_GBK"/>
                <w:sz w:val="44"/>
                <w:szCs w:val="44"/>
              </w:rPr>
            </w:pPr>
          </w:p>
        </w:tc>
        <w:tc>
          <w:tcPr>
            <w:tcW w:w="855" w:type="dxa"/>
            <w:vMerge w:val="continue"/>
          </w:tcPr>
          <w:p>
            <w:pPr>
              <w:pStyle w:val="2"/>
              <w:rPr>
                <w:rFonts w:ascii="方正小标宋_GBK" w:hAnsi="方正小标宋_GBK" w:eastAsia="方正小标宋_GBK" w:cs="方正小标宋_GBK"/>
                <w:sz w:val="44"/>
                <w:szCs w:val="44"/>
              </w:rPr>
            </w:pPr>
          </w:p>
        </w:tc>
        <w:tc>
          <w:tcPr>
            <w:tcW w:w="76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执行</w:t>
            </w:r>
          </w:p>
        </w:tc>
        <w:tc>
          <w:tcPr>
            <w:tcW w:w="516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7.执行责任：监督当事人在决定的期限内，履行生效的行政处罚决定。当事人在法定期限内不申请行政复议或提起行政诉讼，又不履行的，可依法采取强制执行或者申请人民法院强制执行。</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35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35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
    <w:p>
      <w:pPr>
        <w:rPr>
          <w:rFonts w:ascii="方正小标宋_GBK" w:hAnsi="方正小标宋_GBK" w:eastAsia="方正小标宋_GBK" w:cs="方正小标宋_GBK"/>
          <w:sz w:val="32"/>
          <w:szCs w:val="32"/>
        </w:rPr>
      </w:pPr>
    </w:p>
    <w:p>
      <w:pPr>
        <w:rPr>
          <w:rFonts w:ascii="方正小标宋_GBK" w:hAnsi="方正小标宋_GBK" w:eastAsia="方正小标宋_GBK" w:cs="方正小标宋_GBK"/>
          <w:sz w:val="32"/>
          <w:szCs w:val="32"/>
        </w:rPr>
      </w:pPr>
    </w:p>
    <w:tbl>
      <w:tblPr>
        <w:tblStyle w:val="9"/>
        <w:tblW w:w="14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289"/>
        <w:gridCol w:w="3690"/>
        <w:gridCol w:w="750"/>
        <w:gridCol w:w="855"/>
        <w:gridCol w:w="4500"/>
        <w:gridCol w:w="1456"/>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128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69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5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45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1456"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7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kern w:val="0"/>
                <w:szCs w:val="21"/>
              </w:rPr>
              <w:t>8</w:t>
            </w:r>
          </w:p>
        </w:tc>
        <w:tc>
          <w:tcPr>
            <w:tcW w:w="1289" w:type="dxa"/>
            <w:vMerge w:val="restart"/>
            <w:vAlign w:val="center"/>
          </w:tcPr>
          <w:p>
            <w:pPr>
              <w:widowControl/>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从事政策性粮食经营活动违规的处罚</w:t>
            </w:r>
          </w:p>
        </w:tc>
        <w:tc>
          <w:tcPr>
            <w:tcW w:w="3690" w:type="dxa"/>
            <w:vMerge w:val="restart"/>
            <w:vAlign w:val="center"/>
          </w:tcPr>
          <w:p>
            <w:pPr>
              <w:widowControl/>
              <w:spacing w:line="240" w:lineRule="exact"/>
              <w:jc w:val="left"/>
              <w:textAlignment w:val="center"/>
              <w:rPr>
                <w:rFonts w:ascii="仿宋_GB2312" w:hAnsi="仿宋_GB2312" w:eastAsia="仿宋_GB2312" w:cs="仿宋_GB2312"/>
                <w:spacing w:val="-11"/>
                <w:szCs w:val="21"/>
                <w:shd w:val="clear" w:color="070000" w:fill="FFFFFF"/>
              </w:rPr>
            </w:pPr>
            <w:r>
              <w:rPr>
                <w:rFonts w:hint="eastAsia" w:ascii="宋体" w:hAnsi="宋体" w:cs="宋体"/>
                <w:color w:val="000000"/>
                <w:kern w:val="0"/>
                <w:sz w:val="18"/>
                <w:szCs w:val="18"/>
              </w:rPr>
              <w:t>《粮食流通管理条例》（国务院令第740号）第四十九条　从事政策性粮食经营活动，有下列情形之一的，由粮食和储备行政管理部门责令改正，给予警告，没收违法所得，并处50万元以上200万元以下罚款；情节严重的，并处200万元以上500万元以下罚款：</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（一）虚报粮食收储数量；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（二）通过以陈顶新、以次充好、低收高转、虚假购销、虚假轮换、违规倒卖等方式，套取粮食价差和财政补贴，骗取信贷资金；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（三）挤占、挪用、克扣财政补贴、信贷资金；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（四）以政策性粮食为债务作担保或者清偿债务；</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（五）利用政策性粮食进行除政府委托的政策性任务以外的其他商业经营；</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（六）在政策性粮食出库时掺杂使假、以次充好、调换标的物，拒不执行出库指令或者阻挠出库；</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（七）购买国家限定用途的政策性粮食，违规倒卖或者不按照规定用途处置；</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（八）擅自动用政策性粮食；</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（九）其他违反国家政策性粮食经营管理规定的行为。</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粮食应急预案启动后，不按照国家要求承担应急任务，不服从国家的统一安排和调度的，依照前款规定予以处罚。</w:t>
            </w:r>
          </w:p>
        </w:tc>
        <w:tc>
          <w:tcPr>
            <w:tcW w:w="750" w:type="dxa"/>
            <w:vMerge w:val="restart"/>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w:t>
            </w:r>
          </w:p>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处罚</w:t>
            </w:r>
          </w:p>
          <w:p>
            <w:pPr>
              <w:spacing w:line="300" w:lineRule="exact"/>
              <w:jc w:val="center"/>
              <w:rPr>
                <w:rFonts w:ascii="仿宋_GB2312" w:hAnsi="仿宋_GB2312" w:eastAsia="仿宋_GB2312" w:cs="仿宋_GB2312"/>
                <w:spacing w:val="-11"/>
                <w:szCs w:val="21"/>
                <w:shd w:val="clear" w:color="070000" w:fill="FFFFFF"/>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立案</w:t>
            </w:r>
          </w:p>
        </w:tc>
        <w:tc>
          <w:tcPr>
            <w:tcW w:w="450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1.立案责任：检查中发现有危害管道安全行为或接到举报，予以审查，决定是否立案。</w:t>
            </w:r>
          </w:p>
        </w:tc>
        <w:tc>
          <w:tcPr>
            <w:tcW w:w="1456" w:type="dxa"/>
            <w:vMerge w:val="restart"/>
            <w:vAlign w:val="center"/>
          </w:tcPr>
          <w:p>
            <w:pPr>
              <w:widowControl/>
              <w:spacing w:line="300" w:lineRule="exact"/>
              <w:jc w:val="left"/>
              <w:rPr>
                <w:rFonts w:ascii="宋体" w:hAnsi="宋体" w:cs="宋体"/>
                <w:color w:val="000000"/>
                <w:kern w:val="0"/>
                <w:sz w:val="18"/>
                <w:szCs w:val="18"/>
              </w:rPr>
            </w:pPr>
            <w:r>
              <w:rPr>
                <w:rFonts w:hint="eastAsia" w:ascii="仿宋_GB2312" w:hAnsi="仿宋_GB2312" w:eastAsia="仿宋_GB2312" w:cs="仿宋_GB2312"/>
                <w:spacing w:val="-11"/>
                <w:szCs w:val="21"/>
                <w:shd w:val="clear" w:color="070000" w:fill="FFFFFF"/>
              </w:rPr>
              <w:t xml:space="preserve"> </w:t>
            </w:r>
            <w:r>
              <w:rPr>
                <w:rFonts w:hint="eastAsia" w:ascii="宋体" w:hAnsi="宋体" w:cs="宋体"/>
                <w:color w:val="000000"/>
                <w:kern w:val="0"/>
                <w:sz w:val="18"/>
                <w:szCs w:val="18"/>
              </w:rPr>
              <w:t>《粮食流通管理条例》第四</w:t>
            </w:r>
            <w:r>
              <w:rPr>
                <w:rFonts w:ascii="宋体" w:hAnsi="宋体" w:cs="宋体"/>
                <w:color w:val="000000"/>
                <w:kern w:val="0"/>
                <w:sz w:val="18"/>
                <w:szCs w:val="18"/>
              </w:rPr>
              <w:t>十二条　违反本条例规定，粮食和储备行政管理部门和其他有关部门不依法履行粮食流通管理和监督职责的，对负有责任的领导人员和直接责任人员依法给予处分。</w:t>
            </w:r>
          </w:p>
          <w:p>
            <w:pPr>
              <w:widowControl/>
              <w:spacing w:line="300" w:lineRule="exact"/>
              <w:jc w:val="left"/>
              <w:rPr>
                <w:rFonts w:ascii="仿宋_GB2312" w:hAnsi="仿宋_GB2312" w:eastAsia="仿宋_GB2312" w:cs="仿宋_GB2312"/>
                <w:kern w:val="0"/>
                <w:szCs w:val="21"/>
              </w:rPr>
            </w:pPr>
          </w:p>
          <w:p>
            <w:pPr>
              <w:spacing w:line="300" w:lineRule="exact"/>
              <w:rPr>
                <w:rFonts w:ascii="仿宋_GB2312" w:hAnsi="仿宋_GB2312" w:eastAsia="仿宋_GB2312" w:cs="仿宋_GB2312"/>
                <w:spacing w:val="-11"/>
                <w:szCs w:val="21"/>
                <w:shd w:val="clear" w:color="070000" w:fill="FFFFFF"/>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690" w:type="dxa"/>
            <w:vMerge w:val="continue"/>
          </w:tcPr>
          <w:p>
            <w:pPr>
              <w:pStyle w:val="2"/>
              <w:rPr>
                <w:rFonts w:ascii="方正小标宋_GBK" w:hAnsi="方正小标宋_GBK" w:eastAsia="方正小标宋_GBK" w:cs="方正小标宋_GBK"/>
                <w:sz w:val="44"/>
                <w:szCs w:val="44"/>
              </w:rPr>
            </w:pPr>
          </w:p>
        </w:tc>
        <w:tc>
          <w:tcPr>
            <w:tcW w:w="750"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调查</w:t>
            </w:r>
          </w:p>
        </w:tc>
        <w:tc>
          <w:tcPr>
            <w:tcW w:w="450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690" w:type="dxa"/>
            <w:vMerge w:val="continue"/>
          </w:tcPr>
          <w:p>
            <w:pPr>
              <w:pStyle w:val="2"/>
              <w:rPr>
                <w:rFonts w:ascii="方正小标宋_GBK" w:hAnsi="方正小标宋_GBK" w:eastAsia="方正小标宋_GBK" w:cs="方正小标宋_GBK"/>
                <w:sz w:val="44"/>
                <w:szCs w:val="44"/>
              </w:rPr>
            </w:pPr>
          </w:p>
        </w:tc>
        <w:tc>
          <w:tcPr>
            <w:tcW w:w="750"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审查</w:t>
            </w:r>
          </w:p>
        </w:tc>
        <w:tc>
          <w:tcPr>
            <w:tcW w:w="450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3.审查责任：审理案件调查报告，对案件违法事实、证据、调查取证程序、法律适用、处罚种类和幅度、行政相对人陈述和申辩理由等方面进行审查，提出处理意见。</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690" w:type="dxa"/>
            <w:vMerge w:val="continue"/>
          </w:tcPr>
          <w:p>
            <w:pPr>
              <w:pStyle w:val="2"/>
              <w:rPr>
                <w:rFonts w:ascii="方正小标宋_GBK" w:hAnsi="方正小标宋_GBK" w:eastAsia="方正小标宋_GBK" w:cs="方正小标宋_GBK"/>
                <w:sz w:val="44"/>
                <w:szCs w:val="44"/>
              </w:rPr>
            </w:pPr>
          </w:p>
        </w:tc>
        <w:tc>
          <w:tcPr>
            <w:tcW w:w="750"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告知</w:t>
            </w:r>
          </w:p>
        </w:tc>
        <w:tc>
          <w:tcPr>
            <w:tcW w:w="4500"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4.告知责任：作出行政处罚决定前，告知违法事实及其享有的陈述、申辩等权利。符合听证规定，告知行政相对人有要求举行听证的权利。</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690" w:type="dxa"/>
            <w:vMerge w:val="continue"/>
          </w:tcPr>
          <w:p>
            <w:pPr>
              <w:pStyle w:val="2"/>
              <w:rPr>
                <w:rFonts w:ascii="方正小标宋_GBK" w:hAnsi="方正小标宋_GBK" w:eastAsia="方正小标宋_GBK" w:cs="方正小标宋_GBK"/>
                <w:sz w:val="44"/>
                <w:szCs w:val="44"/>
              </w:rPr>
            </w:pPr>
          </w:p>
        </w:tc>
        <w:tc>
          <w:tcPr>
            <w:tcW w:w="750" w:type="dxa"/>
            <w:vMerge w:val="continue"/>
            <w:vAlign w:val="center"/>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决定</w:t>
            </w:r>
          </w:p>
        </w:tc>
        <w:tc>
          <w:tcPr>
            <w:tcW w:w="450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5.决定责任：依法提出行政处罚告知书和行政处罚决定书，载明行政处罚告知、行政相对人陈述申辩或者听证情况等内容。</w:t>
            </w:r>
          </w:p>
        </w:tc>
        <w:tc>
          <w:tcPr>
            <w:tcW w:w="1456" w:type="dxa"/>
            <w:vMerge w:val="continue"/>
            <w:vAlign w:val="center"/>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5" w:hRule="atLeast"/>
        </w:trPr>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690" w:type="dxa"/>
            <w:vMerge w:val="continue"/>
          </w:tcPr>
          <w:p>
            <w:pPr>
              <w:pStyle w:val="2"/>
              <w:rPr>
                <w:rFonts w:ascii="方正小标宋_GBK" w:hAnsi="方正小标宋_GBK" w:eastAsia="方正小标宋_GBK" w:cs="方正小标宋_GBK"/>
                <w:sz w:val="44"/>
                <w:szCs w:val="44"/>
              </w:rPr>
            </w:pPr>
          </w:p>
        </w:tc>
        <w:tc>
          <w:tcPr>
            <w:tcW w:w="750"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送达</w:t>
            </w:r>
          </w:p>
        </w:tc>
        <w:tc>
          <w:tcPr>
            <w:tcW w:w="450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6.送达责任：行政处罚决定书在7日内送达当事人。</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1289" w:type="dxa"/>
            <w:vMerge w:val="continue"/>
          </w:tcPr>
          <w:p>
            <w:pPr>
              <w:pStyle w:val="2"/>
              <w:rPr>
                <w:rFonts w:ascii="方正小标宋_GBK" w:hAnsi="方正小标宋_GBK" w:eastAsia="方正小标宋_GBK" w:cs="方正小标宋_GBK"/>
                <w:sz w:val="44"/>
                <w:szCs w:val="44"/>
              </w:rPr>
            </w:pPr>
          </w:p>
        </w:tc>
        <w:tc>
          <w:tcPr>
            <w:tcW w:w="3690" w:type="dxa"/>
            <w:vMerge w:val="continue"/>
          </w:tcPr>
          <w:p>
            <w:pPr>
              <w:pStyle w:val="2"/>
              <w:rPr>
                <w:rFonts w:ascii="方正小标宋_GBK" w:hAnsi="方正小标宋_GBK" w:eastAsia="方正小标宋_GBK" w:cs="方正小标宋_GBK"/>
                <w:sz w:val="44"/>
                <w:szCs w:val="44"/>
              </w:rPr>
            </w:pPr>
          </w:p>
        </w:tc>
        <w:tc>
          <w:tcPr>
            <w:tcW w:w="750" w:type="dxa"/>
            <w:vMerge w:val="continue"/>
          </w:tcPr>
          <w:p>
            <w:pPr>
              <w:pStyle w:val="2"/>
              <w:rPr>
                <w:rFonts w:ascii="方正小标宋_GBK" w:hAnsi="方正小标宋_GBK" w:eastAsia="方正小标宋_GBK" w:cs="方正小标宋_GBK"/>
                <w:sz w:val="44"/>
                <w:szCs w:val="44"/>
              </w:rPr>
            </w:pPr>
          </w:p>
        </w:tc>
        <w:tc>
          <w:tcPr>
            <w:tcW w:w="85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执行</w:t>
            </w:r>
          </w:p>
        </w:tc>
        <w:tc>
          <w:tcPr>
            <w:tcW w:w="4500"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7.执行责任：监督当事人在决定的期限内，履行生效的行政处罚决定。当事人在法定期限内不申请行政复议或提起行政诉讼，又不履行的，可依法采取强制执行或者申请人民法院强制执行。</w:t>
            </w:r>
          </w:p>
        </w:tc>
        <w:tc>
          <w:tcPr>
            <w:tcW w:w="1456" w:type="dxa"/>
            <w:vMerge w:val="continue"/>
          </w:tcPr>
          <w:p>
            <w:pPr>
              <w:pStyle w:val="2"/>
              <w:rPr>
                <w:rFonts w:ascii="方正小标宋_GBK" w:hAnsi="方正小标宋_GBK" w:eastAsia="方正小标宋_GBK" w:cs="方正小标宋_GBK"/>
                <w:sz w:val="44"/>
                <w:szCs w:val="44"/>
              </w:rPr>
            </w:pPr>
          </w:p>
        </w:tc>
        <w:tc>
          <w:tcPr>
            <w:tcW w:w="1079"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35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35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Style w:val="2"/>
      </w:pPr>
    </w:p>
    <w:p>
      <w:pPr>
        <w:pStyle w:val="2"/>
      </w:pPr>
    </w:p>
    <w:p>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3058"/>
        <w:gridCol w:w="1365"/>
        <w:gridCol w:w="1185"/>
        <w:gridCol w:w="2948"/>
        <w:gridCol w:w="3219"/>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058"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3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118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948"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321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9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0" w:hRule="atLeast"/>
        </w:trPr>
        <w:tc>
          <w:tcPr>
            <w:tcW w:w="735" w:type="dxa"/>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1</w:t>
            </w:r>
          </w:p>
        </w:tc>
        <w:tc>
          <w:tcPr>
            <w:tcW w:w="765" w:type="dxa"/>
            <w:vAlign w:val="center"/>
          </w:tcPr>
          <w:p>
            <w:pPr>
              <w:autoSpaceDN w:val="0"/>
              <w:spacing w:line="30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县本级政府投资的市重点项目招投标监督检查</w:t>
            </w:r>
          </w:p>
        </w:tc>
        <w:tc>
          <w:tcPr>
            <w:tcW w:w="3058" w:type="dxa"/>
            <w:vAlign w:val="center"/>
          </w:tcPr>
          <w:p>
            <w:pPr>
              <w:autoSpaceDN w:val="0"/>
              <w:spacing w:line="30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《中华人民共和国招标投标法实施条例》第4条“国务院发展改革部门指导和协调全国招标投标工作，对国家重大建设项目的工程招标投标活动实施监督检查。”</w:t>
            </w:r>
          </w:p>
        </w:tc>
        <w:tc>
          <w:tcPr>
            <w:tcW w:w="1365"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行政检查</w:t>
            </w:r>
          </w:p>
        </w:tc>
        <w:tc>
          <w:tcPr>
            <w:tcW w:w="1185" w:type="dxa"/>
            <w:vAlign w:val="center"/>
          </w:tcPr>
          <w:p>
            <w:pPr>
              <w:widowControl/>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检查</w:t>
            </w:r>
          </w:p>
        </w:tc>
        <w:tc>
          <w:tcPr>
            <w:tcW w:w="2948" w:type="dxa"/>
            <w:vAlign w:val="center"/>
          </w:tcPr>
          <w:p>
            <w:pPr>
              <w:widowControl/>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由行业部门分类自行监督，县发改部门对行业部门招投标行为进行监督检查。</w:t>
            </w:r>
          </w:p>
          <w:p>
            <w:pPr>
              <w:widowControl/>
              <w:spacing w:line="300" w:lineRule="exact"/>
              <w:rPr>
                <w:rFonts w:ascii="仿宋_GB2312" w:hAnsi="仿宋_GB2312" w:eastAsia="仿宋_GB2312" w:cs="仿宋_GB2312"/>
                <w:kern w:val="0"/>
                <w:szCs w:val="21"/>
              </w:rPr>
            </w:pPr>
          </w:p>
        </w:tc>
        <w:tc>
          <w:tcPr>
            <w:tcW w:w="3219" w:type="dxa"/>
            <w:vAlign w:val="center"/>
          </w:tcPr>
          <w:p>
            <w:pPr>
              <w:tabs>
                <w:tab w:val="left" w:pos="447"/>
              </w:tabs>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《中华人民共和国招标投标法实施条例》第七十九条　项目审批、核准部门不依法审批、核准项目招标范围、招标方式、招标组织形式的，对单位直接负责的主管人员和其他直接责任人员依法给予处分。有关行政监督部门不依法履行职责，对违反招标投标法和本条例规定的行为不依法查处，或者不按照规定处理投诉、不依法公告对招标投标当事人违法行为的行政处理决定的，对直接负责的主管人员和其他直接责任人员依法给予处分。</w:t>
            </w:r>
          </w:p>
          <w:p>
            <w:pPr>
              <w:tabs>
                <w:tab w:val="left" w:pos="447"/>
              </w:tabs>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项目审批、核准部门和有关行政监督部门的工作人员徇私舞弊、滥用职权、玩忽职守，构成犯罪的，依法追究刑事责任。</w:t>
            </w:r>
          </w:p>
          <w:p>
            <w:pPr>
              <w:tabs>
                <w:tab w:val="left" w:pos="447"/>
              </w:tabs>
              <w:spacing w:line="300" w:lineRule="exact"/>
              <w:rPr>
                <w:rFonts w:ascii="仿宋_GB2312" w:hAnsi="仿宋_GB2312" w:eastAsia="仿宋_GB2312" w:cs="仿宋_GB2312"/>
                <w:kern w:val="0"/>
                <w:szCs w:val="21"/>
              </w:rPr>
            </w:pPr>
          </w:p>
        </w:tc>
        <w:tc>
          <w:tcPr>
            <w:tcW w:w="899"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投资股、社会股、城乡建设股、农业股、工业股等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pStyle w:val="2"/>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3058"/>
        <w:gridCol w:w="1365"/>
        <w:gridCol w:w="1185"/>
        <w:gridCol w:w="2948"/>
        <w:gridCol w:w="3219"/>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058"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3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118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948"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321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9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0" w:hRule="atLeast"/>
        </w:trPr>
        <w:tc>
          <w:tcPr>
            <w:tcW w:w="735" w:type="dxa"/>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2</w:t>
            </w:r>
          </w:p>
        </w:tc>
        <w:tc>
          <w:tcPr>
            <w:tcW w:w="765"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县市区重点项目监督检查</w:t>
            </w:r>
          </w:p>
        </w:tc>
        <w:tc>
          <w:tcPr>
            <w:tcW w:w="3058"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南阳市人民政府办公室转发市发展改革委关于改进重点项目建设管理完善协调推进机制意见（试行）的通知》（宛政办〔2009〕28号）第三条第14项：市大项目办的主要任务是：对市重点项目的前期工作、要素保障、建设进度、外部环境等情况进行全面督导；</w:t>
            </w:r>
          </w:p>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《中共南阳市委  南阳市人民政府关于进一步加快重点项目建设的意见》（宛发〔2011〕34号）第四条第11项规定：对市重点项目的前期工作、要素保障、建设进度、外部环境等情况进行全面督导； </w:t>
            </w:r>
          </w:p>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南阳市人民政府大型项目建设领导小组办公室机构编制方案中明确“南阳市政府大型项目建设领导小组办公室负责全市重点项目和我市国家、省重点项目建设的协调服务和监督管理。</w:t>
            </w:r>
            <w:r>
              <w:rPr>
                <w:rFonts w:ascii="仿宋_GB2312" w:hAnsi="仿宋_GB2312" w:eastAsia="仿宋_GB2312" w:cs="仿宋_GB2312"/>
                <w:spacing w:val="-11"/>
                <w:szCs w:val="21"/>
                <w:shd w:val="clear" w:color="070000" w:fill="FFFFFF"/>
              </w:rPr>
              <w:t>”</w:t>
            </w:r>
            <w:r>
              <w:rPr>
                <w:rFonts w:hint="eastAsia" w:ascii="仿宋_GB2312" w:hAnsi="仿宋_GB2312" w:eastAsia="仿宋_GB2312" w:cs="仿宋_GB2312"/>
                <w:spacing w:val="-11"/>
                <w:szCs w:val="21"/>
                <w:shd w:val="clear" w:color="070000" w:fill="FFFFFF"/>
              </w:rPr>
              <w:t xml:space="preserve">   </w:t>
            </w:r>
          </w:p>
        </w:tc>
        <w:tc>
          <w:tcPr>
            <w:tcW w:w="1365"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行政检查</w:t>
            </w:r>
          </w:p>
        </w:tc>
        <w:tc>
          <w:tcPr>
            <w:tcW w:w="118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检查</w:t>
            </w:r>
          </w:p>
        </w:tc>
        <w:tc>
          <w:tcPr>
            <w:tcW w:w="2948"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对全县重点项目建设全过程协调推进</w:t>
            </w:r>
          </w:p>
        </w:tc>
        <w:tc>
          <w:tcPr>
            <w:tcW w:w="3219" w:type="dxa"/>
            <w:vAlign w:val="center"/>
          </w:tcPr>
          <w:p>
            <w:pPr>
              <w:widowControl/>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南阳市人民政府办公室关于进一步完善重点项目建设协调推进机制的通知（宛政办〔2016〕28号）五、完善重点项目监管机制“对推进不力、进展缓慢、没有完成年度目标任务的县（区）和市直有关单位以及服务保障不力的单位进行通报批评，情节严重的进行约谈问责。”</w:t>
            </w:r>
          </w:p>
          <w:p>
            <w:pPr>
              <w:widowControl/>
              <w:spacing w:line="300" w:lineRule="exact"/>
              <w:jc w:val="left"/>
              <w:rPr>
                <w:rFonts w:ascii="仿宋_GB2312" w:hAnsi="仿宋_GB2312" w:eastAsia="仿宋_GB2312" w:cs="仿宋_GB2312"/>
                <w:kern w:val="0"/>
                <w:szCs w:val="21"/>
              </w:rPr>
            </w:pPr>
          </w:p>
        </w:tc>
        <w:tc>
          <w:tcPr>
            <w:tcW w:w="89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项目办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Style w:val="2"/>
      </w:pPr>
    </w:p>
    <w:p>
      <w:pPr>
        <w:pStyle w:val="2"/>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3058"/>
        <w:gridCol w:w="1365"/>
        <w:gridCol w:w="1185"/>
        <w:gridCol w:w="2948"/>
        <w:gridCol w:w="3219"/>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058"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3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118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948"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321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9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0" w:hRule="atLeast"/>
        </w:trPr>
        <w:tc>
          <w:tcPr>
            <w:tcW w:w="735" w:type="dxa"/>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3</w:t>
            </w:r>
          </w:p>
        </w:tc>
        <w:tc>
          <w:tcPr>
            <w:tcW w:w="765"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对粮食经营者从事粮食收购、储存、运输活动和政策性粮食的购销活动的监督检查</w:t>
            </w:r>
          </w:p>
        </w:tc>
        <w:tc>
          <w:tcPr>
            <w:tcW w:w="3058" w:type="dxa"/>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kern w:val="0"/>
                <w:szCs w:val="21"/>
              </w:rPr>
              <w:t>《粮食流通管理条例》（国务院令第740号）第三十八条　粮食和储备行政管理部门依照本条例对粮食经营者从事粮食收购、储存、运输活动和政策性粮食的购销活动，以及执行国家粮食流通统计制度的情况进行监督检查。</w:t>
            </w:r>
          </w:p>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kern w:val="0"/>
                <w:szCs w:val="21"/>
              </w:rPr>
              <w:t>粮食和储备行政管理部门在监督检查过程中，可以进入粮食经营者经营场所，查阅有关资料、凭证；检查粮食数量、质量和储存安全情况；检查粮食仓储设施、设备是否符合有关标准和技术规范；向有关单位和人员调查了解相关情况；查封、扣押非法收购或者不符合国家粮食质量安全标准的粮食，用于违法经营或者被污染的工具、设备以及有关账簿资料；查封违法从事粮食经营活动的场所。</w:t>
            </w:r>
          </w:p>
        </w:tc>
        <w:tc>
          <w:tcPr>
            <w:tcW w:w="1365"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行政检查</w:t>
            </w:r>
          </w:p>
        </w:tc>
        <w:tc>
          <w:tcPr>
            <w:tcW w:w="1185" w:type="dxa"/>
            <w:vAlign w:val="center"/>
          </w:tcPr>
          <w:p>
            <w:pPr>
              <w:widowControl/>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检查</w:t>
            </w:r>
          </w:p>
        </w:tc>
        <w:tc>
          <w:tcPr>
            <w:tcW w:w="2948"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对全县粮食经营者从事粮食收购、储存、运输活动和政策性粮食的购销活动的监督检查</w:t>
            </w:r>
          </w:p>
        </w:tc>
        <w:tc>
          <w:tcPr>
            <w:tcW w:w="3219" w:type="dxa"/>
            <w:vAlign w:val="center"/>
          </w:tcPr>
          <w:p>
            <w:pPr>
              <w:widowControl/>
              <w:spacing w:line="300" w:lineRule="exact"/>
              <w:jc w:val="left"/>
              <w:rPr>
                <w:rFonts w:ascii="宋体" w:hAnsi="宋体" w:cs="宋体"/>
                <w:color w:val="000000"/>
                <w:kern w:val="0"/>
                <w:sz w:val="18"/>
                <w:szCs w:val="18"/>
              </w:rPr>
            </w:pPr>
            <w:r>
              <w:rPr>
                <w:rFonts w:hint="eastAsia" w:ascii="仿宋_GB2312" w:hAnsi="仿宋_GB2312" w:eastAsia="仿宋_GB2312" w:cs="仿宋_GB2312"/>
                <w:spacing w:val="-11"/>
                <w:szCs w:val="21"/>
                <w:shd w:val="clear" w:color="070000" w:fill="FFFFFF"/>
              </w:rPr>
              <w:t xml:space="preserve"> </w:t>
            </w:r>
            <w:r>
              <w:rPr>
                <w:rFonts w:hint="eastAsia" w:ascii="宋体" w:hAnsi="宋体" w:cs="宋体"/>
                <w:color w:val="000000"/>
                <w:kern w:val="0"/>
                <w:sz w:val="18"/>
                <w:szCs w:val="18"/>
              </w:rPr>
              <w:t>《粮食流通管理条例》第四</w:t>
            </w:r>
            <w:r>
              <w:rPr>
                <w:rFonts w:ascii="宋体" w:hAnsi="宋体" w:cs="宋体"/>
                <w:color w:val="000000"/>
                <w:kern w:val="0"/>
                <w:sz w:val="18"/>
                <w:szCs w:val="18"/>
              </w:rPr>
              <w:t>十二条　违反本条例规定，粮食和储备行政管理部门和其他有关部门不依法履行粮食流通管理和监督职责的，对负有责任的领导人员和直接责任人员依法给予处分。</w:t>
            </w:r>
          </w:p>
          <w:p>
            <w:pPr>
              <w:widowControl/>
              <w:spacing w:line="300" w:lineRule="exact"/>
              <w:jc w:val="left"/>
              <w:rPr>
                <w:rFonts w:ascii="仿宋_GB2312" w:hAnsi="仿宋_GB2312" w:eastAsia="仿宋_GB2312" w:cs="仿宋_GB2312"/>
                <w:kern w:val="0"/>
                <w:szCs w:val="21"/>
              </w:rPr>
            </w:pPr>
          </w:p>
        </w:tc>
        <w:tc>
          <w:tcPr>
            <w:tcW w:w="899" w:type="dxa"/>
            <w:vAlign w:val="center"/>
          </w:tcPr>
          <w:p>
            <w:pPr>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
    <w:p>
      <w:pPr>
        <w:rPr>
          <w:rFonts w:ascii="方正小标宋_GBK" w:hAnsi="方正小标宋_GBK" w:eastAsia="方正小标宋_GBK" w:cs="方正小标宋_GBK"/>
          <w:sz w:val="28"/>
          <w:szCs w:val="28"/>
        </w:rPr>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5939"/>
        <w:gridCol w:w="795"/>
        <w:gridCol w:w="795"/>
        <w:gridCol w:w="2715"/>
        <w:gridCol w:w="126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93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9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79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71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126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17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1</w:t>
            </w:r>
          </w:p>
        </w:tc>
        <w:tc>
          <w:tcPr>
            <w:tcW w:w="765" w:type="dxa"/>
            <w:vMerge w:val="restart"/>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企业技术中心认定</w:t>
            </w:r>
          </w:p>
          <w:p>
            <w:pPr>
              <w:spacing w:line="300" w:lineRule="exact"/>
              <w:jc w:val="left"/>
              <w:rPr>
                <w:rFonts w:ascii="仿宋_GB2312" w:hAnsi="仿宋_GB2312" w:eastAsia="仿宋_GB2312" w:cs="仿宋_GB2312"/>
                <w:spacing w:val="-11"/>
                <w:szCs w:val="21"/>
                <w:shd w:val="clear" w:color="070000" w:fill="FFFFFF"/>
              </w:rPr>
            </w:pPr>
          </w:p>
        </w:tc>
        <w:tc>
          <w:tcPr>
            <w:tcW w:w="5939" w:type="dxa"/>
            <w:vMerge w:val="restart"/>
            <w:vAlign w:val="center"/>
          </w:tcPr>
          <w:p>
            <w:pPr>
              <w:widowControl/>
              <w:spacing w:line="300" w:lineRule="exact"/>
              <w:rPr>
                <w:rFonts w:ascii="仿宋_GB2312" w:hAnsi="仿宋_GB2312" w:eastAsia="仿宋_GB2312" w:cs="仿宋_GB2312"/>
                <w:spacing w:val="-6"/>
                <w:szCs w:val="21"/>
                <w:shd w:val="clear" w:color="070000" w:fill="FFFFFF"/>
              </w:rPr>
            </w:pPr>
            <w:r>
              <w:rPr>
                <w:rFonts w:hint="eastAsia" w:ascii="仿宋_GB2312" w:hAnsi="仿宋_GB2312" w:eastAsia="仿宋_GB2312" w:cs="仿宋_GB2312"/>
                <w:spacing w:val="-6"/>
                <w:szCs w:val="21"/>
                <w:shd w:val="clear" w:color="070000" w:fill="FFFFFF"/>
              </w:rPr>
              <w:t>《国家企业技术中心认定管理办法》（国家发展改革委2016年第34号令）第四条：国家发展改革委、科技部、财政部、海关总署、税务 总局负责指导协调国家企业技术中心相关工作。国家发展改革委牵 头开展国家企业技术中心的认定与运行评价。 各省、自治区、直辖市、计划单列市及新疆生产建设兵团发展 改革部门或地方人民政府指定的部门会同同级管理部门，负责国家 企业技术中心的申报、管理等事项；第六条：国家企业技术中心应当具备以下基本条件（五）具有省级企业技术中心资格两年以上；第二十七条：各地方政府主管部门可参考本办法，结合本地实 际，在职责范围内依法制定相应政策，支持企业技术中心建设。</w:t>
            </w:r>
          </w:p>
          <w:p>
            <w:pPr>
              <w:widowControl/>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河南省企业技术中心认定管理办法》（豫发改高技〔2018〕939号，发改、财政、科技、税务、海关等部门联合发文）第四条：河南省发展改革委牵头，会同省科技厅、财政厅、税务局、郑州海关负责省企业技术中心的指导和监督管理。省企业技术中心实行属地化管理，各省辖市、直管县（市）发展改革委会同同级管理部门是省企业技术中心的直接管理单位，负责省企业技术中心的创建、日常管理等工作。</w:t>
            </w:r>
          </w:p>
          <w:p>
            <w:pPr>
              <w:widowControl/>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南阳市企业技术中心认定管理办法》（宛发改高技[2017]257号）第四条：南阳市发展改革委、科技局、财政局、国税局、地税局、南阳海关负责市企业技术中心的相关工作。南阳市发展改革委牵头开展市企业技术中心的认定与运行管理。各县区发展改革部门或政府指定的部门（简称主管部门，下同）会同同级科技、财政、国税、地税等管理部门，依据属地管理原则，负责市企业技术中心的申报、管理等事项。</w:t>
            </w:r>
          </w:p>
          <w:p>
            <w:pPr>
              <w:spacing w:line="300" w:lineRule="exact"/>
              <w:rPr>
                <w:rFonts w:ascii="仿宋_GB2312" w:hAnsi="仿宋_GB2312" w:eastAsia="仿宋_GB2312" w:cs="仿宋_GB2312"/>
                <w:spacing w:val="-11"/>
                <w:szCs w:val="21"/>
                <w:shd w:val="clear" w:color="070000" w:fill="FFFFFF"/>
              </w:rPr>
            </w:pPr>
          </w:p>
        </w:tc>
        <w:tc>
          <w:tcPr>
            <w:tcW w:w="795" w:type="dxa"/>
            <w:vMerge w:val="restart"/>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行政确认</w:t>
            </w:r>
          </w:p>
          <w:p>
            <w:pPr>
              <w:spacing w:line="300" w:lineRule="exact"/>
              <w:jc w:val="center"/>
              <w:rPr>
                <w:rFonts w:ascii="仿宋_GB2312" w:hAnsi="仿宋_GB2312" w:eastAsia="仿宋_GB2312" w:cs="仿宋_GB2312"/>
                <w:spacing w:val="-11"/>
                <w:szCs w:val="21"/>
                <w:shd w:val="clear" w:color="070000" w:fill="FFFFFF"/>
              </w:rPr>
            </w:pPr>
          </w:p>
        </w:tc>
        <w:tc>
          <w:tcPr>
            <w:tcW w:w="795" w:type="dxa"/>
            <w:vAlign w:val="center"/>
          </w:tcPr>
          <w:p>
            <w:pPr>
              <w:pStyle w:val="10"/>
              <w:widowControl/>
              <w:spacing w:beforeAutospacing="0" w:afterAutospacing="0" w:line="280" w:lineRule="exact"/>
              <w:jc w:val="center"/>
              <w:rPr>
                <w:rFonts w:ascii="仿宋_GB2312" w:hAnsi="仿宋_GB2312" w:eastAsia="仿宋_GB2312" w:cs="仿宋_GB2312"/>
                <w:spacing w:val="-6"/>
                <w:kern w:val="2"/>
                <w:sz w:val="21"/>
                <w:szCs w:val="21"/>
                <w:shd w:val="clear" w:color="070000" w:fill="FFFFFF"/>
              </w:rPr>
            </w:pPr>
            <w:r>
              <w:rPr>
                <w:rFonts w:hint="eastAsia" w:ascii="仿宋_GB2312" w:hAnsi="仿宋_GB2312" w:eastAsia="仿宋_GB2312" w:cs="仿宋_GB2312"/>
                <w:spacing w:val="-6"/>
                <w:kern w:val="2"/>
                <w:sz w:val="21"/>
                <w:szCs w:val="21"/>
                <w:shd w:val="clear" w:color="070000" w:fill="FFFFFF"/>
              </w:rPr>
              <w:t>受理</w:t>
            </w:r>
          </w:p>
        </w:tc>
        <w:tc>
          <w:tcPr>
            <w:tcW w:w="2715" w:type="dxa"/>
            <w:vAlign w:val="center"/>
          </w:tcPr>
          <w:p>
            <w:pPr>
              <w:pStyle w:val="10"/>
              <w:widowControl/>
              <w:numPr>
                <w:ilvl w:val="0"/>
                <w:numId w:val="1"/>
              </w:numPr>
              <w:tabs>
                <w:tab w:val="left" w:pos="312"/>
              </w:tabs>
              <w:spacing w:beforeAutospacing="0" w:afterAutospacing="0" w:line="280" w:lineRule="exact"/>
              <w:rPr>
                <w:rFonts w:ascii="仿宋_GB2312" w:hAnsi="仿宋_GB2312" w:eastAsia="仿宋_GB2312" w:cs="仿宋_GB2312"/>
                <w:spacing w:val="-6"/>
                <w:kern w:val="2"/>
                <w:sz w:val="21"/>
                <w:szCs w:val="21"/>
                <w:shd w:val="clear" w:color="070000" w:fill="FFFFFF"/>
              </w:rPr>
            </w:pPr>
            <w:r>
              <w:rPr>
                <w:rFonts w:hint="eastAsia" w:ascii="仿宋_GB2312" w:hAnsi="仿宋_GB2312" w:eastAsia="仿宋_GB2312" w:cs="仿宋_GB2312"/>
                <w:spacing w:val="-6"/>
                <w:kern w:val="2"/>
                <w:sz w:val="21"/>
                <w:szCs w:val="21"/>
                <w:shd w:val="clear" w:color="070000" w:fill="FFFFFF"/>
              </w:rPr>
              <w:t>企业所在行政区发改部门登录南阳市政务服务网，找到市发改委事项页面，找到“企业技术中心认定”事项，上传“南阳市企业技术中心请示文件”和“南阳市企业技术中心申报材料”两项内容，进行在线申报。</w:t>
            </w:r>
          </w:p>
          <w:p>
            <w:pPr>
              <w:pStyle w:val="10"/>
              <w:widowControl/>
              <w:spacing w:beforeAutospacing="0" w:afterAutospacing="0" w:line="280" w:lineRule="exact"/>
              <w:ind w:firstLine="198" w:firstLineChars="100"/>
              <w:rPr>
                <w:rFonts w:ascii="仿宋_GB2312" w:hAnsi="仿宋_GB2312" w:eastAsia="仿宋_GB2312" w:cs="仿宋_GB2312"/>
                <w:spacing w:val="-6"/>
                <w:kern w:val="2"/>
                <w:sz w:val="21"/>
                <w:szCs w:val="21"/>
                <w:shd w:val="clear" w:color="070000" w:fill="FFFFFF"/>
              </w:rPr>
            </w:pPr>
            <w:r>
              <w:rPr>
                <w:rFonts w:hint="eastAsia" w:ascii="仿宋_GB2312" w:hAnsi="仿宋_GB2312" w:eastAsia="仿宋_GB2312" w:cs="仿宋_GB2312"/>
                <w:spacing w:val="-6"/>
                <w:kern w:val="2"/>
                <w:sz w:val="21"/>
                <w:szCs w:val="21"/>
                <w:shd w:val="clear" w:color="070000" w:fill="FFFFFF"/>
              </w:rPr>
              <w:t>业务科室登录南阳市政务服务网，在线受理提交的推荐请示文件和企业编制的市级企业技术中心认定申请报告。一次性告知补正材料；依法受理或不予受理（不予受理的依法告知理由）。</w:t>
            </w:r>
          </w:p>
        </w:tc>
        <w:tc>
          <w:tcPr>
            <w:tcW w:w="1260" w:type="dxa"/>
            <w:vMerge w:val="restart"/>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 xml:space="preserve">无 </w:t>
            </w:r>
          </w:p>
          <w:p>
            <w:pPr>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vAlign w:val="center"/>
          </w:tcPr>
          <w:p>
            <w:pPr>
              <w:pStyle w:val="2"/>
              <w:jc w:val="center"/>
              <w:rPr>
                <w:rFonts w:ascii="仿宋_GB2312" w:hAnsi="仿宋_GB2312" w:eastAsia="仿宋_GB2312" w:cs="仿宋_GB2312"/>
                <w:spacing w:val="-11"/>
                <w:szCs w:val="21"/>
                <w:shd w:val="clear" w:color="070000" w:fill="FFFFFF"/>
              </w:rPr>
            </w:pPr>
          </w:p>
        </w:tc>
        <w:tc>
          <w:tcPr>
            <w:tcW w:w="765" w:type="dxa"/>
            <w:vMerge w:val="continue"/>
            <w:vAlign w:val="center"/>
          </w:tcPr>
          <w:p>
            <w:pPr>
              <w:spacing w:line="300" w:lineRule="exact"/>
              <w:jc w:val="left"/>
              <w:rPr>
                <w:rFonts w:ascii="仿宋_GB2312" w:hAnsi="仿宋_GB2312" w:eastAsia="仿宋_GB2312" w:cs="仿宋_GB2312"/>
                <w:spacing w:val="-11"/>
                <w:szCs w:val="21"/>
                <w:shd w:val="clear" w:color="070000" w:fill="FFFFFF"/>
              </w:rPr>
            </w:pPr>
          </w:p>
        </w:tc>
        <w:tc>
          <w:tcPr>
            <w:tcW w:w="5939"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795" w:type="dxa"/>
            <w:vMerge w:val="continue"/>
            <w:vAlign w:val="center"/>
          </w:tcPr>
          <w:p>
            <w:pPr>
              <w:spacing w:line="300" w:lineRule="exact"/>
              <w:jc w:val="center"/>
              <w:rPr>
                <w:rFonts w:ascii="仿宋_GB2312" w:hAnsi="仿宋_GB2312" w:eastAsia="仿宋_GB2312" w:cs="仿宋_GB2312"/>
                <w:spacing w:val="-11"/>
                <w:szCs w:val="21"/>
                <w:shd w:val="clear" w:color="070000" w:fill="FFFFFF"/>
              </w:rPr>
            </w:pPr>
          </w:p>
        </w:tc>
        <w:tc>
          <w:tcPr>
            <w:tcW w:w="795" w:type="dxa"/>
            <w:vAlign w:val="center"/>
          </w:tcPr>
          <w:p>
            <w:pPr>
              <w:pStyle w:val="10"/>
              <w:widowControl/>
              <w:spacing w:beforeAutospacing="0" w:afterAutospacing="0" w:line="280" w:lineRule="exact"/>
              <w:jc w:val="center"/>
              <w:rPr>
                <w:rFonts w:ascii="仿宋_GB2312" w:hAnsi="仿宋_GB2312" w:eastAsia="仿宋_GB2312" w:cs="仿宋_GB2312"/>
                <w:spacing w:val="-6"/>
                <w:kern w:val="2"/>
                <w:sz w:val="21"/>
                <w:szCs w:val="21"/>
                <w:shd w:val="clear" w:color="070000" w:fill="FFFFFF"/>
              </w:rPr>
            </w:pPr>
            <w:r>
              <w:rPr>
                <w:rFonts w:hint="eastAsia" w:ascii="仿宋_GB2312" w:hAnsi="仿宋_GB2312" w:eastAsia="仿宋_GB2312" w:cs="仿宋_GB2312"/>
                <w:spacing w:val="-6"/>
                <w:kern w:val="2"/>
                <w:sz w:val="21"/>
                <w:szCs w:val="21"/>
                <w:shd w:val="clear" w:color="070000" w:fill="FFFFFF"/>
              </w:rPr>
              <w:t>审核</w:t>
            </w:r>
          </w:p>
        </w:tc>
        <w:tc>
          <w:tcPr>
            <w:tcW w:w="2715" w:type="dxa"/>
            <w:vAlign w:val="center"/>
          </w:tcPr>
          <w:p>
            <w:pPr>
              <w:pStyle w:val="10"/>
              <w:widowControl/>
              <w:spacing w:beforeAutospacing="0" w:afterAutospacing="0" w:line="280" w:lineRule="exact"/>
              <w:jc w:val="both"/>
              <w:rPr>
                <w:rFonts w:ascii="仿宋_GB2312" w:hAnsi="仿宋_GB2312" w:eastAsia="仿宋_GB2312" w:cs="仿宋_GB2312"/>
                <w:spacing w:val="-6"/>
                <w:kern w:val="2"/>
                <w:sz w:val="21"/>
                <w:szCs w:val="21"/>
                <w:shd w:val="clear" w:color="070000" w:fill="FFFFFF"/>
              </w:rPr>
            </w:pPr>
            <w:r>
              <w:rPr>
                <w:rFonts w:hint="eastAsia" w:ascii="仿宋_GB2312" w:hAnsi="仿宋_GB2312" w:eastAsia="仿宋_GB2312" w:cs="仿宋_GB2312"/>
                <w:spacing w:val="-6"/>
                <w:kern w:val="2"/>
                <w:sz w:val="21"/>
                <w:szCs w:val="21"/>
                <w:shd w:val="clear" w:color="070000" w:fill="FFFFFF"/>
              </w:rPr>
              <w:t>2.业务科室根据相关文件要求，进行材料审查。咨询评估（专家评审），征求市科技局、市财政局、市国税局、市地税局、南阳海关五部门意见。对合规性审核。</w:t>
            </w:r>
          </w:p>
        </w:tc>
        <w:tc>
          <w:tcPr>
            <w:tcW w:w="1260"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trPr>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939" w:type="dxa"/>
            <w:vMerge w:val="continue"/>
          </w:tcPr>
          <w:p>
            <w:pPr>
              <w:pStyle w:val="2"/>
              <w:rPr>
                <w:rFonts w:ascii="方正小标宋_GBK" w:hAnsi="方正小标宋_GBK" w:eastAsia="方正小标宋_GBK" w:cs="方正小标宋_GBK"/>
                <w:sz w:val="44"/>
                <w:szCs w:val="44"/>
              </w:rPr>
            </w:pPr>
          </w:p>
        </w:tc>
        <w:tc>
          <w:tcPr>
            <w:tcW w:w="795" w:type="dxa"/>
            <w:vMerge w:val="continue"/>
          </w:tcPr>
          <w:p>
            <w:pPr>
              <w:pStyle w:val="2"/>
              <w:rPr>
                <w:rFonts w:ascii="方正小标宋_GBK" w:hAnsi="方正小标宋_GBK" w:eastAsia="方正小标宋_GBK" w:cs="方正小标宋_GBK"/>
                <w:sz w:val="44"/>
                <w:szCs w:val="44"/>
              </w:rPr>
            </w:pPr>
          </w:p>
        </w:tc>
        <w:tc>
          <w:tcPr>
            <w:tcW w:w="795" w:type="dxa"/>
            <w:vAlign w:val="center"/>
          </w:tcPr>
          <w:p>
            <w:pPr>
              <w:pStyle w:val="10"/>
              <w:widowControl/>
              <w:spacing w:beforeAutospacing="0" w:afterAutospacing="0" w:line="280" w:lineRule="exact"/>
              <w:jc w:val="center"/>
              <w:rPr>
                <w:rFonts w:ascii="仿宋_GB2312" w:hAnsi="仿宋_GB2312" w:eastAsia="仿宋_GB2312" w:cs="仿宋_GB2312"/>
                <w:spacing w:val="-6"/>
                <w:kern w:val="2"/>
                <w:sz w:val="21"/>
                <w:szCs w:val="21"/>
                <w:shd w:val="clear" w:color="070000" w:fill="FFFFFF"/>
              </w:rPr>
            </w:pPr>
            <w:r>
              <w:rPr>
                <w:rFonts w:hint="eastAsia" w:ascii="仿宋_GB2312" w:hAnsi="仿宋_GB2312" w:eastAsia="仿宋_GB2312" w:cs="仿宋_GB2312"/>
                <w:spacing w:val="-6"/>
                <w:kern w:val="2"/>
                <w:sz w:val="21"/>
                <w:szCs w:val="21"/>
                <w:shd w:val="clear" w:color="070000" w:fill="FFFFFF"/>
              </w:rPr>
              <w:t>决定</w:t>
            </w:r>
          </w:p>
        </w:tc>
        <w:tc>
          <w:tcPr>
            <w:tcW w:w="2715" w:type="dxa"/>
            <w:vAlign w:val="center"/>
          </w:tcPr>
          <w:p>
            <w:pPr>
              <w:pStyle w:val="10"/>
              <w:widowControl/>
              <w:spacing w:beforeAutospacing="0" w:afterAutospacing="0" w:line="280" w:lineRule="exact"/>
              <w:jc w:val="both"/>
              <w:rPr>
                <w:rFonts w:ascii="仿宋_GB2312" w:hAnsi="仿宋_GB2312" w:eastAsia="仿宋_GB2312" w:cs="仿宋_GB2312"/>
                <w:spacing w:val="-6"/>
                <w:kern w:val="2"/>
                <w:sz w:val="21"/>
                <w:szCs w:val="21"/>
                <w:shd w:val="clear" w:color="070000" w:fill="FFFFFF"/>
              </w:rPr>
            </w:pPr>
            <w:r>
              <w:rPr>
                <w:rFonts w:hint="eastAsia" w:ascii="仿宋_GB2312" w:hAnsi="仿宋_GB2312" w:eastAsia="仿宋_GB2312" w:cs="仿宋_GB2312"/>
                <w:spacing w:val="-6"/>
                <w:kern w:val="2"/>
                <w:sz w:val="21"/>
                <w:szCs w:val="21"/>
                <w:shd w:val="clear" w:color="070000" w:fill="FFFFFF"/>
              </w:rPr>
              <w:t>3.按照审查结果，做出对市级企业技术中心是否批复的决定。</w:t>
            </w:r>
          </w:p>
        </w:tc>
        <w:tc>
          <w:tcPr>
            <w:tcW w:w="1260" w:type="dxa"/>
            <w:vMerge w:val="continue"/>
          </w:tcPr>
          <w:p>
            <w:pPr>
              <w:pStyle w:val="2"/>
              <w:rPr>
                <w:rFonts w:ascii="方正小标宋_GBK" w:hAnsi="方正小标宋_GBK" w:eastAsia="方正小标宋_GBK" w:cs="方正小标宋_GBK"/>
                <w:sz w:val="44"/>
                <w:szCs w:val="44"/>
              </w:rPr>
            </w:pPr>
          </w:p>
        </w:tc>
        <w:tc>
          <w:tcPr>
            <w:tcW w:w="117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939" w:type="dxa"/>
            <w:vMerge w:val="continue"/>
          </w:tcPr>
          <w:p>
            <w:pPr>
              <w:pStyle w:val="2"/>
              <w:rPr>
                <w:rFonts w:ascii="方正小标宋_GBK" w:hAnsi="方正小标宋_GBK" w:eastAsia="方正小标宋_GBK" w:cs="方正小标宋_GBK"/>
                <w:sz w:val="44"/>
                <w:szCs w:val="44"/>
              </w:rPr>
            </w:pPr>
          </w:p>
        </w:tc>
        <w:tc>
          <w:tcPr>
            <w:tcW w:w="795" w:type="dxa"/>
            <w:vMerge w:val="continue"/>
          </w:tcPr>
          <w:p>
            <w:pPr>
              <w:pStyle w:val="2"/>
              <w:rPr>
                <w:rFonts w:ascii="方正小标宋_GBK" w:hAnsi="方正小标宋_GBK" w:eastAsia="方正小标宋_GBK" w:cs="方正小标宋_GBK"/>
                <w:sz w:val="44"/>
                <w:szCs w:val="44"/>
              </w:rPr>
            </w:pPr>
          </w:p>
        </w:tc>
        <w:tc>
          <w:tcPr>
            <w:tcW w:w="795" w:type="dxa"/>
            <w:vAlign w:val="center"/>
          </w:tcPr>
          <w:p>
            <w:pPr>
              <w:widowControl/>
              <w:spacing w:line="300" w:lineRule="exact"/>
              <w:rPr>
                <w:rFonts w:ascii="仿宋_GB2312" w:hAnsi="仿宋_GB2312" w:eastAsia="仿宋_GB2312" w:cs="仿宋_GB2312"/>
                <w:spacing w:val="-6"/>
                <w:szCs w:val="21"/>
                <w:shd w:val="clear" w:color="070000" w:fill="FFFFFF"/>
              </w:rPr>
            </w:pPr>
            <w:r>
              <w:rPr>
                <w:rFonts w:hint="eastAsia" w:ascii="仿宋_GB2312" w:hAnsi="仿宋_GB2312" w:eastAsia="仿宋_GB2312" w:cs="仿宋_GB2312"/>
                <w:spacing w:val="-6"/>
                <w:szCs w:val="21"/>
                <w:shd w:val="clear" w:color="070000" w:fill="FFFFFF"/>
              </w:rPr>
              <w:t>办结</w:t>
            </w:r>
          </w:p>
        </w:tc>
        <w:tc>
          <w:tcPr>
            <w:tcW w:w="2715" w:type="dxa"/>
            <w:vAlign w:val="center"/>
          </w:tcPr>
          <w:p>
            <w:pPr>
              <w:widowControl/>
              <w:spacing w:line="300" w:lineRule="exact"/>
              <w:rPr>
                <w:rFonts w:ascii="仿宋_GB2312" w:hAnsi="仿宋_GB2312" w:eastAsia="仿宋_GB2312" w:cs="仿宋_GB2312"/>
                <w:spacing w:val="-6"/>
                <w:szCs w:val="21"/>
                <w:shd w:val="clear" w:color="070000" w:fill="FFFFFF"/>
              </w:rPr>
            </w:pPr>
            <w:r>
              <w:rPr>
                <w:rFonts w:hint="eastAsia" w:ascii="仿宋_GB2312" w:hAnsi="仿宋_GB2312" w:eastAsia="仿宋_GB2312" w:cs="仿宋_GB2312"/>
                <w:spacing w:val="-6"/>
                <w:szCs w:val="21"/>
                <w:shd w:val="clear" w:color="070000" w:fill="FFFFFF"/>
              </w:rPr>
              <w:t>4.根据办理结果出台相关认定文件，依法予以公开。</w:t>
            </w:r>
          </w:p>
        </w:tc>
        <w:tc>
          <w:tcPr>
            <w:tcW w:w="1260" w:type="dxa"/>
            <w:vMerge w:val="continue"/>
          </w:tcPr>
          <w:p>
            <w:pPr>
              <w:pStyle w:val="2"/>
              <w:rPr>
                <w:rFonts w:ascii="方正小标宋_GBK" w:hAnsi="方正小标宋_GBK" w:eastAsia="方正小标宋_GBK" w:cs="方正小标宋_GBK"/>
                <w:sz w:val="44"/>
                <w:szCs w:val="44"/>
              </w:rPr>
            </w:pPr>
          </w:p>
        </w:tc>
        <w:tc>
          <w:tcPr>
            <w:tcW w:w="117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Style w:val="2"/>
      </w:pPr>
    </w:p>
    <w:p>
      <w:pPr>
        <w:pStyle w:val="2"/>
        <w:rPr>
          <w:rFonts w:ascii="方正小标宋_GBK" w:hAnsi="方正小标宋_GBK" w:eastAsia="方正小标宋_GBK" w:cs="方正小标宋_GBK"/>
          <w:sz w:val="44"/>
          <w:szCs w:val="44"/>
        </w:rPr>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5939"/>
        <w:gridCol w:w="795"/>
        <w:gridCol w:w="795"/>
        <w:gridCol w:w="2715"/>
        <w:gridCol w:w="126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93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9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79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71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126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17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5" w:hRule="atLeast"/>
        </w:trPr>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2</w:t>
            </w:r>
          </w:p>
        </w:tc>
        <w:tc>
          <w:tcPr>
            <w:tcW w:w="765" w:type="dxa"/>
            <w:vMerge w:val="restart"/>
            <w:vAlign w:val="center"/>
          </w:tcPr>
          <w:p>
            <w:pPr>
              <w:autoSpaceDN w:val="0"/>
              <w:jc w:val="left"/>
              <w:textAlignment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 w:val="24"/>
                <w:shd w:val="clear" w:color="070000" w:fill="FFFFFF"/>
              </w:rPr>
              <w:t>工程研究中心（实验室）认定</w:t>
            </w:r>
          </w:p>
        </w:tc>
        <w:tc>
          <w:tcPr>
            <w:tcW w:w="5939" w:type="dxa"/>
            <w:vMerge w:val="restart"/>
            <w:vAlign w:val="center"/>
          </w:tcPr>
          <w:p>
            <w:pPr>
              <w:autoSpaceDN w:val="0"/>
              <w:jc w:val="left"/>
              <w:textAlignment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《国家工程研究中心管理办法》（国家发展改革委令2007第52号） 第七条：国务院有关部门，各省、自治区、直辖市、计划单列市及新疆生产建设兵团发展改革部门，计划单列中央企业（集团）（以下简称“主管部门”），负责组织本地区或所属单位工程中心的申报和管理，督促、协调工程中心的建设和运行；第九条：拟申请工程中心的单位（以下简称“申报单位”）须按照国家发展改革委相关文件的要求，结合自身的优势和具体情况，提出工程中心申请报告（编制提纲见附件一），报相应主管部门审查。</w:t>
            </w:r>
          </w:p>
          <w:p>
            <w:pPr>
              <w:autoSpaceDN w:val="0"/>
              <w:jc w:val="left"/>
              <w:textAlignment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 w:val="24"/>
                <w:shd w:val="clear" w:color="070000" w:fill="FFFFFF"/>
              </w:rPr>
              <w:t>《河南省工程研究中心管理办法（试行）》（豫发改高技[2006]1584号）第八条：河南省发展和改革委员会(以下简称省发展改革委)负责制定(修订)并发布工程中心有关政策办法、建设领域等指导性文件，组织工程中心组建方案的批复、验收、运行评估等管理工作。第九条：省直有关部门、各省辖市发展和改革部门负责组织本地区或所属单位工程中心的申报、实施与监督管理等工作。</w:t>
            </w:r>
          </w:p>
        </w:tc>
        <w:tc>
          <w:tcPr>
            <w:tcW w:w="795" w:type="dxa"/>
            <w:vMerge w:val="restart"/>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行政确认</w:t>
            </w:r>
          </w:p>
          <w:p>
            <w:pPr>
              <w:spacing w:line="300" w:lineRule="exact"/>
              <w:jc w:val="center"/>
              <w:rPr>
                <w:rFonts w:ascii="仿宋_GB2312" w:hAnsi="仿宋_GB2312" w:eastAsia="仿宋_GB2312" w:cs="仿宋_GB2312"/>
                <w:spacing w:val="-11"/>
                <w:szCs w:val="21"/>
                <w:shd w:val="clear" w:color="070000" w:fill="FFFFFF"/>
              </w:rPr>
            </w:pPr>
          </w:p>
        </w:tc>
        <w:tc>
          <w:tcPr>
            <w:tcW w:w="795" w:type="dxa"/>
            <w:vAlign w:val="center"/>
          </w:tcPr>
          <w:p>
            <w:pPr>
              <w:pStyle w:val="10"/>
              <w:widowControl/>
              <w:spacing w:beforeAutospacing="0" w:afterAutospacing="0"/>
              <w:jc w:val="center"/>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受理</w:t>
            </w:r>
          </w:p>
        </w:tc>
        <w:tc>
          <w:tcPr>
            <w:tcW w:w="2715" w:type="dxa"/>
            <w:vAlign w:val="center"/>
          </w:tcPr>
          <w:p>
            <w:pPr>
              <w:pStyle w:val="10"/>
              <w:widowControl/>
              <w:spacing w:beforeAutospacing="0" w:afterAutospacing="0" w:line="300" w:lineRule="exact"/>
              <w:jc w:val="both"/>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1..业务科室受理由企业或单位提交的市级工程研究中心 （实验室）认定申请报告。一次性告知补正材料；依法受理或不予受理（不予受理的依法告知理由）</w:t>
            </w:r>
          </w:p>
        </w:tc>
        <w:tc>
          <w:tcPr>
            <w:tcW w:w="1260" w:type="dxa"/>
            <w:vMerge w:val="restart"/>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 xml:space="preserve">无 </w:t>
            </w:r>
          </w:p>
          <w:p>
            <w:pPr>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5" w:hRule="atLeast"/>
        </w:trPr>
        <w:tc>
          <w:tcPr>
            <w:tcW w:w="735" w:type="dxa"/>
            <w:vMerge w:val="continue"/>
            <w:vAlign w:val="center"/>
          </w:tcPr>
          <w:p>
            <w:pPr>
              <w:pStyle w:val="2"/>
              <w:jc w:val="center"/>
              <w:rPr>
                <w:rFonts w:ascii="仿宋_GB2312" w:hAnsi="仿宋_GB2312" w:eastAsia="仿宋_GB2312" w:cs="仿宋_GB2312"/>
                <w:spacing w:val="-11"/>
                <w:szCs w:val="21"/>
                <w:shd w:val="clear" w:color="070000" w:fill="FFFFFF"/>
              </w:rPr>
            </w:pPr>
          </w:p>
        </w:tc>
        <w:tc>
          <w:tcPr>
            <w:tcW w:w="765" w:type="dxa"/>
            <w:vMerge w:val="continue"/>
            <w:vAlign w:val="center"/>
          </w:tcPr>
          <w:p>
            <w:pPr>
              <w:autoSpaceDN w:val="0"/>
              <w:jc w:val="left"/>
              <w:textAlignment w:val="center"/>
              <w:rPr>
                <w:rFonts w:ascii="仿宋_GB2312" w:hAnsi="仿宋_GB2312" w:eastAsia="仿宋_GB2312" w:cs="仿宋_GB2312"/>
                <w:spacing w:val="-11"/>
                <w:sz w:val="24"/>
                <w:shd w:val="clear" w:color="070000" w:fill="FFFFFF"/>
              </w:rPr>
            </w:pPr>
          </w:p>
        </w:tc>
        <w:tc>
          <w:tcPr>
            <w:tcW w:w="5939" w:type="dxa"/>
            <w:vMerge w:val="continue"/>
            <w:vAlign w:val="center"/>
          </w:tcPr>
          <w:p>
            <w:pPr>
              <w:autoSpaceDN w:val="0"/>
              <w:jc w:val="left"/>
              <w:textAlignment w:val="center"/>
              <w:rPr>
                <w:rFonts w:ascii="仿宋_GB2312" w:hAnsi="仿宋_GB2312" w:eastAsia="仿宋_GB2312" w:cs="仿宋_GB2312"/>
                <w:spacing w:val="-11"/>
                <w:sz w:val="24"/>
                <w:shd w:val="clear" w:color="070000" w:fill="FFFFFF"/>
              </w:rPr>
            </w:pPr>
          </w:p>
        </w:tc>
        <w:tc>
          <w:tcPr>
            <w:tcW w:w="795" w:type="dxa"/>
            <w:vMerge w:val="continue"/>
            <w:vAlign w:val="center"/>
          </w:tcPr>
          <w:p>
            <w:pPr>
              <w:spacing w:line="300" w:lineRule="exact"/>
              <w:jc w:val="center"/>
              <w:rPr>
                <w:rFonts w:ascii="仿宋_GB2312" w:hAnsi="仿宋_GB2312" w:eastAsia="仿宋_GB2312" w:cs="仿宋_GB2312"/>
                <w:spacing w:val="-11"/>
                <w:szCs w:val="21"/>
                <w:shd w:val="clear" w:color="070000" w:fill="FFFFFF"/>
              </w:rPr>
            </w:pPr>
          </w:p>
        </w:tc>
        <w:tc>
          <w:tcPr>
            <w:tcW w:w="795" w:type="dxa"/>
            <w:vAlign w:val="center"/>
          </w:tcPr>
          <w:p>
            <w:pPr>
              <w:pStyle w:val="10"/>
              <w:widowControl/>
              <w:spacing w:beforeAutospacing="0" w:afterAutospacing="0"/>
              <w:jc w:val="center"/>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审核</w:t>
            </w:r>
          </w:p>
        </w:tc>
        <w:tc>
          <w:tcPr>
            <w:tcW w:w="2715" w:type="dxa"/>
            <w:vAlign w:val="center"/>
          </w:tcPr>
          <w:p>
            <w:pPr>
              <w:pStyle w:val="10"/>
              <w:widowControl/>
              <w:spacing w:beforeAutospacing="0" w:afterAutospacing="0" w:line="260" w:lineRule="exact"/>
              <w:jc w:val="both"/>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2.通过书面审查、实地核查、专家评审等方式进行审查。对合规性审核。</w:t>
            </w:r>
          </w:p>
        </w:tc>
        <w:tc>
          <w:tcPr>
            <w:tcW w:w="1260"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939" w:type="dxa"/>
            <w:vMerge w:val="continue"/>
          </w:tcPr>
          <w:p>
            <w:pPr>
              <w:pStyle w:val="2"/>
              <w:rPr>
                <w:rFonts w:ascii="方正小标宋_GBK" w:hAnsi="方正小标宋_GBK" w:eastAsia="方正小标宋_GBK" w:cs="方正小标宋_GBK"/>
                <w:sz w:val="44"/>
                <w:szCs w:val="44"/>
              </w:rPr>
            </w:pPr>
          </w:p>
        </w:tc>
        <w:tc>
          <w:tcPr>
            <w:tcW w:w="795" w:type="dxa"/>
            <w:vMerge w:val="continue"/>
          </w:tcPr>
          <w:p>
            <w:pPr>
              <w:pStyle w:val="2"/>
              <w:rPr>
                <w:rFonts w:ascii="方正小标宋_GBK" w:hAnsi="方正小标宋_GBK" w:eastAsia="方正小标宋_GBK" w:cs="方正小标宋_GBK"/>
                <w:sz w:val="44"/>
                <w:szCs w:val="44"/>
              </w:rPr>
            </w:pPr>
          </w:p>
        </w:tc>
        <w:tc>
          <w:tcPr>
            <w:tcW w:w="795" w:type="dxa"/>
            <w:vAlign w:val="center"/>
          </w:tcPr>
          <w:p>
            <w:pPr>
              <w:autoSpaceDN w:val="0"/>
              <w:jc w:val="left"/>
              <w:textAlignment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决定</w:t>
            </w:r>
          </w:p>
        </w:tc>
        <w:tc>
          <w:tcPr>
            <w:tcW w:w="2715" w:type="dxa"/>
            <w:vAlign w:val="center"/>
          </w:tcPr>
          <w:p>
            <w:pPr>
              <w:autoSpaceDN w:val="0"/>
              <w:jc w:val="left"/>
              <w:textAlignment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3.按照审查结果，做出对市级工程研究中心 （实验室）是否批复的决定。</w:t>
            </w:r>
          </w:p>
        </w:tc>
        <w:tc>
          <w:tcPr>
            <w:tcW w:w="1260" w:type="dxa"/>
            <w:vMerge w:val="continue"/>
          </w:tcPr>
          <w:p>
            <w:pPr>
              <w:pStyle w:val="2"/>
              <w:rPr>
                <w:rFonts w:ascii="方正小标宋_GBK" w:hAnsi="方正小标宋_GBK" w:eastAsia="方正小标宋_GBK" w:cs="方正小标宋_GBK"/>
                <w:sz w:val="44"/>
                <w:szCs w:val="44"/>
              </w:rPr>
            </w:pP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投资股</w:t>
            </w:r>
          </w:p>
          <w:p>
            <w:pPr>
              <w:spacing w:line="30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5939" w:type="dxa"/>
            <w:vMerge w:val="continue"/>
          </w:tcPr>
          <w:p>
            <w:pPr>
              <w:pStyle w:val="2"/>
              <w:rPr>
                <w:rFonts w:ascii="方正小标宋_GBK" w:hAnsi="方正小标宋_GBK" w:eastAsia="方正小标宋_GBK" w:cs="方正小标宋_GBK"/>
                <w:sz w:val="44"/>
                <w:szCs w:val="44"/>
              </w:rPr>
            </w:pPr>
          </w:p>
        </w:tc>
        <w:tc>
          <w:tcPr>
            <w:tcW w:w="795" w:type="dxa"/>
            <w:vMerge w:val="continue"/>
          </w:tcPr>
          <w:p>
            <w:pPr>
              <w:pStyle w:val="2"/>
              <w:rPr>
                <w:rFonts w:ascii="方正小标宋_GBK" w:hAnsi="方正小标宋_GBK" w:eastAsia="方正小标宋_GBK" w:cs="方正小标宋_GBK"/>
                <w:sz w:val="44"/>
                <w:szCs w:val="44"/>
              </w:rPr>
            </w:pPr>
          </w:p>
        </w:tc>
        <w:tc>
          <w:tcPr>
            <w:tcW w:w="795" w:type="dxa"/>
            <w:vAlign w:val="center"/>
          </w:tcPr>
          <w:p>
            <w:pPr>
              <w:pStyle w:val="10"/>
              <w:widowControl/>
              <w:spacing w:beforeAutospacing="0" w:afterAutospacing="0"/>
              <w:jc w:val="center"/>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办结</w:t>
            </w:r>
          </w:p>
        </w:tc>
        <w:tc>
          <w:tcPr>
            <w:tcW w:w="2715" w:type="dxa"/>
            <w:vAlign w:val="center"/>
          </w:tcPr>
          <w:p>
            <w:pPr>
              <w:pStyle w:val="10"/>
              <w:widowControl/>
              <w:spacing w:beforeAutospacing="0" w:afterAutospacing="0"/>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4.根据办理结果出台相关认定文件，依法予以公开。</w:t>
            </w:r>
          </w:p>
        </w:tc>
        <w:tc>
          <w:tcPr>
            <w:tcW w:w="1260" w:type="dxa"/>
            <w:vMerge w:val="continue"/>
          </w:tcPr>
          <w:p>
            <w:pPr>
              <w:pStyle w:val="2"/>
              <w:rPr>
                <w:rFonts w:ascii="方正小标宋_GBK" w:hAnsi="方正小标宋_GBK" w:eastAsia="方正小标宋_GBK" w:cs="方正小标宋_GBK"/>
                <w:sz w:val="44"/>
                <w:szCs w:val="44"/>
              </w:rPr>
            </w:pPr>
          </w:p>
        </w:tc>
        <w:tc>
          <w:tcPr>
            <w:tcW w:w="117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
    <w:p>
      <w:pPr/>
    </w:p>
    <w:p>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65"/>
        <w:gridCol w:w="2969"/>
        <w:gridCol w:w="765"/>
        <w:gridCol w:w="1170"/>
        <w:gridCol w:w="2475"/>
        <w:gridCol w:w="412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969"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6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117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47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412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17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3</w:t>
            </w:r>
          </w:p>
        </w:tc>
        <w:tc>
          <w:tcPr>
            <w:tcW w:w="765" w:type="dxa"/>
            <w:vMerge w:val="restart"/>
            <w:vAlign w:val="center"/>
          </w:tcPr>
          <w:p>
            <w:pPr>
              <w:autoSpaceDN w:val="0"/>
              <w:spacing w:line="300" w:lineRule="exact"/>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价格认定</w:t>
            </w:r>
          </w:p>
          <w:p>
            <w:pPr>
              <w:spacing w:line="300" w:lineRule="exact"/>
              <w:jc w:val="left"/>
              <w:rPr>
                <w:rFonts w:ascii="仿宋_GB2312" w:hAnsi="仿宋_GB2312" w:eastAsia="仿宋_GB2312" w:cs="仿宋_GB2312"/>
                <w:spacing w:val="-11"/>
                <w:szCs w:val="21"/>
                <w:shd w:val="clear" w:color="070000" w:fill="FFFFFF"/>
              </w:rPr>
            </w:pPr>
          </w:p>
        </w:tc>
        <w:tc>
          <w:tcPr>
            <w:tcW w:w="2969" w:type="dxa"/>
            <w:vMerge w:val="restart"/>
            <w:vAlign w:val="center"/>
          </w:tcPr>
          <w:p>
            <w:pPr>
              <w:autoSpaceDN w:val="0"/>
              <w:spacing w:line="30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价格认定规定》（发改价格〔2015〕2251号）第三条：“对下列情形中涉及的作为定案依据或者关键证据的有形产品、无形资产和各类有偿服务价格不明或者价格有争议的，经有关国家机关提出后，价格认定机构应当进行价格认定：（一）涉嫌违纪案件；（二）涉嫌刑事案件；（三）行政诉讼、复议及处罚案件；（四）行政征收、征用及执法活动；（五）国家赔偿、补偿事项；（六）法律法规规定的其他情形。”</w:t>
            </w:r>
          </w:p>
          <w:p>
            <w:pPr>
              <w:spacing w:line="300" w:lineRule="exact"/>
              <w:rPr>
                <w:rFonts w:ascii="仿宋_GB2312" w:hAnsi="仿宋_GB2312" w:eastAsia="仿宋_GB2312" w:cs="仿宋_GB2312"/>
                <w:spacing w:val="-11"/>
                <w:szCs w:val="21"/>
                <w:shd w:val="clear" w:color="070000" w:fill="FFFFFF"/>
              </w:rPr>
            </w:pPr>
          </w:p>
        </w:tc>
        <w:tc>
          <w:tcPr>
            <w:tcW w:w="765" w:type="dxa"/>
            <w:vMerge w:val="restart"/>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行政确认</w:t>
            </w:r>
          </w:p>
          <w:p>
            <w:pPr>
              <w:spacing w:line="300" w:lineRule="exact"/>
              <w:jc w:val="center"/>
              <w:rPr>
                <w:rFonts w:ascii="仿宋_GB2312" w:hAnsi="仿宋_GB2312" w:eastAsia="仿宋_GB2312" w:cs="仿宋_GB2312"/>
                <w:spacing w:val="-11"/>
                <w:szCs w:val="21"/>
                <w:shd w:val="clear" w:color="070000" w:fill="FFFFFF"/>
              </w:rPr>
            </w:pPr>
          </w:p>
        </w:tc>
        <w:tc>
          <w:tcPr>
            <w:tcW w:w="1170"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受理</w:t>
            </w:r>
          </w:p>
        </w:tc>
        <w:tc>
          <w:tcPr>
            <w:tcW w:w="2475"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接受审核协助单位协助书</w:t>
            </w:r>
          </w:p>
        </w:tc>
        <w:tc>
          <w:tcPr>
            <w:tcW w:w="4125" w:type="dxa"/>
            <w:vMerge w:val="restart"/>
            <w:vAlign w:val="center"/>
          </w:tcPr>
          <w:p>
            <w:pPr>
              <w:widowControl/>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价格认定规定》发改价格〔2015〕2251号第二十三条价格认定机构或者价格认定人员，有下列情形之一的，由任免机关或者监察机关对负有责任的领导人员和直接责任人员给予处分；构成犯罪的，依法追究刑事责任：</w:t>
            </w:r>
          </w:p>
          <w:p>
            <w:pPr>
              <w:widowControl/>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（一）将依法取得的价格认定资料或者了解的情况用于其他目的的；</w:t>
            </w:r>
          </w:p>
          <w:p>
            <w:pPr>
              <w:widowControl/>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（二）因主观故意或者过失，出具虚假价格认定结论或者价格认定结论有重大差错的；</w:t>
            </w:r>
          </w:p>
          <w:p>
            <w:pPr>
              <w:widowControl/>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 xml:space="preserve">（三）违反法律法规规定的其他行为。 </w:t>
            </w:r>
          </w:p>
          <w:p>
            <w:pPr>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价格认定股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735" w:type="dxa"/>
            <w:vMerge w:val="continue"/>
            <w:vAlign w:val="center"/>
          </w:tcPr>
          <w:p>
            <w:pPr>
              <w:pStyle w:val="2"/>
              <w:jc w:val="center"/>
              <w:rPr>
                <w:rFonts w:ascii="仿宋_GB2312" w:hAnsi="仿宋_GB2312" w:eastAsia="仿宋_GB2312" w:cs="仿宋_GB2312"/>
                <w:spacing w:val="-11"/>
                <w:szCs w:val="21"/>
                <w:shd w:val="clear" w:color="070000" w:fill="FFFFFF"/>
              </w:rPr>
            </w:pPr>
          </w:p>
        </w:tc>
        <w:tc>
          <w:tcPr>
            <w:tcW w:w="765" w:type="dxa"/>
            <w:vMerge w:val="continue"/>
            <w:vAlign w:val="center"/>
          </w:tcPr>
          <w:p>
            <w:pPr>
              <w:spacing w:line="300" w:lineRule="exact"/>
              <w:jc w:val="left"/>
              <w:rPr>
                <w:rFonts w:ascii="仿宋_GB2312" w:hAnsi="仿宋_GB2312" w:eastAsia="仿宋_GB2312" w:cs="仿宋_GB2312"/>
                <w:spacing w:val="-11"/>
                <w:szCs w:val="21"/>
                <w:shd w:val="clear" w:color="070000" w:fill="FFFFFF"/>
              </w:rPr>
            </w:pPr>
          </w:p>
        </w:tc>
        <w:tc>
          <w:tcPr>
            <w:tcW w:w="2969"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765" w:type="dxa"/>
            <w:vMerge w:val="continue"/>
            <w:vAlign w:val="center"/>
          </w:tcPr>
          <w:p>
            <w:pPr>
              <w:spacing w:line="300" w:lineRule="exact"/>
              <w:jc w:val="center"/>
              <w:rPr>
                <w:rFonts w:ascii="仿宋_GB2312" w:hAnsi="仿宋_GB2312" w:eastAsia="仿宋_GB2312" w:cs="仿宋_GB2312"/>
                <w:spacing w:val="-11"/>
                <w:szCs w:val="21"/>
                <w:shd w:val="clear" w:color="070000" w:fill="FFFFFF"/>
              </w:rPr>
            </w:pPr>
          </w:p>
        </w:tc>
        <w:tc>
          <w:tcPr>
            <w:tcW w:w="1170"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查验</w:t>
            </w:r>
          </w:p>
        </w:tc>
        <w:tc>
          <w:tcPr>
            <w:tcW w:w="2475"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决定是否给予受理并书面通知协助方</w:t>
            </w:r>
          </w:p>
        </w:tc>
        <w:tc>
          <w:tcPr>
            <w:tcW w:w="4125"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价格认定股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735" w:type="dxa"/>
            <w:vMerge w:val="continue"/>
            <w:vAlign w:val="center"/>
          </w:tcPr>
          <w:p>
            <w:pPr>
              <w:pStyle w:val="2"/>
              <w:jc w:val="center"/>
              <w:rPr>
                <w:rFonts w:ascii="仿宋_GB2312" w:hAnsi="仿宋_GB2312" w:eastAsia="仿宋_GB2312" w:cs="仿宋_GB2312"/>
                <w:spacing w:val="-11"/>
                <w:szCs w:val="21"/>
                <w:shd w:val="clear" w:color="070000" w:fill="FFFFFF"/>
              </w:rPr>
            </w:pPr>
          </w:p>
        </w:tc>
        <w:tc>
          <w:tcPr>
            <w:tcW w:w="765" w:type="dxa"/>
            <w:vMerge w:val="continue"/>
            <w:vAlign w:val="center"/>
          </w:tcPr>
          <w:p>
            <w:pPr>
              <w:spacing w:line="300" w:lineRule="exact"/>
              <w:jc w:val="left"/>
              <w:rPr>
                <w:rFonts w:ascii="仿宋_GB2312" w:hAnsi="仿宋_GB2312" w:eastAsia="仿宋_GB2312" w:cs="仿宋_GB2312"/>
                <w:spacing w:val="-11"/>
                <w:szCs w:val="21"/>
                <w:shd w:val="clear" w:color="070000" w:fill="FFFFFF"/>
              </w:rPr>
            </w:pPr>
          </w:p>
        </w:tc>
        <w:tc>
          <w:tcPr>
            <w:tcW w:w="2969"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765" w:type="dxa"/>
            <w:vMerge w:val="continue"/>
            <w:vAlign w:val="center"/>
          </w:tcPr>
          <w:p>
            <w:pPr>
              <w:spacing w:line="300" w:lineRule="exact"/>
              <w:jc w:val="center"/>
              <w:rPr>
                <w:rFonts w:ascii="仿宋_GB2312" w:hAnsi="仿宋_GB2312" w:eastAsia="仿宋_GB2312" w:cs="仿宋_GB2312"/>
                <w:spacing w:val="-11"/>
                <w:szCs w:val="21"/>
                <w:shd w:val="clear" w:color="070000" w:fill="FFFFFF"/>
              </w:rPr>
            </w:pPr>
          </w:p>
        </w:tc>
        <w:tc>
          <w:tcPr>
            <w:tcW w:w="1170"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确认</w:t>
            </w:r>
          </w:p>
        </w:tc>
        <w:tc>
          <w:tcPr>
            <w:tcW w:w="2475"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指派两名以上价格鉴定人员进入现场查验标的物与协助书是否一致，给予核对确认。</w:t>
            </w:r>
          </w:p>
        </w:tc>
        <w:tc>
          <w:tcPr>
            <w:tcW w:w="4125"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价格认定股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vAlign w:val="center"/>
          </w:tcPr>
          <w:p>
            <w:pPr>
              <w:pStyle w:val="2"/>
              <w:jc w:val="center"/>
              <w:rPr>
                <w:rFonts w:ascii="仿宋_GB2312" w:hAnsi="仿宋_GB2312" w:eastAsia="仿宋_GB2312" w:cs="仿宋_GB2312"/>
                <w:spacing w:val="-11"/>
                <w:szCs w:val="21"/>
                <w:shd w:val="clear" w:color="070000" w:fill="FFFFFF"/>
              </w:rPr>
            </w:pPr>
          </w:p>
        </w:tc>
        <w:tc>
          <w:tcPr>
            <w:tcW w:w="765" w:type="dxa"/>
            <w:vMerge w:val="continue"/>
            <w:vAlign w:val="center"/>
          </w:tcPr>
          <w:p>
            <w:pPr>
              <w:spacing w:line="300" w:lineRule="exact"/>
              <w:jc w:val="left"/>
              <w:rPr>
                <w:rFonts w:ascii="仿宋_GB2312" w:hAnsi="仿宋_GB2312" w:eastAsia="仿宋_GB2312" w:cs="仿宋_GB2312"/>
                <w:spacing w:val="-11"/>
                <w:szCs w:val="21"/>
                <w:shd w:val="clear" w:color="070000" w:fill="FFFFFF"/>
              </w:rPr>
            </w:pPr>
          </w:p>
        </w:tc>
        <w:tc>
          <w:tcPr>
            <w:tcW w:w="2969"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765" w:type="dxa"/>
            <w:vMerge w:val="continue"/>
            <w:vAlign w:val="center"/>
          </w:tcPr>
          <w:p>
            <w:pPr>
              <w:spacing w:line="300" w:lineRule="exact"/>
              <w:jc w:val="center"/>
              <w:rPr>
                <w:rFonts w:ascii="仿宋_GB2312" w:hAnsi="仿宋_GB2312" w:eastAsia="仿宋_GB2312" w:cs="仿宋_GB2312"/>
                <w:spacing w:val="-11"/>
                <w:szCs w:val="21"/>
                <w:shd w:val="clear" w:color="070000" w:fill="FFFFFF"/>
              </w:rPr>
            </w:pP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市场调查</w:t>
            </w:r>
          </w:p>
        </w:tc>
        <w:tc>
          <w:tcPr>
            <w:tcW w:w="2475" w:type="dxa"/>
            <w:vAlign w:val="center"/>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开展市场调查，选取采用方法并计算、测算认定结果。</w:t>
            </w:r>
          </w:p>
        </w:tc>
        <w:tc>
          <w:tcPr>
            <w:tcW w:w="4125"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价格认定股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trPr>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969"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1170"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集体审议</w:t>
            </w:r>
          </w:p>
        </w:tc>
        <w:tc>
          <w:tcPr>
            <w:tcW w:w="2475"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开展集体审议</w:t>
            </w:r>
          </w:p>
        </w:tc>
        <w:tc>
          <w:tcPr>
            <w:tcW w:w="4125" w:type="dxa"/>
            <w:vMerge w:val="continue"/>
          </w:tcPr>
          <w:p>
            <w:pPr>
              <w:pStyle w:val="2"/>
              <w:rPr>
                <w:rFonts w:ascii="方正小标宋_GBK" w:hAnsi="方正小标宋_GBK" w:eastAsia="方正小标宋_GBK" w:cs="方正小标宋_GBK"/>
                <w:sz w:val="44"/>
                <w:szCs w:val="44"/>
              </w:rPr>
            </w:pPr>
          </w:p>
        </w:tc>
        <w:tc>
          <w:tcPr>
            <w:tcW w:w="1170"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价格认定股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2969" w:type="dxa"/>
            <w:vMerge w:val="continue"/>
          </w:tcPr>
          <w:p>
            <w:pPr>
              <w:pStyle w:val="2"/>
              <w:rPr>
                <w:rFonts w:ascii="方正小标宋_GBK" w:hAnsi="方正小标宋_GBK" w:eastAsia="方正小标宋_GBK" w:cs="方正小标宋_GBK"/>
                <w:sz w:val="44"/>
                <w:szCs w:val="44"/>
              </w:rPr>
            </w:pPr>
          </w:p>
        </w:tc>
        <w:tc>
          <w:tcPr>
            <w:tcW w:w="765" w:type="dxa"/>
            <w:vMerge w:val="continue"/>
          </w:tcPr>
          <w:p>
            <w:pPr>
              <w:pStyle w:val="2"/>
              <w:rPr>
                <w:rFonts w:ascii="方正小标宋_GBK" w:hAnsi="方正小标宋_GBK" w:eastAsia="方正小标宋_GBK" w:cs="方正小标宋_GBK"/>
                <w:sz w:val="44"/>
                <w:szCs w:val="44"/>
              </w:rPr>
            </w:pPr>
          </w:p>
        </w:tc>
        <w:tc>
          <w:tcPr>
            <w:tcW w:w="1170"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出具结论</w:t>
            </w:r>
          </w:p>
        </w:tc>
        <w:tc>
          <w:tcPr>
            <w:tcW w:w="2475"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出具价格认定结论书</w:t>
            </w:r>
          </w:p>
        </w:tc>
        <w:tc>
          <w:tcPr>
            <w:tcW w:w="4125" w:type="dxa"/>
            <w:vMerge w:val="continue"/>
          </w:tcPr>
          <w:p>
            <w:pPr>
              <w:pStyle w:val="2"/>
              <w:rPr>
                <w:rFonts w:ascii="方正小标宋_GBK" w:hAnsi="方正小标宋_GBK" w:eastAsia="方正小标宋_GBK" w:cs="方正小标宋_GBK"/>
                <w:sz w:val="44"/>
                <w:szCs w:val="44"/>
              </w:rPr>
            </w:pPr>
          </w:p>
        </w:tc>
        <w:tc>
          <w:tcPr>
            <w:tcW w:w="1170" w:type="dxa"/>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价格认定股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Style w:val="2"/>
      </w:pPr>
    </w:p>
    <w:p>
      <w:pPr/>
    </w:p>
    <w:p>
      <w:pPr>
        <w:rPr>
          <w:rFonts w:ascii="方正小标宋_GBK" w:hAnsi="方正小标宋_GBK" w:eastAsia="方正小标宋_GBK" w:cs="方正小标宋_GBK"/>
          <w:sz w:val="44"/>
          <w:szCs w:val="44"/>
        </w:rPr>
      </w:pPr>
    </w:p>
    <w:p>
      <w:pPr>
        <w:pStyle w:val="2"/>
      </w:pPr>
    </w:p>
    <w:p>
      <w:pPr>
        <w:pStyle w:val="2"/>
      </w:pPr>
    </w:p>
    <w:p>
      <w:pPr/>
    </w:p>
    <w:p>
      <w:pPr/>
    </w:p>
    <w:p>
      <w:pPr/>
    </w:p>
    <w:p>
      <w:pPr/>
    </w:p>
    <w:p>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364"/>
        <w:gridCol w:w="5340"/>
        <w:gridCol w:w="795"/>
        <w:gridCol w:w="795"/>
        <w:gridCol w:w="2715"/>
        <w:gridCol w:w="126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136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34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9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79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71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126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17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5" w:hRule="atLeast"/>
        </w:trPr>
        <w:tc>
          <w:tcPr>
            <w:tcW w:w="735" w:type="dxa"/>
            <w:vMerge w:val="restart"/>
            <w:vAlign w:val="center"/>
          </w:tcPr>
          <w:p>
            <w:pPr>
              <w:pStyle w:val="2"/>
              <w:jc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4</w:t>
            </w:r>
          </w:p>
        </w:tc>
        <w:tc>
          <w:tcPr>
            <w:tcW w:w="1364" w:type="dxa"/>
            <w:vMerge w:val="restart"/>
            <w:vAlign w:val="center"/>
          </w:tcPr>
          <w:p>
            <w:pPr>
              <w:widowControl/>
              <w:jc w:val="left"/>
              <w:textAlignment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非跨县（市）的高速公路等经营性公路、桥梁建设项目法人确定</w:t>
            </w:r>
          </w:p>
        </w:tc>
        <w:tc>
          <w:tcPr>
            <w:tcW w:w="5340" w:type="dxa"/>
            <w:vMerge w:val="restart"/>
            <w:vAlign w:val="center"/>
          </w:tcPr>
          <w:p>
            <w:pPr>
              <w:widowControl/>
              <w:jc w:val="left"/>
              <w:textAlignment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中共南阳市委机构编制委员会关于印发《南阳市放权赋能改革工作方案》的通知宛编〔2021〕83号，非跨县（市）的高速公路等经营性公路、桥梁建设项目法人确定，县（区）政府可直接管理。</w:t>
            </w:r>
          </w:p>
        </w:tc>
        <w:tc>
          <w:tcPr>
            <w:tcW w:w="795" w:type="dxa"/>
            <w:vMerge w:val="restart"/>
            <w:vAlign w:val="center"/>
          </w:tcPr>
          <w:p>
            <w:pPr>
              <w:spacing w:line="300" w:lineRule="exact"/>
              <w:jc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行政确认</w:t>
            </w:r>
          </w:p>
          <w:p>
            <w:pPr>
              <w:spacing w:line="300" w:lineRule="exact"/>
              <w:jc w:val="center"/>
              <w:rPr>
                <w:rFonts w:ascii="仿宋_GB2312" w:hAnsi="仿宋_GB2312" w:eastAsia="仿宋_GB2312" w:cs="仿宋_GB2312"/>
                <w:spacing w:val="-11"/>
                <w:sz w:val="24"/>
                <w:shd w:val="clear" w:color="070000" w:fill="FFFFFF"/>
              </w:rPr>
            </w:pPr>
          </w:p>
        </w:tc>
        <w:tc>
          <w:tcPr>
            <w:tcW w:w="795" w:type="dxa"/>
            <w:vAlign w:val="center"/>
          </w:tcPr>
          <w:p>
            <w:pPr>
              <w:pStyle w:val="10"/>
              <w:widowControl/>
              <w:spacing w:beforeAutospacing="0" w:afterAutospacing="0"/>
              <w:jc w:val="center"/>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受理</w:t>
            </w:r>
          </w:p>
        </w:tc>
        <w:tc>
          <w:tcPr>
            <w:tcW w:w="2715" w:type="dxa"/>
            <w:vAlign w:val="center"/>
          </w:tcPr>
          <w:p>
            <w:pPr>
              <w:pStyle w:val="10"/>
              <w:widowControl/>
              <w:spacing w:beforeAutospacing="0" w:afterAutospacing="0" w:line="300" w:lineRule="exact"/>
              <w:jc w:val="both"/>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1.业务科室受理由企业q确认申请报告。一次性告知补正材料；依法受理或不予受理（不予受理的依法告知理由）</w:t>
            </w:r>
          </w:p>
        </w:tc>
        <w:tc>
          <w:tcPr>
            <w:tcW w:w="1260" w:type="dxa"/>
            <w:vMerge w:val="restart"/>
            <w:vAlign w:val="center"/>
          </w:tcPr>
          <w:p>
            <w:pPr>
              <w:widowControl/>
              <w:spacing w:line="300" w:lineRule="exact"/>
              <w:jc w:val="left"/>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 xml:space="preserve">无 </w:t>
            </w:r>
          </w:p>
          <w:p>
            <w:pPr>
              <w:spacing w:line="300" w:lineRule="exact"/>
              <w:rPr>
                <w:rFonts w:ascii="仿宋_GB2312" w:hAnsi="仿宋_GB2312" w:eastAsia="仿宋_GB2312" w:cs="仿宋_GB2312"/>
                <w:spacing w:val="-11"/>
                <w:sz w:val="24"/>
                <w:shd w:val="clear" w:color="070000" w:fill="FFFFFF"/>
              </w:rPr>
            </w:pPr>
          </w:p>
        </w:tc>
        <w:tc>
          <w:tcPr>
            <w:tcW w:w="1170" w:type="dxa"/>
            <w:vAlign w:val="center"/>
          </w:tcPr>
          <w:p>
            <w:pPr>
              <w:spacing w:line="300" w:lineRule="exact"/>
              <w:jc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5" w:hRule="atLeast"/>
        </w:trPr>
        <w:tc>
          <w:tcPr>
            <w:tcW w:w="735" w:type="dxa"/>
            <w:vMerge w:val="continue"/>
            <w:vAlign w:val="center"/>
          </w:tcPr>
          <w:p>
            <w:pPr>
              <w:pStyle w:val="2"/>
              <w:jc w:val="center"/>
              <w:rPr>
                <w:rFonts w:ascii="仿宋_GB2312" w:hAnsi="仿宋_GB2312" w:eastAsia="仿宋_GB2312" w:cs="仿宋_GB2312"/>
                <w:spacing w:val="-11"/>
                <w:sz w:val="24"/>
                <w:shd w:val="clear" w:color="070000" w:fill="FFFFFF"/>
              </w:rPr>
            </w:pPr>
          </w:p>
        </w:tc>
        <w:tc>
          <w:tcPr>
            <w:tcW w:w="1364" w:type="dxa"/>
            <w:vMerge w:val="continue"/>
            <w:vAlign w:val="center"/>
          </w:tcPr>
          <w:p>
            <w:pPr>
              <w:autoSpaceDN w:val="0"/>
              <w:jc w:val="left"/>
              <w:textAlignment w:val="center"/>
              <w:rPr>
                <w:rFonts w:ascii="仿宋_GB2312" w:hAnsi="仿宋_GB2312" w:eastAsia="仿宋_GB2312" w:cs="仿宋_GB2312"/>
                <w:spacing w:val="-11"/>
                <w:sz w:val="24"/>
                <w:shd w:val="clear" w:color="070000" w:fill="FFFFFF"/>
              </w:rPr>
            </w:pPr>
          </w:p>
        </w:tc>
        <w:tc>
          <w:tcPr>
            <w:tcW w:w="5340" w:type="dxa"/>
            <w:vMerge w:val="continue"/>
            <w:vAlign w:val="center"/>
          </w:tcPr>
          <w:p>
            <w:pPr>
              <w:autoSpaceDN w:val="0"/>
              <w:jc w:val="left"/>
              <w:textAlignment w:val="center"/>
              <w:rPr>
                <w:rFonts w:ascii="仿宋_GB2312" w:hAnsi="仿宋_GB2312" w:eastAsia="仿宋_GB2312" w:cs="仿宋_GB2312"/>
                <w:spacing w:val="-11"/>
                <w:sz w:val="24"/>
                <w:shd w:val="clear" w:color="070000" w:fill="FFFFFF"/>
              </w:rPr>
            </w:pPr>
          </w:p>
        </w:tc>
        <w:tc>
          <w:tcPr>
            <w:tcW w:w="795" w:type="dxa"/>
            <w:vMerge w:val="continue"/>
            <w:vAlign w:val="center"/>
          </w:tcPr>
          <w:p>
            <w:pPr>
              <w:spacing w:line="300" w:lineRule="exact"/>
              <w:jc w:val="center"/>
              <w:rPr>
                <w:rFonts w:ascii="仿宋_GB2312" w:hAnsi="仿宋_GB2312" w:eastAsia="仿宋_GB2312" w:cs="仿宋_GB2312"/>
                <w:spacing w:val="-11"/>
                <w:sz w:val="24"/>
                <w:shd w:val="clear" w:color="070000" w:fill="FFFFFF"/>
              </w:rPr>
            </w:pPr>
          </w:p>
        </w:tc>
        <w:tc>
          <w:tcPr>
            <w:tcW w:w="795" w:type="dxa"/>
            <w:vAlign w:val="center"/>
          </w:tcPr>
          <w:p>
            <w:pPr>
              <w:pStyle w:val="10"/>
              <w:widowControl/>
              <w:spacing w:beforeAutospacing="0" w:afterAutospacing="0"/>
              <w:jc w:val="center"/>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审核</w:t>
            </w:r>
          </w:p>
        </w:tc>
        <w:tc>
          <w:tcPr>
            <w:tcW w:w="2715" w:type="dxa"/>
            <w:vAlign w:val="center"/>
          </w:tcPr>
          <w:p>
            <w:pPr>
              <w:pStyle w:val="10"/>
              <w:widowControl/>
              <w:spacing w:beforeAutospacing="0" w:afterAutospacing="0" w:line="260" w:lineRule="exact"/>
              <w:jc w:val="both"/>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2.通过书面审查等方式进行审查。</w:t>
            </w:r>
          </w:p>
        </w:tc>
        <w:tc>
          <w:tcPr>
            <w:tcW w:w="1260" w:type="dxa"/>
            <w:vMerge w:val="continue"/>
            <w:vAlign w:val="center"/>
          </w:tcPr>
          <w:p>
            <w:pPr>
              <w:spacing w:line="300" w:lineRule="exact"/>
              <w:rPr>
                <w:rFonts w:ascii="仿宋_GB2312" w:hAnsi="仿宋_GB2312" w:eastAsia="仿宋_GB2312" w:cs="仿宋_GB2312"/>
                <w:spacing w:val="-11"/>
                <w:sz w:val="24"/>
                <w:shd w:val="clear" w:color="070000" w:fill="FFFFFF"/>
              </w:rPr>
            </w:pPr>
          </w:p>
        </w:tc>
        <w:tc>
          <w:tcPr>
            <w:tcW w:w="1170" w:type="dxa"/>
            <w:vAlign w:val="center"/>
          </w:tcPr>
          <w:p>
            <w:pPr>
              <w:spacing w:line="300" w:lineRule="exact"/>
              <w:jc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城乡建设股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rPr>
                <w:rFonts w:ascii="仿宋_GB2312" w:hAnsi="仿宋_GB2312" w:eastAsia="仿宋_GB2312" w:cs="仿宋_GB2312"/>
                <w:spacing w:val="-11"/>
                <w:sz w:val="24"/>
                <w:shd w:val="clear" w:color="070000" w:fill="FFFFFF"/>
              </w:rPr>
            </w:pPr>
          </w:p>
        </w:tc>
        <w:tc>
          <w:tcPr>
            <w:tcW w:w="1364" w:type="dxa"/>
            <w:vMerge w:val="continue"/>
          </w:tcPr>
          <w:p>
            <w:pPr>
              <w:pStyle w:val="2"/>
              <w:rPr>
                <w:rFonts w:ascii="仿宋_GB2312" w:hAnsi="仿宋_GB2312" w:eastAsia="仿宋_GB2312" w:cs="仿宋_GB2312"/>
                <w:spacing w:val="-11"/>
                <w:sz w:val="24"/>
                <w:shd w:val="clear" w:color="070000" w:fill="FFFFFF"/>
              </w:rPr>
            </w:pPr>
          </w:p>
        </w:tc>
        <w:tc>
          <w:tcPr>
            <w:tcW w:w="5340" w:type="dxa"/>
            <w:vMerge w:val="continue"/>
          </w:tcPr>
          <w:p>
            <w:pPr>
              <w:pStyle w:val="2"/>
              <w:rPr>
                <w:rFonts w:ascii="仿宋_GB2312" w:hAnsi="仿宋_GB2312" w:eastAsia="仿宋_GB2312" w:cs="仿宋_GB2312"/>
                <w:spacing w:val="-11"/>
                <w:sz w:val="24"/>
                <w:shd w:val="clear" w:color="070000" w:fill="FFFFFF"/>
              </w:rPr>
            </w:pPr>
          </w:p>
        </w:tc>
        <w:tc>
          <w:tcPr>
            <w:tcW w:w="795" w:type="dxa"/>
            <w:vMerge w:val="continue"/>
          </w:tcPr>
          <w:p>
            <w:pPr>
              <w:pStyle w:val="2"/>
              <w:rPr>
                <w:rFonts w:ascii="仿宋_GB2312" w:hAnsi="仿宋_GB2312" w:eastAsia="仿宋_GB2312" w:cs="仿宋_GB2312"/>
                <w:spacing w:val="-11"/>
                <w:sz w:val="24"/>
                <w:shd w:val="clear" w:color="070000" w:fill="FFFFFF"/>
              </w:rPr>
            </w:pPr>
          </w:p>
        </w:tc>
        <w:tc>
          <w:tcPr>
            <w:tcW w:w="795" w:type="dxa"/>
            <w:vAlign w:val="center"/>
          </w:tcPr>
          <w:p>
            <w:pPr>
              <w:autoSpaceDN w:val="0"/>
              <w:jc w:val="left"/>
              <w:textAlignment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决定</w:t>
            </w:r>
          </w:p>
        </w:tc>
        <w:tc>
          <w:tcPr>
            <w:tcW w:w="2715" w:type="dxa"/>
            <w:vAlign w:val="center"/>
          </w:tcPr>
          <w:p>
            <w:pPr>
              <w:autoSpaceDN w:val="0"/>
              <w:jc w:val="left"/>
              <w:textAlignment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3.按照审查结果，做出对市级工程研究中心 （实验室）是否批复的决定。</w:t>
            </w:r>
          </w:p>
        </w:tc>
        <w:tc>
          <w:tcPr>
            <w:tcW w:w="1260" w:type="dxa"/>
            <w:vMerge w:val="continue"/>
          </w:tcPr>
          <w:p>
            <w:pPr>
              <w:pStyle w:val="2"/>
              <w:rPr>
                <w:rFonts w:ascii="仿宋_GB2312" w:hAnsi="仿宋_GB2312" w:eastAsia="仿宋_GB2312" w:cs="仿宋_GB2312"/>
                <w:spacing w:val="-11"/>
                <w:sz w:val="24"/>
                <w:shd w:val="clear" w:color="070000" w:fill="FFFFFF"/>
              </w:rPr>
            </w:pPr>
          </w:p>
        </w:tc>
        <w:tc>
          <w:tcPr>
            <w:tcW w:w="1170" w:type="dxa"/>
            <w:vAlign w:val="center"/>
          </w:tcPr>
          <w:p>
            <w:pPr>
              <w:spacing w:line="300" w:lineRule="exact"/>
              <w:jc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城乡建设股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rPr>
                <w:rFonts w:ascii="仿宋_GB2312" w:hAnsi="仿宋_GB2312" w:eastAsia="仿宋_GB2312" w:cs="仿宋_GB2312"/>
                <w:spacing w:val="-11"/>
                <w:sz w:val="24"/>
                <w:shd w:val="clear" w:color="070000" w:fill="FFFFFF"/>
              </w:rPr>
            </w:pPr>
          </w:p>
        </w:tc>
        <w:tc>
          <w:tcPr>
            <w:tcW w:w="1364" w:type="dxa"/>
            <w:vMerge w:val="continue"/>
          </w:tcPr>
          <w:p>
            <w:pPr>
              <w:pStyle w:val="2"/>
              <w:rPr>
                <w:rFonts w:ascii="仿宋_GB2312" w:hAnsi="仿宋_GB2312" w:eastAsia="仿宋_GB2312" w:cs="仿宋_GB2312"/>
                <w:spacing w:val="-11"/>
                <w:sz w:val="24"/>
                <w:shd w:val="clear" w:color="070000" w:fill="FFFFFF"/>
              </w:rPr>
            </w:pPr>
          </w:p>
        </w:tc>
        <w:tc>
          <w:tcPr>
            <w:tcW w:w="5340" w:type="dxa"/>
            <w:vMerge w:val="continue"/>
          </w:tcPr>
          <w:p>
            <w:pPr>
              <w:pStyle w:val="2"/>
              <w:rPr>
                <w:rFonts w:ascii="仿宋_GB2312" w:hAnsi="仿宋_GB2312" w:eastAsia="仿宋_GB2312" w:cs="仿宋_GB2312"/>
                <w:spacing w:val="-11"/>
                <w:sz w:val="24"/>
                <w:shd w:val="clear" w:color="070000" w:fill="FFFFFF"/>
              </w:rPr>
            </w:pPr>
          </w:p>
        </w:tc>
        <w:tc>
          <w:tcPr>
            <w:tcW w:w="795" w:type="dxa"/>
            <w:vMerge w:val="continue"/>
          </w:tcPr>
          <w:p>
            <w:pPr>
              <w:pStyle w:val="2"/>
              <w:rPr>
                <w:rFonts w:ascii="仿宋_GB2312" w:hAnsi="仿宋_GB2312" w:eastAsia="仿宋_GB2312" w:cs="仿宋_GB2312"/>
                <w:spacing w:val="-11"/>
                <w:sz w:val="24"/>
                <w:shd w:val="clear" w:color="070000" w:fill="FFFFFF"/>
              </w:rPr>
            </w:pPr>
          </w:p>
        </w:tc>
        <w:tc>
          <w:tcPr>
            <w:tcW w:w="795" w:type="dxa"/>
            <w:vAlign w:val="center"/>
          </w:tcPr>
          <w:p>
            <w:pPr>
              <w:pStyle w:val="10"/>
              <w:widowControl/>
              <w:spacing w:beforeAutospacing="0" w:afterAutospacing="0"/>
              <w:jc w:val="center"/>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办结</w:t>
            </w:r>
          </w:p>
        </w:tc>
        <w:tc>
          <w:tcPr>
            <w:tcW w:w="2715" w:type="dxa"/>
            <w:vAlign w:val="center"/>
          </w:tcPr>
          <w:p>
            <w:pPr>
              <w:pStyle w:val="10"/>
              <w:widowControl/>
              <w:spacing w:beforeAutospacing="0" w:afterAutospacing="0"/>
              <w:rPr>
                <w:rFonts w:ascii="仿宋_GB2312" w:hAnsi="仿宋_GB2312" w:eastAsia="仿宋_GB2312" w:cs="仿宋_GB2312"/>
                <w:spacing w:val="-11"/>
                <w:kern w:val="2"/>
                <w:shd w:val="clear" w:color="070000" w:fill="FFFFFF"/>
              </w:rPr>
            </w:pPr>
            <w:r>
              <w:rPr>
                <w:rFonts w:hint="eastAsia" w:ascii="仿宋_GB2312" w:hAnsi="仿宋_GB2312" w:eastAsia="仿宋_GB2312" w:cs="仿宋_GB2312"/>
                <w:spacing w:val="-11"/>
                <w:kern w:val="2"/>
                <w:shd w:val="clear" w:color="070000" w:fill="FFFFFF"/>
              </w:rPr>
              <w:t>4.根据办理结果出台相关认定文件，依法予以公开。</w:t>
            </w:r>
          </w:p>
        </w:tc>
        <w:tc>
          <w:tcPr>
            <w:tcW w:w="1260" w:type="dxa"/>
            <w:vMerge w:val="continue"/>
          </w:tcPr>
          <w:p>
            <w:pPr>
              <w:pStyle w:val="2"/>
              <w:rPr>
                <w:rFonts w:ascii="仿宋_GB2312" w:hAnsi="仿宋_GB2312" w:eastAsia="仿宋_GB2312" w:cs="仿宋_GB2312"/>
                <w:spacing w:val="-11"/>
                <w:sz w:val="24"/>
                <w:shd w:val="clear" w:color="070000" w:fill="FFFFFF"/>
              </w:rPr>
            </w:pPr>
          </w:p>
        </w:tc>
        <w:tc>
          <w:tcPr>
            <w:tcW w:w="1170" w:type="dxa"/>
            <w:vAlign w:val="center"/>
          </w:tcPr>
          <w:p>
            <w:pPr>
              <w:spacing w:line="300" w:lineRule="exact"/>
              <w:jc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 w:val="24"/>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p>
    <w:p>
      <w:pPr>
        <w:pStyle w:val="2"/>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364"/>
        <w:gridCol w:w="3525"/>
        <w:gridCol w:w="825"/>
        <w:gridCol w:w="840"/>
        <w:gridCol w:w="2130"/>
        <w:gridCol w:w="358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136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52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82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4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13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358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17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5" w:hRule="atLeast"/>
        </w:trPr>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1</w:t>
            </w:r>
          </w:p>
        </w:tc>
        <w:tc>
          <w:tcPr>
            <w:tcW w:w="1364" w:type="dxa"/>
            <w:vMerge w:val="restart"/>
            <w:vAlign w:val="center"/>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对在循环经济管理、科学技术研究、产品开发、示范和推广工作中做出显著成绩的单位和个人的表彰奖励</w:t>
            </w:r>
          </w:p>
        </w:tc>
        <w:tc>
          <w:tcPr>
            <w:tcW w:w="3525" w:type="dxa"/>
            <w:vMerge w:val="restart"/>
            <w:vAlign w:val="center"/>
          </w:tcPr>
          <w:p>
            <w:pPr>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《中华人民共和国循环经济促进法》第四十八条县级以上人民政府及其有关部门应当对在循环经济管理、科学技术研究、产品开发、示范和推广工作中做出显著成绩的单位和个人给予表彰和奖励。</w:t>
            </w:r>
          </w:p>
        </w:tc>
        <w:tc>
          <w:tcPr>
            <w:tcW w:w="825" w:type="dxa"/>
            <w:vMerge w:val="restart"/>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行政奖励</w:t>
            </w:r>
          </w:p>
        </w:tc>
        <w:tc>
          <w:tcPr>
            <w:tcW w:w="840" w:type="dxa"/>
            <w:vAlign w:val="center"/>
          </w:tcPr>
          <w:p>
            <w:pPr>
              <w:widowControl/>
              <w:spacing w:line="300" w:lineRule="exact"/>
              <w:jc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Cs w:val="21"/>
                <w:shd w:val="clear" w:color="070000" w:fill="FFFFFF"/>
              </w:rPr>
              <w:t>受理</w:t>
            </w:r>
          </w:p>
        </w:tc>
        <w:tc>
          <w:tcPr>
            <w:tcW w:w="2130" w:type="dxa"/>
            <w:vAlign w:val="center"/>
          </w:tcPr>
          <w:p>
            <w:pPr>
              <w:widowControl/>
              <w:spacing w:line="300" w:lineRule="exact"/>
              <w:jc w:val="left"/>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Cs w:val="21"/>
                <w:shd w:val="clear" w:color="070000" w:fill="FFFFFF"/>
              </w:rPr>
              <w:t>1、受理相关资料</w:t>
            </w:r>
          </w:p>
        </w:tc>
        <w:tc>
          <w:tcPr>
            <w:tcW w:w="3585" w:type="dxa"/>
            <w:vMerge w:val="restart"/>
            <w:vAlign w:val="center"/>
          </w:tcPr>
          <w:p>
            <w:pPr>
              <w:widowControl/>
              <w:spacing w:line="300" w:lineRule="exac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《中华人民共和国循环经济促进法》第四十九条：　县级以上人民政府循环经济发展综合管理部门或者其他有关主管部门发现违反本法的行为或者接到对违法行为的举报后不予查处，或者有其他不依法履行监督管理职责行为的，由本级人民政府或者上一级人民政府有关主管部门责令改正，对直接负责的主管人员和其他直接责任人员依法给予处分。</w:t>
            </w:r>
          </w:p>
        </w:tc>
        <w:tc>
          <w:tcPr>
            <w:tcW w:w="117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5" w:hRule="atLeast"/>
        </w:trPr>
        <w:tc>
          <w:tcPr>
            <w:tcW w:w="735" w:type="dxa"/>
            <w:vMerge w:val="continue"/>
            <w:vAlign w:val="center"/>
          </w:tcPr>
          <w:p>
            <w:pPr>
              <w:pStyle w:val="2"/>
              <w:jc w:val="center"/>
              <w:rPr>
                <w:rFonts w:ascii="仿宋_GB2312" w:hAnsi="仿宋_GB2312" w:eastAsia="仿宋_GB2312" w:cs="仿宋_GB2312"/>
                <w:spacing w:val="-11"/>
                <w:szCs w:val="21"/>
                <w:shd w:val="clear" w:color="070000" w:fill="FFFFFF"/>
              </w:rPr>
            </w:pPr>
          </w:p>
        </w:tc>
        <w:tc>
          <w:tcPr>
            <w:tcW w:w="1364" w:type="dxa"/>
            <w:vMerge w:val="continue"/>
            <w:vAlign w:val="center"/>
          </w:tcPr>
          <w:p>
            <w:pPr>
              <w:spacing w:line="300" w:lineRule="exact"/>
              <w:rPr>
                <w:rFonts w:ascii="仿宋_GB2312" w:hAnsi="仿宋_GB2312" w:eastAsia="仿宋_GB2312" w:cs="仿宋_GB2312"/>
                <w:spacing w:val="-11"/>
                <w:sz w:val="24"/>
                <w:shd w:val="clear" w:color="070000" w:fill="FFFFFF"/>
              </w:rPr>
            </w:pPr>
          </w:p>
        </w:tc>
        <w:tc>
          <w:tcPr>
            <w:tcW w:w="3525" w:type="dxa"/>
            <w:vMerge w:val="continue"/>
            <w:vAlign w:val="center"/>
          </w:tcPr>
          <w:p>
            <w:pPr>
              <w:spacing w:line="300" w:lineRule="exact"/>
              <w:rPr>
                <w:rFonts w:ascii="仿宋_GB2312" w:hAnsi="仿宋_GB2312" w:eastAsia="仿宋_GB2312" w:cs="仿宋_GB2312"/>
                <w:spacing w:val="-11"/>
                <w:sz w:val="24"/>
                <w:shd w:val="clear" w:color="070000" w:fill="FFFFFF"/>
              </w:rPr>
            </w:pPr>
          </w:p>
        </w:tc>
        <w:tc>
          <w:tcPr>
            <w:tcW w:w="825" w:type="dxa"/>
            <w:vMerge w:val="continue"/>
            <w:vAlign w:val="center"/>
          </w:tcPr>
          <w:p>
            <w:pPr>
              <w:spacing w:line="300" w:lineRule="exact"/>
              <w:jc w:val="center"/>
              <w:rPr>
                <w:rFonts w:ascii="仿宋_GB2312" w:hAnsi="仿宋_GB2312" w:eastAsia="仿宋_GB2312" w:cs="仿宋_GB2312"/>
                <w:spacing w:val="-11"/>
                <w:szCs w:val="21"/>
                <w:shd w:val="clear" w:color="070000" w:fill="FFFFFF"/>
              </w:rPr>
            </w:pPr>
          </w:p>
        </w:tc>
        <w:tc>
          <w:tcPr>
            <w:tcW w:w="840" w:type="dxa"/>
            <w:vAlign w:val="center"/>
          </w:tcPr>
          <w:p>
            <w:pPr>
              <w:widowControl/>
              <w:spacing w:line="300" w:lineRule="exact"/>
              <w:jc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Cs w:val="21"/>
                <w:shd w:val="clear" w:color="070000" w:fill="FFFFFF"/>
              </w:rPr>
              <w:t>审核</w:t>
            </w:r>
          </w:p>
        </w:tc>
        <w:tc>
          <w:tcPr>
            <w:tcW w:w="2130" w:type="dxa"/>
            <w:vAlign w:val="center"/>
          </w:tcPr>
          <w:p>
            <w:pPr>
              <w:widowControl/>
              <w:spacing w:line="300" w:lineRule="exact"/>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Cs w:val="21"/>
                <w:shd w:val="clear" w:color="070000" w:fill="FFFFFF"/>
              </w:rPr>
              <w:t>2、申报奖励项目提交的材料审核是否符合减量化、再利用、资源化要求。对合规性审核。</w:t>
            </w:r>
          </w:p>
        </w:tc>
        <w:tc>
          <w:tcPr>
            <w:tcW w:w="3585" w:type="dxa"/>
            <w:vMerge w:val="continue"/>
            <w:vAlign w:val="center"/>
          </w:tcPr>
          <w:p>
            <w:pPr>
              <w:widowControl/>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rPr>
                <w:rFonts w:ascii="方正小标宋_GBK" w:hAnsi="方正小标宋_GBK" w:eastAsia="方正小标宋_GBK" w:cs="方正小标宋_GBK"/>
                <w:sz w:val="44"/>
                <w:szCs w:val="44"/>
              </w:rPr>
            </w:pPr>
          </w:p>
        </w:tc>
        <w:tc>
          <w:tcPr>
            <w:tcW w:w="1364" w:type="dxa"/>
            <w:vMerge w:val="continue"/>
            <w:vAlign w:val="center"/>
          </w:tcPr>
          <w:p>
            <w:pPr>
              <w:spacing w:line="300" w:lineRule="exact"/>
              <w:rPr>
                <w:rFonts w:ascii="方正小标宋_GBK" w:hAnsi="方正小标宋_GBK" w:eastAsia="方正小标宋_GBK" w:cs="方正小标宋_GBK"/>
                <w:sz w:val="44"/>
                <w:szCs w:val="44"/>
              </w:rPr>
            </w:pPr>
          </w:p>
        </w:tc>
        <w:tc>
          <w:tcPr>
            <w:tcW w:w="3525" w:type="dxa"/>
            <w:vMerge w:val="continue"/>
            <w:vAlign w:val="center"/>
          </w:tcPr>
          <w:p>
            <w:pPr>
              <w:spacing w:line="300" w:lineRule="exact"/>
              <w:rPr>
                <w:rFonts w:ascii="方正小标宋_GBK" w:hAnsi="方正小标宋_GBK" w:eastAsia="方正小标宋_GBK" w:cs="方正小标宋_GBK"/>
                <w:sz w:val="44"/>
                <w:szCs w:val="44"/>
              </w:rPr>
            </w:pPr>
          </w:p>
        </w:tc>
        <w:tc>
          <w:tcPr>
            <w:tcW w:w="825" w:type="dxa"/>
            <w:vMerge w:val="continue"/>
            <w:vAlign w:val="center"/>
          </w:tcPr>
          <w:p>
            <w:pPr>
              <w:spacing w:line="300" w:lineRule="exact"/>
              <w:jc w:val="center"/>
              <w:rPr>
                <w:rFonts w:ascii="方正小标宋_GBK" w:hAnsi="方正小标宋_GBK" w:eastAsia="方正小标宋_GBK" w:cs="方正小标宋_GBK"/>
                <w:sz w:val="44"/>
                <w:szCs w:val="44"/>
              </w:rPr>
            </w:pPr>
          </w:p>
        </w:tc>
        <w:tc>
          <w:tcPr>
            <w:tcW w:w="840" w:type="dxa"/>
            <w:vAlign w:val="center"/>
          </w:tcPr>
          <w:p>
            <w:pPr>
              <w:widowControl/>
              <w:spacing w:line="300" w:lineRule="exact"/>
              <w:jc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Cs w:val="21"/>
                <w:shd w:val="clear" w:color="070000" w:fill="FFFFFF"/>
              </w:rPr>
              <w:t>决定</w:t>
            </w:r>
          </w:p>
        </w:tc>
        <w:tc>
          <w:tcPr>
            <w:tcW w:w="2130" w:type="dxa"/>
            <w:vAlign w:val="center"/>
          </w:tcPr>
          <w:p>
            <w:pPr>
              <w:widowControl/>
              <w:spacing w:line="300" w:lineRule="exact"/>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Cs w:val="21"/>
                <w:shd w:val="clear" w:color="070000" w:fill="FFFFFF"/>
              </w:rPr>
              <w:t>3.决定责任：符合条件发布表彰决定</w:t>
            </w:r>
          </w:p>
        </w:tc>
        <w:tc>
          <w:tcPr>
            <w:tcW w:w="3585" w:type="dxa"/>
            <w:vMerge w:val="continue"/>
            <w:vAlign w:val="center"/>
          </w:tcPr>
          <w:p>
            <w:pPr>
              <w:widowControl/>
              <w:spacing w:line="300" w:lineRule="exact"/>
              <w:rPr>
                <w:rFonts w:ascii="方正小标宋_GBK" w:hAnsi="方正小标宋_GBK" w:eastAsia="方正小标宋_GBK" w:cs="方正小标宋_GBK"/>
                <w:sz w:val="44"/>
                <w:szCs w:val="44"/>
              </w:rPr>
            </w:pPr>
          </w:p>
        </w:tc>
        <w:tc>
          <w:tcPr>
            <w:tcW w:w="117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rPr>
                <w:rFonts w:ascii="方正小标宋_GBK" w:hAnsi="方正小标宋_GBK" w:eastAsia="方正小标宋_GBK" w:cs="方正小标宋_GBK"/>
                <w:sz w:val="44"/>
                <w:szCs w:val="44"/>
              </w:rPr>
            </w:pPr>
          </w:p>
        </w:tc>
        <w:tc>
          <w:tcPr>
            <w:tcW w:w="1364" w:type="dxa"/>
            <w:vMerge w:val="continue"/>
            <w:vAlign w:val="center"/>
          </w:tcPr>
          <w:p>
            <w:pPr>
              <w:spacing w:line="300" w:lineRule="exact"/>
              <w:rPr>
                <w:rFonts w:ascii="方正小标宋_GBK" w:hAnsi="方正小标宋_GBK" w:eastAsia="方正小标宋_GBK" w:cs="方正小标宋_GBK"/>
                <w:sz w:val="44"/>
                <w:szCs w:val="44"/>
              </w:rPr>
            </w:pPr>
          </w:p>
        </w:tc>
        <w:tc>
          <w:tcPr>
            <w:tcW w:w="3525" w:type="dxa"/>
            <w:vMerge w:val="continue"/>
            <w:vAlign w:val="center"/>
          </w:tcPr>
          <w:p>
            <w:pPr>
              <w:spacing w:line="300" w:lineRule="exact"/>
              <w:rPr>
                <w:rFonts w:ascii="方正小标宋_GBK" w:hAnsi="方正小标宋_GBK" w:eastAsia="方正小标宋_GBK" w:cs="方正小标宋_GBK"/>
                <w:sz w:val="44"/>
                <w:szCs w:val="44"/>
              </w:rPr>
            </w:pPr>
          </w:p>
        </w:tc>
        <w:tc>
          <w:tcPr>
            <w:tcW w:w="825" w:type="dxa"/>
            <w:vMerge w:val="continue"/>
            <w:vAlign w:val="center"/>
          </w:tcPr>
          <w:p>
            <w:pPr>
              <w:spacing w:line="300" w:lineRule="exact"/>
              <w:jc w:val="center"/>
              <w:rPr>
                <w:rFonts w:ascii="方正小标宋_GBK" w:hAnsi="方正小标宋_GBK" w:eastAsia="方正小标宋_GBK" w:cs="方正小标宋_GBK"/>
                <w:sz w:val="44"/>
                <w:szCs w:val="44"/>
              </w:rPr>
            </w:pPr>
          </w:p>
        </w:tc>
        <w:tc>
          <w:tcPr>
            <w:tcW w:w="840" w:type="dxa"/>
            <w:vAlign w:val="center"/>
          </w:tcPr>
          <w:p>
            <w:pPr>
              <w:spacing w:line="300" w:lineRule="exact"/>
              <w:jc w:val="center"/>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Cs w:val="21"/>
                <w:shd w:val="clear" w:color="070000" w:fill="FFFFFF"/>
              </w:rPr>
              <w:t>办结</w:t>
            </w:r>
          </w:p>
        </w:tc>
        <w:tc>
          <w:tcPr>
            <w:tcW w:w="2130" w:type="dxa"/>
            <w:vAlign w:val="center"/>
          </w:tcPr>
          <w:p>
            <w:pPr>
              <w:spacing w:line="300" w:lineRule="exact"/>
              <w:rPr>
                <w:rFonts w:ascii="仿宋_GB2312" w:hAnsi="仿宋_GB2312" w:eastAsia="仿宋_GB2312" w:cs="仿宋_GB2312"/>
                <w:spacing w:val="-11"/>
                <w:sz w:val="24"/>
                <w:shd w:val="clear" w:color="070000" w:fill="FFFFFF"/>
              </w:rPr>
            </w:pPr>
            <w:r>
              <w:rPr>
                <w:rFonts w:hint="eastAsia" w:ascii="仿宋_GB2312" w:hAnsi="仿宋_GB2312" w:eastAsia="仿宋_GB2312" w:cs="仿宋_GB2312"/>
                <w:spacing w:val="-11"/>
                <w:szCs w:val="21"/>
                <w:shd w:val="clear" w:color="070000" w:fill="FFFFFF"/>
              </w:rPr>
              <w:t>4、办结责任：行政奖励在1日内办结。</w:t>
            </w:r>
          </w:p>
        </w:tc>
        <w:tc>
          <w:tcPr>
            <w:tcW w:w="3585" w:type="dxa"/>
            <w:vMerge w:val="continue"/>
            <w:vAlign w:val="center"/>
          </w:tcPr>
          <w:p>
            <w:pPr>
              <w:spacing w:line="300" w:lineRule="exact"/>
              <w:rPr>
                <w:rFonts w:ascii="方正小标宋_GBK" w:hAnsi="方正小标宋_GBK" w:eastAsia="方正小标宋_GBK" w:cs="方正小标宋_GBK"/>
                <w:sz w:val="44"/>
                <w:szCs w:val="44"/>
              </w:rPr>
            </w:pPr>
          </w:p>
        </w:tc>
        <w:tc>
          <w:tcPr>
            <w:tcW w:w="1170"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364"/>
        <w:gridCol w:w="3525"/>
        <w:gridCol w:w="825"/>
        <w:gridCol w:w="840"/>
        <w:gridCol w:w="2130"/>
        <w:gridCol w:w="358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136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52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82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4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13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358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17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5" w:hRule="atLeast"/>
        </w:trPr>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1</w:t>
            </w:r>
          </w:p>
        </w:tc>
        <w:tc>
          <w:tcPr>
            <w:tcW w:w="1364" w:type="dxa"/>
            <w:vMerge w:val="restart"/>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政府投资项目审核（批）</w:t>
            </w:r>
          </w:p>
          <w:p>
            <w:pPr>
              <w:spacing w:line="300" w:lineRule="exact"/>
              <w:jc w:val="left"/>
              <w:rPr>
                <w:rFonts w:ascii="仿宋_GB2312" w:hAnsi="仿宋_GB2312" w:eastAsia="仿宋_GB2312" w:cs="仿宋_GB2312"/>
                <w:spacing w:val="-11"/>
                <w:szCs w:val="21"/>
                <w:shd w:val="clear" w:color="070000" w:fill="FFFFFF"/>
              </w:rPr>
            </w:pPr>
          </w:p>
        </w:tc>
        <w:tc>
          <w:tcPr>
            <w:tcW w:w="3525" w:type="dxa"/>
            <w:vMerge w:val="restart"/>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政府投资条例》（国务院令第712号）第九条第一款：“政府采取直接投资方式、资本金注入方式投资的项目（以下统称政府投资项目），项目单位应当编制项目建议书、可行性研究报告、初步设计，按照政府投资管理权限和规定的程序，报投资主管部门或者其他有关部门审批。”</w:t>
            </w:r>
          </w:p>
          <w:p>
            <w:pPr>
              <w:spacing w:line="300" w:lineRule="exact"/>
              <w:rPr>
                <w:rFonts w:ascii="仿宋_GB2312" w:hAnsi="仿宋_GB2312" w:eastAsia="仿宋_GB2312" w:cs="仿宋_GB2312"/>
                <w:spacing w:val="-11"/>
                <w:szCs w:val="21"/>
                <w:shd w:val="clear" w:color="070000" w:fill="FFFFFF"/>
              </w:rPr>
            </w:pPr>
          </w:p>
        </w:tc>
        <w:tc>
          <w:tcPr>
            <w:tcW w:w="825" w:type="dxa"/>
            <w:vMerge w:val="restart"/>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其他职权</w:t>
            </w:r>
          </w:p>
          <w:p>
            <w:pPr>
              <w:spacing w:line="300" w:lineRule="exact"/>
              <w:jc w:val="center"/>
              <w:rPr>
                <w:rFonts w:ascii="仿宋_GB2312" w:hAnsi="仿宋_GB2312" w:eastAsia="仿宋_GB2312" w:cs="仿宋_GB2312"/>
                <w:spacing w:val="-11"/>
                <w:szCs w:val="21"/>
                <w:shd w:val="clear" w:color="070000" w:fill="FFFFFF"/>
              </w:rPr>
            </w:pPr>
          </w:p>
        </w:tc>
        <w:tc>
          <w:tcPr>
            <w:tcW w:w="840" w:type="dxa"/>
            <w:vAlign w:val="center"/>
          </w:tcPr>
          <w:p>
            <w:pPr>
              <w:pStyle w:val="10"/>
              <w:spacing w:beforeAutospacing="0" w:afterAutospacing="0" w:line="300" w:lineRule="exact"/>
              <w:jc w:val="center"/>
              <w:rPr>
                <w:rFonts w:ascii="仿宋_GB2312" w:hAnsi="仿宋_GB2312" w:eastAsia="仿宋_GB2312" w:cs="仿宋_GB2312"/>
                <w:spacing w:val="-11"/>
                <w:kern w:val="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受理</w:t>
            </w:r>
          </w:p>
        </w:tc>
        <w:tc>
          <w:tcPr>
            <w:tcW w:w="2130" w:type="dxa"/>
            <w:vAlign w:val="center"/>
          </w:tcPr>
          <w:p>
            <w:pPr>
              <w:pStyle w:val="10"/>
              <w:spacing w:beforeAutospacing="0" w:afterAutospacing="0" w:line="300" w:lineRule="exact"/>
              <w:jc w:val="both"/>
              <w:rPr>
                <w:rFonts w:ascii="仿宋_GB2312" w:hAnsi="仿宋_GB2312" w:eastAsia="仿宋_GB2312" w:cs="仿宋_GB2312"/>
                <w:spacing w:val="-11"/>
                <w:kern w:val="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1.依法依规对法人资料进行梳理，要件不全或不符要求的要求补正，并结合行业发展规划，做出受理或不予受理的决定。</w:t>
            </w:r>
          </w:p>
        </w:tc>
        <w:tc>
          <w:tcPr>
            <w:tcW w:w="3585" w:type="dxa"/>
            <w:vMerge w:val="restart"/>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政府投资条例》（2019年4月国务院令第712号）：第三十二条：“有下列情形之一的，责令改正，对负有责任的领导人员和直接责任人员依法给予处分：（一）超越审批权限审批政府投资项目；（二）对不符合规定的政府投资项目予以批准；（三）未按照规定核定或者调整政府投资项目的投资概算；（四）为不符合规定的项目安排投资补助、贷款贴息等政府投资资金；（五）履行政府投资管理职责中其他玩忽职守、滥用职权、徇私舞弊的情形。”</w:t>
            </w:r>
          </w:p>
          <w:p>
            <w:pPr>
              <w:pStyle w:val="2"/>
              <w:rPr>
                <w:rFonts w:ascii="仿宋_GB2312" w:hAnsi="仿宋_GB2312" w:eastAsia="仿宋_GB2312" w:cs="仿宋_GB2312"/>
                <w:spacing w:val="-11"/>
                <w:szCs w:val="21"/>
                <w:shd w:val="clear" w:color="070000" w:fill="FFFFFF"/>
              </w:rPr>
            </w:pPr>
          </w:p>
          <w:p>
            <w:pPr>
              <w:rPr>
                <w:rFonts w:ascii="仿宋_GB2312" w:hAnsi="仿宋_GB2312" w:eastAsia="仿宋_GB2312" w:cs="仿宋_GB2312"/>
                <w:spacing w:val="-11"/>
                <w:szCs w:val="21"/>
                <w:shd w:val="clear" w:color="070000" w:fill="FFFFFF"/>
              </w:rPr>
            </w:pPr>
          </w:p>
          <w:p>
            <w:pPr>
              <w:pStyle w:val="2"/>
              <w:rPr>
                <w:rFonts w:ascii="仿宋_GB2312" w:hAnsi="仿宋_GB2312" w:eastAsia="仿宋_GB2312" w:cs="仿宋_GB2312"/>
                <w:spacing w:val="-11"/>
                <w:szCs w:val="21"/>
                <w:shd w:val="clear" w:color="070000" w:fill="FFFFFF"/>
              </w:rPr>
            </w:pPr>
          </w:p>
          <w:p>
            <w:pPr/>
          </w:p>
          <w:p>
            <w:pPr>
              <w:widowControl/>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rPr>
                <w:rFonts w:ascii="方正小标宋_GBK" w:hAnsi="方正小标宋_GBK" w:eastAsia="方正小标宋_GBK" w:cs="方正小标宋_GBK"/>
                <w:sz w:val="44"/>
                <w:szCs w:val="44"/>
              </w:rPr>
            </w:pPr>
          </w:p>
        </w:tc>
        <w:tc>
          <w:tcPr>
            <w:tcW w:w="1364" w:type="dxa"/>
            <w:vMerge w:val="continue"/>
            <w:vAlign w:val="center"/>
          </w:tcPr>
          <w:p>
            <w:pPr>
              <w:spacing w:line="300" w:lineRule="exact"/>
              <w:rPr>
                <w:rFonts w:ascii="方正小标宋_GBK" w:hAnsi="方正小标宋_GBK" w:eastAsia="方正小标宋_GBK" w:cs="方正小标宋_GBK"/>
                <w:sz w:val="44"/>
                <w:szCs w:val="44"/>
              </w:rPr>
            </w:pPr>
          </w:p>
        </w:tc>
        <w:tc>
          <w:tcPr>
            <w:tcW w:w="3525" w:type="dxa"/>
            <w:vMerge w:val="continue"/>
            <w:vAlign w:val="center"/>
          </w:tcPr>
          <w:p>
            <w:pPr>
              <w:spacing w:line="300" w:lineRule="exact"/>
              <w:rPr>
                <w:rFonts w:ascii="方正小标宋_GBK" w:hAnsi="方正小标宋_GBK" w:eastAsia="方正小标宋_GBK" w:cs="方正小标宋_GBK"/>
                <w:sz w:val="44"/>
                <w:szCs w:val="44"/>
              </w:rPr>
            </w:pPr>
          </w:p>
        </w:tc>
        <w:tc>
          <w:tcPr>
            <w:tcW w:w="825" w:type="dxa"/>
            <w:vMerge w:val="continue"/>
            <w:vAlign w:val="center"/>
          </w:tcPr>
          <w:p>
            <w:pPr>
              <w:spacing w:line="300" w:lineRule="exact"/>
              <w:jc w:val="center"/>
              <w:rPr>
                <w:rFonts w:ascii="方正小标宋_GBK" w:hAnsi="方正小标宋_GBK" w:eastAsia="方正小标宋_GBK" w:cs="方正小标宋_GBK"/>
                <w:sz w:val="44"/>
                <w:szCs w:val="44"/>
              </w:rPr>
            </w:pPr>
          </w:p>
        </w:tc>
        <w:tc>
          <w:tcPr>
            <w:tcW w:w="840" w:type="dxa"/>
            <w:vAlign w:val="center"/>
          </w:tcPr>
          <w:p>
            <w:pPr>
              <w:pStyle w:val="10"/>
              <w:widowControl/>
              <w:spacing w:beforeAutospacing="0" w:afterAutospacing="0" w:line="300" w:lineRule="exact"/>
              <w:jc w:val="center"/>
              <w:rPr>
                <w:rFonts w:ascii="仿宋_GB2312" w:hAnsi="仿宋_GB2312" w:eastAsia="仿宋_GB2312" w:cs="仿宋_GB2312"/>
                <w:spacing w:val="-11"/>
                <w:kern w:val="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审查</w:t>
            </w:r>
          </w:p>
        </w:tc>
        <w:tc>
          <w:tcPr>
            <w:tcW w:w="2130" w:type="dxa"/>
            <w:vAlign w:val="center"/>
          </w:tcPr>
          <w:p>
            <w:pPr>
              <w:pStyle w:val="10"/>
              <w:widowControl/>
              <w:spacing w:beforeAutospacing="0" w:afterAutospacing="0" w:line="300" w:lineRule="exact"/>
              <w:jc w:val="both"/>
              <w:rPr>
                <w:rFonts w:ascii="仿宋_GB2312" w:hAnsi="仿宋_GB2312" w:eastAsia="仿宋_GB2312" w:cs="仿宋_GB2312"/>
                <w:spacing w:val="-11"/>
                <w:kern w:val="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2.通过书面审查、实地核查、专家评审等方式进行审查。对合规性审核。</w:t>
            </w:r>
          </w:p>
        </w:tc>
        <w:tc>
          <w:tcPr>
            <w:tcW w:w="3585" w:type="dxa"/>
            <w:vMerge w:val="continue"/>
            <w:vAlign w:val="center"/>
          </w:tcPr>
          <w:p>
            <w:pPr>
              <w:widowControl/>
              <w:spacing w:line="300" w:lineRule="exact"/>
              <w:rPr>
                <w:rFonts w:ascii="方正小标宋_GBK" w:hAnsi="方正小标宋_GBK" w:eastAsia="方正小标宋_GBK" w:cs="方正小标宋_GBK"/>
                <w:sz w:val="44"/>
                <w:szCs w:val="44"/>
              </w:rPr>
            </w:pPr>
          </w:p>
        </w:tc>
        <w:tc>
          <w:tcPr>
            <w:tcW w:w="1170" w:type="dxa"/>
            <w:vAlign w:val="center"/>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业务审查：投资股、社会股、城乡建设股、农业股、工业股等</w:t>
            </w:r>
          </w:p>
          <w:p>
            <w:pPr>
              <w:spacing w:line="300" w:lineRule="exact"/>
              <w:jc w:val="center"/>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rPr>
                <w:rFonts w:ascii="方正小标宋_GBK" w:hAnsi="方正小标宋_GBK" w:eastAsia="方正小标宋_GBK" w:cs="方正小标宋_GBK"/>
                <w:sz w:val="44"/>
                <w:szCs w:val="44"/>
              </w:rPr>
            </w:pPr>
          </w:p>
        </w:tc>
        <w:tc>
          <w:tcPr>
            <w:tcW w:w="1364" w:type="dxa"/>
            <w:vMerge w:val="continue"/>
            <w:vAlign w:val="center"/>
          </w:tcPr>
          <w:p>
            <w:pPr>
              <w:spacing w:line="300" w:lineRule="exact"/>
              <w:rPr>
                <w:rFonts w:ascii="方正小标宋_GBK" w:hAnsi="方正小标宋_GBK" w:eastAsia="方正小标宋_GBK" w:cs="方正小标宋_GBK"/>
                <w:sz w:val="44"/>
                <w:szCs w:val="44"/>
              </w:rPr>
            </w:pPr>
          </w:p>
        </w:tc>
        <w:tc>
          <w:tcPr>
            <w:tcW w:w="3525" w:type="dxa"/>
            <w:vMerge w:val="continue"/>
            <w:vAlign w:val="center"/>
          </w:tcPr>
          <w:p>
            <w:pPr>
              <w:spacing w:line="300" w:lineRule="exact"/>
              <w:rPr>
                <w:rFonts w:ascii="方正小标宋_GBK" w:hAnsi="方正小标宋_GBK" w:eastAsia="方正小标宋_GBK" w:cs="方正小标宋_GBK"/>
                <w:sz w:val="44"/>
                <w:szCs w:val="44"/>
              </w:rPr>
            </w:pPr>
          </w:p>
        </w:tc>
        <w:tc>
          <w:tcPr>
            <w:tcW w:w="825" w:type="dxa"/>
            <w:vMerge w:val="continue"/>
            <w:vAlign w:val="center"/>
          </w:tcPr>
          <w:p>
            <w:pPr>
              <w:spacing w:line="300" w:lineRule="exact"/>
              <w:jc w:val="center"/>
              <w:rPr>
                <w:rFonts w:ascii="方正小标宋_GBK" w:hAnsi="方正小标宋_GBK" w:eastAsia="方正小标宋_GBK" w:cs="方正小标宋_GBK"/>
                <w:sz w:val="44"/>
                <w:szCs w:val="44"/>
              </w:rPr>
            </w:pPr>
          </w:p>
        </w:tc>
        <w:tc>
          <w:tcPr>
            <w:tcW w:w="840" w:type="dxa"/>
            <w:vAlign w:val="center"/>
          </w:tcPr>
          <w:p>
            <w:pPr>
              <w:pStyle w:val="10"/>
              <w:widowControl/>
              <w:spacing w:beforeAutospacing="0" w:afterAutospacing="0" w:line="300" w:lineRule="exact"/>
              <w:jc w:val="center"/>
              <w:rPr>
                <w:rFonts w:ascii="仿宋_GB2312" w:hAnsi="仿宋_GB2312" w:eastAsia="仿宋_GB2312" w:cs="仿宋_GB2312"/>
                <w:spacing w:val="-11"/>
                <w:kern w:val="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制发文件</w:t>
            </w:r>
          </w:p>
        </w:tc>
        <w:tc>
          <w:tcPr>
            <w:tcW w:w="2130" w:type="dxa"/>
            <w:vAlign w:val="center"/>
          </w:tcPr>
          <w:p>
            <w:pPr>
              <w:pStyle w:val="10"/>
              <w:widowControl/>
              <w:spacing w:beforeAutospacing="0" w:afterAutospacing="0" w:line="300" w:lineRule="exact"/>
              <w:jc w:val="both"/>
              <w:rPr>
                <w:rFonts w:ascii="仿宋_GB2312" w:hAnsi="仿宋_GB2312" w:eastAsia="仿宋_GB2312" w:cs="仿宋_GB2312"/>
                <w:spacing w:val="-11"/>
                <w:kern w:val="2"/>
                <w:sz w:val="21"/>
                <w:szCs w:val="21"/>
                <w:shd w:val="clear" w:color="070000" w:fill="FFFFFF"/>
              </w:rPr>
            </w:pPr>
            <w:r>
              <w:rPr>
                <w:rFonts w:hint="eastAsia" w:ascii="仿宋_GB2312" w:hAnsi="仿宋_GB2312" w:eastAsia="仿宋_GB2312" w:cs="仿宋_GB2312"/>
                <w:spacing w:val="-11"/>
                <w:kern w:val="2"/>
                <w:sz w:val="21"/>
                <w:szCs w:val="21"/>
                <w:shd w:val="clear" w:color="070000" w:fill="FFFFFF"/>
              </w:rPr>
              <w:t>3.制发批准文书，可以公开的依法予以公开。</w:t>
            </w:r>
          </w:p>
        </w:tc>
        <w:tc>
          <w:tcPr>
            <w:tcW w:w="3585" w:type="dxa"/>
            <w:vMerge w:val="continue"/>
            <w:vAlign w:val="center"/>
          </w:tcPr>
          <w:p>
            <w:pPr>
              <w:spacing w:line="300" w:lineRule="exact"/>
              <w:rPr>
                <w:rFonts w:ascii="方正小标宋_GBK" w:hAnsi="方正小标宋_GBK" w:eastAsia="方正小标宋_GBK" w:cs="方正小标宋_GBK"/>
                <w:sz w:val="44"/>
                <w:szCs w:val="44"/>
              </w:rPr>
            </w:pP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364"/>
        <w:gridCol w:w="3525"/>
        <w:gridCol w:w="825"/>
        <w:gridCol w:w="840"/>
        <w:gridCol w:w="2130"/>
        <w:gridCol w:w="358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136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52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82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4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13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358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17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735" w:type="dxa"/>
            <w:vMerge w:val="restart"/>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2</w:t>
            </w:r>
          </w:p>
        </w:tc>
        <w:tc>
          <w:tcPr>
            <w:tcW w:w="1364" w:type="dxa"/>
            <w:vMerge w:val="restart"/>
            <w:vAlign w:val="center"/>
          </w:tcPr>
          <w:p>
            <w:pPr>
              <w:autoSpaceDN w:val="0"/>
              <w:spacing w:line="30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定价目录事项审批</w:t>
            </w:r>
          </w:p>
          <w:p>
            <w:pPr>
              <w:spacing w:line="300" w:lineRule="exact"/>
              <w:jc w:val="left"/>
              <w:rPr>
                <w:rFonts w:ascii="仿宋_GB2312" w:hAnsi="仿宋_GB2312" w:eastAsia="仿宋_GB2312" w:cs="仿宋_GB2312"/>
                <w:spacing w:val="-11"/>
                <w:szCs w:val="21"/>
                <w:shd w:val="clear" w:color="070000" w:fill="FFFFFF"/>
              </w:rPr>
            </w:pPr>
          </w:p>
        </w:tc>
        <w:tc>
          <w:tcPr>
            <w:tcW w:w="3525" w:type="dxa"/>
            <w:vMerge w:val="restart"/>
            <w:vAlign w:val="center"/>
          </w:tcPr>
          <w:p>
            <w:pPr>
              <w:autoSpaceDN w:val="0"/>
              <w:spacing w:line="300" w:lineRule="exact"/>
              <w:jc w:val="left"/>
              <w:textAlignment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《中华人民共和国价格法》第二十条第二款“省、自治区、直辖市人民政府价格主管部门和其他有关部门，应当按照地方定价目录规定的定价权限和具体适用范围制定在本地区执行的政府指导价、政府定价。”</w:t>
            </w:r>
          </w:p>
          <w:p>
            <w:pPr>
              <w:autoSpaceDN w:val="0"/>
              <w:spacing w:line="30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《河南省定价目录》省政府审核同意、国家发展改革委审定，（豫发改价调〔2018〕530号）。</w:t>
            </w:r>
          </w:p>
          <w:p>
            <w:pPr>
              <w:spacing w:line="300" w:lineRule="exact"/>
              <w:rPr>
                <w:rFonts w:ascii="仿宋_GB2312" w:hAnsi="仿宋_GB2312" w:eastAsia="仿宋_GB2312" w:cs="仿宋_GB2312"/>
                <w:spacing w:val="-11"/>
                <w:szCs w:val="21"/>
                <w:shd w:val="clear" w:color="070000" w:fill="FFFFFF"/>
              </w:rPr>
            </w:pPr>
          </w:p>
        </w:tc>
        <w:tc>
          <w:tcPr>
            <w:tcW w:w="825" w:type="dxa"/>
            <w:vMerge w:val="restart"/>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其他职权</w:t>
            </w:r>
          </w:p>
          <w:p>
            <w:pPr>
              <w:spacing w:line="300" w:lineRule="exact"/>
              <w:jc w:val="center"/>
              <w:rPr>
                <w:rFonts w:ascii="仿宋_GB2312" w:hAnsi="仿宋_GB2312" w:eastAsia="仿宋_GB2312" w:cs="仿宋_GB2312"/>
                <w:spacing w:val="-11"/>
                <w:szCs w:val="21"/>
                <w:shd w:val="clear" w:color="070000" w:fill="FFFFFF"/>
              </w:rPr>
            </w:pPr>
          </w:p>
        </w:tc>
        <w:tc>
          <w:tcPr>
            <w:tcW w:w="840"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受理</w:t>
            </w:r>
          </w:p>
        </w:tc>
        <w:tc>
          <w:tcPr>
            <w:tcW w:w="2130"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申报项目资料是否齐全</w:t>
            </w:r>
          </w:p>
        </w:tc>
        <w:tc>
          <w:tcPr>
            <w:tcW w:w="3585" w:type="dxa"/>
            <w:vMerge w:val="restart"/>
            <w:vAlign w:val="center"/>
          </w:tcPr>
          <w:p>
            <w:pPr>
              <w:widowControl/>
              <w:spacing w:line="300" w:lineRule="exact"/>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中华人民共和国价格法》第四十五条地方各级人民政府或者各级人民政府有关部门违反本法规定，超越定价权限和范围擅自制定、调整价格或者不执行法定的价格干预措施、紧急措施的，责令改正，并可以通报批评；对直接负责的主管人员和其他直接责任人员，依法给予行政处分。第四十六条价格工作人员泄露国家秘密、商业秘密以及滥用职权、徇私舞弊、玩忽职守、索贿受贿，构成犯罪的，依法追究刑事责任；尚不构成犯罪的，依法给予处分。</w:t>
            </w:r>
          </w:p>
          <w:p>
            <w:pPr>
              <w:widowControl/>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0" w:hRule="atLeast"/>
        </w:trPr>
        <w:tc>
          <w:tcPr>
            <w:tcW w:w="735" w:type="dxa"/>
            <w:vMerge w:val="continue"/>
            <w:vAlign w:val="center"/>
          </w:tcPr>
          <w:p>
            <w:pPr>
              <w:pStyle w:val="2"/>
              <w:jc w:val="center"/>
              <w:rPr>
                <w:rFonts w:ascii="方正小标宋_GBK" w:hAnsi="方正小标宋_GBK" w:eastAsia="方正小标宋_GBK" w:cs="方正小标宋_GBK"/>
                <w:sz w:val="44"/>
                <w:szCs w:val="44"/>
              </w:rPr>
            </w:pPr>
          </w:p>
        </w:tc>
        <w:tc>
          <w:tcPr>
            <w:tcW w:w="1364" w:type="dxa"/>
            <w:vMerge w:val="continue"/>
            <w:vAlign w:val="center"/>
          </w:tcPr>
          <w:p>
            <w:pPr>
              <w:spacing w:line="300" w:lineRule="exact"/>
              <w:jc w:val="left"/>
              <w:rPr>
                <w:rFonts w:ascii="仿宋_GB2312" w:hAnsi="仿宋_GB2312" w:eastAsia="仿宋_GB2312" w:cs="仿宋_GB2312"/>
                <w:spacing w:val="-11"/>
                <w:szCs w:val="21"/>
                <w:shd w:val="clear" w:color="070000" w:fill="FFFFFF"/>
              </w:rPr>
            </w:pPr>
          </w:p>
        </w:tc>
        <w:tc>
          <w:tcPr>
            <w:tcW w:w="3525"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825" w:type="dxa"/>
            <w:vMerge w:val="continue"/>
            <w:vAlign w:val="center"/>
          </w:tcPr>
          <w:p>
            <w:pPr>
              <w:spacing w:line="300" w:lineRule="exact"/>
              <w:jc w:val="center"/>
              <w:rPr>
                <w:rFonts w:ascii="仿宋_GB2312" w:hAnsi="仿宋_GB2312" w:eastAsia="仿宋_GB2312" w:cs="仿宋_GB2312"/>
                <w:spacing w:val="-11"/>
                <w:szCs w:val="21"/>
                <w:shd w:val="clear" w:color="070000" w:fill="FFFFFF"/>
              </w:rPr>
            </w:pPr>
          </w:p>
        </w:tc>
        <w:tc>
          <w:tcPr>
            <w:tcW w:w="840" w:type="dxa"/>
            <w:vMerge w:val="restart"/>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审核</w:t>
            </w:r>
          </w:p>
        </w:tc>
        <w:tc>
          <w:tcPr>
            <w:tcW w:w="2130"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成本监审或成本调查</w:t>
            </w:r>
          </w:p>
        </w:tc>
        <w:tc>
          <w:tcPr>
            <w:tcW w:w="3585" w:type="dxa"/>
            <w:vMerge w:val="continue"/>
            <w:vAlign w:val="center"/>
          </w:tcPr>
          <w:p>
            <w:pPr>
              <w:widowControl/>
              <w:spacing w:line="300" w:lineRule="exact"/>
              <w:rPr>
                <w:rFonts w:ascii="仿宋_GB2312" w:hAnsi="仿宋_GB2312" w:eastAsia="仿宋_GB2312" w:cs="仿宋_GB2312"/>
                <w:spacing w:val="-11"/>
                <w:szCs w:val="21"/>
                <w:shd w:val="clear" w:color="070000" w:fill="FFFFFF"/>
              </w:rPr>
            </w:pP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物价管理股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8" w:hRule="atLeast"/>
        </w:trPr>
        <w:tc>
          <w:tcPr>
            <w:tcW w:w="735" w:type="dxa"/>
            <w:vMerge w:val="continue"/>
            <w:vAlign w:val="center"/>
          </w:tcPr>
          <w:p>
            <w:pPr>
              <w:pStyle w:val="2"/>
              <w:jc w:val="center"/>
              <w:rPr>
                <w:rFonts w:ascii="方正小标宋_GBK" w:hAnsi="方正小标宋_GBK" w:eastAsia="方正小标宋_GBK" w:cs="方正小标宋_GBK"/>
                <w:sz w:val="44"/>
                <w:szCs w:val="44"/>
              </w:rPr>
            </w:pPr>
          </w:p>
        </w:tc>
        <w:tc>
          <w:tcPr>
            <w:tcW w:w="1364" w:type="dxa"/>
            <w:vMerge w:val="continue"/>
            <w:vAlign w:val="center"/>
          </w:tcPr>
          <w:p>
            <w:pPr>
              <w:spacing w:line="300" w:lineRule="exact"/>
              <w:jc w:val="left"/>
              <w:rPr>
                <w:rFonts w:ascii="仿宋_GB2312" w:hAnsi="仿宋_GB2312" w:eastAsia="仿宋_GB2312" w:cs="仿宋_GB2312"/>
                <w:spacing w:val="-11"/>
                <w:szCs w:val="21"/>
                <w:shd w:val="clear" w:color="070000" w:fill="FFFFFF"/>
              </w:rPr>
            </w:pPr>
          </w:p>
        </w:tc>
        <w:tc>
          <w:tcPr>
            <w:tcW w:w="3525" w:type="dxa"/>
            <w:vMerge w:val="continue"/>
            <w:vAlign w:val="center"/>
          </w:tcPr>
          <w:p>
            <w:pPr>
              <w:spacing w:line="300" w:lineRule="exact"/>
              <w:rPr>
                <w:rFonts w:ascii="仿宋_GB2312" w:hAnsi="仿宋_GB2312" w:eastAsia="仿宋_GB2312" w:cs="仿宋_GB2312"/>
                <w:spacing w:val="-11"/>
                <w:szCs w:val="21"/>
                <w:shd w:val="clear" w:color="070000" w:fill="FFFFFF"/>
              </w:rPr>
            </w:pPr>
          </w:p>
        </w:tc>
        <w:tc>
          <w:tcPr>
            <w:tcW w:w="825" w:type="dxa"/>
            <w:vMerge w:val="continue"/>
            <w:vAlign w:val="center"/>
          </w:tcPr>
          <w:p>
            <w:pPr>
              <w:spacing w:line="300" w:lineRule="exact"/>
              <w:jc w:val="center"/>
              <w:rPr>
                <w:rFonts w:ascii="仿宋_GB2312" w:hAnsi="仿宋_GB2312" w:eastAsia="仿宋_GB2312" w:cs="仿宋_GB2312"/>
                <w:spacing w:val="-11"/>
                <w:szCs w:val="21"/>
                <w:shd w:val="clear" w:color="070000" w:fill="FFFFFF"/>
              </w:rPr>
            </w:pPr>
          </w:p>
        </w:tc>
        <w:tc>
          <w:tcPr>
            <w:tcW w:w="840" w:type="dxa"/>
            <w:vMerge w:val="continue"/>
            <w:vAlign w:val="center"/>
          </w:tcPr>
          <w:p>
            <w:pPr>
              <w:pStyle w:val="10"/>
              <w:spacing w:beforeAutospacing="0" w:afterAutospacing="0" w:line="300" w:lineRule="exact"/>
              <w:jc w:val="center"/>
              <w:rPr>
                <w:rFonts w:ascii="仿宋_GB2312" w:hAnsi="仿宋_GB2312" w:eastAsia="仿宋_GB2312" w:cs="仿宋_GB2312"/>
                <w:spacing w:val="-11"/>
                <w:kern w:val="2"/>
                <w:sz w:val="21"/>
                <w:szCs w:val="21"/>
                <w:shd w:val="clear" w:color="070000" w:fill="FFFFFF"/>
              </w:rPr>
            </w:pPr>
          </w:p>
        </w:tc>
        <w:tc>
          <w:tcPr>
            <w:tcW w:w="2130"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价格调查、听取社会意见，形成制定价格方案和进行合法性审查等。</w:t>
            </w:r>
          </w:p>
        </w:tc>
        <w:tc>
          <w:tcPr>
            <w:tcW w:w="3585" w:type="dxa"/>
            <w:vMerge w:val="continue"/>
            <w:vAlign w:val="center"/>
          </w:tcPr>
          <w:p>
            <w:pPr>
              <w:widowControl/>
              <w:spacing w:line="300" w:lineRule="exact"/>
              <w:rPr>
                <w:rFonts w:ascii="仿宋_GB2312" w:hAnsi="仿宋_GB2312" w:eastAsia="仿宋_GB2312" w:cs="仿宋_GB2312"/>
                <w:spacing w:val="-11"/>
                <w:szCs w:val="21"/>
                <w:shd w:val="clear" w:color="070000" w:fill="FFFFFF"/>
              </w:rPr>
            </w:pPr>
          </w:p>
        </w:tc>
        <w:tc>
          <w:tcPr>
            <w:tcW w:w="1170"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物价管理股</w:t>
            </w:r>
          </w:p>
          <w:p>
            <w:pPr>
              <w:spacing w:line="300" w:lineRule="exact"/>
              <w:jc w:val="center"/>
              <w:rPr>
                <w:rFonts w:ascii="仿宋_GB2312" w:hAnsi="仿宋_GB2312" w:eastAsia="仿宋_GB2312" w:cs="仿宋_GB2312"/>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rPr>
                <w:rFonts w:ascii="方正小标宋_GBK" w:hAnsi="方正小标宋_GBK" w:eastAsia="方正小标宋_GBK" w:cs="方正小标宋_GBK"/>
                <w:sz w:val="44"/>
                <w:szCs w:val="44"/>
              </w:rPr>
            </w:pPr>
          </w:p>
        </w:tc>
        <w:tc>
          <w:tcPr>
            <w:tcW w:w="1364" w:type="dxa"/>
            <w:vMerge w:val="continue"/>
            <w:vAlign w:val="center"/>
          </w:tcPr>
          <w:p>
            <w:pPr>
              <w:spacing w:line="300" w:lineRule="exact"/>
              <w:rPr>
                <w:rFonts w:ascii="方正小标宋_GBK" w:hAnsi="方正小标宋_GBK" w:eastAsia="方正小标宋_GBK" w:cs="方正小标宋_GBK"/>
                <w:sz w:val="44"/>
                <w:szCs w:val="44"/>
              </w:rPr>
            </w:pPr>
          </w:p>
        </w:tc>
        <w:tc>
          <w:tcPr>
            <w:tcW w:w="3525" w:type="dxa"/>
            <w:vMerge w:val="continue"/>
            <w:vAlign w:val="center"/>
          </w:tcPr>
          <w:p>
            <w:pPr>
              <w:spacing w:line="300" w:lineRule="exact"/>
              <w:rPr>
                <w:rFonts w:ascii="方正小标宋_GBK" w:hAnsi="方正小标宋_GBK" w:eastAsia="方正小标宋_GBK" w:cs="方正小标宋_GBK"/>
                <w:sz w:val="44"/>
                <w:szCs w:val="44"/>
              </w:rPr>
            </w:pPr>
          </w:p>
        </w:tc>
        <w:tc>
          <w:tcPr>
            <w:tcW w:w="825" w:type="dxa"/>
            <w:vMerge w:val="continue"/>
            <w:vAlign w:val="center"/>
          </w:tcPr>
          <w:p>
            <w:pPr>
              <w:spacing w:line="300" w:lineRule="exact"/>
              <w:jc w:val="center"/>
              <w:rPr>
                <w:rFonts w:ascii="方正小标宋_GBK" w:hAnsi="方正小标宋_GBK" w:eastAsia="方正小标宋_GBK" w:cs="方正小标宋_GBK"/>
                <w:sz w:val="44"/>
                <w:szCs w:val="44"/>
              </w:rPr>
            </w:pPr>
          </w:p>
        </w:tc>
        <w:tc>
          <w:tcPr>
            <w:tcW w:w="84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决定</w:t>
            </w:r>
          </w:p>
        </w:tc>
        <w:tc>
          <w:tcPr>
            <w:tcW w:w="2130" w:type="dxa"/>
            <w:vAlign w:val="center"/>
          </w:tcPr>
          <w:p>
            <w:pPr>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提请集体审议，由主管领导同意作出制定价格的决定。</w:t>
            </w:r>
          </w:p>
        </w:tc>
        <w:tc>
          <w:tcPr>
            <w:tcW w:w="3585" w:type="dxa"/>
            <w:vMerge w:val="continue"/>
            <w:vAlign w:val="center"/>
          </w:tcPr>
          <w:p>
            <w:pPr>
              <w:widowControl/>
              <w:spacing w:line="300" w:lineRule="exact"/>
              <w:rPr>
                <w:rFonts w:ascii="方正小标宋_GBK" w:hAnsi="方正小标宋_GBK" w:eastAsia="方正小标宋_GBK" w:cs="方正小标宋_GBK"/>
                <w:sz w:val="44"/>
                <w:szCs w:val="44"/>
              </w:rPr>
            </w:pP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rPr>
                <w:rFonts w:ascii="方正小标宋_GBK" w:hAnsi="方正小标宋_GBK" w:eastAsia="方正小标宋_GBK" w:cs="方正小标宋_GBK"/>
                <w:sz w:val="44"/>
                <w:szCs w:val="44"/>
              </w:rPr>
            </w:pPr>
          </w:p>
        </w:tc>
        <w:tc>
          <w:tcPr>
            <w:tcW w:w="1364" w:type="dxa"/>
            <w:vMerge w:val="continue"/>
            <w:vAlign w:val="center"/>
          </w:tcPr>
          <w:p>
            <w:pPr>
              <w:spacing w:line="300" w:lineRule="exact"/>
              <w:rPr>
                <w:rFonts w:ascii="方正小标宋_GBK" w:hAnsi="方正小标宋_GBK" w:eastAsia="方正小标宋_GBK" w:cs="方正小标宋_GBK"/>
                <w:sz w:val="44"/>
                <w:szCs w:val="44"/>
              </w:rPr>
            </w:pPr>
          </w:p>
        </w:tc>
        <w:tc>
          <w:tcPr>
            <w:tcW w:w="3525" w:type="dxa"/>
            <w:vMerge w:val="continue"/>
            <w:vAlign w:val="center"/>
          </w:tcPr>
          <w:p>
            <w:pPr>
              <w:spacing w:line="300" w:lineRule="exact"/>
              <w:rPr>
                <w:rFonts w:ascii="方正小标宋_GBK" w:hAnsi="方正小标宋_GBK" w:eastAsia="方正小标宋_GBK" w:cs="方正小标宋_GBK"/>
                <w:sz w:val="44"/>
                <w:szCs w:val="44"/>
              </w:rPr>
            </w:pPr>
          </w:p>
        </w:tc>
        <w:tc>
          <w:tcPr>
            <w:tcW w:w="825" w:type="dxa"/>
            <w:vMerge w:val="continue"/>
            <w:vAlign w:val="center"/>
          </w:tcPr>
          <w:p>
            <w:pPr>
              <w:spacing w:line="300" w:lineRule="exact"/>
              <w:jc w:val="center"/>
              <w:rPr>
                <w:rFonts w:ascii="方正小标宋_GBK" w:hAnsi="方正小标宋_GBK" w:eastAsia="方正小标宋_GBK" w:cs="方正小标宋_GBK"/>
                <w:sz w:val="44"/>
                <w:szCs w:val="44"/>
              </w:rPr>
            </w:pPr>
          </w:p>
        </w:tc>
        <w:tc>
          <w:tcPr>
            <w:tcW w:w="840" w:type="dxa"/>
            <w:vAlign w:val="center"/>
          </w:tcPr>
          <w:p>
            <w:pPr>
              <w:widowControl/>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办结</w:t>
            </w:r>
          </w:p>
        </w:tc>
        <w:tc>
          <w:tcPr>
            <w:tcW w:w="2130" w:type="dxa"/>
            <w:vAlign w:val="center"/>
          </w:tcPr>
          <w:p>
            <w:pPr>
              <w:widowControl/>
              <w:spacing w:line="300" w:lineRule="exact"/>
              <w:jc w:val="left"/>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完成文件制定</w:t>
            </w:r>
          </w:p>
        </w:tc>
        <w:tc>
          <w:tcPr>
            <w:tcW w:w="3585" w:type="dxa"/>
            <w:vMerge w:val="continue"/>
            <w:vAlign w:val="center"/>
          </w:tcPr>
          <w:p>
            <w:pPr>
              <w:spacing w:line="300" w:lineRule="exact"/>
              <w:rPr>
                <w:rFonts w:ascii="方正小标宋_GBK" w:hAnsi="方正小标宋_GBK" w:eastAsia="方正小标宋_GBK" w:cs="方正小标宋_GBK"/>
                <w:sz w:val="44"/>
                <w:szCs w:val="44"/>
              </w:rPr>
            </w:pP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364"/>
        <w:gridCol w:w="3525"/>
        <w:gridCol w:w="825"/>
        <w:gridCol w:w="840"/>
        <w:gridCol w:w="2130"/>
        <w:gridCol w:w="358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136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352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82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4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213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3585"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17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4" w:hRule="atLeast"/>
        </w:trPr>
        <w:tc>
          <w:tcPr>
            <w:tcW w:w="735" w:type="dxa"/>
            <w:vAlign w:val="center"/>
          </w:tcPr>
          <w:p>
            <w:pPr>
              <w:pStyle w:val="2"/>
              <w:jc w:val="center"/>
              <w:rPr>
                <w:rFonts w:ascii="方正小标宋_GBK" w:hAnsi="方正小标宋_GBK" w:eastAsia="方正小标宋_GBK" w:cs="方正小标宋_GBK"/>
                <w:sz w:val="44"/>
                <w:szCs w:val="44"/>
              </w:rPr>
            </w:pPr>
            <w:r>
              <w:rPr>
                <w:rFonts w:hint="eastAsia" w:ascii="仿宋_GB2312" w:hAnsi="仿宋_GB2312" w:eastAsia="仿宋_GB2312" w:cs="仿宋_GB2312"/>
                <w:spacing w:val="-11"/>
                <w:szCs w:val="21"/>
                <w:shd w:val="clear" w:color="070000" w:fill="FFFFFF"/>
              </w:rPr>
              <w:t>3</w:t>
            </w:r>
          </w:p>
        </w:tc>
        <w:tc>
          <w:tcPr>
            <w:tcW w:w="1364" w:type="dxa"/>
            <w:vAlign w:val="center"/>
          </w:tcPr>
          <w:p>
            <w:pPr>
              <w:autoSpaceDN w:val="0"/>
              <w:spacing w:line="30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价格争议纠纷调解</w:t>
            </w:r>
          </w:p>
        </w:tc>
        <w:tc>
          <w:tcPr>
            <w:tcW w:w="3525" w:type="dxa"/>
            <w:vAlign w:val="center"/>
          </w:tcPr>
          <w:p>
            <w:pPr>
              <w:autoSpaceDN w:val="0"/>
              <w:spacing w:line="300" w:lineRule="exact"/>
              <w:jc w:val="left"/>
              <w:textAlignment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《中共中央 国务院关于推进价格机制改革的若干意见》（中发〔2015〕28号）第二十五条：“加强民生领域价格监管，做好价格争议纠纷调解处理，维护群众合法价格权益。”</w:t>
            </w:r>
          </w:p>
          <w:p>
            <w:pPr>
              <w:autoSpaceDN w:val="0"/>
              <w:spacing w:line="300" w:lineRule="exact"/>
              <w:jc w:val="left"/>
              <w:textAlignment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关于深入开展价格争议纠纷调解工作的意见》（法发〔2019〕32号）第二条第四款：价格争议纠纷是平等民事主体之间因商品或者服务价格产生的纠纷。主要涉及交通事故赔偿、消费者权益保障、医疗服务、物业服务、旅游餐饮服务、工程建设造价、农业生产资料、保险理赔等民生领域的价格争议纠纷。</w:t>
            </w:r>
          </w:p>
          <w:p>
            <w:pPr>
              <w:autoSpaceDN w:val="0"/>
              <w:spacing w:line="300" w:lineRule="exact"/>
              <w:jc w:val="left"/>
              <w:textAlignment w:val="center"/>
              <w:rPr>
                <w:rFonts w:ascii="仿宋_GB2312" w:hAnsi="仿宋_GB2312" w:eastAsia="仿宋_GB2312" w:cs="仿宋_GB2312"/>
                <w:kern w:val="0"/>
                <w:szCs w:val="21"/>
              </w:rPr>
            </w:pPr>
          </w:p>
        </w:tc>
        <w:tc>
          <w:tcPr>
            <w:tcW w:w="825" w:type="dxa"/>
            <w:vAlign w:val="center"/>
          </w:tcPr>
          <w:p>
            <w:pPr>
              <w:spacing w:line="300" w:lineRule="exact"/>
              <w:jc w:val="center"/>
              <w:rPr>
                <w:rFonts w:ascii="仿宋_GB2312" w:hAnsi="仿宋_GB2312" w:eastAsia="仿宋_GB2312" w:cs="仿宋_GB2312"/>
                <w:kern w:val="0"/>
                <w:szCs w:val="21"/>
              </w:rPr>
            </w:pPr>
            <w:r>
              <w:rPr>
                <w:rFonts w:hint="eastAsia" w:ascii="仿宋_GB2312" w:hAnsi="仿宋_GB2312" w:eastAsia="仿宋_GB2312" w:cs="仿宋_GB2312"/>
                <w:spacing w:val="-11"/>
                <w:szCs w:val="21"/>
                <w:shd w:val="clear" w:color="070000" w:fill="FFFFFF"/>
              </w:rPr>
              <w:t>其他职权</w:t>
            </w:r>
          </w:p>
        </w:tc>
        <w:tc>
          <w:tcPr>
            <w:tcW w:w="840" w:type="dxa"/>
            <w:vAlign w:val="center"/>
          </w:tcPr>
          <w:p>
            <w:pPr>
              <w:pStyle w:val="11"/>
              <w:widowControl/>
              <w:spacing w:beforeAutospacing="0" w:afterAutospacing="0" w:line="300" w:lineRule="exact"/>
              <w:jc w:val="center"/>
              <w:rPr>
                <w:rFonts w:ascii="仿宋_GB2312" w:hAnsi="仿宋_GB2312" w:eastAsia="仿宋_GB2312" w:cs="仿宋_GB2312"/>
                <w:spacing w:val="-11"/>
                <w:kern w:val="2"/>
                <w:sz w:val="21"/>
                <w:szCs w:val="21"/>
                <w:shd w:val="clear" w:color="070000" w:fill="FFFFFF"/>
              </w:rPr>
            </w:pPr>
          </w:p>
        </w:tc>
        <w:tc>
          <w:tcPr>
            <w:tcW w:w="2130" w:type="dxa"/>
            <w:vAlign w:val="center"/>
          </w:tcPr>
          <w:p>
            <w:pPr>
              <w:pStyle w:val="11"/>
              <w:widowControl/>
              <w:tabs>
                <w:tab w:val="left" w:pos="671"/>
              </w:tabs>
              <w:spacing w:beforeAutospacing="0" w:afterAutospacing="0" w:line="300" w:lineRule="exact"/>
              <w:rPr>
                <w:rFonts w:ascii="仿宋_GB2312" w:hAnsi="仿宋_GB2312" w:eastAsia="仿宋_GB2312" w:cs="仿宋_GB2312"/>
                <w:spacing w:val="-11"/>
                <w:kern w:val="2"/>
                <w:sz w:val="21"/>
                <w:szCs w:val="21"/>
                <w:shd w:val="clear" w:color="070000" w:fill="FFFFFF"/>
              </w:rPr>
            </w:pPr>
            <w:r>
              <w:rPr>
                <w:rFonts w:hint="eastAsia" w:ascii="仿宋_GB2312" w:hAnsi="仿宋_GB2312" w:eastAsia="仿宋_GB2312" w:cs="仿宋_GB2312"/>
                <w:spacing w:val="-11"/>
                <w:sz w:val="21"/>
                <w:szCs w:val="21"/>
                <w:shd w:val="clear" w:color="070000" w:fill="FFFFFF"/>
              </w:rPr>
              <w:t>河南省未出台相关细则，此项工作暂未开展。</w:t>
            </w:r>
          </w:p>
        </w:tc>
        <w:tc>
          <w:tcPr>
            <w:tcW w:w="3585" w:type="dxa"/>
            <w:vAlign w:val="center"/>
          </w:tcPr>
          <w:p>
            <w:pPr>
              <w:widowControl/>
              <w:spacing w:line="30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无</w:t>
            </w:r>
          </w:p>
        </w:tc>
        <w:tc>
          <w:tcPr>
            <w:tcW w:w="1170" w:type="dxa"/>
            <w:vAlign w:val="center"/>
          </w:tcPr>
          <w:p>
            <w:pPr>
              <w:spacing w:line="300" w:lineRule="exact"/>
              <w:jc w:val="center"/>
              <w:rPr>
                <w:rFonts w:ascii="仿宋_GB2312" w:hAnsi="仿宋_GB2312" w:eastAsia="仿宋_GB2312" w:cs="仿宋_GB2312"/>
                <w:spacing w:val="-11"/>
                <w:szCs w:val="21"/>
                <w:shd w:val="clear" w:color="070000" w:fill="FFFFFF"/>
              </w:rPr>
            </w:pPr>
            <w:r>
              <w:rPr>
                <w:rFonts w:hint="eastAsia" w:ascii="仿宋_GB2312" w:hAnsi="仿宋_GB2312" w:eastAsia="仿宋_GB2312" w:cs="仿宋_GB2312"/>
                <w:spacing w:val="-11"/>
                <w:szCs w:val="21"/>
                <w:shd w:val="clear" w:color="070000" w:fill="FFFFFF"/>
              </w:rPr>
              <w:t>价格认定中心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174" w:type="dxa"/>
            <w:gridSpan w:val="8"/>
            <w:vAlign w:val="center"/>
          </w:tcPr>
          <w:p>
            <w:pPr>
              <w:spacing w:line="300" w:lineRule="exact"/>
              <w:rPr>
                <w:rFonts w:ascii="仿宋_GB2312" w:hAnsi="仿宋_GB2312" w:eastAsia="仿宋_GB2312" w:cs="仿宋_GB2312"/>
                <w:kern w:val="0"/>
                <w:szCs w:val="21"/>
              </w:rPr>
            </w:pPr>
            <w:r>
              <w:rPr>
                <w:rFonts w:hint="eastAsia" w:ascii="仿宋_GB2312" w:hAnsi="仿宋_GB2312" w:eastAsia="仿宋_GB2312" w:cs="仿宋_GB2312"/>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Cs w:val="21"/>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1067"/>
        <w:gridCol w:w="4967"/>
        <w:gridCol w:w="750"/>
        <w:gridCol w:w="766"/>
        <w:gridCol w:w="1934"/>
        <w:gridCol w:w="360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4"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106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496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7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766"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36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54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4</w:t>
            </w:r>
          </w:p>
        </w:tc>
        <w:tc>
          <w:tcPr>
            <w:tcW w:w="1067"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农村电网改造升级中央预算内投资工程验收</w:t>
            </w:r>
          </w:p>
          <w:p>
            <w:pPr>
              <w:pStyle w:val="2"/>
              <w:jc w:val="left"/>
              <w:rPr>
                <w:rFonts w:ascii="仿宋" w:hAnsi="仿宋" w:eastAsia="仿宋" w:cs="仿宋"/>
                <w:spacing w:val="-11"/>
                <w:szCs w:val="21"/>
                <w:shd w:val="clear" w:color="070000" w:fill="FFFFFF"/>
              </w:rPr>
            </w:pPr>
          </w:p>
        </w:tc>
        <w:tc>
          <w:tcPr>
            <w:tcW w:w="4967"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国家能源局关于印发〈农村电网改造升级工程验收指南〉的通知，（国能综新能〔2010〕2520号）附件第一条，第一，二、三款：“农网改造升级工程验收，原则上按照工程实施年度组织年度验收，必要时可对连续2年年度工程组织一次性验收。 项目法人负责组织单项工程的验收，完成全部单项工程验收后编制单项工程验收报告，报省级发展改革委、能源局备案。 省级发展改革委、能源局收到单项工程总体验收报告后，应及时组织农网改造升级总体工程验收，并对农网改造升级投资计划和执行情况进行总结。”</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国家发展改革委办公厅关于印发〈新一轮农村电网改造升级项目管理办法〉的通知》（发改办能源〔2016〕671号）附件第四十条“农网改造升级工程项目完工后，省级发展改革委应及时组织对本省级区域内农网改造升级项目进行总体竣工验收，验收报告应报国家发展改革委备案。项目法人负责单项工程的验收，验收报告报省级发展改革委备案。”</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国家能源局、财政部、农业部关于印发绿色能源示范县建设管理办法的通知》（国能新能〔2011〕2164号）附件第18条：“示范县项目全部建成后，由省级能源主管部门会同财政、农业主管部门依据批复的实施方案及有关文件规定，对示范县进行验收，验收报告报国家能源局、财政部和农业部。”按省发改委安排开展工作。</w:t>
            </w:r>
          </w:p>
          <w:p>
            <w:pPr>
              <w:pStyle w:val="2"/>
              <w:jc w:val="left"/>
              <w:rPr>
                <w:rFonts w:ascii="仿宋" w:hAnsi="仿宋" w:eastAsia="仿宋" w:cs="仿宋"/>
                <w:spacing w:val="-11"/>
                <w:szCs w:val="21"/>
                <w:shd w:val="clear" w:color="070000" w:fill="FFFFFF"/>
              </w:rPr>
            </w:pPr>
          </w:p>
        </w:tc>
        <w:tc>
          <w:tcPr>
            <w:tcW w:w="75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766"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34"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1.依法依规对法人资料进行梳理，要件不全或不符要求的要求补正，并结合行业发展规划，做出受理或不予受理的决定。</w:t>
            </w:r>
          </w:p>
        </w:tc>
        <w:tc>
          <w:tcPr>
            <w:tcW w:w="36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《国家发展改革委办公厅关于印发〈新一轮农村电网改造升级项目管理办法〉的通知》（发改办能源〔2016〕671号）附件第四十七条 省级发展改革委或项目法人有下列行为之一的，国家发展改革委可根据情节轻重作出责令限期整改，通报批评，暂停项目建设，核减、收回或停止中央投资，并可视情节轻重提请或移交有关机关依法追究有关责任单位和责任人的行政或法律责任：（一）提供虚假资料和情况，骗取中央投资的；（二）违反程序未按要求完成项目前期工作的，项目可研编制和审查、项目初步设计存在较大问题的；（三）挪用、截留或滞留中央投资的，以及农网改造升级资金未专项存储、专款专用、专项核算、封闭运行的；（四）违规调整变更投资计划和项目，以及调整变更比较大的； （五）无正当理由未及时建设实施或竣工完成的，以及工程质量不合格等； 14 （六）其他违反国家法律法规和本办法规定的行为。</w:t>
            </w:r>
          </w:p>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1" w:hRule="atLeast"/>
        </w:trPr>
        <w:tc>
          <w:tcPr>
            <w:tcW w:w="544" w:type="dxa"/>
            <w:vMerge w:val="continue"/>
            <w:vAlign w:val="center"/>
          </w:tcPr>
          <w:p>
            <w:pPr>
              <w:pStyle w:val="2"/>
              <w:jc w:val="left"/>
              <w:rPr>
                <w:rFonts w:ascii="仿宋" w:hAnsi="仿宋" w:eastAsia="仿宋" w:cs="仿宋"/>
                <w:spacing w:val="-11"/>
                <w:szCs w:val="21"/>
                <w:shd w:val="clear" w:color="070000" w:fill="FFFFFF"/>
              </w:rPr>
            </w:pPr>
          </w:p>
        </w:tc>
        <w:tc>
          <w:tcPr>
            <w:tcW w:w="1067" w:type="dxa"/>
            <w:vMerge w:val="continue"/>
            <w:vAlign w:val="center"/>
          </w:tcPr>
          <w:p>
            <w:pPr>
              <w:pStyle w:val="2"/>
              <w:jc w:val="left"/>
              <w:rPr>
                <w:rFonts w:ascii="仿宋" w:hAnsi="仿宋" w:eastAsia="仿宋" w:cs="仿宋"/>
                <w:spacing w:val="-11"/>
                <w:szCs w:val="21"/>
                <w:shd w:val="clear" w:color="070000" w:fill="FFFFFF"/>
              </w:rPr>
            </w:pPr>
          </w:p>
        </w:tc>
        <w:tc>
          <w:tcPr>
            <w:tcW w:w="4967" w:type="dxa"/>
            <w:vMerge w:val="continue"/>
            <w:vAlign w:val="center"/>
          </w:tcPr>
          <w:p>
            <w:pPr>
              <w:pStyle w:val="2"/>
              <w:jc w:val="left"/>
              <w:rPr>
                <w:rFonts w:ascii="仿宋" w:hAnsi="仿宋" w:eastAsia="仿宋" w:cs="仿宋"/>
                <w:spacing w:val="-11"/>
                <w:szCs w:val="21"/>
                <w:shd w:val="clear" w:color="070000" w:fill="FFFFFF"/>
              </w:rPr>
            </w:pPr>
          </w:p>
        </w:tc>
        <w:tc>
          <w:tcPr>
            <w:tcW w:w="750" w:type="dxa"/>
            <w:vMerge w:val="continue"/>
            <w:vAlign w:val="center"/>
          </w:tcPr>
          <w:p>
            <w:pPr>
              <w:pStyle w:val="2"/>
              <w:jc w:val="left"/>
              <w:rPr>
                <w:rFonts w:ascii="仿宋" w:hAnsi="仿宋" w:eastAsia="仿宋" w:cs="仿宋"/>
                <w:spacing w:val="-11"/>
                <w:szCs w:val="21"/>
                <w:shd w:val="clear" w:color="070000" w:fill="FFFFFF"/>
              </w:rPr>
            </w:pPr>
          </w:p>
        </w:tc>
        <w:tc>
          <w:tcPr>
            <w:tcW w:w="766"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审查</w:t>
            </w:r>
          </w:p>
        </w:tc>
        <w:tc>
          <w:tcPr>
            <w:tcW w:w="1934"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2.审查责任：根据省发改委批次验收的相关要求，对年度农网改造建设材料初步审查。</w:t>
            </w:r>
          </w:p>
          <w:p>
            <w:pPr>
              <w:pStyle w:val="2"/>
              <w:jc w:val="left"/>
              <w:rPr>
                <w:rFonts w:ascii="仿宋" w:hAnsi="仿宋" w:eastAsia="仿宋" w:cs="仿宋"/>
                <w:spacing w:val="-11"/>
                <w:szCs w:val="21"/>
                <w:shd w:val="clear" w:color="070000" w:fill="FFFFFF"/>
              </w:rPr>
            </w:pPr>
          </w:p>
        </w:tc>
        <w:tc>
          <w:tcPr>
            <w:tcW w:w="3600" w:type="dxa"/>
            <w:vMerge w:val="continue"/>
            <w:vAlign w:val="center"/>
          </w:tcPr>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544" w:type="dxa"/>
            <w:vMerge w:val="continue"/>
          </w:tcPr>
          <w:p>
            <w:pPr>
              <w:pStyle w:val="2"/>
              <w:jc w:val="left"/>
              <w:rPr>
                <w:rFonts w:ascii="仿宋" w:hAnsi="仿宋" w:eastAsia="仿宋" w:cs="仿宋"/>
                <w:spacing w:val="-11"/>
                <w:szCs w:val="21"/>
                <w:shd w:val="clear" w:color="070000" w:fill="FFFFFF"/>
              </w:rPr>
            </w:pPr>
          </w:p>
        </w:tc>
        <w:tc>
          <w:tcPr>
            <w:tcW w:w="1067" w:type="dxa"/>
            <w:vMerge w:val="continue"/>
            <w:vAlign w:val="center"/>
          </w:tcPr>
          <w:p>
            <w:pPr>
              <w:pStyle w:val="2"/>
              <w:jc w:val="left"/>
              <w:rPr>
                <w:rFonts w:ascii="仿宋" w:hAnsi="仿宋" w:eastAsia="仿宋" w:cs="仿宋"/>
                <w:spacing w:val="-11"/>
                <w:szCs w:val="21"/>
                <w:shd w:val="clear" w:color="070000" w:fill="FFFFFF"/>
              </w:rPr>
            </w:pPr>
          </w:p>
        </w:tc>
        <w:tc>
          <w:tcPr>
            <w:tcW w:w="4967" w:type="dxa"/>
            <w:vMerge w:val="continue"/>
            <w:vAlign w:val="center"/>
          </w:tcPr>
          <w:p>
            <w:pPr>
              <w:pStyle w:val="2"/>
              <w:jc w:val="left"/>
              <w:rPr>
                <w:rFonts w:ascii="仿宋" w:hAnsi="仿宋" w:eastAsia="仿宋" w:cs="仿宋"/>
                <w:spacing w:val="-11"/>
                <w:szCs w:val="21"/>
                <w:shd w:val="clear" w:color="070000" w:fill="FFFFFF"/>
              </w:rPr>
            </w:pPr>
          </w:p>
        </w:tc>
        <w:tc>
          <w:tcPr>
            <w:tcW w:w="750" w:type="dxa"/>
            <w:vMerge w:val="continue"/>
            <w:vAlign w:val="center"/>
          </w:tcPr>
          <w:p>
            <w:pPr>
              <w:pStyle w:val="2"/>
              <w:jc w:val="left"/>
              <w:rPr>
                <w:rFonts w:ascii="仿宋" w:hAnsi="仿宋" w:eastAsia="仿宋" w:cs="仿宋"/>
                <w:spacing w:val="-11"/>
                <w:szCs w:val="21"/>
                <w:shd w:val="clear" w:color="070000" w:fill="FFFFFF"/>
              </w:rPr>
            </w:pPr>
          </w:p>
        </w:tc>
        <w:tc>
          <w:tcPr>
            <w:tcW w:w="766"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验收</w:t>
            </w:r>
          </w:p>
        </w:tc>
        <w:tc>
          <w:tcPr>
            <w:tcW w:w="1934"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3.验收责任：按要求组织相关部门专家实地查验工程质量及相关资料。</w:t>
            </w:r>
          </w:p>
        </w:tc>
        <w:tc>
          <w:tcPr>
            <w:tcW w:w="3600" w:type="dxa"/>
            <w:vMerge w:val="continue"/>
            <w:vAlign w:val="center"/>
          </w:tcPr>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0" w:hRule="atLeast"/>
        </w:trPr>
        <w:tc>
          <w:tcPr>
            <w:tcW w:w="544" w:type="dxa"/>
            <w:vMerge w:val="continue"/>
          </w:tcPr>
          <w:p>
            <w:pPr>
              <w:pStyle w:val="2"/>
              <w:jc w:val="left"/>
              <w:rPr>
                <w:rFonts w:ascii="仿宋" w:hAnsi="仿宋" w:eastAsia="仿宋" w:cs="仿宋"/>
                <w:spacing w:val="-11"/>
                <w:szCs w:val="21"/>
                <w:shd w:val="clear" w:color="070000" w:fill="FFFFFF"/>
              </w:rPr>
            </w:pPr>
          </w:p>
        </w:tc>
        <w:tc>
          <w:tcPr>
            <w:tcW w:w="1067" w:type="dxa"/>
            <w:vMerge w:val="continue"/>
            <w:vAlign w:val="center"/>
          </w:tcPr>
          <w:p>
            <w:pPr>
              <w:pStyle w:val="2"/>
              <w:jc w:val="left"/>
              <w:rPr>
                <w:rFonts w:ascii="仿宋" w:hAnsi="仿宋" w:eastAsia="仿宋" w:cs="仿宋"/>
                <w:spacing w:val="-11"/>
                <w:szCs w:val="21"/>
                <w:shd w:val="clear" w:color="070000" w:fill="FFFFFF"/>
              </w:rPr>
            </w:pPr>
          </w:p>
        </w:tc>
        <w:tc>
          <w:tcPr>
            <w:tcW w:w="4967" w:type="dxa"/>
            <w:vMerge w:val="continue"/>
            <w:vAlign w:val="center"/>
          </w:tcPr>
          <w:p>
            <w:pPr>
              <w:pStyle w:val="2"/>
              <w:jc w:val="left"/>
              <w:rPr>
                <w:rFonts w:ascii="仿宋" w:hAnsi="仿宋" w:eastAsia="仿宋" w:cs="仿宋"/>
                <w:spacing w:val="-11"/>
                <w:szCs w:val="21"/>
                <w:shd w:val="clear" w:color="070000" w:fill="FFFFFF"/>
              </w:rPr>
            </w:pPr>
          </w:p>
        </w:tc>
        <w:tc>
          <w:tcPr>
            <w:tcW w:w="750" w:type="dxa"/>
            <w:vMerge w:val="continue"/>
            <w:vAlign w:val="center"/>
          </w:tcPr>
          <w:p>
            <w:pPr>
              <w:pStyle w:val="2"/>
              <w:jc w:val="left"/>
              <w:rPr>
                <w:rFonts w:ascii="仿宋" w:hAnsi="仿宋" w:eastAsia="仿宋" w:cs="仿宋"/>
                <w:spacing w:val="-11"/>
                <w:szCs w:val="21"/>
                <w:shd w:val="clear" w:color="070000" w:fill="FFFFFF"/>
              </w:rPr>
            </w:pPr>
          </w:p>
        </w:tc>
        <w:tc>
          <w:tcPr>
            <w:tcW w:w="766"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报备</w:t>
            </w:r>
          </w:p>
        </w:tc>
        <w:tc>
          <w:tcPr>
            <w:tcW w:w="1934"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4.报备责任：验收后及时将验收情况上报省发改委。</w:t>
            </w:r>
          </w:p>
        </w:tc>
        <w:tc>
          <w:tcPr>
            <w:tcW w:w="3600" w:type="dxa"/>
            <w:vMerge w:val="continue"/>
            <w:vAlign w:val="center"/>
          </w:tcPr>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tbl>
      <w:tblPr>
        <w:tblStyle w:val="9"/>
        <w:tblpPr w:leftFromText="180" w:rightFromText="180" w:vertAnchor="text" w:horzAnchor="page" w:tblpX="1281" w:tblpY="68"/>
        <w:tblOverlap w:val="never"/>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584"/>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58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5</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创业投资企业备案</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中共南阳市委机构编制委员会关于印发《南阳市放权赋能改革工作方案》的通知宛编〔2021〕83号，创业投资企业备案，县（区）政府可直接管理。</w:t>
            </w:r>
          </w:p>
          <w:p>
            <w:pPr>
              <w:pStyle w:val="2"/>
              <w:jc w:val="left"/>
              <w:rPr>
                <w:rFonts w:ascii="仿宋" w:hAnsi="仿宋" w:eastAsia="仿宋" w:cs="仿宋"/>
                <w:spacing w:val="-11"/>
                <w:szCs w:val="21"/>
                <w:shd w:val="clear" w:color="070000" w:fill="FFFFFF"/>
              </w:rPr>
            </w:pP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p>
            <w:pPr>
              <w:pStyle w:val="2"/>
              <w:jc w:val="left"/>
              <w:rPr>
                <w:rFonts w:ascii="仿宋" w:hAnsi="仿宋" w:eastAsia="仿宋" w:cs="仿宋"/>
                <w:spacing w:val="-11"/>
                <w:szCs w:val="21"/>
                <w:shd w:val="clear" w:color="070000" w:fill="FFFFFF"/>
              </w:rPr>
            </w:pPr>
          </w:p>
          <w:p>
            <w:pPr>
              <w:pStyle w:val="2"/>
              <w:jc w:val="left"/>
              <w:rPr>
                <w:rFonts w:ascii="仿宋" w:hAnsi="仿宋" w:eastAsia="仿宋" w:cs="仿宋"/>
                <w:spacing w:val="-11"/>
                <w:szCs w:val="21"/>
                <w:shd w:val="clear" w:color="070000" w:fill="FFFFFF"/>
              </w:rPr>
            </w:pP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1.受理责任：一次性告知项目单位补正信息；依法受理或不予受理（不予受理应当告知理由）。                                      </w:t>
            </w:r>
          </w:p>
          <w:p>
            <w:pPr>
              <w:pStyle w:val="2"/>
              <w:jc w:val="left"/>
              <w:rPr>
                <w:rFonts w:ascii="仿宋" w:hAnsi="仿宋" w:eastAsia="仿宋" w:cs="仿宋"/>
                <w:spacing w:val="-11"/>
                <w:szCs w:val="21"/>
                <w:shd w:val="clear" w:color="070000" w:fill="FFFFFF"/>
              </w:rPr>
            </w:pPr>
          </w:p>
        </w:tc>
        <w:tc>
          <w:tcPr>
            <w:tcW w:w="558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第五十二条　项目核准、备案机关有下列情形之一的，由其上级行政机关责令改正，对负有责任的领导人员和直接责任人员由有关单位和部门依纪依法给予处分：</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一）超越法定职权予以核准或备案的；（二）对不符合法定条件的项目予以核准的；（三）对符合法定条件的项目不予核准的；（四）擅自增减核准审查条件的，或者以备案名义变相审批、核准的；（五）不在法定期限内作出核准决定的；（六）不依法履行监管职责或者监督不力，造成严重后果的。</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第五十三条　项目核准、备案机关及其工作人员，以及其他相关部门及其工作人员，在项目核准、备案以及相关审批手续办理过程中玩忽职守、滥用职权、徇私舞弊、索贿受贿的，对负有责任的领导人员和直接责任人员依法给予处分；构成犯罪的，依法追究刑事责任。</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第五十四条　项目核准、备案机关，以及国土（海洋）资源、城乡规划、水行政管理、环境保护、节能审查、安全监管、建设等部门违反相关法律法规规定，未依法履行监管职责的，对直接负责的主管人员和其他直接责任人员，依法给予处分；构成犯罪的，依法追究刑事责任。</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项目所在地的地方政府有关部门不履行企业投资监管职责的，对直接负责的主管人员和其他直接责任人员，依法给予处分。</w:t>
            </w:r>
          </w:p>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1"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p>
            <w:pPr>
              <w:pStyle w:val="2"/>
              <w:jc w:val="left"/>
              <w:rPr>
                <w:rFonts w:ascii="仿宋" w:hAnsi="仿宋" w:eastAsia="仿宋" w:cs="仿宋"/>
                <w:spacing w:val="-11"/>
                <w:szCs w:val="21"/>
                <w:shd w:val="clear" w:color="070000" w:fill="FFFFFF"/>
              </w:rPr>
            </w:pPr>
          </w:p>
          <w:p>
            <w:pPr>
              <w:pStyle w:val="2"/>
              <w:jc w:val="left"/>
              <w:rPr>
                <w:rFonts w:ascii="仿宋" w:hAnsi="仿宋" w:eastAsia="仿宋" w:cs="仿宋"/>
                <w:spacing w:val="-11"/>
                <w:szCs w:val="21"/>
                <w:shd w:val="clear" w:color="070000" w:fill="FFFFFF"/>
              </w:rPr>
            </w:pP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2.审核责任：相关业务科室提出审核意见。</w:t>
            </w:r>
          </w:p>
          <w:p>
            <w:pPr>
              <w:pStyle w:val="2"/>
              <w:jc w:val="left"/>
              <w:rPr>
                <w:rFonts w:ascii="仿宋" w:hAnsi="仿宋" w:eastAsia="仿宋" w:cs="仿宋"/>
                <w:spacing w:val="-11"/>
                <w:szCs w:val="21"/>
                <w:shd w:val="clear" w:color="070000" w:fill="FFFFFF"/>
              </w:rPr>
            </w:pPr>
          </w:p>
        </w:tc>
        <w:tc>
          <w:tcPr>
            <w:tcW w:w="5584" w:type="dxa"/>
            <w:vMerge w:val="continue"/>
            <w:vAlign w:val="center"/>
          </w:tcPr>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投资股、社会股、城乡建设股、农业股、工业股等</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决定</w:t>
            </w:r>
          </w:p>
          <w:p>
            <w:pPr>
              <w:pStyle w:val="2"/>
              <w:jc w:val="left"/>
              <w:rPr>
                <w:rFonts w:ascii="仿宋" w:hAnsi="仿宋" w:eastAsia="仿宋" w:cs="仿宋"/>
                <w:spacing w:val="-11"/>
                <w:szCs w:val="21"/>
                <w:shd w:val="clear" w:color="070000" w:fill="FFFFFF"/>
              </w:rPr>
            </w:pP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3.决定责任：作出决定（不予批准的应当告知理由）。</w:t>
            </w:r>
          </w:p>
          <w:p>
            <w:pPr>
              <w:pStyle w:val="2"/>
              <w:jc w:val="left"/>
              <w:rPr>
                <w:rFonts w:ascii="仿宋" w:hAnsi="仿宋" w:eastAsia="仿宋" w:cs="仿宋"/>
                <w:spacing w:val="-11"/>
                <w:szCs w:val="21"/>
                <w:shd w:val="clear" w:color="070000" w:fill="FFFFFF"/>
              </w:rPr>
            </w:pPr>
          </w:p>
        </w:tc>
        <w:tc>
          <w:tcPr>
            <w:tcW w:w="5584" w:type="dxa"/>
            <w:vMerge w:val="continue"/>
            <w:vAlign w:val="center"/>
          </w:tcPr>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                                                                      </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送达</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4.送达责任：出具盖章备案证明；信息公开。</w:t>
            </w:r>
          </w:p>
        </w:tc>
        <w:tc>
          <w:tcPr>
            <w:tcW w:w="5584" w:type="dxa"/>
            <w:vMerge w:val="continue"/>
            <w:vAlign w:val="center"/>
          </w:tcPr>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Cs w:val="21"/>
        </w:rPr>
      </w:pPr>
    </w:p>
    <w:p>
      <w:pPr>
        <w:rPr>
          <w:rFonts w:ascii="方正小标宋_GBK" w:hAnsi="方正小标宋_GBK" w:eastAsia="方正小标宋_GBK" w:cs="方正小标宋_GBK"/>
          <w:szCs w:val="21"/>
        </w:rPr>
      </w:pPr>
    </w:p>
    <w:p>
      <w:pPr>
        <w:rPr>
          <w:rFonts w:ascii="方正小标宋_GBK" w:hAnsi="方正小标宋_GBK" w:eastAsia="方正小标宋_GBK" w:cs="方正小标宋_GBK"/>
          <w:sz w:val="18"/>
          <w:szCs w:val="18"/>
        </w:rPr>
      </w:pPr>
    </w:p>
    <w:tbl>
      <w:tblPr>
        <w:tblStyle w:val="9"/>
        <w:tblpPr w:leftFromText="180" w:rightFromText="180" w:vertAnchor="text" w:horzAnchor="page" w:tblpX="1176" w:tblpY="338"/>
        <w:tblOverlap w:val="never"/>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584"/>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58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8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6</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企业投资项目备案</w:t>
            </w:r>
          </w:p>
        </w:tc>
        <w:tc>
          <w:tcPr>
            <w:tcW w:w="2400" w:type="dxa"/>
            <w:vMerge w:val="restart"/>
            <w:vAlign w:val="center"/>
          </w:tcPr>
          <w:p>
            <w:pPr>
              <w:pStyle w:val="5"/>
              <w:widowControl/>
              <w:shd w:val="clear" w:color="auto" w:fill="FFFFFF"/>
              <w:spacing w:beforeAutospacing="0" w:afterAutospacing="0" w:line="540" w:lineRule="atLeast"/>
              <w:textAlignment w:val="top"/>
              <w:rPr>
                <w:rFonts w:ascii="仿宋" w:hAnsi="仿宋" w:eastAsia="仿宋" w:cs="仿宋"/>
                <w:spacing w:val="-11"/>
                <w:kern w:val="2"/>
                <w:sz w:val="21"/>
                <w:szCs w:val="21"/>
                <w:shd w:val="clear" w:color="070000" w:fill="FFFFFF"/>
                <w:lang w:bidi="ar-SA"/>
              </w:rPr>
            </w:pPr>
            <w:r>
              <w:rPr>
                <w:rFonts w:hint="eastAsia" w:ascii="仿宋" w:hAnsi="仿宋" w:eastAsia="仿宋" w:cs="仿宋"/>
                <w:spacing w:val="-11"/>
                <w:kern w:val="2"/>
                <w:sz w:val="21"/>
                <w:szCs w:val="21"/>
                <w:shd w:val="clear" w:color="070000" w:fill="FFFFFF"/>
                <w:lang w:bidi="ar-SA"/>
              </w:rPr>
              <w:t>《企业投资项目核准和备案管理办法》第三条　县级以上政府发展改革部门为本级政府投资主管部门，对项目履行综合管理职责。</w:t>
            </w:r>
          </w:p>
          <w:p>
            <w:pPr>
              <w:pStyle w:val="5"/>
              <w:widowControl/>
              <w:shd w:val="clear" w:color="auto" w:fill="FFFFFF"/>
              <w:spacing w:beforeAutospacing="0" w:afterAutospacing="0" w:line="540" w:lineRule="atLeast"/>
              <w:textAlignment w:val="top"/>
              <w:rPr>
                <w:rFonts w:ascii="仿宋" w:hAnsi="仿宋" w:eastAsia="仿宋" w:cs="仿宋"/>
                <w:spacing w:val="-11"/>
                <w:kern w:val="2"/>
                <w:sz w:val="21"/>
                <w:szCs w:val="21"/>
                <w:shd w:val="clear" w:color="070000" w:fill="FFFFFF"/>
                <w:lang w:bidi="ar-SA"/>
              </w:rPr>
            </w:pPr>
            <w:r>
              <w:rPr>
                <w:rFonts w:hint="eastAsia" w:ascii="仿宋" w:hAnsi="仿宋" w:eastAsia="仿宋" w:cs="仿宋"/>
                <w:spacing w:val="-11"/>
                <w:kern w:val="2"/>
                <w:sz w:val="21"/>
                <w:szCs w:val="21"/>
                <w:shd w:val="clear" w:color="070000" w:fill="FFFFFF"/>
                <w:lang w:bidi="ar-SA"/>
              </w:rPr>
              <w:t>县级以上政府其他部门依照法律、法规、规章规定和职责分工，对项目履行相应管理职责。</w:t>
            </w:r>
          </w:p>
          <w:p>
            <w:pPr>
              <w:pStyle w:val="2"/>
              <w:jc w:val="left"/>
              <w:rPr>
                <w:rFonts w:ascii="仿宋" w:hAnsi="仿宋" w:eastAsia="仿宋" w:cs="仿宋"/>
                <w:spacing w:val="-11"/>
                <w:szCs w:val="21"/>
                <w:shd w:val="clear" w:color="070000" w:fill="FFFFFF"/>
              </w:rPr>
            </w:pP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p>
            <w:pPr>
              <w:pStyle w:val="2"/>
              <w:jc w:val="left"/>
              <w:rPr>
                <w:rFonts w:ascii="仿宋" w:hAnsi="仿宋" w:eastAsia="仿宋" w:cs="仿宋"/>
                <w:spacing w:val="-11"/>
                <w:szCs w:val="21"/>
                <w:shd w:val="clear" w:color="070000" w:fill="FFFFFF"/>
              </w:rPr>
            </w:pPr>
          </w:p>
          <w:p>
            <w:pPr>
              <w:pStyle w:val="2"/>
              <w:jc w:val="left"/>
              <w:rPr>
                <w:rFonts w:ascii="仿宋" w:hAnsi="仿宋" w:eastAsia="仿宋" w:cs="仿宋"/>
                <w:spacing w:val="-11"/>
                <w:szCs w:val="21"/>
                <w:shd w:val="clear" w:color="070000" w:fill="FFFFFF"/>
              </w:rPr>
            </w:pP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1.受理责任：一次性告知项目单位补正信息；依法受理或不予受理（不予受理应当告知理由）。                                      </w:t>
            </w:r>
          </w:p>
          <w:p>
            <w:pPr>
              <w:pStyle w:val="2"/>
              <w:jc w:val="left"/>
              <w:rPr>
                <w:rFonts w:ascii="仿宋" w:hAnsi="仿宋" w:eastAsia="仿宋" w:cs="仿宋"/>
                <w:spacing w:val="-11"/>
                <w:szCs w:val="21"/>
                <w:shd w:val="clear" w:color="070000" w:fill="FFFFFF"/>
              </w:rPr>
            </w:pPr>
          </w:p>
        </w:tc>
        <w:tc>
          <w:tcPr>
            <w:tcW w:w="558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第五十二条　项目核准、备案机关有下列情形之一的，由其上级行政机关责令改正，对负有责任的领导人员和直接责任人员由有关单位和部门依纪依法给予处分：</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一）超越法定职权予以核准或备案的；（二）对不符合法定条件的项目予以核准的；（三）对符合法定条件的项目不予核准的；（四）擅自增减核准审查条件的，或者以备案名义变相审批、核准的；（五）不在法定期限内作出核准决定的；（六）不依法履行监管职责或者监督不力，造成严重后果的。</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第五十三条　项目核准、备案机关及其工作人员，以及其他相关部门及其工作人员，在项目核准、备案以及相关审批手续办理过程中玩忽职守、滥用职权、徇私舞弊、索贿受贿的，对负有责任的领导人员和直接责任人员依法给予处分；构成犯罪的，依法追究刑事责任。</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第五十四条　项目核准、备案机关，以及国土（海洋）资源、城乡规划、水行政管理、环境保护、节能审查、安全监管、建设等部门违反相关法律法规规定，未依法履行监管职责的，对直接负责的主管人员和其他直接责任人员，依法给予处分；构成犯罪的，依法追究刑事责任。</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项目所在地的地方政府有关部门不履行企业投资监管职责的，对直接负责的主管人员和其他直接责任人员，依法给予处分。</w:t>
            </w:r>
          </w:p>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大厅窗口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p>
            <w:pPr>
              <w:pStyle w:val="2"/>
              <w:jc w:val="left"/>
              <w:rPr>
                <w:rFonts w:ascii="仿宋" w:hAnsi="仿宋" w:eastAsia="仿宋" w:cs="仿宋"/>
                <w:spacing w:val="-11"/>
                <w:szCs w:val="21"/>
                <w:shd w:val="clear" w:color="070000" w:fill="FFFFFF"/>
              </w:rPr>
            </w:pPr>
          </w:p>
          <w:p>
            <w:pPr>
              <w:pStyle w:val="2"/>
              <w:jc w:val="left"/>
              <w:rPr>
                <w:rFonts w:ascii="仿宋" w:hAnsi="仿宋" w:eastAsia="仿宋" w:cs="仿宋"/>
                <w:spacing w:val="-11"/>
                <w:szCs w:val="21"/>
                <w:shd w:val="clear" w:color="070000" w:fill="FFFFFF"/>
              </w:rPr>
            </w:pP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2.审核责任：相关业务科室提出审核意见。</w:t>
            </w:r>
          </w:p>
          <w:p>
            <w:pPr>
              <w:pStyle w:val="2"/>
              <w:jc w:val="left"/>
              <w:rPr>
                <w:rFonts w:ascii="仿宋" w:hAnsi="仿宋" w:eastAsia="仿宋" w:cs="仿宋"/>
                <w:spacing w:val="-11"/>
                <w:szCs w:val="21"/>
                <w:shd w:val="clear" w:color="070000" w:fill="FFFFFF"/>
              </w:rPr>
            </w:pPr>
          </w:p>
        </w:tc>
        <w:tc>
          <w:tcPr>
            <w:tcW w:w="5584" w:type="dxa"/>
            <w:vMerge w:val="continue"/>
            <w:vAlign w:val="center"/>
          </w:tcPr>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投资股、社会股、城乡建设股、农业股、工业股等</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决定</w:t>
            </w:r>
          </w:p>
          <w:p>
            <w:pPr>
              <w:pStyle w:val="2"/>
              <w:jc w:val="left"/>
              <w:rPr>
                <w:rFonts w:ascii="仿宋" w:hAnsi="仿宋" w:eastAsia="仿宋" w:cs="仿宋"/>
                <w:spacing w:val="-11"/>
                <w:szCs w:val="21"/>
                <w:shd w:val="clear" w:color="070000" w:fill="FFFFFF"/>
              </w:rPr>
            </w:pP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3.决定责任：作出决定（不予批准的应当告知理由）。</w:t>
            </w:r>
          </w:p>
          <w:p>
            <w:pPr>
              <w:pStyle w:val="2"/>
              <w:jc w:val="left"/>
              <w:rPr>
                <w:rFonts w:ascii="仿宋" w:hAnsi="仿宋" w:eastAsia="仿宋" w:cs="仿宋"/>
                <w:spacing w:val="-11"/>
                <w:szCs w:val="21"/>
                <w:shd w:val="clear" w:color="070000" w:fill="FFFFFF"/>
              </w:rPr>
            </w:pPr>
          </w:p>
        </w:tc>
        <w:tc>
          <w:tcPr>
            <w:tcW w:w="5584" w:type="dxa"/>
            <w:vMerge w:val="continue"/>
            <w:vAlign w:val="center"/>
          </w:tcPr>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                                                                      </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送达</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4.送达责任：出具盖章备案证明；信息公开。</w:t>
            </w:r>
          </w:p>
        </w:tc>
        <w:tc>
          <w:tcPr>
            <w:tcW w:w="5584" w:type="dxa"/>
            <w:vMerge w:val="continue"/>
            <w:vAlign w:val="center"/>
          </w:tcPr>
          <w:p>
            <w:pPr>
              <w:pStyle w:val="2"/>
              <w:jc w:val="left"/>
              <w:rPr>
                <w:rFonts w:ascii="仿宋" w:hAnsi="仿宋" w:eastAsia="仿宋" w:cs="仿宋"/>
                <w:spacing w:val="-11"/>
                <w:szCs w:val="21"/>
                <w:shd w:val="clear" w:color="070000" w:fill="FFFFFF"/>
              </w:rPr>
            </w:pPr>
          </w:p>
        </w:tc>
        <w:tc>
          <w:tcPr>
            <w:tcW w:w="8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30"/>
          <w:szCs w:val="30"/>
        </w:rPr>
      </w:pPr>
    </w:p>
    <w:p>
      <w:pPr>
        <w:rPr>
          <w:rFonts w:ascii="方正小标宋_GBK" w:hAnsi="方正小标宋_GBK" w:eastAsia="方正小标宋_GBK" w:cs="方正小标宋_GBK"/>
          <w:sz w:val="30"/>
          <w:szCs w:val="30"/>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43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4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7</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省级核准的企业固定资产投资项目申请报告转送</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河南省企业投资项目核准和备案管理办法》第二十二条由省政府投资主管部门、省辖市政府投资主管部门核准的项目，本级政府所属企业可以选择直接报送《河南省企业投资项目核准和备案管理办法》主管部门转送项目申请报告。</w:t>
            </w:r>
            <w:r>
              <w:rPr>
                <w:rFonts w:ascii="仿宋" w:hAnsi="仿宋" w:eastAsia="仿宋" w:cs="仿宋"/>
                <w:spacing w:val="-11"/>
                <w:szCs w:val="21"/>
                <w:shd w:val="clear" w:color="070000" w:fill="FFFFFF"/>
              </w:rPr>
              <w:t>由省政府行业管理部门核准的项目，省属企业可以直接报送项目申请报告，其他企业应当通过下级政府行业管理部门转送项目申请报告。</w:t>
            </w: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543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《河南省企业投资项目核准和备案管理办法》第四十七条</w:t>
            </w:r>
            <w:r>
              <w:rPr>
                <w:rFonts w:ascii="仿宋" w:hAnsi="仿宋" w:eastAsia="仿宋" w:cs="仿宋"/>
                <w:spacing w:val="-11"/>
                <w:szCs w:val="21"/>
                <w:shd w:val="clear" w:color="070000" w:fill="FFFFFF"/>
              </w:rPr>
              <w:t>　项目核准、备案机关和相关部门及其工作人员、企业、工程咨询评估机构及其人员、参与评议的专家违反本办法规定的，依法按照相关规定处理。</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相关业务股室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相关业务股室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相关业务股室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15"/>
          <w:szCs w:val="15"/>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43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4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8</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县域城镇污水、垃圾、供水等基础设施项目涉及中央预算内投 资计划项目申报</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河南省企业投资项目核准和备案管理办法》第二十二条由省政府投资主管部门、省辖市政府投资主管部门核准的项目，本级政府所属企业可以选择直接报送《河南省企业投资项目核准和备案管理办法》主管部门转送项目申请报告。</w:t>
            </w:r>
            <w:r>
              <w:rPr>
                <w:rFonts w:ascii="仿宋" w:hAnsi="仿宋" w:eastAsia="仿宋" w:cs="仿宋"/>
                <w:spacing w:val="-11"/>
                <w:szCs w:val="21"/>
                <w:shd w:val="clear" w:color="070000" w:fill="FFFFFF"/>
              </w:rPr>
              <w:t>由省政府行业管理部门核准的项目，省属企业可以直接报送项目申请报告，其他企业应当通过下级政府行业管理部门转送项目申请报告。</w:t>
            </w: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543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《河南省企业投资项目核准和备案管理办法》第四十七条</w:t>
            </w:r>
            <w:r>
              <w:rPr>
                <w:rFonts w:ascii="仿宋" w:hAnsi="仿宋" w:eastAsia="仿宋" w:cs="仿宋"/>
                <w:spacing w:val="-11"/>
                <w:szCs w:val="21"/>
                <w:shd w:val="clear" w:color="070000" w:fill="FFFFFF"/>
              </w:rPr>
              <w:t>　项目核准、备案机关和相关部门及其工作人员、企业、工程咨询评估机构及其人员、参与评议的专家违反本办法规定的，依法按照相关规定处理。</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24"/>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43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4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9</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保障性住房项目涉及中央预算内投资计划项目申报</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河南省企业投资项目核准和备案管理办法》第二十二条由省政府投资主管部门、省辖市政府投资主管部门核准的项目，本级政府所属企业可以选择直接报送《河南省企业投资项目核准和备案管理办法》主管部门转送项目申请报告。</w:t>
            </w:r>
            <w:r>
              <w:rPr>
                <w:rFonts w:ascii="仿宋" w:hAnsi="仿宋" w:eastAsia="仿宋" w:cs="仿宋"/>
                <w:spacing w:val="-11"/>
                <w:szCs w:val="21"/>
                <w:shd w:val="clear" w:color="070000" w:fill="FFFFFF"/>
              </w:rPr>
              <w:t>由省政府行业管理部门核准的项目，省属企业可以直接报送项目申请报告，其他企业应当通过下级政府行业管理部门转送项目申请报告。</w:t>
            </w: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543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《河南省企业投资项目核准和备案管理办法》第四十七条</w:t>
            </w:r>
            <w:r>
              <w:rPr>
                <w:rFonts w:ascii="仿宋" w:hAnsi="仿宋" w:eastAsia="仿宋" w:cs="仿宋"/>
                <w:spacing w:val="-11"/>
                <w:szCs w:val="21"/>
                <w:shd w:val="clear" w:color="070000" w:fill="FFFFFF"/>
              </w:rPr>
              <w:t>　项目核准、备案机关和相关部门及其工作人员、企业、工程咨询评估机构及其人员、参与评议的专家违反本办法规定的，依法按照相关规定处理。</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30"/>
          <w:szCs w:val="30"/>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43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4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10</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省级服务业发展引导资金项目申报</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河南省企业投资项目核准和备案管理办法》第二十二条由省政府投资主管部门、省辖市政府投资主管部门核准的项目，本级政府所属企业可以选择直接报送《河南省企业投资项目核准和备案管理办法》主管部门转送项目申请报告。</w:t>
            </w:r>
            <w:r>
              <w:rPr>
                <w:rFonts w:ascii="仿宋" w:hAnsi="仿宋" w:eastAsia="仿宋" w:cs="仿宋"/>
                <w:spacing w:val="-11"/>
                <w:szCs w:val="21"/>
                <w:shd w:val="clear" w:color="070000" w:fill="FFFFFF"/>
              </w:rPr>
              <w:t>由省政府行业管理部门核准的项目，省属企业可以直接报送项目申请报告，其他企业应当通过下级政府行业管理部门转送项目申请报告。</w:t>
            </w: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543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《河南省企业投资项目核准和备案管理办法》第四十七条</w:t>
            </w:r>
            <w:r>
              <w:rPr>
                <w:rFonts w:ascii="仿宋" w:hAnsi="仿宋" w:eastAsia="仿宋" w:cs="仿宋"/>
                <w:spacing w:val="-11"/>
                <w:szCs w:val="21"/>
                <w:shd w:val="clear" w:color="070000" w:fill="FFFFFF"/>
              </w:rPr>
              <w:t>　项目核准、备案机关和相关部门及其工作人员、企业、工程咨询评估机构及其人员、参与评议的专家违反本办法规定的，依法按照相关规定处理。</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社会事业和服务业股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社会事业和服务业股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社会事业和服务业股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tbl>
      <w:tblPr>
        <w:tblStyle w:val="9"/>
        <w:tblpPr w:leftFromText="180" w:rightFromText="180" w:vertAnchor="text" w:horzAnchor="page" w:tblpX="1311" w:tblpY="839"/>
        <w:tblOverlap w:val="never"/>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43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4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w:t>
            </w:r>
            <w:r>
              <w:rPr>
                <w:rFonts w:hint="eastAsia" w:ascii="黑体" w:hAnsi="黑体" w:eastAsia="黑体"/>
                <w:kern w:val="0"/>
                <w:sz w:val="24"/>
                <w:lang w:eastAsia="zh-CN"/>
              </w:rPr>
              <w:t>股</w:t>
            </w:r>
            <w:r>
              <w:rPr>
                <w:rFonts w:hint="eastAsia" w:ascii="黑体" w:hAnsi="黑体" w:eastAsia="黑体"/>
                <w:kern w:val="0"/>
                <w:sz w:val="24"/>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11</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企业投资的国家级自然保护区、国家级风景名胜区、全国重点 保护文物单位内限额在 5000 万元以上、世界自然和文化遗产  保护区内限额在 3000 万元以上的建设项目核准申报</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河南省企业投资项目核准和备案管理办法》第二十二条由省政府投资主管部门、省辖市政府投资主管部门核准的项目，本级政府所属企业可以选择直接报送《河南省企业投资项目核准和备案管理办法》主管部门转送项目申请报告。</w:t>
            </w:r>
            <w:r>
              <w:rPr>
                <w:rFonts w:ascii="仿宋" w:hAnsi="仿宋" w:eastAsia="仿宋" w:cs="仿宋"/>
                <w:spacing w:val="-11"/>
                <w:szCs w:val="21"/>
                <w:shd w:val="clear" w:color="070000" w:fill="FFFFFF"/>
              </w:rPr>
              <w:t>由省政府行业管理部门核准的项目，省属企业可以直接报送项目申请报告，其他企业应当通过下级政府行业管理部门转送项目申请报告。</w:t>
            </w: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543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《河南省企业投资项目核准和备案管理办法》第四十七条</w:t>
            </w:r>
            <w:r>
              <w:rPr>
                <w:rFonts w:ascii="仿宋" w:hAnsi="仿宋" w:eastAsia="仿宋" w:cs="仿宋"/>
                <w:spacing w:val="-11"/>
                <w:szCs w:val="21"/>
                <w:shd w:val="clear" w:color="070000" w:fill="FFFFFF"/>
              </w:rPr>
              <w:t>　项目核准、备案机关和相关部门及其工作人员、企业、工程咨询评估机构及其人员、参与评议的专家违反本办法规定的，依法按照相关规定处理。</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社会事业和服务业股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社会事业和服务业股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社会事业和服务业股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tbl>
      <w:tblPr>
        <w:tblStyle w:val="9"/>
        <w:tblpPr w:leftFromText="180" w:rightFromText="180" w:vertAnchor="text" w:horzAnchor="page" w:tblpX="1221" w:tblpY="837"/>
        <w:tblOverlap w:val="never"/>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43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4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w:t>
            </w:r>
            <w:r>
              <w:rPr>
                <w:rFonts w:hint="eastAsia" w:ascii="黑体" w:hAnsi="黑体" w:eastAsia="黑体"/>
                <w:kern w:val="0"/>
                <w:sz w:val="24"/>
                <w:lang w:eastAsia="zh-CN"/>
              </w:rPr>
              <w:t>股</w:t>
            </w:r>
            <w:r>
              <w:rPr>
                <w:rFonts w:hint="eastAsia" w:ascii="黑体" w:hAnsi="黑体" w:eastAsia="黑体"/>
                <w:kern w:val="0"/>
                <w:sz w:val="24"/>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12</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高速公路、干线公路、国防战备公路、农村公路、公路运输场 站、水运建设项目年度交通建设计划编制并申报</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河南省企业投资项目核准和备案管理办法》第二十二条由省政府投资主管部门、省辖市政府投资主管部门核准的项目，本级政府所属企业可以选择直接报送《河南省企业投资项目核准和备案管理办法》主管部门转送项目申请报告。</w:t>
            </w:r>
            <w:r>
              <w:rPr>
                <w:rFonts w:ascii="仿宋" w:hAnsi="仿宋" w:eastAsia="仿宋" w:cs="仿宋"/>
                <w:spacing w:val="-11"/>
                <w:szCs w:val="21"/>
                <w:shd w:val="clear" w:color="070000" w:fill="FFFFFF"/>
              </w:rPr>
              <w:t>由省政府行业管理部门核准的项目，省属企业可以直接报送项目申请报告，其他企业应当通过下级政府行业管理部门转送项目申请报告。</w:t>
            </w: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543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《河南省企业投资项目核准和备案管理办法》第四十七条</w:t>
            </w:r>
            <w:r>
              <w:rPr>
                <w:rFonts w:ascii="仿宋" w:hAnsi="仿宋" w:eastAsia="仿宋" w:cs="仿宋"/>
                <w:spacing w:val="-11"/>
                <w:szCs w:val="21"/>
                <w:shd w:val="clear" w:color="070000" w:fill="FFFFFF"/>
              </w:rPr>
              <w:t>　项目核准、备案机关和相关部门及其工作人员、企业、工程咨询评估机构及其人员、参与评议的专家违反本办法规定的，依法按照相关规定处理。</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bookmarkStart w:id="0" w:name="_GoBack"/>
      <w:bookmarkEnd w:id="0"/>
    </w:p>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43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4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13</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使用省级政府投资补助和贴息资金的公路运输场站项目申报</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河南省企业投资项目核准和备案管理办法》第二十二条由省政府投资主管部门、省辖市政府投资主管部门核准的项目，本级政府所属企业可以选择直接报送《河南省企业投资项目核准和备案管理办法》主管部门转送项目申请报告。</w:t>
            </w:r>
            <w:r>
              <w:rPr>
                <w:rFonts w:ascii="仿宋" w:hAnsi="仿宋" w:eastAsia="仿宋" w:cs="仿宋"/>
                <w:spacing w:val="-11"/>
                <w:szCs w:val="21"/>
                <w:shd w:val="clear" w:color="070000" w:fill="FFFFFF"/>
              </w:rPr>
              <w:t>由省政府行业管理部门核准的项目，省属企业可以直接报送项目申请报告，其他企业应当通过下级政府行业管理部门转送项目申请报告。</w:t>
            </w: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543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《河南省企业投资项目核准和备案管理办法》第四十七条</w:t>
            </w:r>
            <w:r>
              <w:rPr>
                <w:rFonts w:ascii="仿宋" w:hAnsi="仿宋" w:eastAsia="仿宋" w:cs="仿宋"/>
                <w:spacing w:val="-11"/>
                <w:szCs w:val="21"/>
                <w:shd w:val="clear" w:color="070000" w:fill="FFFFFF"/>
              </w:rPr>
              <w:t>　项目核准、备案机关和相关部门及其工作人员、企业、工程咨询评估机构及其人员、参与评议的专家违反本办法规定的，依法按照相关规定处理。</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城乡建设股</w:t>
            </w:r>
          </w:p>
          <w:p>
            <w:pPr>
              <w:pStyle w:val="2"/>
              <w:jc w:val="left"/>
              <w:rPr>
                <w:rFonts w:ascii="仿宋" w:hAnsi="仿宋" w:eastAsia="仿宋" w:cs="仿宋"/>
                <w:spacing w:val="-11"/>
                <w:szCs w:val="21"/>
                <w:shd w:val="clear" w:color="070000"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28"/>
          <w:szCs w:val="28"/>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43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4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14</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基础产业项目中央预算内投资申报</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河南省企业投资项目核准和备案管理办法》第二十二条由省政府投资主管部门、省辖市政府投资主管部门核准的项目，本级政府所属企业可以选择直接报送《河南省企业投资项目核准和备案管理办法》主管部门转送项目申请报告。</w:t>
            </w:r>
            <w:r>
              <w:rPr>
                <w:rFonts w:ascii="仿宋" w:hAnsi="仿宋" w:eastAsia="仿宋" w:cs="仿宋"/>
                <w:spacing w:val="-11"/>
                <w:szCs w:val="21"/>
                <w:shd w:val="clear" w:color="070000" w:fill="FFFFFF"/>
              </w:rPr>
              <w:t>由省政府行业管理部门核准的项目，省属企业可以直接报送项目申请报告，其他企业应当通过下级政府行业管理部门转送项目申请报告。</w:t>
            </w: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543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《河南省企业投资项目核准和备案管理办法》第四十七条</w:t>
            </w:r>
            <w:r>
              <w:rPr>
                <w:rFonts w:ascii="仿宋" w:hAnsi="仿宋" w:eastAsia="仿宋" w:cs="仿宋"/>
                <w:spacing w:val="-11"/>
                <w:szCs w:val="21"/>
                <w:shd w:val="clear" w:color="070000" w:fill="FFFFFF"/>
              </w:rPr>
              <w:t>　项目核准、备案机关和相关部门及其工作人员、企业、工程咨询评估机构及其人员、参与评议的专家违反本办法规定的，依法按照相关规定处理。</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相关业务股室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相关业务股室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相关业务股室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28"/>
          <w:szCs w:val="28"/>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43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4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15</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非跨县（市）煤矿项目、可再生能源发电项目申报</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河南省企业投资项目核准和备案管理办法》第二十二条由省政府投资主管部门、省辖市政府投资主管部门核准的项目，本级政府所属企业可以选择直接报送《河南省企业投资项目核准和备案管理办法》主管部门转送项目申请报告。</w:t>
            </w:r>
            <w:r>
              <w:rPr>
                <w:rFonts w:ascii="仿宋" w:hAnsi="仿宋" w:eastAsia="仿宋" w:cs="仿宋"/>
                <w:spacing w:val="-11"/>
                <w:szCs w:val="21"/>
                <w:shd w:val="clear" w:color="070000" w:fill="FFFFFF"/>
              </w:rPr>
              <w:t>由省政府行业管理部门核准的项目，省属企业可以直接报送项目申请报告，其他企业应当通过下级政府行业管理部门转送项目申请报告。</w:t>
            </w: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543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《河南省企业投资项目核准和备案管理办法》第四十七条</w:t>
            </w:r>
            <w:r>
              <w:rPr>
                <w:rFonts w:ascii="仿宋" w:hAnsi="仿宋" w:eastAsia="仿宋" w:cs="仿宋"/>
                <w:spacing w:val="-11"/>
                <w:szCs w:val="21"/>
                <w:shd w:val="clear" w:color="070000" w:fill="FFFFFF"/>
              </w:rPr>
              <w:t>　项目核准、备案机关和相关部门及其工作人员、企业、工程咨询评估机构及其人员、参与评议的专家违反本办法规定的，依法按照相关规定处理。</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43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4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16</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污染治理和节能减碳中央预算内投资项目申报</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河南省企业投资项目核准和备案管理办法》第二十二条由省政府投资主管部门、省辖市政府投资主管部门核准的项目，本级政府所属企业可以选择直接报送《河南省企业投资项目核准和备案管理办法》主管部门转送项目申请报告。</w:t>
            </w:r>
            <w:r>
              <w:rPr>
                <w:rFonts w:ascii="仿宋" w:hAnsi="仿宋" w:eastAsia="仿宋" w:cs="仿宋"/>
                <w:spacing w:val="-11"/>
                <w:szCs w:val="21"/>
                <w:shd w:val="clear" w:color="070000" w:fill="FFFFFF"/>
              </w:rPr>
              <w:t>由省政府行业管理部门核准的项目，省属企业可以直接报送项目申请报告，其他企业应当通过下级政府行业管理部门转送项目申请报告。</w:t>
            </w: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543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《河南省企业投资项目核准和备案管理办法》第四十七条</w:t>
            </w:r>
            <w:r>
              <w:rPr>
                <w:rFonts w:ascii="仿宋" w:hAnsi="仿宋" w:eastAsia="仿宋" w:cs="仿宋"/>
                <w:spacing w:val="-11"/>
                <w:szCs w:val="21"/>
                <w:shd w:val="clear" w:color="070000" w:fill="FFFFFF"/>
              </w:rPr>
              <w:t>　项目核准、备案机关和相关部门及其工作人员、企业、工程咨询评估机构及其人员、参与评议的专家违反本办法规定的，依法按照相关规定处理。</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28"/>
          <w:szCs w:val="28"/>
        </w:rPr>
      </w:pPr>
    </w:p>
    <w:p>
      <w:pPr>
        <w:rPr>
          <w:rFonts w:ascii="方正小标宋_GBK" w:hAnsi="方正小标宋_GBK" w:eastAsia="方正小标宋_GBK" w:cs="方正小标宋_GBK"/>
          <w:sz w:val="28"/>
          <w:szCs w:val="28"/>
        </w:rPr>
      </w:pPr>
    </w:p>
    <w:p>
      <w:pPr>
        <w:rPr>
          <w:rFonts w:ascii="方正小标宋_GBK" w:hAnsi="方正小标宋_GBK" w:eastAsia="方正小标宋_GBK" w:cs="方正小标宋_GBK"/>
          <w:sz w:val="28"/>
          <w:szCs w:val="28"/>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2400"/>
        <w:gridCol w:w="1083"/>
        <w:gridCol w:w="883"/>
        <w:gridCol w:w="1950"/>
        <w:gridCol w:w="543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24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10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95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5434"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17</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省节能减排专项资金申报</w:t>
            </w:r>
          </w:p>
        </w:tc>
        <w:tc>
          <w:tcPr>
            <w:tcW w:w="24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河南省企业投资项目核准和备案管理办法》第二十二条由省政府投资主管部门、省辖市政府投资主管部门核准的项目，本级政府所属企业可以选择直接报送《河南省企业投资项目核准和备案管理办法》主管部门转送项目申请报告。</w:t>
            </w:r>
            <w:r>
              <w:rPr>
                <w:rFonts w:ascii="仿宋" w:hAnsi="仿宋" w:eastAsia="仿宋" w:cs="仿宋"/>
                <w:spacing w:val="-11"/>
                <w:szCs w:val="21"/>
                <w:shd w:val="clear" w:color="070000" w:fill="FFFFFF"/>
              </w:rPr>
              <w:t>由省政府行业管理部门核准的项目，省属企业可以直接报送项目申请报告，其他企业应当通过下级政府行业管理部门转送项目申请报告。</w:t>
            </w:r>
          </w:p>
        </w:tc>
        <w:tc>
          <w:tcPr>
            <w:tcW w:w="10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5434"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无</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分管副主任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2400" w:type="dxa"/>
            <w:vMerge w:val="continue"/>
            <w:vAlign w:val="center"/>
          </w:tcPr>
          <w:p>
            <w:pPr>
              <w:pStyle w:val="2"/>
              <w:jc w:val="left"/>
              <w:rPr>
                <w:rFonts w:ascii="仿宋" w:hAnsi="仿宋" w:eastAsia="仿宋" w:cs="仿宋"/>
                <w:spacing w:val="-11"/>
                <w:szCs w:val="21"/>
                <w:shd w:val="clear" w:color="070000" w:fill="FFFFFF"/>
              </w:rPr>
            </w:pPr>
          </w:p>
        </w:tc>
        <w:tc>
          <w:tcPr>
            <w:tcW w:w="10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95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5434"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工业发展股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30"/>
          <w:szCs w:val="30"/>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5900"/>
        <w:gridCol w:w="983"/>
        <w:gridCol w:w="883"/>
        <w:gridCol w:w="1517"/>
        <w:gridCol w:w="2467"/>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9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9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51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246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18</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国外贷款项目、总投资3000万美元以下和总投资3000万美元以上鼓励类外商直接投资项目进口设备免税申报</w:t>
            </w:r>
          </w:p>
        </w:tc>
        <w:tc>
          <w:tcPr>
            <w:tcW w:w="59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国务院关于调整进口设备税收政策的通知》（国发〔1997〕37号）第二条第（一）款……审批机构在批复可行性研究报告时，对符合《外商投资产业指导目录》……，或者利用国外政府贷款和国际金融组织贷款项目，按统一格式出具确认书。</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国家发展改革委办公厅关于办理国际金融组织和外国政府贷款项目确认书有关事项的通知》（发改办外资〔2006〕408号）第一条：“属国务院和国家发展改革委审批、核准的国外贷款项目，由国家发展改革委负责出具项目确认书。地方审批、核准或备案的国外贷款项目，由省级（即各省、自治区、直辖市、计划单列市及新疆生产建设兵团）发展改革委负责出具项目确认书。” </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国家发展改革委关于办理外商投资项目〈国家鼓励发展的内外资项目确认书〉有关问题的通知》（发改外资〔2006〕316号）第一部分（二）：“投资总额3000万美元及以上的鼓励类外商投资项目由国家发展改革委出具项目确认书；投资总额3000万美元以下的鼓励类外商投资项目，由省级（即各省、自治区、直辖市、计划单列市及新疆生产建设兵团）发展改革委（经委）出具项目确认书。”第二部分（二）：“省级发展改革委向国家发展改革委提出书面申请之前，应对项目单位、项目投资总额、项目用汇额、项目执行年限、项目进口设备清单、项目适用产业政策条目等进行初审，并在书面申请中明确初审意见。”《南阳市委办公室 南阳市人民政府办公室（南阳市发展和改革委员会职能配置.内设机构和人员编制规定）的通知》（宛办文〔2019〕62号）</w:t>
            </w:r>
          </w:p>
        </w:tc>
        <w:tc>
          <w:tcPr>
            <w:tcW w:w="9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2467" w:type="dxa"/>
            <w:vMerge w:val="restart"/>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委分管领导、委主任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32"/>
          <w:szCs w:val="32"/>
        </w:rPr>
      </w:pPr>
    </w:p>
    <w:p>
      <w:pPr>
        <w:rPr>
          <w:rFonts w:ascii="方正小标宋_GBK" w:hAnsi="方正小标宋_GBK" w:eastAsia="方正小标宋_GBK" w:cs="方正小标宋_GBK"/>
          <w:sz w:val="32"/>
          <w:szCs w:val="32"/>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5900"/>
        <w:gridCol w:w="983"/>
        <w:gridCol w:w="883"/>
        <w:gridCol w:w="1517"/>
        <w:gridCol w:w="2467"/>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9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9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51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246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19</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《外商投资产业指导目录》中有中方控股（含相对控股）要求 的总投资（含增资）小于 3 亿美元的限制类项目核准的申报</w:t>
            </w:r>
          </w:p>
        </w:tc>
        <w:tc>
          <w:tcPr>
            <w:tcW w:w="59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关于修改豫发改外资〔2015〕372号文件部分条款的通知》明确，《外商投资产业指导目录》中总投资(含增资)3亿美元以下限制类项目，由省级政府核准。</w:t>
            </w:r>
          </w:p>
        </w:tc>
        <w:tc>
          <w:tcPr>
            <w:tcW w:w="9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2467"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无</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委分管领导、委主任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24"/>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5900"/>
        <w:gridCol w:w="983"/>
        <w:gridCol w:w="883"/>
        <w:gridCol w:w="1517"/>
        <w:gridCol w:w="2467"/>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9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9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51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246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20</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境内外资银行外债借款规模申报</w:t>
            </w:r>
          </w:p>
        </w:tc>
        <w:tc>
          <w:tcPr>
            <w:tcW w:w="59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国务院对确需保留的行政审批项目设定行政许可的决定》（国务院令第412号）第六项：“境内外资银行外债借款规模审批。实施机关：国家发展改革委。”</w:t>
            </w:r>
          </w:p>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境内外资银行外债管理办法》（国家发展改革委、中国人民银行、银保监会令第9号）第五条：“境内外资银行借用外债，签约期限在1年期以上（不含1年期）的中长期外债，由国家发展改革委按年度核定发生额。”第六条：“每年2月底之前，境内外资银行须分别向国家发展改革委或外汇局提出关于本年度中长期外债发生额或短期外债余额的申请。其中，外资独资银行、中外合资银行分别通过执业注册所在地的发展改革委或外汇局的分支机构逐级向国家发展改革委或外汇局提出申请；外国银行分行由在中国境内的主报告行直接向国家发展改革委或外汇局提出申请。没有主报告行的，应通过执业注册所在地的发展改革委或外汇局的分支机构逐级向国家发展改革委或外汇局提出申请。”</w:t>
            </w:r>
          </w:p>
        </w:tc>
        <w:tc>
          <w:tcPr>
            <w:tcW w:w="9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2467"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《中华人民共和国外汇管理条例》第五十条“外汇管理机关工作人员徇私舞弊、滥用职权、玩忽职守，构成犯罪的，依法追究刑事责任；尚不构成犯罪的，依法给予处分。”</w:t>
            </w:r>
          </w:p>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委分管领导、委主任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24"/>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5900"/>
        <w:gridCol w:w="983"/>
        <w:gridCol w:w="883"/>
        <w:gridCol w:w="1517"/>
        <w:gridCol w:w="2467"/>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9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9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51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246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21</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利用国际金融组织贷款项目申报</w:t>
            </w:r>
          </w:p>
        </w:tc>
        <w:tc>
          <w:tcPr>
            <w:tcW w:w="59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《南阳市放权赋能改革工作方案》的通知宛编〔2021〕83号，利用国际金融组织贷款项目申报，县（区）政府可直接管理。</w:t>
            </w:r>
          </w:p>
        </w:tc>
        <w:tc>
          <w:tcPr>
            <w:tcW w:w="9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2467"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无</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委分管领导、委主任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5900"/>
        <w:gridCol w:w="983"/>
        <w:gridCol w:w="883"/>
        <w:gridCol w:w="1517"/>
        <w:gridCol w:w="2467"/>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9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9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51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246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22</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国家发展改革委重点流域水环境综合治理专项中央预算内投 资项目申报</w:t>
            </w:r>
          </w:p>
        </w:tc>
        <w:tc>
          <w:tcPr>
            <w:tcW w:w="59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《南阳市放权赋能改革工作方案》的通知宛编〔2021〕83号，国家发展改革委重点流域水环境综合治理专项中央预算内投 资项目申报，县（区）政府可直接管理。</w:t>
            </w:r>
          </w:p>
        </w:tc>
        <w:tc>
          <w:tcPr>
            <w:tcW w:w="9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2467"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无</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农业经济股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农业经济股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委分管领导、委主任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农业经济股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30"/>
          <w:szCs w:val="30"/>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5900"/>
        <w:gridCol w:w="983"/>
        <w:gridCol w:w="883"/>
        <w:gridCol w:w="1517"/>
        <w:gridCol w:w="2467"/>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9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9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51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246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23</w:t>
            </w:r>
          </w:p>
        </w:tc>
        <w:tc>
          <w:tcPr>
            <w:tcW w:w="99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国家发展改革委黄河流域生态保护和高质量发展专项中央预 算内投资项目申报</w:t>
            </w:r>
          </w:p>
        </w:tc>
        <w:tc>
          <w:tcPr>
            <w:tcW w:w="5900"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《南阳市放权赋能改革工作方案》的通知宛编〔2021〕83号，国家发展改革委黄河流域生态保护和高质量发展专项中央预 算内投资项目申报，县（区）政府可直接管理。</w:t>
            </w:r>
          </w:p>
        </w:tc>
        <w:tc>
          <w:tcPr>
            <w:tcW w:w="983"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查看申报资料是否齐全</w:t>
            </w:r>
          </w:p>
        </w:tc>
        <w:tc>
          <w:tcPr>
            <w:tcW w:w="2467" w:type="dxa"/>
            <w:vMerge w:val="restart"/>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无</w:t>
            </w: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农业经济股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审核</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查看材料内容是否符合相关政策规定，要件不规范或不符要求的要求补正。</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农业经济股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同意申报</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起草的申报文件报分管领导主任签批</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委分管领导、委主任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jc w:val="left"/>
              <w:rPr>
                <w:rFonts w:ascii="仿宋" w:hAnsi="仿宋" w:eastAsia="仿宋" w:cs="仿宋"/>
                <w:spacing w:val="-11"/>
                <w:szCs w:val="21"/>
                <w:shd w:val="clear" w:color="070000" w:fill="FFFFFF"/>
              </w:rPr>
            </w:pPr>
          </w:p>
        </w:tc>
        <w:tc>
          <w:tcPr>
            <w:tcW w:w="993" w:type="dxa"/>
            <w:vMerge w:val="continue"/>
            <w:vAlign w:val="center"/>
          </w:tcPr>
          <w:p>
            <w:pPr>
              <w:pStyle w:val="2"/>
              <w:jc w:val="left"/>
              <w:rPr>
                <w:rFonts w:ascii="仿宋" w:hAnsi="仿宋" w:eastAsia="仿宋" w:cs="仿宋"/>
                <w:spacing w:val="-11"/>
                <w:szCs w:val="21"/>
                <w:shd w:val="clear" w:color="070000" w:fill="FFFFFF"/>
              </w:rPr>
            </w:pPr>
          </w:p>
        </w:tc>
        <w:tc>
          <w:tcPr>
            <w:tcW w:w="5900" w:type="dxa"/>
            <w:vMerge w:val="continue"/>
            <w:vAlign w:val="center"/>
          </w:tcPr>
          <w:p>
            <w:pPr>
              <w:pStyle w:val="2"/>
              <w:jc w:val="left"/>
              <w:rPr>
                <w:rFonts w:ascii="仿宋" w:hAnsi="仿宋" w:eastAsia="仿宋" w:cs="仿宋"/>
                <w:spacing w:val="-11"/>
                <w:szCs w:val="21"/>
                <w:shd w:val="clear" w:color="070000" w:fill="FFFFFF"/>
              </w:rPr>
            </w:pPr>
          </w:p>
        </w:tc>
        <w:tc>
          <w:tcPr>
            <w:tcW w:w="983" w:type="dxa"/>
            <w:vMerge w:val="continue"/>
            <w:vAlign w:val="center"/>
          </w:tcPr>
          <w:p>
            <w:pPr>
              <w:pStyle w:val="2"/>
              <w:jc w:val="left"/>
              <w:rPr>
                <w:rFonts w:ascii="仿宋" w:hAnsi="仿宋" w:eastAsia="仿宋" w:cs="仿宋"/>
                <w:spacing w:val="-11"/>
                <w:szCs w:val="21"/>
                <w:shd w:val="clear" w:color="070000" w:fill="FFFFFF"/>
              </w:rPr>
            </w:pPr>
          </w:p>
        </w:tc>
        <w:tc>
          <w:tcPr>
            <w:tcW w:w="883"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517"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2467" w:type="dxa"/>
            <w:vMerge w:val="continue"/>
            <w:vAlign w:val="center"/>
          </w:tcPr>
          <w:p>
            <w:pPr>
              <w:pStyle w:val="2"/>
              <w:jc w:val="left"/>
              <w:rPr>
                <w:rFonts w:ascii="仿宋" w:hAnsi="仿宋" w:eastAsia="仿宋" w:cs="仿宋"/>
                <w:spacing w:val="-11"/>
                <w:szCs w:val="21"/>
                <w:shd w:val="clear" w:color="070000" w:fill="FFFFFF"/>
              </w:rPr>
            </w:pPr>
          </w:p>
        </w:tc>
        <w:tc>
          <w:tcPr>
            <w:tcW w:w="1000" w:type="dxa"/>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农业经济股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pStyle w:val="2"/>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32"/>
          <w:szCs w:val="32"/>
        </w:rPr>
      </w:pPr>
    </w:p>
    <w:p>
      <w:pPr>
        <w:rPr>
          <w:rFonts w:ascii="方正小标宋_GBK" w:hAnsi="方正小标宋_GBK" w:eastAsia="方正小标宋_GBK" w:cs="方正小标宋_GBK"/>
          <w:sz w:val="32"/>
          <w:szCs w:val="32"/>
        </w:rPr>
      </w:pPr>
    </w:p>
    <w:tbl>
      <w:tblPr>
        <w:tblStyle w:val="9"/>
        <w:tblW w:w="14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3"/>
        <w:gridCol w:w="5900"/>
        <w:gridCol w:w="983"/>
        <w:gridCol w:w="883"/>
        <w:gridCol w:w="1517"/>
        <w:gridCol w:w="2467"/>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5" w:type="dxa"/>
            <w:vAlign w:val="center"/>
          </w:tcPr>
          <w:p>
            <w:pPr>
              <w:widowControl/>
              <w:textAlignment w:val="center"/>
              <w:rPr>
                <w:rFonts w:ascii="黑体" w:hAnsi="黑体" w:eastAsia="黑体"/>
                <w:kern w:val="0"/>
                <w:sz w:val="24"/>
              </w:rPr>
            </w:pPr>
            <w:r>
              <w:rPr>
                <w:rFonts w:hint="eastAsia" w:ascii="黑体" w:hAnsi="黑体" w:eastAsia="黑体"/>
                <w:kern w:val="0"/>
                <w:sz w:val="24"/>
              </w:rPr>
              <w:t>序号</w:t>
            </w:r>
          </w:p>
        </w:tc>
        <w:tc>
          <w:tcPr>
            <w:tcW w:w="99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项目名称</w:t>
            </w:r>
          </w:p>
        </w:tc>
        <w:tc>
          <w:tcPr>
            <w:tcW w:w="59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实施依据</w:t>
            </w:r>
          </w:p>
        </w:tc>
        <w:tc>
          <w:tcPr>
            <w:tcW w:w="9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职权类别</w:t>
            </w:r>
          </w:p>
        </w:tc>
        <w:tc>
          <w:tcPr>
            <w:tcW w:w="883"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办理</w:t>
            </w:r>
          </w:p>
          <w:p>
            <w:pPr>
              <w:widowControl/>
              <w:jc w:val="center"/>
              <w:textAlignment w:val="center"/>
              <w:rPr>
                <w:rFonts w:ascii="黑体" w:hAnsi="黑体" w:eastAsia="黑体"/>
                <w:kern w:val="0"/>
                <w:sz w:val="24"/>
              </w:rPr>
            </w:pPr>
            <w:r>
              <w:rPr>
                <w:rFonts w:hint="eastAsia" w:ascii="黑体" w:hAnsi="黑体" w:eastAsia="黑体"/>
                <w:kern w:val="0"/>
                <w:sz w:val="24"/>
              </w:rPr>
              <w:t>环节</w:t>
            </w:r>
          </w:p>
        </w:tc>
        <w:tc>
          <w:tcPr>
            <w:tcW w:w="151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责任事项</w:t>
            </w:r>
          </w:p>
        </w:tc>
        <w:tc>
          <w:tcPr>
            <w:tcW w:w="2467"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追责情形</w:t>
            </w:r>
          </w:p>
        </w:tc>
        <w:tc>
          <w:tcPr>
            <w:tcW w:w="1000" w:type="dxa"/>
            <w:vAlign w:val="center"/>
          </w:tcPr>
          <w:p>
            <w:pPr>
              <w:widowControl/>
              <w:jc w:val="center"/>
              <w:textAlignment w:val="center"/>
              <w:rPr>
                <w:rFonts w:ascii="黑体" w:hAnsi="黑体" w:eastAsia="黑体"/>
                <w:kern w:val="0"/>
                <w:sz w:val="24"/>
              </w:rPr>
            </w:pPr>
            <w:r>
              <w:rPr>
                <w:rFonts w:hint="eastAsia" w:ascii="黑体" w:hAnsi="黑体" w:eastAsia="黑体"/>
                <w:kern w:val="0"/>
                <w:sz w:val="24"/>
              </w:rPr>
              <w:t>责任股室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735" w:type="dxa"/>
            <w:vMerge w:val="restart"/>
            <w:vAlign w:val="center"/>
          </w:tcPr>
          <w:p>
            <w:pPr>
              <w:pStyle w:val="2"/>
              <w:jc w:val="center"/>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24</w:t>
            </w:r>
          </w:p>
        </w:tc>
        <w:tc>
          <w:tcPr>
            <w:tcW w:w="993" w:type="dxa"/>
            <w:vMerge w:val="restart"/>
            <w:vAlign w:val="center"/>
          </w:tcPr>
          <w:p>
            <w:pPr>
              <w:spacing w:line="300" w:lineRule="exact"/>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地方企业债券发行申报（仅限用于固定资产投资项目的）</w:t>
            </w:r>
          </w:p>
        </w:tc>
        <w:tc>
          <w:tcPr>
            <w:tcW w:w="5900" w:type="dxa"/>
            <w:vMerge w:val="restart"/>
            <w:vAlign w:val="center"/>
          </w:tcPr>
          <w:p>
            <w:pPr>
              <w:spacing w:line="300" w:lineRule="exac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《南阳市放权赋能改革工作方案》的通知宛编〔2021〕83号，地方企业债券发行申报（仅限用于固定资产投资项目的），县（区）政府可直接管理。</w:t>
            </w:r>
          </w:p>
        </w:tc>
        <w:tc>
          <w:tcPr>
            <w:tcW w:w="983" w:type="dxa"/>
            <w:vMerge w:val="restart"/>
            <w:vAlign w:val="center"/>
          </w:tcPr>
          <w:p>
            <w:pPr>
              <w:spacing w:line="300" w:lineRule="exact"/>
              <w:jc w:val="center"/>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其他职权</w:t>
            </w:r>
          </w:p>
        </w:tc>
        <w:tc>
          <w:tcPr>
            <w:tcW w:w="883" w:type="dxa"/>
            <w:vAlign w:val="center"/>
          </w:tcPr>
          <w:p>
            <w:pPr>
              <w:pStyle w:val="11"/>
              <w:widowControl/>
              <w:spacing w:beforeAutospacing="0" w:afterAutospacing="0" w:line="300" w:lineRule="exact"/>
              <w:jc w:val="center"/>
              <w:rPr>
                <w:rFonts w:ascii="仿宋" w:hAnsi="仿宋" w:eastAsia="仿宋" w:cs="仿宋"/>
                <w:spacing w:val="-11"/>
                <w:kern w:val="2"/>
                <w:sz w:val="21"/>
                <w:szCs w:val="21"/>
                <w:shd w:val="clear" w:color="070000" w:fill="FFFFFF"/>
              </w:rPr>
            </w:pPr>
            <w:r>
              <w:rPr>
                <w:rFonts w:hint="eastAsia" w:ascii="仿宋" w:hAnsi="仿宋" w:eastAsia="仿宋" w:cs="仿宋"/>
                <w:spacing w:val="-11"/>
                <w:kern w:val="2"/>
                <w:sz w:val="21"/>
                <w:szCs w:val="21"/>
                <w:shd w:val="clear" w:color="070000" w:fill="FFFFFF"/>
              </w:rPr>
              <w:t>受理</w:t>
            </w:r>
          </w:p>
        </w:tc>
        <w:tc>
          <w:tcPr>
            <w:tcW w:w="1517" w:type="dxa"/>
            <w:vAlign w:val="center"/>
          </w:tcPr>
          <w:p>
            <w:pPr>
              <w:pStyle w:val="11"/>
              <w:widowControl/>
              <w:spacing w:beforeAutospacing="0" w:afterAutospacing="0" w:line="300" w:lineRule="exact"/>
              <w:jc w:val="center"/>
              <w:rPr>
                <w:rFonts w:ascii="仿宋" w:hAnsi="仿宋" w:eastAsia="仿宋" w:cs="仿宋"/>
                <w:spacing w:val="-11"/>
                <w:kern w:val="2"/>
                <w:sz w:val="21"/>
                <w:szCs w:val="21"/>
                <w:shd w:val="clear" w:color="070000" w:fill="FFFFFF"/>
              </w:rPr>
            </w:pPr>
            <w:r>
              <w:rPr>
                <w:rFonts w:hint="eastAsia" w:ascii="仿宋" w:hAnsi="仿宋" w:eastAsia="仿宋" w:cs="仿宋"/>
                <w:spacing w:val="-11"/>
                <w:kern w:val="2"/>
                <w:sz w:val="21"/>
                <w:szCs w:val="21"/>
                <w:shd w:val="clear" w:color="070000" w:fill="FFFFFF"/>
              </w:rPr>
              <w:t>查看申报资料是否齐全</w:t>
            </w:r>
          </w:p>
        </w:tc>
        <w:tc>
          <w:tcPr>
            <w:tcW w:w="2467" w:type="dxa"/>
            <w:vMerge w:val="restart"/>
            <w:vAlign w:val="center"/>
          </w:tcPr>
          <w:p>
            <w:pPr>
              <w:widowControl/>
              <w:spacing w:line="300" w:lineRule="exact"/>
              <w:jc w:val="left"/>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无</w:t>
            </w:r>
          </w:p>
        </w:tc>
        <w:tc>
          <w:tcPr>
            <w:tcW w:w="1000" w:type="dxa"/>
            <w:vAlign w:val="center"/>
          </w:tcPr>
          <w:p>
            <w:pPr>
              <w:spacing w:line="300" w:lineRule="exact"/>
              <w:jc w:val="center"/>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农业经济股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trPr>
        <w:tc>
          <w:tcPr>
            <w:tcW w:w="735" w:type="dxa"/>
            <w:vMerge w:val="continue"/>
            <w:vAlign w:val="center"/>
          </w:tcPr>
          <w:p>
            <w:pPr>
              <w:pStyle w:val="2"/>
              <w:jc w:val="center"/>
              <w:rPr>
                <w:rFonts w:ascii="仿宋" w:hAnsi="仿宋" w:eastAsia="仿宋" w:cs="仿宋"/>
                <w:szCs w:val="21"/>
              </w:rPr>
            </w:pPr>
          </w:p>
        </w:tc>
        <w:tc>
          <w:tcPr>
            <w:tcW w:w="993" w:type="dxa"/>
            <w:vMerge w:val="continue"/>
            <w:vAlign w:val="center"/>
          </w:tcPr>
          <w:p>
            <w:pPr>
              <w:spacing w:line="300" w:lineRule="exact"/>
              <w:rPr>
                <w:rFonts w:ascii="仿宋" w:hAnsi="仿宋" w:eastAsia="仿宋" w:cs="仿宋"/>
                <w:spacing w:val="-11"/>
                <w:szCs w:val="21"/>
                <w:shd w:val="clear" w:color="070000" w:fill="FFFFFF"/>
              </w:rPr>
            </w:pPr>
          </w:p>
        </w:tc>
        <w:tc>
          <w:tcPr>
            <w:tcW w:w="5900" w:type="dxa"/>
            <w:vMerge w:val="continue"/>
            <w:vAlign w:val="center"/>
          </w:tcPr>
          <w:p>
            <w:pPr>
              <w:spacing w:line="300" w:lineRule="exact"/>
              <w:rPr>
                <w:rFonts w:ascii="仿宋" w:hAnsi="仿宋" w:eastAsia="仿宋" w:cs="仿宋"/>
                <w:spacing w:val="-11"/>
                <w:szCs w:val="21"/>
                <w:shd w:val="clear" w:color="070000" w:fill="FFFFFF"/>
              </w:rPr>
            </w:pPr>
          </w:p>
        </w:tc>
        <w:tc>
          <w:tcPr>
            <w:tcW w:w="983" w:type="dxa"/>
            <w:vMerge w:val="continue"/>
            <w:vAlign w:val="center"/>
          </w:tcPr>
          <w:p>
            <w:pPr>
              <w:spacing w:line="300" w:lineRule="exact"/>
              <w:jc w:val="center"/>
              <w:rPr>
                <w:rFonts w:ascii="仿宋" w:hAnsi="仿宋" w:eastAsia="仿宋" w:cs="仿宋"/>
                <w:spacing w:val="-11"/>
                <w:szCs w:val="21"/>
                <w:shd w:val="clear" w:color="070000" w:fill="FFFFFF"/>
              </w:rPr>
            </w:pPr>
          </w:p>
        </w:tc>
        <w:tc>
          <w:tcPr>
            <w:tcW w:w="883" w:type="dxa"/>
            <w:vAlign w:val="center"/>
          </w:tcPr>
          <w:p>
            <w:pPr>
              <w:pStyle w:val="11"/>
              <w:widowControl/>
              <w:spacing w:beforeAutospacing="0" w:afterAutospacing="0" w:line="300" w:lineRule="exact"/>
              <w:jc w:val="center"/>
              <w:rPr>
                <w:rFonts w:ascii="仿宋" w:hAnsi="仿宋" w:eastAsia="仿宋" w:cs="仿宋"/>
                <w:spacing w:val="-11"/>
                <w:kern w:val="2"/>
                <w:sz w:val="21"/>
                <w:szCs w:val="21"/>
                <w:shd w:val="clear" w:color="070000" w:fill="FFFFFF"/>
              </w:rPr>
            </w:pPr>
            <w:r>
              <w:rPr>
                <w:rFonts w:hint="eastAsia" w:ascii="仿宋" w:hAnsi="仿宋" w:eastAsia="仿宋" w:cs="仿宋"/>
                <w:spacing w:val="-11"/>
                <w:kern w:val="2"/>
                <w:sz w:val="21"/>
                <w:szCs w:val="21"/>
                <w:shd w:val="clear" w:color="070000" w:fill="FFFFFF"/>
              </w:rPr>
              <w:t>审核</w:t>
            </w:r>
          </w:p>
        </w:tc>
        <w:tc>
          <w:tcPr>
            <w:tcW w:w="1517" w:type="dxa"/>
            <w:vAlign w:val="center"/>
          </w:tcPr>
          <w:p>
            <w:pPr>
              <w:pStyle w:val="11"/>
              <w:widowControl/>
              <w:spacing w:beforeAutospacing="0" w:afterAutospacing="0" w:line="300" w:lineRule="exact"/>
              <w:jc w:val="center"/>
              <w:rPr>
                <w:rFonts w:ascii="仿宋" w:hAnsi="仿宋" w:eastAsia="仿宋" w:cs="仿宋"/>
                <w:spacing w:val="-11"/>
                <w:kern w:val="2"/>
                <w:sz w:val="21"/>
                <w:szCs w:val="21"/>
                <w:shd w:val="clear" w:color="070000" w:fill="FFFFFF"/>
              </w:rPr>
            </w:pPr>
            <w:r>
              <w:rPr>
                <w:rFonts w:hint="eastAsia" w:ascii="仿宋" w:hAnsi="仿宋" w:eastAsia="仿宋" w:cs="仿宋"/>
                <w:spacing w:val="-11"/>
                <w:kern w:val="2"/>
                <w:sz w:val="21"/>
                <w:szCs w:val="21"/>
                <w:shd w:val="clear" w:color="070000" w:fill="FFFFFF"/>
              </w:rPr>
              <w:t>查看材料内容是否符合相关政策规定，要件不规范或不符要求的要求补正。</w:t>
            </w:r>
          </w:p>
        </w:tc>
        <w:tc>
          <w:tcPr>
            <w:tcW w:w="2467" w:type="dxa"/>
            <w:vMerge w:val="continue"/>
            <w:vAlign w:val="center"/>
          </w:tcPr>
          <w:p>
            <w:pPr>
              <w:widowControl/>
              <w:spacing w:line="300" w:lineRule="exact"/>
              <w:jc w:val="left"/>
              <w:rPr>
                <w:rFonts w:ascii="仿宋" w:hAnsi="仿宋" w:eastAsia="仿宋" w:cs="仿宋"/>
                <w:spacing w:val="-11"/>
                <w:szCs w:val="21"/>
                <w:shd w:val="clear" w:color="070000" w:fill="FFFFFF"/>
              </w:rPr>
            </w:pPr>
          </w:p>
        </w:tc>
        <w:tc>
          <w:tcPr>
            <w:tcW w:w="1000" w:type="dxa"/>
            <w:vAlign w:val="center"/>
          </w:tcPr>
          <w:p>
            <w:pPr>
              <w:spacing w:line="300" w:lineRule="exact"/>
              <w:jc w:val="center"/>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农业经济股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1" w:hRule="atLeast"/>
        </w:trPr>
        <w:tc>
          <w:tcPr>
            <w:tcW w:w="735" w:type="dxa"/>
            <w:vMerge w:val="continue"/>
          </w:tcPr>
          <w:p>
            <w:pPr>
              <w:pStyle w:val="2"/>
              <w:rPr>
                <w:rFonts w:ascii="仿宋" w:hAnsi="仿宋" w:eastAsia="仿宋" w:cs="仿宋"/>
                <w:szCs w:val="21"/>
              </w:rPr>
            </w:pPr>
          </w:p>
        </w:tc>
        <w:tc>
          <w:tcPr>
            <w:tcW w:w="993" w:type="dxa"/>
            <w:vMerge w:val="continue"/>
            <w:vAlign w:val="center"/>
          </w:tcPr>
          <w:p>
            <w:pPr>
              <w:spacing w:line="300" w:lineRule="exact"/>
              <w:rPr>
                <w:rFonts w:ascii="仿宋" w:hAnsi="仿宋" w:eastAsia="仿宋" w:cs="仿宋"/>
                <w:szCs w:val="21"/>
              </w:rPr>
            </w:pPr>
          </w:p>
        </w:tc>
        <w:tc>
          <w:tcPr>
            <w:tcW w:w="5900" w:type="dxa"/>
            <w:vMerge w:val="continue"/>
            <w:vAlign w:val="center"/>
          </w:tcPr>
          <w:p>
            <w:pPr>
              <w:spacing w:line="300" w:lineRule="exact"/>
              <w:rPr>
                <w:rFonts w:ascii="仿宋" w:hAnsi="仿宋" w:eastAsia="仿宋" w:cs="仿宋"/>
                <w:szCs w:val="21"/>
              </w:rPr>
            </w:pPr>
          </w:p>
        </w:tc>
        <w:tc>
          <w:tcPr>
            <w:tcW w:w="983" w:type="dxa"/>
            <w:vMerge w:val="continue"/>
            <w:vAlign w:val="center"/>
          </w:tcPr>
          <w:p>
            <w:pPr>
              <w:spacing w:line="300" w:lineRule="exact"/>
              <w:jc w:val="center"/>
              <w:rPr>
                <w:rFonts w:ascii="仿宋" w:hAnsi="仿宋" w:eastAsia="仿宋" w:cs="仿宋"/>
                <w:szCs w:val="21"/>
              </w:rPr>
            </w:pPr>
          </w:p>
        </w:tc>
        <w:tc>
          <w:tcPr>
            <w:tcW w:w="883" w:type="dxa"/>
            <w:vAlign w:val="center"/>
          </w:tcPr>
          <w:p>
            <w:pPr>
              <w:pStyle w:val="11"/>
              <w:widowControl/>
              <w:spacing w:beforeAutospacing="0" w:afterAutospacing="0" w:line="300" w:lineRule="exact"/>
              <w:jc w:val="center"/>
              <w:rPr>
                <w:rFonts w:ascii="仿宋" w:hAnsi="仿宋" w:eastAsia="仿宋" w:cs="仿宋"/>
                <w:spacing w:val="-11"/>
                <w:kern w:val="2"/>
                <w:sz w:val="21"/>
                <w:szCs w:val="21"/>
                <w:shd w:val="clear" w:color="070000" w:fill="FFFFFF"/>
              </w:rPr>
            </w:pPr>
            <w:r>
              <w:rPr>
                <w:rFonts w:hint="eastAsia" w:ascii="仿宋" w:hAnsi="仿宋" w:eastAsia="仿宋" w:cs="仿宋"/>
                <w:spacing w:val="-11"/>
                <w:kern w:val="2"/>
                <w:sz w:val="21"/>
                <w:szCs w:val="21"/>
                <w:shd w:val="clear" w:color="070000" w:fill="FFFFFF"/>
              </w:rPr>
              <w:t>同意申报</w:t>
            </w:r>
          </w:p>
        </w:tc>
        <w:tc>
          <w:tcPr>
            <w:tcW w:w="1517" w:type="dxa"/>
            <w:vAlign w:val="center"/>
          </w:tcPr>
          <w:p>
            <w:pPr>
              <w:pStyle w:val="11"/>
              <w:widowControl/>
              <w:spacing w:beforeAutospacing="0" w:afterAutospacing="0" w:line="300" w:lineRule="exact"/>
              <w:jc w:val="center"/>
              <w:rPr>
                <w:rFonts w:ascii="仿宋" w:hAnsi="仿宋" w:eastAsia="仿宋" w:cs="仿宋"/>
                <w:spacing w:val="-11"/>
                <w:kern w:val="2"/>
                <w:sz w:val="21"/>
                <w:szCs w:val="21"/>
                <w:shd w:val="clear" w:color="070000" w:fill="FFFFFF"/>
              </w:rPr>
            </w:pPr>
            <w:r>
              <w:rPr>
                <w:rFonts w:hint="eastAsia" w:ascii="仿宋" w:hAnsi="仿宋" w:eastAsia="仿宋" w:cs="仿宋"/>
                <w:spacing w:val="-11"/>
                <w:kern w:val="2"/>
                <w:sz w:val="21"/>
                <w:szCs w:val="21"/>
                <w:shd w:val="clear" w:color="070000" w:fill="FFFFFF"/>
              </w:rPr>
              <w:t>起草的申报文件报分管领导主任签批</w:t>
            </w:r>
          </w:p>
        </w:tc>
        <w:tc>
          <w:tcPr>
            <w:tcW w:w="2467" w:type="dxa"/>
            <w:vMerge w:val="continue"/>
            <w:vAlign w:val="center"/>
          </w:tcPr>
          <w:p>
            <w:pPr>
              <w:widowControl/>
              <w:spacing w:line="300" w:lineRule="exact"/>
              <w:jc w:val="left"/>
              <w:rPr>
                <w:rFonts w:ascii="仿宋" w:hAnsi="仿宋" w:eastAsia="仿宋" w:cs="仿宋"/>
                <w:szCs w:val="21"/>
              </w:rPr>
            </w:pPr>
          </w:p>
        </w:tc>
        <w:tc>
          <w:tcPr>
            <w:tcW w:w="1000" w:type="dxa"/>
            <w:vAlign w:val="center"/>
          </w:tcPr>
          <w:p>
            <w:pPr>
              <w:snapToGrid w:val="0"/>
              <w:spacing w:line="300" w:lineRule="exact"/>
              <w:jc w:val="center"/>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委分管领导、委主任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735" w:type="dxa"/>
            <w:vMerge w:val="continue"/>
          </w:tcPr>
          <w:p>
            <w:pPr>
              <w:pStyle w:val="2"/>
              <w:rPr>
                <w:rFonts w:ascii="仿宋" w:hAnsi="仿宋" w:eastAsia="仿宋" w:cs="仿宋"/>
                <w:szCs w:val="21"/>
              </w:rPr>
            </w:pPr>
          </w:p>
        </w:tc>
        <w:tc>
          <w:tcPr>
            <w:tcW w:w="993" w:type="dxa"/>
            <w:vMerge w:val="continue"/>
            <w:vAlign w:val="center"/>
          </w:tcPr>
          <w:p>
            <w:pPr>
              <w:spacing w:line="300" w:lineRule="exact"/>
              <w:rPr>
                <w:rFonts w:ascii="仿宋" w:hAnsi="仿宋" w:eastAsia="仿宋" w:cs="仿宋"/>
                <w:szCs w:val="21"/>
              </w:rPr>
            </w:pPr>
          </w:p>
        </w:tc>
        <w:tc>
          <w:tcPr>
            <w:tcW w:w="5900" w:type="dxa"/>
            <w:vMerge w:val="continue"/>
            <w:vAlign w:val="center"/>
          </w:tcPr>
          <w:p>
            <w:pPr>
              <w:spacing w:line="300" w:lineRule="exact"/>
              <w:rPr>
                <w:rFonts w:ascii="仿宋" w:hAnsi="仿宋" w:eastAsia="仿宋" w:cs="仿宋"/>
                <w:szCs w:val="21"/>
              </w:rPr>
            </w:pPr>
          </w:p>
        </w:tc>
        <w:tc>
          <w:tcPr>
            <w:tcW w:w="983" w:type="dxa"/>
            <w:vMerge w:val="continue"/>
            <w:vAlign w:val="center"/>
          </w:tcPr>
          <w:p>
            <w:pPr>
              <w:spacing w:line="300" w:lineRule="exact"/>
              <w:jc w:val="center"/>
              <w:rPr>
                <w:rFonts w:ascii="仿宋" w:hAnsi="仿宋" w:eastAsia="仿宋" w:cs="仿宋"/>
                <w:szCs w:val="21"/>
              </w:rPr>
            </w:pPr>
          </w:p>
        </w:tc>
        <w:tc>
          <w:tcPr>
            <w:tcW w:w="883" w:type="dxa"/>
            <w:vAlign w:val="center"/>
          </w:tcPr>
          <w:p>
            <w:pPr>
              <w:spacing w:line="300" w:lineRule="exact"/>
              <w:jc w:val="center"/>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印制文件</w:t>
            </w:r>
          </w:p>
        </w:tc>
        <w:tc>
          <w:tcPr>
            <w:tcW w:w="1517" w:type="dxa"/>
            <w:vAlign w:val="center"/>
          </w:tcPr>
          <w:p>
            <w:pPr>
              <w:spacing w:line="300" w:lineRule="exact"/>
              <w:jc w:val="center"/>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印制申报文件</w:t>
            </w:r>
          </w:p>
        </w:tc>
        <w:tc>
          <w:tcPr>
            <w:tcW w:w="2467" w:type="dxa"/>
            <w:vMerge w:val="continue"/>
            <w:vAlign w:val="center"/>
          </w:tcPr>
          <w:p>
            <w:pPr>
              <w:spacing w:line="300" w:lineRule="exact"/>
              <w:jc w:val="left"/>
              <w:rPr>
                <w:rFonts w:ascii="仿宋" w:hAnsi="仿宋" w:eastAsia="仿宋" w:cs="仿宋"/>
                <w:szCs w:val="21"/>
              </w:rPr>
            </w:pPr>
          </w:p>
        </w:tc>
        <w:tc>
          <w:tcPr>
            <w:tcW w:w="1000" w:type="dxa"/>
            <w:vAlign w:val="center"/>
          </w:tcPr>
          <w:p>
            <w:pPr>
              <w:spacing w:line="300" w:lineRule="exact"/>
              <w:jc w:val="center"/>
              <w:rPr>
                <w:rFonts w:ascii="仿宋" w:hAnsi="仿宋" w:eastAsia="仿宋" w:cs="仿宋"/>
                <w:spacing w:val="-11"/>
                <w:szCs w:val="21"/>
                <w:shd w:val="clear" w:color="070000" w:fill="FFFFFF"/>
              </w:rPr>
            </w:pPr>
            <w:r>
              <w:rPr>
                <w:rFonts w:hint="eastAsia" w:ascii="仿宋" w:hAnsi="仿宋" w:eastAsia="仿宋" w:cs="仿宋"/>
                <w:spacing w:val="-11"/>
                <w:szCs w:val="21"/>
                <w:shd w:val="clear" w:color="070000" w:fill="FFFFFF"/>
              </w:rPr>
              <w:t>农业经济股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4478" w:type="dxa"/>
            <w:gridSpan w:val="8"/>
            <w:vAlign w:val="center"/>
          </w:tcPr>
          <w:p>
            <w:pPr>
              <w:spacing w:line="300" w:lineRule="exact"/>
              <w:rPr>
                <w:rFonts w:ascii="仿宋" w:hAnsi="仿宋" w:eastAsia="仿宋" w:cs="仿宋"/>
                <w:kern w:val="0"/>
                <w:szCs w:val="21"/>
              </w:rPr>
            </w:pPr>
            <w:r>
              <w:rPr>
                <w:rFonts w:hint="eastAsia" w:ascii="仿宋" w:hAnsi="仿宋" w:eastAsia="仿宋" w:cs="仿宋"/>
                <w:szCs w:val="21"/>
                <w:shd w:val="clear" w:color="070000" w:fill="FFFFFF"/>
              </w:rPr>
              <w:t xml:space="preserve">服务电话：65333226             投诉机构：县纪委监委派驻县发改委纪检组         投诉电话：65333226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78" w:type="dxa"/>
            <w:gridSpan w:val="8"/>
            <w:vAlign w:val="center"/>
          </w:tcPr>
          <w:p>
            <w:pPr>
              <w:spacing w:line="300" w:lineRule="exact"/>
              <w:rPr>
                <w:rFonts w:ascii="仿宋" w:hAnsi="仿宋" w:eastAsia="仿宋" w:cs="仿宋"/>
                <w:kern w:val="0"/>
                <w:szCs w:val="21"/>
              </w:rPr>
            </w:pPr>
            <w:r>
              <w:rPr>
                <w:rFonts w:hint="eastAsia" w:ascii="仿宋" w:hAnsi="仿宋" w:eastAsia="仿宋" w:cs="仿宋"/>
                <w:szCs w:val="21"/>
                <w:shd w:val="clear" w:color="070000" w:fill="FFFFFF"/>
              </w:rPr>
              <w:t>受理地点：内乡县大成东路2号2楼发展和改革委员会。</w:t>
            </w:r>
          </w:p>
        </w:tc>
      </w:tr>
    </w:tbl>
    <w:p>
      <w:pPr>
        <w:rPr>
          <w:rFonts w:ascii="方正小标宋_GBK" w:hAnsi="方正小标宋_GBK" w:eastAsia="方正小标宋_GBK" w:cs="方正小标宋_GBK"/>
          <w:sz w:val="44"/>
          <w:szCs w:val="44"/>
        </w:rPr>
      </w:pPr>
    </w:p>
    <w:p>
      <w:pPr>
        <w:rPr>
          <w:rFonts w:ascii="方正小标宋_GBK" w:hAnsi="方正小标宋_GBK" w:eastAsia="方正小标宋_GBK" w:cs="方正小标宋_GBK"/>
          <w:sz w:val="44"/>
          <w:szCs w:val="44"/>
        </w:rPr>
      </w:pPr>
    </w:p>
    <w:sectPr>
      <w:footerReference r:id="rId3" w:type="default"/>
      <w:pgSz w:w="16838" w:h="11906" w:orient="landscape"/>
      <w:pgMar w:top="850" w:right="1134" w:bottom="850" w:left="1134" w:header="851" w:footer="850"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embedRegular r:id="rId1" w:fontKey="{4DF41E2F-5500-45E6-BBB4-107213D23311}"/>
  </w:font>
  <w:font w:name="方正小标宋_GBK">
    <w:altName w:val="Arial Unicode MS"/>
    <w:panose1 w:val="00000000000000000000"/>
    <w:charset w:val="86"/>
    <w:family w:val="auto"/>
    <w:pitch w:val="default"/>
    <w:sig w:usb0="00000000" w:usb1="00000000" w:usb2="00082016" w:usb3="00000000" w:csb0="00040001" w:csb1="00000000"/>
    <w:embedRegular r:id="rId2" w:fontKey="{B9DE98F9-0653-456E-AE83-54C87BA0CE13}"/>
  </w:font>
  <w:font w:name="方正小标宋简体">
    <w:panose1 w:val="03000509000000000000"/>
    <w:charset w:val="86"/>
    <w:family w:val="script"/>
    <w:pitch w:val="default"/>
    <w:sig w:usb0="00000001" w:usb1="080E0000" w:usb2="00000000" w:usb3="00000000" w:csb0="00040000" w:csb1="00000000"/>
    <w:embedRegular r:id="rId3" w:fontKey="{36814934-8C6E-42FE-969E-AEA243563B8D}"/>
  </w:font>
  <w:font w:name="仿宋_GB2312">
    <w:panose1 w:val="02010609030101010101"/>
    <w:charset w:val="86"/>
    <w:family w:val="swiss"/>
    <w:pitch w:val="default"/>
    <w:sig w:usb0="00000001" w:usb1="080E0000" w:usb2="00000000" w:usb3="00000000" w:csb0="00040000" w:csb1="00000000"/>
    <w:embedRegular r:id="rId4" w:fontKey="{D97F6793-CF36-43D7-ADB3-A438C95D0A07}"/>
  </w:font>
  <w:font w:name="仿宋">
    <w:panose1 w:val="02010609060101010101"/>
    <w:charset w:val="86"/>
    <w:family w:val="swiss"/>
    <w:pitch w:val="default"/>
    <w:sig w:usb0="800002BF" w:usb1="38CF7CFA" w:usb2="00000016" w:usb3="00000000" w:csb0="00040001" w:csb1="00000000"/>
    <w:embedRegular r:id="rId5" w:fontKey="{6420E78F-4EF1-40C5-BE41-E3F5B59DD143}"/>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59</w:t>
                </w:r>
                <w:r>
                  <w:fldChar w:fldCharType="end"/>
                </w:r>
              </w:p>
            </w:txbxContent>
          </v:textbox>
        </v:shape>
      </w:pict>
    </w: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02952369">
    <w:nsid w:val="6580FDB1"/>
    <w:multiLevelType w:val="singleLevel"/>
    <w:tmpl w:val="6580FDB1"/>
    <w:lvl w:ilvl="0" w:tentative="1">
      <w:start w:val="1"/>
      <w:numFmt w:val="decimal"/>
      <w:lvlText w:val="%1."/>
      <w:lvlJc w:val="left"/>
      <w:pPr>
        <w:tabs>
          <w:tab w:val="left" w:pos="312"/>
        </w:tabs>
        <w:ind w:left="0" w:firstLine="0"/>
      </w:pPr>
    </w:lvl>
  </w:abstractNum>
  <w:num w:numId="1">
    <w:abstractNumId w:val="170295236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VerticalSpacing w:val="156"/>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NTgyYzg1ZGU5ZDRlMDZhOTZmMTlkZjIzOGU5MmUifQ=="/>
  </w:docVars>
  <w:rsids>
    <w:rsidRoot w:val="00522579"/>
    <w:rsid w:val="002354CE"/>
    <w:rsid w:val="00264560"/>
    <w:rsid w:val="002D26A7"/>
    <w:rsid w:val="00522579"/>
    <w:rsid w:val="005D0943"/>
    <w:rsid w:val="005D255E"/>
    <w:rsid w:val="00920750"/>
    <w:rsid w:val="00C91C98"/>
    <w:rsid w:val="00D21DFC"/>
    <w:rsid w:val="019948FF"/>
    <w:rsid w:val="01CE57B8"/>
    <w:rsid w:val="024B6E08"/>
    <w:rsid w:val="02C60B85"/>
    <w:rsid w:val="0381039F"/>
    <w:rsid w:val="03A9553E"/>
    <w:rsid w:val="03F92894"/>
    <w:rsid w:val="0463413D"/>
    <w:rsid w:val="05445D91"/>
    <w:rsid w:val="059A6DBD"/>
    <w:rsid w:val="05CC64B2"/>
    <w:rsid w:val="06023C82"/>
    <w:rsid w:val="061E4834"/>
    <w:rsid w:val="06255BC2"/>
    <w:rsid w:val="06ED3C5D"/>
    <w:rsid w:val="071C799E"/>
    <w:rsid w:val="086F75C9"/>
    <w:rsid w:val="09187C60"/>
    <w:rsid w:val="093C56FD"/>
    <w:rsid w:val="099217C1"/>
    <w:rsid w:val="0A777E67"/>
    <w:rsid w:val="0B057D70"/>
    <w:rsid w:val="0B61144B"/>
    <w:rsid w:val="0BC707FE"/>
    <w:rsid w:val="0CB3217A"/>
    <w:rsid w:val="0CDF4D1D"/>
    <w:rsid w:val="0D4A5F0F"/>
    <w:rsid w:val="0E2F75DE"/>
    <w:rsid w:val="0F421593"/>
    <w:rsid w:val="0F5403EF"/>
    <w:rsid w:val="0F9067A2"/>
    <w:rsid w:val="0F9718DF"/>
    <w:rsid w:val="0FD03018"/>
    <w:rsid w:val="105552F6"/>
    <w:rsid w:val="124D44D7"/>
    <w:rsid w:val="127D7E1A"/>
    <w:rsid w:val="135B0E75"/>
    <w:rsid w:val="14777F31"/>
    <w:rsid w:val="147F0B94"/>
    <w:rsid w:val="14A405FA"/>
    <w:rsid w:val="150A6991"/>
    <w:rsid w:val="151A6947"/>
    <w:rsid w:val="15292DBB"/>
    <w:rsid w:val="153951E6"/>
    <w:rsid w:val="15545B7C"/>
    <w:rsid w:val="156B7CCE"/>
    <w:rsid w:val="158F4E06"/>
    <w:rsid w:val="15973CBB"/>
    <w:rsid w:val="15B619EC"/>
    <w:rsid w:val="16077093"/>
    <w:rsid w:val="16AE750E"/>
    <w:rsid w:val="16C75AA7"/>
    <w:rsid w:val="17387120"/>
    <w:rsid w:val="1783099B"/>
    <w:rsid w:val="17E05DED"/>
    <w:rsid w:val="17EFDCE8"/>
    <w:rsid w:val="180F2190"/>
    <w:rsid w:val="1821193A"/>
    <w:rsid w:val="18253800"/>
    <w:rsid w:val="18DA4154"/>
    <w:rsid w:val="19A8293B"/>
    <w:rsid w:val="19DE27E1"/>
    <w:rsid w:val="1AAE5D2F"/>
    <w:rsid w:val="1BC03F6C"/>
    <w:rsid w:val="1C2D08BF"/>
    <w:rsid w:val="1C8F7EC1"/>
    <w:rsid w:val="1CEE4B08"/>
    <w:rsid w:val="1D921FFF"/>
    <w:rsid w:val="1DCD471E"/>
    <w:rsid w:val="1E2C58E8"/>
    <w:rsid w:val="1E4A0464"/>
    <w:rsid w:val="1E87091A"/>
    <w:rsid w:val="1EC57AEB"/>
    <w:rsid w:val="1EEF39FC"/>
    <w:rsid w:val="1F486752"/>
    <w:rsid w:val="1F9574BD"/>
    <w:rsid w:val="1FAB0A8F"/>
    <w:rsid w:val="1FE65F6B"/>
    <w:rsid w:val="21423675"/>
    <w:rsid w:val="22237323"/>
    <w:rsid w:val="231F3C6E"/>
    <w:rsid w:val="2378337E"/>
    <w:rsid w:val="247753E3"/>
    <w:rsid w:val="248144B4"/>
    <w:rsid w:val="25B14925"/>
    <w:rsid w:val="25B675A4"/>
    <w:rsid w:val="26101A93"/>
    <w:rsid w:val="261D1FBA"/>
    <w:rsid w:val="26526108"/>
    <w:rsid w:val="2665408D"/>
    <w:rsid w:val="26F62F37"/>
    <w:rsid w:val="27514612"/>
    <w:rsid w:val="277B343D"/>
    <w:rsid w:val="28610884"/>
    <w:rsid w:val="286B525F"/>
    <w:rsid w:val="28E42FB5"/>
    <w:rsid w:val="293251E7"/>
    <w:rsid w:val="2A273408"/>
    <w:rsid w:val="2AA22718"/>
    <w:rsid w:val="2AD74E2E"/>
    <w:rsid w:val="2B2B6F28"/>
    <w:rsid w:val="2B7803BF"/>
    <w:rsid w:val="2CAD22EA"/>
    <w:rsid w:val="2CBA67B5"/>
    <w:rsid w:val="2D76092E"/>
    <w:rsid w:val="2DD35D80"/>
    <w:rsid w:val="2E0E6DB8"/>
    <w:rsid w:val="2EA94D33"/>
    <w:rsid w:val="2F8D75C1"/>
    <w:rsid w:val="2FBE5D9E"/>
    <w:rsid w:val="2FD162F0"/>
    <w:rsid w:val="2FFE652A"/>
    <w:rsid w:val="30B73737"/>
    <w:rsid w:val="31AA0A84"/>
    <w:rsid w:val="31B934DF"/>
    <w:rsid w:val="32717916"/>
    <w:rsid w:val="33291F9F"/>
    <w:rsid w:val="3370440D"/>
    <w:rsid w:val="33AD2BD0"/>
    <w:rsid w:val="33B45D0C"/>
    <w:rsid w:val="3454129D"/>
    <w:rsid w:val="34E27984"/>
    <w:rsid w:val="36062A6B"/>
    <w:rsid w:val="361138EA"/>
    <w:rsid w:val="38C56BC1"/>
    <w:rsid w:val="394F4A02"/>
    <w:rsid w:val="39897C3B"/>
    <w:rsid w:val="39E10F34"/>
    <w:rsid w:val="3A916DA7"/>
    <w:rsid w:val="3AC671DF"/>
    <w:rsid w:val="3B9F3746"/>
    <w:rsid w:val="3BBB2F06"/>
    <w:rsid w:val="3BFFE235"/>
    <w:rsid w:val="3C074E47"/>
    <w:rsid w:val="3CB02C72"/>
    <w:rsid w:val="3CBD0327"/>
    <w:rsid w:val="3D4F2F4A"/>
    <w:rsid w:val="3DF15DAF"/>
    <w:rsid w:val="3E5433F6"/>
    <w:rsid w:val="3E726F52"/>
    <w:rsid w:val="3F3C2F83"/>
    <w:rsid w:val="3FD67D5F"/>
    <w:rsid w:val="3FFE111C"/>
    <w:rsid w:val="40183AC7"/>
    <w:rsid w:val="40615DE8"/>
    <w:rsid w:val="40D774DE"/>
    <w:rsid w:val="40FF3BEB"/>
    <w:rsid w:val="41401527"/>
    <w:rsid w:val="41967399"/>
    <w:rsid w:val="41AF2209"/>
    <w:rsid w:val="41D91034"/>
    <w:rsid w:val="428C42F8"/>
    <w:rsid w:val="42F779C3"/>
    <w:rsid w:val="432F1853"/>
    <w:rsid w:val="43770B04"/>
    <w:rsid w:val="438020AF"/>
    <w:rsid w:val="43F976F7"/>
    <w:rsid w:val="444906F3"/>
    <w:rsid w:val="44C36444"/>
    <w:rsid w:val="450C60CA"/>
    <w:rsid w:val="45C85647"/>
    <w:rsid w:val="45D73ADC"/>
    <w:rsid w:val="46012D19"/>
    <w:rsid w:val="461B60BF"/>
    <w:rsid w:val="46F81F5C"/>
    <w:rsid w:val="479D4BDC"/>
    <w:rsid w:val="48111102"/>
    <w:rsid w:val="48537D92"/>
    <w:rsid w:val="485A1120"/>
    <w:rsid w:val="485E2293"/>
    <w:rsid w:val="49494CF1"/>
    <w:rsid w:val="499E6DEB"/>
    <w:rsid w:val="49A85EBB"/>
    <w:rsid w:val="49AF08D0"/>
    <w:rsid w:val="4A2512BA"/>
    <w:rsid w:val="4A3D2AA8"/>
    <w:rsid w:val="4AE7656F"/>
    <w:rsid w:val="4B166E55"/>
    <w:rsid w:val="4B3D0885"/>
    <w:rsid w:val="4C742085"/>
    <w:rsid w:val="4CD174D7"/>
    <w:rsid w:val="4D1675E0"/>
    <w:rsid w:val="4D891B60"/>
    <w:rsid w:val="4DE33966"/>
    <w:rsid w:val="4DFA480C"/>
    <w:rsid w:val="4EBE1CDD"/>
    <w:rsid w:val="4F0E056F"/>
    <w:rsid w:val="4F195165"/>
    <w:rsid w:val="4F4F2935"/>
    <w:rsid w:val="4F5A37B4"/>
    <w:rsid w:val="4F722E9E"/>
    <w:rsid w:val="4FA42C81"/>
    <w:rsid w:val="4FC00DE2"/>
    <w:rsid w:val="500B45F0"/>
    <w:rsid w:val="50A218B6"/>
    <w:rsid w:val="50AB003F"/>
    <w:rsid w:val="51422751"/>
    <w:rsid w:val="51C27D36"/>
    <w:rsid w:val="51D6733E"/>
    <w:rsid w:val="52650B61"/>
    <w:rsid w:val="52860D64"/>
    <w:rsid w:val="52A82A88"/>
    <w:rsid w:val="52ED493F"/>
    <w:rsid w:val="5347256E"/>
    <w:rsid w:val="53481693"/>
    <w:rsid w:val="5371731E"/>
    <w:rsid w:val="53F87A3F"/>
    <w:rsid w:val="54A43723"/>
    <w:rsid w:val="54C94F38"/>
    <w:rsid w:val="54EC1901"/>
    <w:rsid w:val="55310A5F"/>
    <w:rsid w:val="55B160F8"/>
    <w:rsid w:val="56655F7B"/>
    <w:rsid w:val="56674A08"/>
    <w:rsid w:val="56C34335"/>
    <w:rsid w:val="56F75D8C"/>
    <w:rsid w:val="571C485F"/>
    <w:rsid w:val="576A47B0"/>
    <w:rsid w:val="577950F1"/>
    <w:rsid w:val="578C2978"/>
    <w:rsid w:val="585E405A"/>
    <w:rsid w:val="5895585D"/>
    <w:rsid w:val="592D1F39"/>
    <w:rsid w:val="59EA607C"/>
    <w:rsid w:val="59FB5B93"/>
    <w:rsid w:val="5A1009F4"/>
    <w:rsid w:val="5AE14D89"/>
    <w:rsid w:val="5AED25B0"/>
    <w:rsid w:val="5B787DE0"/>
    <w:rsid w:val="5BCB77E7"/>
    <w:rsid w:val="5BF31218"/>
    <w:rsid w:val="5C190553"/>
    <w:rsid w:val="5C6043D4"/>
    <w:rsid w:val="5D962B46"/>
    <w:rsid w:val="5DE62F5E"/>
    <w:rsid w:val="5E361890"/>
    <w:rsid w:val="5FB32A6C"/>
    <w:rsid w:val="5FB54A36"/>
    <w:rsid w:val="5FEC0C3B"/>
    <w:rsid w:val="617A4CDF"/>
    <w:rsid w:val="618E3791"/>
    <w:rsid w:val="61DC7212"/>
    <w:rsid w:val="62046230"/>
    <w:rsid w:val="62126170"/>
    <w:rsid w:val="62EA2C49"/>
    <w:rsid w:val="62FB09B2"/>
    <w:rsid w:val="63A92B04"/>
    <w:rsid w:val="63C74D38"/>
    <w:rsid w:val="63FFB95D"/>
    <w:rsid w:val="653B59DE"/>
    <w:rsid w:val="65BA4B55"/>
    <w:rsid w:val="65DC2D1D"/>
    <w:rsid w:val="65DC4ACB"/>
    <w:rsid w:val="668138C4"/>
    <w:rsid w:val="668927FE"/>
    <w:rsid w:val="669E7FD2"/>
    <w:rsid w:val="66B772E6"/>
    <w:rsid w:val="66E75E1D"/>
    <w:rsid w:val="6819683A"/>
    <w:rsid w:val="6865349E"/>
    <w:rsid w:val="69983CBE"/>
    <w:rsid w:val="69AA3132"/>
    <w:rsid w:val="6A2904FB"/>
    <w:rsid w:val="6A3C022E"/>
    <w:rsid w:val="6A7379C8"/>
    <w:rsid w:val="6B19231D"/>
    <w:rsid w:val="6B796506"/>
    <w:rsid w:val="6BEF307E"/>
    <w:rsid w:val="6C6F53FD"/>
    <w:rsid w:val="6C7812C6"/>
    <w:rsid w:val="6CDD6E5C"/>
    <w:rsid w:val="6D47737C"/>
    <w:rsid w:val="6E310157"/>
    <w:rsid w:val="6E9C6C52"/>
    <w:rsid w:val="6F174DC6"/>
    <w:rsid w:val="6F977CB5"/>
    <w:rsid w:val="6FD927B2"/>
    <w:rsid w:val="70580A00"/>
    <w:rsid w:val="705F098E"/>
    <w:rsid w:val="70AF632D"/>
    <w:rsid w:val="7104581E"/>
    <w:rsid w:val="711772FF"/>
    <w:rsid w:val="713701BB"/>
    <w:rsid w:val="71BA0EDE"/>
    <w:rsid w:val="725D51E5"/>
    <w:rsid w:val="725F0F5E"/>
    <w:rsid w:val="72930C07"/>
    <w:rsid w:val="73BD1912"/>
    <w:rsid w:val="73E7EEA9"/>
    <w:rsid w:val="74BD01BD"/>
    <w:rsid w:val="75181750"/>
    <w:rsid w:val="75271ADB"/>
    <w:rsid w:val="752C0E9F"/>
    <w:rsid w:val="75C81AA0"/>
    <w:rsid w:val="75D532E5"/>
    <w:rsid w:val="763B4B15"/>
    <w:rsid w:val="770C0F88"/>
    <w:rsid w:val="77242776"/>
    <w:rsid w:val="776FFE3A"/>
    <w:rsid w:val="77F57C6E"/>
    <w:rsid w:val="78324A1E"/>
    <w:rsid w:val="78EF290F"/>
    <w:rsid w:val="79254583"/>
    <w:rsid w:val="79725A1A"/>
    <w:rsid w:val="79B576B5"/>
    <w:rsid w:val="79C46123"/>
    <w:rsid w:val="7A062543"/>
    <w:rsid w:val="7A47775E"/>
    <w:rsid w:val="7ABB6F4D"/>
    <w:rsid w:val="7AD95625"/>
    <w:rsid w:val="7B2A40D3"/>
    <w:rsid w:val="7B5B0730"/>
    <w:rsid w:val="7BF02C26"/>
    <w:rsid w:val="7C492337"/>
    <w:rsid w:val="7C7970C0"/>
    <w:rsid w:val="7C8249F4"/>
    <w:rsid w:val="7CBE4AD3"/>
    <w:rsid w:val="7E4E00D8"/>
    <w:rsid w:val="7E682D2D"/>
    <w:rsid w:val="7E7426A1"/>
    <w:rsid w:val="CBFF9988"/>
    <w:rsid w:val="DBDECC52"/>
    <w:rsid w:val="FDB6CB13"/>
    <w:rsid w:val="FDEE2AEB"/>
    <w:rsid w:val="FF7B015F"/>
    <w:rsid w:val="FFFE34FD"/>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普通(网站)1"/>
    <w:basedOn w:val="1"/>
    <w:qFormat/>
    <w:uiPriority w:val="0"/>
    <w:pPr>
      <w:spacing w:beforeAutospacing="1" w:afterAutospacing="1"/>
      <w:jc w:val="left"/>
    </w:pPr>
    <w:rPr>
      <w:kern w:val="0"/>
      <w:sz w:val="24"/>
    </w:rPr>
  </w:style>
  <w:style w:type="paragraph" w:customStyle="1" w:styleId="11">
    <w:name w:val="普通(网站)11"/>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6512</Words>
  <Characters>37120</Characters>
  <Lines>309</Lines>
  <Paragraphs>87</Paragraphs>
  <TotalTime>0</TotalTime>
  <ScaleCrop>false</ScaleCrop>
  <LinksUpToDate>false</LinksUpToDate>
  <CharactersWithSpaces>43545</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2021-11-30T10:45:00Z</dcterms:created>
  <dc:creator>余青Luffy</dc:creator>
  <cp:lastModifiedBy>ny</cp:lastModifiedBy>
  <cp:lastPrinted>2023-12-08T00:12:00Z</cp:lastPrinted>
  <dcterms:modified xsi:type="dcterms:W3CDTF">2023-12-19T02:19:36Z</dcterms:modified>
  <dc:title>余青Luffy</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1F655BA0FD364B6DA77969F89C311988_13</vt:lpwstr>
  </property>
</Properties>
</file>