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9130C" w:rsidRDefault="0059130C">
      <w:pPr>
        <w:autoSpaceDN w:val="0"/>
        <w:spacing w:line="320" w:lineRule="exact"/>
        <w:textAlignment w:val="center"/>
        <w:rPr>
          <w:rFonts w:ascii="黑体" w:eastAsia="黑体" w:hAnsi="黑体" w:cs="黑体"/>
          <w:color w:val="000000" w:themeColor="text1"/>
          <w:sz w:val="32"/>
          <w:szCs w:val="32"/>
        </w:rPr>
      </w:pPr>
    </w:p>
    <w:p w:rsidR="0059130C" w:rsidRDefault="002E22CA">
      <w:pPr>
        <w:autoSpaceDN w:val="0"/>
        <w:spacing w:line="320" w:lineRule="exact"/>
        <w:textAlignment w:val="center"/>
        <w:rPr>
          <w:rFonts w:ascii="黑体" w:eastAsia="黑体" w:hAnsi="黑体" w:cs="黑体"/>
          <w:color w:val="000000" w:themeColor="text1"/>
          <w:sz w:val="32"/>
          <w:szCs w:val="32"/>
        </w:rPr>
      </w:pPr>
      <w:r>
        <w:rPr>
          <w:rFonts w:ascii="黑体" w:eastAsia="黑体" w:hAnsi="黑体" w:cs="黑体" w:hint="eastAsia"/>
          <w:color w:val="000000" w:themeColor="text1"/>
          <w:sz w:val="32"/>
          <w:szCs w:val="32"/>
        </w:rPr>
        <w:t>附件1</w:t>
      </w:r>
    </w:p>
    <w:tbl>
      <w:tblPr>
        <w:tblpPr w:leftFromText="180" w:rightFromText="180" w:vertAnchor="text" w:horzAnchor="page" w:tblpX="1492" w:tblpY="1266"/>
        <w:tblOverlap w:val="never"/>
        <w:tblW w:w="14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5" w:type="dxa"/>
          <w:right w:w="15" w:type="dxa"/>
        </w:tblCellMar>
        <w:tblLook w:val="04A0"/>
      </w:tblPr>
      <w:tblGrid>
        <w:gridCol w:w="999"/>
        <w:gridCol w:w="2041"/>
        <w:gridCol w:w="4876"/>
        <w:gridCol w:w="980"/>
        <w:gridCol w:w="980"/>
        <w:gridCol w:w="2891"/>
        <w:gridCol w:w="1361"/>
      </w:tblGrid>
      <w:tr w:rsidR="0059130C">
        <w:trPr>
          <w:trHeight w:val="794"/>
        </w:trPr>
        <w:tc>
          <w:tcPr>
            <w:tcW w:w="999" w:type="dxa"/>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序号</w:t>
            </w:r>
          </w:p>
        </w:tc>
        <w:tc>
          <w:tcPr>
            <w:tcW w:w="2041" w:type="dxa"/>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项目名称</w:t>
            </w:r>
          </w:p>
        </w:tc>
        <w:tc>
          <w:tcPr>
            <w:tcW w:w="4876" w:type="dxa"/>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实施依据</w:t>
            </w:r>
          </w:p>
        </w:tc>
        <w:tc>
          <w:tcPr>
            <w:tcW w:w="980" w:type="dxa"/>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类别</w:t>
            </w:r>
          </w:p>
        </w:tc>
        <w:tc>
          <w:tcPr>
            <w:tcW w:w="980" w:type="dxa"/>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环节</w:t>
            </w:r>
          </w:p>
        </w:tc>
        <w:tc>
          <w:tcPr>
            <w:tcW w:w="2891" w:type="dxa"/>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责任事项</w:t>
            </w:r>
          </w:p>
        </w:tc>
        <w:tc>
          <w:tcPr>
            <w:tcW w:w="1361" w:type="dxa"/>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1323"/>
        </w:trPr>
        <w:tc>
          <w:tcPr>
            <w:tcW w:w="999" w:type="dxa"/>
            <w:vMerge w:val="restart"/>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1</w:t>
            </w:r>
          </w:p>
        </w:tc>
        <w:tc>
          <w:tcPr>
            <w:tcW w:w="2041" w:type="dxa"/>
            <w:vMerge w:val="restart"/>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出租汽车驾驶员从业资格证核发</w:t>
            </w:r>
          </w:p>
        </w:tc>
        <w:tc>
          <w:tcPr>
            <w:tcW w:w="4876" w:type="dxa"/>
            <w:vMerge w:val="restart"/>
            <w:vAlign w:val="center"/>
          </w:tcPr>
          <w:p w:rsidR="0059130C" w:rsidRDefault="002E22CA">
            <w:pPr>
              <w:widowControl/>
              <w:spacing w:line="240" w:lineRule="exact"/>
              <w:ind w:firstLineChars="200" w:firstLine="420"/>
              <w:textAlignment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国务院对确需保留的行政审批项目设定行政许可的决定》(2004年第412号国务院令)第112项“出租汽车经营资格证、车辆运营证和驾驶员客运资格证核发；主管部门：县级以上地方人民政府出租汽车行政主管部门。”</w:t>
            </w:r>
          </w:p>
          <w:p w:rsidR="0059130C" w:rsidRDefault="002E22CA">
            <w:pPr>
              <w:widowControl/>
              <w:spacing w:line="240" w:lineRule="exact"/>
              <w:ind w:firstLineChars="200" w:firstLine="420"/>
              <w:textAlignment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《交通运输部关于修改〈出租汽车驾驶员从业资格管理规定〉的决定》（中华人民共和国交通运输部令2021年第15号）第一章第六条：交通运输部负责指导全国出租汽车驾驶员从业资格管理工作。</w:t>
            </w:r>
          </w:p>
          <w:p w:rsidR="0059130C" w:rsidRDefault="002E22CA">
            <w:pPr>
              <w:widowControl/>
              <w:spacing w:line="240" w:lineRule="exact"/>
              <w:ind w:firstLineChars="200" w:firstLine="420"/>
              <w:textAlignment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各省、自治区人民政府交通运输主管部门在本级人民政府领导下，负责指导本行政区域内出租汽车驾驶员从业资格管理工作。</w:t>
            </w:r>
          </w:p>
          <w:p w:rsidR="0059130C" w:rsidRDefault="002E22CA">
            <w:pPr>
              <w:widowControl/>
              <w:spacing w:line="240" w:lineRule="exact"/>
              <w:ind w:firstLineChars="200" w:firstLine="420"/>
              <w:textAlignment w:val="center"/>
              <w:rPr>
                <w:rFonts w:ascii="仿宋_GB2312" w:eastAsia="仿宋_GB2312" w:hAnsi="仿宋_GB2312" w:cs="仿宋_GB2312"/>
                <w:szCs w:val="21"/>
              </w:rPr>
            </w:pPr>
            <w:r>
              <w:rPr>
                <w:rFonts w:ascii="仿宋_GB2312" w:eastAsia="仿宋_GB2312" w:hAnsi="仿宋_GB2312" w:cs="仿宋_GB2312" w:hint="eastAsia"/>
                <w:kern w:val="0"/>
                <w:szCs w:val="21"/>
                <w:lang/>
              </w:rPr>
              <w:t>直辖市、设区的市级或者县级交通运输主管部门或者人民政府指定的其他出租汽车行政主管部门（以下称出租汽车行政主管部门）在本级人民政府领导下，负责具体实施出租汽车驾驶员从业资格管理。</w:t>
            </w:r>
          </w:p>
        </w:tc>
        <w:tc>
          <w:tcPr>
            <w:tcW w:w="980" w:type="dxa"/>
            <w:vMerge w:val="restart"/>
            <w:vAlign w:val="center"/>
          </w:tcPr>
          <w:p w:rsidR="0059130C" w:rsidRDefault="002E22CA">
            <w:pPr>
              <w:widowControl/>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行政</w:t>
            </w:r>
          </w:p>
          <w:p w:rsidR="0059130C" w:rsidRDefault="002E22CA">
            <w:pPr>
              <w:widowControl/>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许可</w:t>
            </w:r>
          </w:p>
        </w:tc>
        <w:tc>
          <w:tcPr>
            <w:tcW w:w="980" w:type="dxa"/>
            <w:vAlign w:val="center"/>
          </w:tcPr>
          <w:p w:rsidR="0059130C" w:rsidRDefault="002E22CA">
            <w:pPr>
              <w:widowControl/>
              <w:spacing w:line="240" w:lineRule="exact"/>
              <w:jc w:val="center"/>
              <w:textAlignment w:val="center"/>
              <w:rPr>
                <w:rFonts w:ascii="仿宋_GB2312" w:eastAsia="仿宋_GB2312" w:hAnsi="仿宋_GB2312" w:cs="仿宋_GB2312"/>
                <w:kern w:val="0"/>
                <w:szCs w:val="21"/>
              </w:rPr>
            </w:pPr>
            <w:r>
              <w:rPr>
                <w:rFonts w:ascii="仿宋_GB2312" w:eastAsia="仿宋_GB2312" w:hAnsi="仿宋_GB2312" w:cs="仿宋_GB2312" w:hint="eastAsia"/>
                <w:szCs w:val="21"/>
              </w:rPr>
              <w:t>受理</w:t>
            </w:r>
          </w:p>
        </w:tc>
        <w:tc>
          <w:tcPr>
            <w:tcW w:w="2891" w:type="dxa"/>
            <w:vAlign w:val="center"/>
          </w:tcPr>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受理责任：1．材料齐全，符合法定形式的出具《受理通知书》；2．材料不齐全或符合法定形式的出具《不予受理通知书》。</w:t>
            </w:r>
          </w:p>
        </w:tc>
        <w:tc>
          <w:tcPr>
            <w:tcW w:w="1361" w:type="dxa"/>
            <w:vMerge w:val="restart"/>
            <w:vAlign w:val="center"/>
          </w:tcPr>
          <w:p w:rsidR="0059130C" w:rsidRDefault="002E22CA">
            <w:pPr>
              <w:widowControl/>
              <w:spacing w:line="240" w:lineRule="exact"/>
              <w:jc w:val="center"/>
              <w:textAlignment w:val="center"/>
              <w:rPr>
                <w:rFonts w:ascii="仿宋_GB2312" w:eastAsia="仿宋_GB2312" w:hAnsi="仿宋_GB2312" w:cs="仿宋_GB2312"/>
                <w:kern w:val="0"/>
                <w:szCs w:val="21"/>
              </w:rPr>
            </w:pPr>
            <w:r>
              <w:rPr>
                <w:rFonts w:ascii="仿宋_GB2312" w:eastAsia="仿宋_GB2312" w:hAnsi="仿宋_GB2312" w:cs="仿宋_GB2312" w:hint="eastAsia"/>
                <w:szCs w:val="21"/>
              </w:rPr>
              <w:t>行政审批服务股、运输管理股</w:t>
            </w:r>
          </w:p>
        </w:tc>
      </w:tr>
      <w:tr w:rsidR="0059130C">
        <w:trPr>
          <w:trHeight w:val="1268"/>
        </w:trPr>
        <w:tc>
          <w:tcPr>
            <w:tcW w:w="999" w:type="dxa"/>
            <w:vMerge/>
            <w:vAlign w:val="center"/>
          </w:tcPr>
          <w:p w:rsidR="0059130C" w:rsidRDefault="0059130C">
            <w:pPr>
              <w:pStyle w:val="a6"/>
              <w:spacing w:beforeAutospacing="0" w:afterAutospacing="0" w:line="240" w:lineRule="exact"/>
              <w:rPr>
                <w:rFonts w:ascii="仿宋_GB2312" w:eastAsia="仿宋_GB2312" w:hAnsi="仿宋_GB2312" w:cs="仿宋_GB2312"/>
                <w:color w:val="000000" w:themeColor="text1"/>
                <w:sz w:val="21"/>
                <w:szCs w:val="21"/>
              </w:rPr>
            </w:pPr>
          </w:p>
        </w:tc>
        <w:tc>
          <w:tcPr>
            <w:tcW w:w="2041" w:type="dxa"/>
            <w:vMerge/>
            <w:vAlign w:val="center"/>
          </w:tcPr>
          <w:p w:rsidR="0059130C" w:rsidRDefault="0059130C">
            <w:pPr>
              <w:pStyle w:val="a6"/>
              <w:spacing w:beforeAutospacing="0" w:afterAutospacing="0" w:line="240" w:lineRule="exact"/>
              <w:rPr>
                <w:rFonts w:ascii="仿宋_GB2312" w:eastAsia="仿宋_GB2312" w:hAnsi="仿宋_GB2312" w:cs="仿宋_GB2312"/>
                <w:sz w:val="21"/>
                <w:szCs w:val="21"/>
              </w:rPr>
            </w:pPr>
          </w:p>
        </w:tc>
        <w:tc>
          <w:tcPr>
            <w:tcW w:w="4876" w:type="dxa"/>
            <w:vMerge/>
            <w:vAlign w:val="center"/>
          </w:tcPr>
          <w:p w:rsidR="0059130C" w:rsidRDefault="0059130C">
            <w:pPr>
              <w:pStyle w:val="a6"/>
              <w:spacing w:beforeAutospacing="0" w:afterAutospacing="0" w:line="240" w:lineRule="exact"/>
              <w:rPr>
                <w:rFonts w:ascii="仿宋_GB2312" w:eastAsia="仿宋_GB2312" w:hAnsi="仿宋_GB2312" w:cs="仿宋_GB2312"/>
                <w:sz w:val="21"/>
                <w:szCs w:val="21"/>
              </w:rPr>
            </w:pPr>
          </w:p>
        </w:tc>
        <w:tc>
          <w:tcPr>
            <w:tcW w:w="980" w:type="dxa"/>
            <w:vMerge/>
            <w:vAlign w:val="center"/>
          </w:tcPr>
          <w:p w:rsidR="0059130C" w:rsidRDefault="0059130C">
            <w:pPr>
              <w:pStyle w:val="a6"/>
              <w:spacing w:beforeAutospacing="0" w:afterAutospacing="0" w:line="240" w:lineRule="exact"/>
              <w:rPr>
                <w:rFonts w:ascii="仿宋_GB2312" w:eastAsia="仿宋_GB2312" w:hAnsi="仿宋_GB2312" w:cs="仿宋_GB2312"/>
                <w:sz w:val="21"/>
                <w:szCs w:val="21"/>
              </w:rPr>
            </w:pPr>
          </w:p>
        </w:tc>
        <w:tc>
          <w:tcPr>
            <w:tcW w:w="980" w:type="dxa"/>
            <w:vAlign w:val="center"/>
          </w:tcPr>
          <w:p w:rsidR="0059130C" w:rsidRDefault="002E22CA">
            <w:pPr>
              <w:pStyle w:val="a6"/>
              <w:spacing w:beforeAutospacing="0" w:afterAutospacing="0" w:line="240" w:lineRule="exact"/>
              <w:jc w:val="center"/>
              <w:rPr>
                <w:rFonts w:ascii="仿宋_GB2312" w:eastAsia="仿宋_GB2312" w:hAnsi="仿宋_GB2312" w:cs="仿宋_GB2312"/>
                <w:sz w:val="21"/>
                <w:szCs w:val="21"/>
              </w:rPr>
            </w:pPr>
            <w:r>
              <w:rPr>
                <w:rFonts w:ascii="仿宋_GB2312" w:eastAsia="仿宋_GB2312" w:hAnsi="仿宋_GB2312" w:cs="仿宋_GB2312" w:hint="eastAsia"/>
                <w:sz w:val="21"/>
                <w:szCs w:val="21"/>
              </w:rPr>
              <w:t>审核</w:t>
            </w:r>
          </w:p>
        </w:tc>
        <w:tc>
          <w:tcPr>
            <w:tcW w:w="2891" w:type="dxa"/>
            <w:vAlign w:val="center"/>
          </w:tcPr>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审核责任：申请人的申请符合法定条件标准的，出具审核通过意见；申请不符合法定条件标准的，出具审核不通过意见。</w:t>
            </w:r>
          </w:p>
        </w:tc>
        <w:tc>
          <w:tcPr>
            <w:tcW w:w="1361" w:type="dxa"/>
            <w:vMerge/>
            <w:vAlign w:val="center"/>
          </w:tcPr>
          <w:p w:rsidR="0059130C" w:rsidRDefault="0059130C">
            <w:pPr>
              <w:pStyle w:val="a6"/>
              <w:spacing w:beforeAutospacing="0" w:afterAutospacing="0" w:line="240" w:lineRule="exact"/>
              <w:rPr>
                <w:rFonts w:ascii="仿宋_GB2312" w:eastAsia="仿宋_GB2312" w:hAnsi="仿宋_GB2312" w:cs="仿宋_GB2312"/>
                <w:sz w:val="21"/>
                <w:szCs w:val="21"/>
              </w:rPr>
            </w:pPr>
          </w:p>
        </w:tc>
      </w:tr>
      <w:tr w:rsidR="0059130C">
        <w:trPr>
          <w:trHeight w:val="863"/>
        </w:trPr>
        <w:tc>
          <w:tcPr>
            <w:tcW w:w="999" w:type="dxa"/>
            <w:vMerge/>
            <w:vAlign w:val="center"/>
          </w:tcPr>
          <w:p w:rsidR="0059130C" w:rsidRDefault="0059130C">
            <w:pPr>
              <w:pStyle w:val="a6"/>
              <w:spacing w:beforeAutospacing="0" w:afterAutospacing="0" w:line="240" w:lineRule="exact"/>
              <w:rPr>
                <w:rFonts w:ascii="仿宋_GB2312" w:eastAsia="仿宋_GB2312" w:hAnsi="仿宋_GB2312" w:cs="仿宋_GB2312"/>
                <w:color w:val="000000" w:themeColor="text1"/>
                <w:sz w:val="21"/>
                <w:szCs w:val="21"/>
              </w:rPr>
            </w:pPr>
          </w:p>
        </w:tc>
        <w:tc>
          <w:tcPr>
            <w:tcW w:w="2041" w:type="dxa"/>
            <w:vMerge/>
            <w:vAlign w:val="center"/>
          </w:tcPr>
          <w:p w:rsidR="0059130C" w:rsidRDefault="0059130C">
            <w:pPr>
              <w:pStyle w:val="a6"/>
              <w:spacing w:beforeAutospacing="0" w:afterAutospacing="0" w:line="240" w:lineRule="exact"/>
              <w:rPr>
                <w:rFonts w:ascii="仿宋_GB2312" w:eastAsia="仿宋_GB2312" w:hAnsi="仿宋_GB2312" w:cs="仿宋_GB2312"/>
                <w:sz w:val="21"/>
                <w:szCs w:val="21"/>
              </w:rPr>
            </w:pPr>
          </w:p>
        </w:tc>
        <w:tc>
          <w:tcPr>
            <w:tcW w:w="4876" w:type="dxa"/>
            <w:vMerge/>
            <w:vAlign w:val="center"/>
          </w:tcPr>
          <w:p w:rsidR="0059130C" w:rsidRDefault="0059130C">
            <w:pPr>
              <w:pStyle w:val="a6"/>
              <w:spacing w:beforeAutospacing="0" w:afterAutospacing="0" w:line="240" w:lineRule="exact"/>
              <w:rPr>
                <w:rFonts w:ascii="仿宋_GB2312" w:eastAsia="仿宋_GB2312" w:hAnsi="仿宋_GB2312" w:cs="仿宋_GB2312"/>
                <w:sz w:val="21"/>
                <w:szCs w:val="21"/>
              </w:rPr>
            </w:pPr>
          </w:p>
        </w:tc>
        <w:tc>
          <w:tcPr>
            <w:tcW w:w="980" w:type="dxa"/>
            <w:vMerge/>
            <w:vAlign w:val="center"/>
          </w:tcPr>
          <w:p w:rsidR="0059130C" w:rsidRDefault="0059130C">
            <w:pPr>
              <w:pStyle w:val="a6"/>
              <w:spacing w:beforeAutospacing="0" w:afterAutospacing="0" w:line="240" w:lineRule="exact"/>
              <w:rPr>
                <w:rFonts w:ascii="仿宋_GB2312" w:eastAsia="仿宋_GB2312" w:hAnsi="仿宋_GB2312" w:cs="仿宋_GB2312"/>
                <w:sz w:val="21"/>
                <w:szCs w:val="21"/>
              </w:rPr>
            </w:pPr>
          </w:p>
        </w:tc>
        <w:tc>
          <w:tcPr>
            <w:tcW w:w="980" w:type="dxa"/>
            <w:vAlign w:val="center"/>
          </w:tcPr>
          <w:p w:rsidR="0059130C" w:rsidRDefault="002E22CA">
            <w:pPr>
              <w:pStyle w:val="a6"/>
              <w:spacing w:beforeAutospacing="0" w:afterAutospacing="0" w:line="240" w:lineRule="exact"/>
              <w:jc w:val="center"/>
              <w:rPr>
                <w:rFonts w:ascii="仿宋_GB2312" w:eastAsia="仿宋_GB2312" w:hAnsi="仿宋_GB2312" w:cs="仿宋_GB2312"/>
                <w:sz w:val="21"/>
                <w:szCs w:val="21"/>
              </w:rPr>
            </w:pPr>
            <w:r>
              <w:rPr>
                <w:rFonts w:ascii="仿宋_GB2312" w:eastAsia="仿宋_GB2312" w:hAnsi="仿宋_GB2312" w:cs="仿宋_GB2312" w:hint="eastAsia"/>
                <w:sz w:val="21"/>
                <w:szCs w:val="21"/>
              </w:rPr>
              <w:t>决定</w:t>
            </w:r>
          </w:p>
        </w:tc>
        <w:tc>
          <w:tcPr>
            <w:tcW w:w="2891" w:type="dxa"/>
            <w:vAlign w:val="center"/>
          </w:tcPr>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决定责任：做出准予许可决定的决定书。</w:t>
            </w:r>
          </w:p>
        </w:tc>
        <w:tc>
          <w:tcPr>
            <w:tcW w:w="1361" w:type="dxa"/>
            <w:vMerge/>
            <w:vAlign w:val="center"/>
          </w:tcPr>
          <w:p w:rsidR="0059130C" w:rsidRDefault="0059130C">
            <w:pPr>
              <w:pStyle w:val="a6"/>
              <w:spacing w:beforeAutospacing="0" w:afterAutospacing="0" w:line="240" w:lineRule="exact"/>
              <w:rPr>
                <w:rFonts w:ascii="仿宋_GB2312" w:eastAsia="仿宋_GB2312" w:hAnsi="仿宋_GB2312" w:cs="仿宋_GB2312"/>
                <w:sz w:val="21"/>
                <w:szCs w:val="21"/>
              </w:rPr>
            </w:pPr>
          </w:p>
        </w:tc>
      </w:tr>
      <w:tr w:rsidR="0059130C">
        <w:trPr>
          <w:trHeight w:val="832"/>
        </w:trPr>
        <w:tc>
          <w:tcPr>
            <w:tcW w:w="999" w:type="dxa"/>
            <w:vMerge/>
            <w:vAlign w:val="center"/>
          </w:tcPr>
          <w:p w:rsidR="0059130C" w:rsidRDefault="0059130C">
            <w:pPr>
              <w:pStyle w:val="a6"/>
              <w:spacing w:beforeAutospacing="0" w:afterAutospacing="0" w:line="240" w:lineRule="exact"/>
              <w:rPr>
                <w:rFonts w:ascii="仿宋_GB2312" w:eastAsia="仿宋_GB2312" w:hAnsi="仿宋_GB2312" w:cs="仿宋_GB2312"/>
                <w:color w:val="000000" w:themeColor="text1"/>
                <w:sz w:val="21"/>
                <w:szCs w:val="21"/>
              </w:rPr>
            </w:pPr>
          </w:p>
        </w:tc>
        <w:tc>
          <w:tcPr>
            <w:tcW w:w="2041" w:type="dxa"/>
            <w:vMerge/>
            <w:vAlign w:val="center"/>
          </w:tcPr>
          <w:p w:rsidR="0059130C" w:rsidRDefault="0059130C">
            <w:pPr>
              <w:pStyle w:val="a6"/>
              <w:spacing w:beforeAutospacing="0" w:afterAutospacing="0" w:line="240" w:lineRule="exact"/>
              <w:rPr>
                <w:rFonts w:ascii="仿宋_GB2312" w:eastAsia="仿宋_GB2312" w:hAnsi="仿宋_GB2312" w:cs="仿宋_GB2312"/>
                <w:sz w:val="21"/>
                <w:szCs w:val="21"/>
              </w:rPr>
            </w:pPr>
          </w:p>
        </w:tc>
        <w:tc>
          <w:tcPr>
            <w:tcW w:w="4876" w:type="dxa"/>
            <w:vMerge/>
            <w:vAlign w:val="center"/>
          </w:tcPr>
          <w:p w:rsidR="0059130C" w:rsidRDefault="0059130C">
            <w:pPr>
              <w:pStyle w:val="a6"/>
              <w:spacing w:beforeAutospacing="0" w:afterAutospacing="0" w:line="240" w:lineRule="exact"/>
              <w:rPr>
                <w:rFonts w:ascii="仿宋_GB2312" w:eastAsia="仿宋_GB2312" w:hAnsi="仿宋_GB2312" w:cs="仿宋_GB2312"/>
                <w:sz w:val="21"/>
                <w:szCs w:val="21"/>
              </w:rPr>
            </w:pPr>
          </w:p>
        </w:tc>
        <w:tc>
          <w:tcPr>
            <w:tcW w:w="980" w:type="dxa"/>
            <w:vMerge/>
            <w:vAlign w:val="center"/>
          </w:tcPr>
          <w:p w:rsidR="0059130C" w:rsidRDefault="0059130C">
            <w:pPr>
              <w:pStyle w:val="a6"/>
              <w:spacing w:beforeAutospacing="0" w:afterAutospacing="0" w:line="240" w:lineRule="exact"/>
              <w:rPr>
                <w:rFonts w:ascii="仿宋_GB2312" w:eastAsia="仿宋_GB2312" w:hAnsi="仿宋_GB2312" w:cs="仿宋_GB2312"/>
                <w:sz w:val="21"/>
                <w:szCs w:val="21"/>
              </w:rPr>
            </w:pPr>
          </w:p>
        </w:tc>
        <w:tc>
          <w:tcPr>
            <w:tcW w:w="980" w:type="dxa"/>
            <w:vAlign w:val="center"/>
          </w:tcPr>
          <w:p w:rsidR="0059130C" w:rsidRDefault="002E22CA">
            <w:pPr>
              <w:pStyle w:val="a6"/>
              <w:spacing w:beforeAutospacing="0" w:afterAutospacing="0" w:line="240" w:lineRule="exact"/>
              <w:jc w:val="center"/>
              <w:rPr>
                <w:rFonts w:ascii="仿宋_GB2312" w:eastAsia="仿宋_GB2312" w:hAnsi="仿宋_GB2312" w:cs="仿宋_GB2312"/>
                <w:sz w:val="21"/>
                <w:szCs w:val="21"/>
              </w:rPr>
            </w:pPr>
            <w:r>
              <w:rPr>
                <w:rFonts w:ascii="仿宋_GB2312" w:eastAsia="仿宋_GB2312" w:hAnsi="仿宋_GB2312" w:cs="仿宋_GB2312" w:hint="eastAsia"/>
                <w:sz w:val="21"/>
                <w:szCs w:val="21"/>
              </w:rPr>
              <w:t>送达</w:t>
            </w:r>
          </w:p>
        </w:tc>
        <w:tc>
          <w:tcPr>
            <w:tcW w:w="2891" w:type="dxa"/>
            <w:vAlign w:val="center"/>
          </w:tcPr>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送达责任：根据当事人选择办理送达。</w:t>
            </w:r>
          </w:p>
        </w:tc>
        <w:tc>
          <w:tcPr>
            <w:tcW w:w="1361" w:type="dxa"/>
            <w:vMerge/>
            <w:vAlign w:val="center"/>
          </w:tcPr>
          <w:p w:rsidR="0059130C" w:rsidRDefault="0059130C">
            <w:pPr>
              <w:pStyle w:val="a6"/>
              <w:spacing w:beforeAutospacing="0" w:afterAutospacing="0" w:line="240" w:lineRule="exact"/>
              <w:rPr>
                <w:rFonts w:ascii="仿宋_GB2312" w:eastAsia="仿宋_GB2312" w:hAnsi="仿宋_GB2312" w:cs="仿宋_GB2312"/>
                <w:sz w:val="21"/>
                <w:szCs w:val="21"/>
              </w:rPr>
            </w:pPr>
          </w:p>
        </w:tc>
      </w:tr>
      <w:tr w:rsidR="0059130C">
        <w:trPr>
          <w:trHeight w:val="479"/>
        </w:trPr>
        <w:tc>
          <w:tcPr>
            <w:tcW w:w="999" w:type="dxa"/>
            <w:vMerge/>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29" w:type="dxa"/>
            <w:gridSpan w:val="6"/>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调整情况：新增</w:t>
            </w:r>
          </w:p>
        </w:tc>
      </w:tr>
      <w:tr w:rsidR="0059130C">
        <w:trPr>
          <w:trHeight w:val="516"/>
        </w:trPr>
        <w:tc>
          <w:tcPr>
            <w:tcW w:w="999" w:type="dxa"/>
            <w:vMerge/>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29" w:type="dxa"/>
            <w:gridSpan w:val="6"/>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调整原因：根据2021年8月11日《交通运输部关于修改〈出租汽车驾驶员从业资格管理规定〉的决定》第一章第六条规定，新增此事项。</w:t>
            </w:r>
          </w:p>
        </w:tc>
      </w:tr>
    </w:tbl>
    <w:p w:rsidR="0059130C" w:rsidRDefault="002E22CA">
      <w:pPr>
        <w:autoSpaceDN w:val="0"/>
        <w:spacing w:line="700" w:lineRule="exact"/>
        <w:jc w:val="center"/>
        <w:textAlignment w:val="center"/>
        <w:rPr>
          <w:rFonts w:ascii="仿宋_GB2312" w:eastAsia="仿宋_GB2312" w:hAnsi="仿宋_GB2312" w:cs="仿宋_GB2312"/>
          <w:color w:val="000000" w:themeColor="text1"/>
          <w:szCs w:val="21"/>
        </w:rPr>
      </w:pPr>
      <w:r>
        <w:rPr>
          <w:rFonts w:ascii="方正小标宋_GBK" w:eastAsia="方正小标宋_GBK" w:hAnsi="方正小标宋_GBK" w:cs="方正小标宋_GBK" w:hint="eastAsia"/>
          <w:color w:val="000000" w:themeColor="text1"/>
          <w:kern w:val="0"/>
          <w:sz w:val="44"/>
          <w:szCs w:val="44"/>
        </w:rPr>
        <w:t>内乡县交通运输局</w:t>
      </w:r>
      <w:r>
        <w:rPr>
          <w:rFonts w:ascii="方正小标宋_GBK" w:eastAsia="方正小标宋_GBK" w:hAnsi="方正小标宋_GBK" w:cs="方正小标宋_GBK" w:hint="eastAsia"/>
          <w:color w:val="000000" w:themeColor="text1"/>
          <w:sz w:val="44"/>
          <w:szCs w:val="44"/>
        </w:rPr>
        <w:t>调整的权责清单</w:t>
      </w:r>
      <w:r>
        <w:rPr>
          <w:rFonts w:ascii="仿宋_GB2312" w:eastAsia="仿宋_GB2312" w:hAnsi="仿宋_GB2312" w:cs="仿宋_GB2312" w:hint="eastAsia"/>
          <w:color w:val="000000" w:themeColor="text1"/>
          <w:szCs w:val="21"/>
        </w:rPr>
        <w:br w:type="page"/>
      </w:r>
    </w:p>
    <w:tbl>
      <w:tblPr>
        <w:tblW w:w="14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5" w:type="dxa"/>
          <w:right w:w="15" w:type="dxa"/>
        </w:tblCellMar>
        <w:tblLook w:val="04A0"/>
      </w:tblPr>
      <w:tblGrid>
        <w:gridCol w:w="999"/>
        <w:gridCol w:w="2041"/>
        <w:gridCol w:w="4876"/>
        <w:gridCol w:w="980"/>
        <w:gridCol w:w="980"/>
        <w:gridCol w:w="2891"/>
        <w:gridCol w:w="1361"/>
      </w:tblGrid>
      <w:tr w:rsidR="0059130C">
        <w:trPr>
          <w:trHeight w:val="794"/>
        </w:trPr>
        <w:tc>
          <w:tcPr>
            <w:tcW w:w="999" w:type="dxa"/>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lastRenderedPageBreak/>
              <w:t>序号</w:t>
            </w:r>
          </w:p>
        </w:tc>
        <w:tc>
          <w:tcPr>
            <w:tcW w:w="2041" w:type="dxa"/>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项目名称</w:t>
            </w:r>
          </w:p>
        </w:tc>
        <w:tc>
          <w:tcPr>
            <w:tcW w:w="4876" w:type="dxa"/>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实施依据</w:t>
            </w:r>
          </w:p>
        </w:tc>
        <w:tc>
          <w:tcPr>
            <w:tcW w:w="980" w:type="dxa"/>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类别</w:t>
            </w:r>
          </w:p>
        </w:tc>
        <w:tc>
          <w:tcPr>
            <w:tcW w:w="980" w:type="dxa"/>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环节</w:t>
            </w:r>
          </w:p>
        </w:tc>
        <w:tc>
          <w:tcPr>
            <w:tcW w:w="2891" w:type="dxa"/>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责任事项</w:t>
            </w:r>
          </w:p>
        </w:tc>
        <w:tc>
          <w:tcPr>
            <w:tcW w:w="1361" w:type="dxa"/>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1587"/>
        </w:trPr>
        <w:tc>
          <w:tcPr>
            <w:tcW w:w="999" w:type="dxa"/>
            <w:vMerge w:val="restart"/>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2</w:t>
            </w:r>
          </w:p>
        </w:tc>
        <w:tc>
          <w:tcPr>
            <w:tcW w:w="2041" w:type="dxa"/>
            <w:vMerge w:val="restart"/>
            <w:vAlign w:val="center"/>
          </w:tcPr>
          <w:p w:rsidR="0059130C" w:rsidRDefault="002E22CA">
            <w:pPr>
              <w:widowControl/>
              <w:spacing w:line="240" w:lineRule="exact"/>
              <w:textAlignment w:val="center"/>
              <w:rPr>
                <w:rFonts w:ascii="仿宋_GB2312" w:eastAsia="仿宋_GB2312" w:hAnsi="仿宋_GB2312" w:cs="仿宋_GB2312"/>
                <w:color w:val="000000" w:themeColor="text1"/>
                <w:kern w:val="0"/>
                <w:szCs w:val="21"/>
                <w:lang/>
              </w:rPr>
            </w:pPr>
            <w:bookmarkStart w:id="0" w:name="_Hlk141258534"/>
            <w:r>
              <w:rPr>
                <w:rFonts w:ascii="仿宋_GB2312" w:eastAsia="仿宋_GB2312" w:hAnsi="仿宋_GB2312" w:cs="仿宋_GB2312" w:hint="eastAsia"/>
                <w:color w:val="000000" w:themeColor="text1"/>
                <w:kern w:val="0"/>
                <w:szCs w:val="21"/>
                <w:lang/>
              </w:rPr>
              <w:t>船员适任证书核发</w:t>
            </w:r>
            <w:bookmarkEnd w:id="0"/>
          </w:p>
        </w:tc>
        <w:tc>
          <w:tcPr>
            <w:tcW w:w="4876" w:type="dxa"/>
            <w:vMerge w:val="restart"/>
            <w:vAlign w:val="center"/>
          </w:tcPr>
          <w:p w:rsidR="0059130C" w:rsidRDefault="002E22CA">
            <w:pPr>
              <w:widowControl/>
              <w:spacing w:line="240" w:lineRule="exact"/>
              <w:textAlignment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中华人民共和国内河船舶船员适任考试和发证规则（2020修正）</w:t>
            </w:r>
          </w:p>
          <w:p w:rsidR="0059130C" w:rsidRDefault="002E22CA">
            <w:pPr>
              <w:widowControl/>
              <w:spacing w:line="240" w:lineRule="exact"/>
              <w:textAlignment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交通运输部主管全国内河船舶船员适任考试和发证工作。</w:t>
            </w:r>
          </w:p>
          <w:p w:rsidR="0059130C" w:rsidRDefault="002E22CA">
            <w:pPr>
              <w:widowControl/>
              <w:spacing w:line="240" w:lineRule="exact"/>
              <w:textAlignment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交通运输部海事局统一管理全国内河船舶船员适任考试和发证工作。</w:t>
            </w:r>
          </w:p>
          <w:p w:rsidR="0059130C" w:rsidRDefault="002E22CA">
            <w:pPr>
              <w:widowControl/>
              <w:spacing w:line="240" w:lineRule="exact"/>
              <w:textAlignment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各级海事管理机构按照职责负责具体实施内河船舶船员适任考试和发证工作。</w:t>
            </w:r>
          </w:p>
        </w:tc>
        <w:tc>
          <w:tcPr>
            <w:tcW w:w="980" w:type="dxa"/>
            <w:vMerge w:val="restart"/>
            <w:vAlign w:val="center"/>
          </w:tcPr>
          <w:p w:rsidR="0059130C" w:rsidRDefault="002E22CA">
            <w:pPr>
              <w:widowControl/>
              <w:spacing w:line="240" w:lineRule="exact"/>
              <w:textAlignment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原职权类别：行政确认</w:t>
            </w:r>
          </w:p>
          <w:p w:rsidR="0059130C" w:rsidRDefault="0059130C">
            <w:pPr>
              <w:widowControl/>
              <w:spacing w:line="240" w:lineRule="exact"/>
              <w:textAlignment w:val="center"/>
              <w:rPr>
                <w:rFonts w:ascii="仿宋_GB2312" w:eastAsia="仿宋_GB2312" w:hAnsi="仿宋_GB2312" w:cs="仿宋_GB2312"/>
                <w:color w:val="000000" w:themeColor="text1"/>
                <w:kern w:val="0"/>
                <w:szCs w:val="21"/>
                <w:lang/>
              </w:rPr>
            </w:pPr>
          </w:p>
          <w:p w:rsidR="0059130C" w:rsidRDefault="002E22CA">
            <w:pPr>
              <w:widowControl/>
              <w:spacing w:line="240" w:lineRule="exact"/>
              <w:textAlignment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调整为：行政许可</w:t>
            </w:r>
          </w:p>
        </w:tc>
        <w:tc>
          <w:tcPr>
            <w:tcW w:w="980" w:type="dxa"/>
            <w:vAlign w:val="center"/>
          </w:tcPr>
          <w:p w:rsidR="0059130C" w:rsidRDefault="002E22CA">
            <w:pPr>
              <w:widowControl/>
              <w:spacing w:line="240" w:lineRule="exact"/>
              <w:jc w:val="center"/>
              <w:textAlignment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受理</w:t>
            </w:r>
          </w:p>
        </w:tc>
        <w:tc>
          <w:tcPr>
            <w:tcW w:w="2891" w:type="dxa"/>
            <w:vAlign w:val="center"/>
          </w:tcPr>
          <w:p w:rsidR="0059130C" w:rsidRDefault="002E22CA">
            <w:pPr>
              <w:widowControl/>
              <w:spacing w:line="240" w:lineRule="exact"/>
              <w:textAlignment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1．受理责任：公示依法应当提交的材料；一次性告知补正材料；依法受理或不予受理（不予受理应当告知理由）。</w:t>
            </w:r>
          </w:p>
        </w:tc>
        <w:tc>
          <w:tcPr>
            <w:tcW w:w="1361" w:type="dxa"/>
            <w:vMerge w:val="restart"/>
            <w:vAlign w:val="center"/>
          </w:tcPr>
          <w:p w:rsidR="0059130C" w:rsidRDefault="002E22CA">
            <w:pPr>
              <w:widowControl/>
              <w:spacing w:line="240" w:lineRule="exact"/>
              <w:textAlignment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行政审批服务股、运输管理股</w:t>
            </w:r>
          </w:p>
        </w:tc>
      </w:tr>
      <w:tr w:rsidR="0059130C">
        <w:trPr>
          <w:trHeight w:val="1587"/>
        </w:trPr>
        <w:tc>
          <w:tcPr>
            <w:tcW w:w="999" w:type="dxa"/>
            <w:vMerge/>
            <w:vAlign w:val="center"/>
          </w:tcPr>
          <w:p w:rsidR="0059130C" w:rsidRDefault="0059130C">
            <w:pPr>
              <w:widowControl/>
              <w:spacing w:line="240" w:lineRule="exact"/>
              <w:jc w:val="center"/>
              <w:textAlignment w:val="center"/>
              <w:rPr>
                <w:rFonts w:ascii="仿宋_GB2312" w:eastAsia="仿宋_GB2312" w:hAnsi="仿宋_GB2312" w:cs="仿宋_GB2312"/>
                <w:color w:val="000000" w:themeColor="text1"/>
                <w:szCs w:val="21"/>
              </w:rPr>
            </w:pPr>
          </w:p>
        </w:tc>
        <w:tc>
          <w:tcPr>
            <w:tcW w:w="2041" w:type="dxa"/>
            <w:vMerge/>
            <w:vAlign w:val="center"/>
          </w:tcPr>
          <w:p w:rsidR="0059130C" w:rsidRDefault="0059130C">
            <w:pPr>
              <w:widowControl/>
              <w:spacing w:line="240" w:lineRule="exact"/>
              <w:textAlignment w:val="center"/>
              <w:rPr>
                <w:rFonts w:ascii="仿宋_GB2312" w:eastAsia="仿宋_GB2312" w:hAnsi="仿宋_GB2312" w:cs="仿宋_GB2312"/>
                <w:color w:val="000000" w:themeColor="text1"/>
                <w:kern w:val="0"/>
                <w:szCs w:val="21"/>
                <w:lang/>
              </w:rPr>
            </w:pPr>
          </w:p>
        </w:tc>
        <w:tc>
          <w:tcPr>
            <w:tcW w:w="4876" w:type="dxa"/>
            <w:vMerge/>
            <w:vAlign w:val="center"/>
          </w:tcPr>
          <w:p w:rsidR="0059130C" w:rsidRDefault="0059130C">
            <w:pPr>
              <w:widowControl/>
              <w:spacing w:line="240" w:lineRule="exact"/>
              <w:textAlignment w:val="center"/>
              <w:rPr>
                <w:rFonts w:ascii="仿宋_GB2312" w:eastAsia="仿宋_GB2312" w:hAnsi="仿宋_GB2312" w:cs="仿宋_GB2312"/>
                <w:color w:val="000000" w:themeColor="text1"/>
                <w:kern w:val="0"/>
                <w:szCs w:val="21"/>
                <w:lang/>
              </w:rPr>
            </w:pPr>
          </w:p>
        </w:tc>
        <w:tc>
          <w:tcPr>
            <w:tcW w:w="980" w:type="dxa"/>
            <w:vMerge/>
            <w:vAlign w:val="center"/>
          </w:tcPr>
          <w:p w:rsidR="0059130C" w:rsidRDefault="0059130C">
            <w:pPr>
              <w:widowControl/>
              <w:spacing w:line="240" w:lineRule="exact"/>
              <w:textAlignment w:val="center"/>
              <w:rPr>
                <w:rFonts w:ascii="仿宋_GB2312" w:eastAsia="仿宋_GB2312" w:hAnsi="仿宋_GB2312" w:cs="仿宋_GB2312"/>
                <w:color w:val="000000" w:themeColor="text1"/>
                <w:kern w:val="0"/>
                <w:szCs w:val="21"/>
                <w:lang/>
              </w:rPr>
            </w:pPr>
          </w:p>
        </w:tc>
        <w:tc>
          <w:tcPr>
            <w:tcW w:w="980" w:type="dxa"/>
            <w:vAlign w:val="center"/>
          </w:tcPr>
          <w:p w:rsidR="0059130C" w:rsidRDefault="002E22CA">
            <w:pPr>
              <w:widowControl/>
              <w:spacing w:line="240" w:lineRule="exact"/>
              <w:jc w:val="center"/>
              <w:textAlignment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一审</w:t>
            </w:r>
          </w:p>
        </w:tc>
        <w:tc>
          <w:tcPr>
            <w:tcW w:w="2891" w:type="dxa"/>
            <w:vAlign w:val="center"/>
          </w:tcPr>
          <w:p w:rsidR="0059130C" w:rsidRDefault="002E22CA">
            <w:pPr>
              <w:widowControl/>
              <w:spacing w:line="240" w:lineRule="exact"/>
              <w:textAlignment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2．审查责任：材料审核包括法律法规规定应当审核的文书；组织专家评审；根据需要征求部门意见、项目审批前公示；提出初审意见。</w:t>
            </w:r>
          </w:p>
        </w:tc>
        <w:tc>
          <w:tcPr>
            <w:tcW w:w="1361" w:type="dxa"/>
            <w:vMerge/>
            <w:vAlign w:val="center"/>
          </w:tcPr>
          <w:p w:rsidR="0059130C" w:rsidRDefault="0059130C">
            <w:pPr>
              <w:widowControl/>
              <w:spacing w:line="240" w:lineRule="exact"/>
              <w:textAlignment w:val="center"/>
              <w:rPr>
                <w:rFonts w:ascii="仿宋_GB2312" w:eastAsia="仿宋_GB2312" w:hAnsi="仿宋_GB2312" w:cs="仿宋_GB2312"/>
                <w:color w:val="000000" w:themeColor="text1"/>
                <w:kern w:val="0"/>
                <w:szCs w:val="21"/>
                <w:lang/>
              </w:rPr>
            </w:pPr>
          </w:p>
        </w:tc>
      </w:tr>
      <w:tr w:rsidR="0059130C">
        <w:trPr>
          <w:trHeight w:val="1587"/>
        </w:trPr>
        <w:tc>
          <w:tcPr>
            <w:tcW w:w="999" w:type="dxa"/>
            <w:vMerge/>
            <w:vAlign w:val="center"/>
          </w:tcPr>
          <w:p w:rsidR="0059130C" w:rsidRDefault="0059130C">
            <w:pPr>
              <w:widowControl/>
              <w:spacing w:line="240" w:lineRule="exact"/>
              <w:jc w:val="center"/>
              <w:textAlignment w:val="center"/>
              <w:rPr>
                <w:rFonts w:ascii="仿宋_GB2312" w:eastAsia="仿宋_GB2312" w:hAnsi="仿宋_GB2312" w:cs="仿宋_GB2312"/>
                <w:color w:val="000000" w:themeColor="text1"/>
                <w:kern w:val="0"/>
                <w:szCs w:val="21"/>
              </w:rPr>
            </w:pPr>
          </w:p>
        </w:tc>
        <w:tc>
          <w:tcPr>
            <w:tcW w:w="2041" w:type="dxa"/>
            <w:vMerge/>
            <w:vAlign w:val="center"/>
          </w:tcPr>
          <w:p w:rsidR="0059130C" w:rsidRDefault="0059130C">
            <w:pPr>
              <w:widowControl/>
              <w:spacing w:line="240" w:lineRule="exact"/>
              <w:textAlignment w:val="center"/>
              <w:rPr>
                <w:rFonts w:ascii="仿宋_GB2312" w:eastAsia="仿宋_GB2312" w:hAnsi="仿宋_GB2312" w:cs="仿宋_GB2312"/>
                <w:color w:val="000000" w:themeColor="text1"/>
                <w:kern w:val="0"/>
                <w:szCs w:val="21"/>
                <w:lang/>
              </w:rPr>
            </w:pPr>
          </w:p>
        </w:tc>
        <w:tc>
          <w:tcPr>
            <w:tcW w:w="4876" w:type="dxa"/>
            <w:vMerge/>
            <w:vAlign w:val="center"/>
          </w:tcPr>
          <w:p w:rsidR="0059130C" w:rsidRDefault="0059130C">
            <w:pPr>
              <w:widowControl/>
              <w:spacing w:line="240" w:lineRule="exact"/>
              <w:textAlignment w:val="center"/>
              <w:rPr>
                <w:rFonts w:ascii="仿宋_GB2312" w:eastAsia="仿宋_GB2312" w:hAnsi="仿宋_GB2312" w:cs="仿宋_GB2312"/>
                <w:color w:val="000000" w:themeColor="text1"/>
                <w:kern w:val="0"/>
                <w:szCs w:val="21"/>
                <w:lang/>
              </w:rPr>
            </w:pPr>
          </w:p>
        </w:tc>
        <w:tc>
          <w:tcPr>
            <w:tcW w:w="980" w:type="dxa"/>
            <w:vMerge/>
            <w:vAlign w:val="center"/>
          </w:tcPr>
          <w:p w:rsidR="0059130C" w:rsidRDefault="0059130C">
            <w:pPr>
              <w:widowControl/>
              <w:spacing w:line="240" w:lineRule="exact"/>
              <w:textAlignment w:val="center"/>
              <w:rPr>
                <w:rFonts w:ascii="仿宋_GB2312" w:eastAsia="仿宋_GB2312" w:hAnsi="仿宋_GB2312" w:cs="仿宋_GB2312"/>
                <w:color w:val="000000" w:themeColor="text1"/>
                <w:kern w:val="0"/>
                <w:szCs w:val="21"/>
                <w:lang/>
              </w:rPr>
            </w:pPr>
          </w:p>
        </w:tc>
        <w:tc>
          <w:tcPr>
            <w:tcW w:w="980" w:type="dxa"/>
            <w:vAlign w:val="center"/>
          </w:tcPr>
          <w:p w:rsidR="0059130C" w:rsidRDefault="002E22CA">
            <w:pPr>
              <w:widowControl/>
              <w:spacing w:line="240" w:lineRule="exact"/>
              <w:jc w:val="center"/>
              <w:textAlignment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复审</w:t>
            </w:r>
          </w:p>
        </w:tc>
        <w:tc>
          <w:tcPr>
            <w:tcW w:w="2891" w:type="dxa"/>
            <w:vAlign w:val="center"/>
          </w:tcPr>
          <w:p w:rsidR="0059130C" w:rsidRDefault="002E22CA">
            <w:pPr>
              <w:widowControl/>
              <w:spacing w:line="240" w:lineRule="exact"/>
              <w:textAlignment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3．决定责任：</w:t>
            </w:r>
            <w:proofErr w:type="gramStart"/>
            <w:r>
              <w:rPr>
                <w:rFonts w:ascii="仿宋_GB2312" w:eastAsia="仿宋_GB2312" w:hAnsi="仿宋_GB2312" w:cs="仿宋_GB2312" w:hint="eastAsia"/>
                <w:color w:val="000000" w:themeColor="text1"/>
                <w:kern w:val="0"/>
                <w:szCs w:val="21"/>
                <w:lang/>
              </w:rPr>
              <w:t>作出</w:t>
            </w:r>
            <w:proofErr w:type="gramEnd"/>
            <w:r>
              <w:rPr>
                <w:rFonts w:ascii="仿宋_GB2312" w:eastAsia="仿宋_GB2312" w:hAnsi="仿宋_GB2312" w:cs="仿宋_GB2312" w:hint="eastAsia"/>
                <w:color w:val="000000" w:themeColor="text1"/>
                <w:kern w:val="0"/>
                <w:szCs w:val="21"/>
                <w:lang/>
              </w:rPr>
              <w:t>决定（不予行政许可的应当告知理由）；按时办结；法定告知。</w:t>
            </w:r>
          </w:p>
        </w:tc>
        <w:tc>
          <w:tcPr>
            <w:tcW w:w="1361" w:type="dxa"/>
            <w:vMerge/>
            <w:vAlign w:val="center"/>
          </w:tcPr>
          <w:p w:rsidR="0059130C" w:rsidRDefault="0059130C">
            <w:pPr>
              <w:widowControl/>
              <w:spacing w:line="240" w:lineRule="exact"/>
              <w:jc w:val="center"/>
              <w:textAlignment w:val="center"/>
              <w:rPr>
                <w:rFonts w:ascii="仿宋_GB2312" w:eastAsia="仿宋_GB2312" w:hAnsi="仿宋_GB2312" w:cs="仿宋_GB2312"/>
                <w:color w:val="000000" w:themeColor="text1"/>
                <w:kern w:val="0"/>
                <w:szCs w:val="21"/>
              </w:rPr>
            </w:pPr>
          </w:p>
        </w:tc>
      </w:tr>
      <w:tr w:rsidR="0059130C">
        <w:trPr>
          <w:trHeight w:val="1587"/>
        </w:trPr>
        <w:tc>
          <w:tcPr>
            <w:tcW w:w="999" w:type="dxa"/>
            <w:vMerge/>
            <w:vAlign w:val="center"/>
          </w:tcPr>
          <w:p w:rsidR="0059130C" w:rsidRDefault="0059130C">
            <w:pPr>
              <w:widowControl/>
              <w:spacing w:line="240" w:lineRule="exact"/>
              <w:jc w:val="center"/>
              <w:textAlignment w:val="center"/>
              <w:rPr>
                <w:rFonts w:ascii="仿宋_GB2312" w:eastAsia="仿宋_GB2312" w:hAnsi="仿宋_GB2312" w:cs="仿宋_GB2312"/>
                <w:color w:val="000000" w:themeColor="text1"/>
                <w:kern w:val="0"/>
                <w:szCs w:val="21"/>
              </w:rPr>
            </w:pPr>
          </w:p>
        </w:tc>
        <w:tc>
          <w:tcPr>
            <w:tcW w:w="2041" w:type="dxa"/>
            <w:vMerge/>
            <w:vAlign w:val="center"/>
          </w:tcPr>
          <w:p w:rsidR="0059130C" w:rsidRDefault="0059130C">
            <w:pPr>
              <w:widowControl/>
              <w:spacing w:line="240" w:lineRule="exact"/>
              <w:textAlignment w:val="center"/>
              <w:rPr>
                <w:rFonts w:ascii="仿宋_GB2312" w:eastAsia="仿宋_GB2312" w:hAnsi="仿宋_GB2312" w:cs="仿宋_GB2312"/>
                <w:color w:val="000000" w:themeColor="text1"/>
                <w:kern w:val="0"/>
                <w:szCs w:val="21"/>
                <w:lang/>
              </w:rPr>
            </w:pPr>
          </w:p>
        </w:tc>
        <w:tc>
          <w:tcPr>
            <w:tcW w:w="4876" w:type="dxa"/>
            <w:vMerge/>
            <w:vAlign w:val="center"/>
          </w:tcPr>
          <w:p w:rsidR="0059130C" w:rsidRDefault="0059130C">
            <w:pPr>
              <w:widowControl/>
              <w:spacing w:line="240" w:lineRule="exact"/>
              <w:textAlignment w:val="center"/>
              <w:rPr>
                <w:rFonts w:ascii="仿宋_GB2312" w:eastAsia="仿宋_GB2312" w:hAnsi="仿宋_GB2312" w:cs="仿宋_GB2312"/>
                <w:color w:val="000000" w:themeColor="text1"/>
                <w:kern w:val="0"/>
                <w:szCs w:val="21"/>
                <w:lang/>
              </w:rPr>
            </w:pPr>
          </w:p>
        </w:tc>
        <w:tc>
          <w:tcPr>
            <w:tcW w:w="980" w:type="dxa"/>
            <w:vMerge/>
            <w:vAlign w:val="center"/>
          </w:tcPr>
          <w:p w:rsidR="0059130C" w:rsidRDefault="0059130C">
            <w:pPr>
              <w:widowControl/>
              <w:spacing w:line="240" w:lineRule="exact"/>
              <w:textAlignment w:val="center"/>
              <w:rPr>
                <w:rFonts w:ascii="仿宋_GB2312" w:eastAsia="仿宋_GB2312" w:hAnsi="仿宋_GB2312" w:cs="仿宋_GB2312"/>
                <w:color w:val="000000" w:themeColor="text1"/>
                <w:kern w:val="0"/>
                <w:szCs w:val="21"/>
                <w:lang/>
              </w:rPr>
            </w:pPr>
          </w:p>
        </w:tc>
        <w:tc>
          <w:tcPr>
            <w:tcW w:w="980" w:type="dxa"/>
            <w:vAlign w:val="center"/>
          </w:tcPr>
          <w:p w:rsidR="0059130C" w:rsidRDefault="002E22CA">
            <w:pPr>
              <w:widowControl/>
              <w:spacing w:line="240" w:lineRule="exact"/>
              <w:jc w:val="center"/>
              <w:textAlignment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批准</w:t>
            </w:r>
          </w:p>
        </w:tc>
        <w:tc>
          <w:tcPr>
            <w:tcW w:w="2891" w:type="dxa"/>
            <w:vAlign w:val="center"/>
          </w:tcPr>
          <w:p w:rsidR="0059130C" w:rsidRDefault="002E22CA">
            <w:pPr>
              <w:widowControl/>
              <w:spacing w:line="240" w:lineRule="exact"/>
              <w:textAlignment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4．送达责任：制</w:t>
            </w:r>
            <w:proofErr w:type="gramStart"/>
            <w:r>
              <w:rPr>
                <w:rFonts w:ascii="仿宋_GB2312" w:eastAsia="仿宋_GB2312" w:hAnsi="仿宋_GB2312" w:cs="仿宋_GB2312" w:hint="eastAsia"/>
                <w:color w:val="000000" w:themeColor="text1"/>
                <w:kern w:val="0"/>
                <w:szCs w:val="21"/>
                <w:lang/>
              </w:rPr>
              <w:t>发送达</w:t>
            </w:r>
            <w:proofErr w:type="gramEnd"/>
            <w:r>
              <w:rPr>
                <w:rFonts w:ascii="仿宋_GB2312" w:eastAsia="仿宋_GB2312" w:hAnsi="仿宋_GB2312" w:cs="仿宋_GB2312" w:hint="eastAsia"/>
                <w:color w:val="000000" w:themeColor="text1"/>
                <w:kern w:val="0"/>
                <w:szCs w:val="21"/>
                <w:lang/>
              </w:rPr>
              <w:t>文书；信息公开。</w:t>
            </w:r>
          </w:p>
        </w:tc>
        <w:tc>
          <w:tcPr>
            <w:tcW w:w="1361" w:type="dxa"/>
            <w:vMerge/>
            <w:vAlign w:val="center"/>
          </w:tcPr>
          <w:p w:rsidR="0059130C" w:rsidRDefault="0059130C">
            <w:pPr>
              <w:widowControl/>
              <w:spacing w:line="240" w:lineRule="exact"/>
              <w:jc w:val="center"/>
              <w:textAlignment w:val="center"/>
              <w:rPr>
                <w:rFonts w:ascii="仿宋_GB2312" w:eastAsia="仿宋_GB2312" w:hAnsi="仿宋_GB2312" w:cs="仿宋_GB2312"/>
                <w:color w:val="000000" w:themeColor="text1"/>
                <w:kern w:val="0"/>
                <w:szCs w:val="21"/>
              </w:rPr>
            </w:pPr>
          </w:p>
        </w:tc>
      </w:tr>
      <w:tr w:rsidR="0059130C">
        <w:trPr>
          <w:trHeight w:val="680"/>
        </w:trPr>
        <w:tc>
          <w:tcPr>
            <w:tcW w:w="999" w:type="dxa"/>
            <w:vMerge/>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29" w:type="dxa"/>
            <w:gridSpan w:val="6"/>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调整情况：调整职权类别</w:t>
            </w:r>
          </w:p>
        </w:tc>
      </w:tr>
      <w:tr w:rsidR="0059130C">
        <w:trPr>
          <w:trHeight w:val="680"/>
        </w:trPr>
        <w:tc>
          <w:tcPr>
            <w:tcW w:w="999" w:type="dxa"/>
            <w:vMerge/>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29" w:type="dxa"/>
            <w:gridSpan w:val="6"/>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szCs w:val="21"/>
              </w:rPr>
              <w:t>调整原因：根据2023年6月30日最新版《河南省政务服务事项基本目录》，已将行政确认调整为行政许可。</w:t>
            </w:r>
          </w:p>
        </w:tc>
      </w:tr>
    </w:tbl>
    <w:p w:rsidR="0059130C" w:rsidRDefault="002E22CA">
      <w:pPr>
        <w:spacing w:line="240" w:lineRule="exact"/>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br w:type="page"/>
      </w:r>
    </w:p>
    <w:tbl>
      <w:tblPr>
        <w:tblW w:w="13774" w:type="dxa"/>
        <w:tblInd w:w="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5" w:type="dxa"/>
          <w:right w:w="15" w:type="dxa"/>
        </w:tblCellMar>
        <w:tblLook w:val="04A0"/>
      </w:tblPr>
      <w:tblGrid>
        <w:gridCol w:w="645"/>
        <w:gridCol w:w="2041"/>
        <w:gridCol w:w="4876"/>
        <w:gridCol w:w="980"/>
        <w:gridCol w:w="980"/>
        <w:gridCol w:w="2891"/>
        <w:gridCol w:w="1361"/>
      </w:tblGrid>
      <w:tr w:rsidR="0059130C">
        <w:trPr>
          <w:trHeight w:val="794"/>
        </w:trPr>
        <w:tc>
          <w:tcPr>
            <w:tcW w:w="645" w:type="dxa"/>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lastRenderedPageBreak/>
              <w:t>序号</w:t>
            </w:r>
          </w:p>
        </w:tc>
        <w:tc>
          <w:tcPr>
            <w:tcW w:w="2041" w:type="dxa"/>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项目名称</w:t>
            </w:r>
          </w:p>
        </w:tc>
        <w:tc>
          <w:tcPr>
            <w:tcW w:w="4876" w:type="dxa"/>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实施依据</w:t>
            </w:r>
          </w:p>
        </w:tc>
        <w:tc>
          <w:tcPr>
            <w:tcW w:w="980" w:type="dxa"/>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类别</w:t>
            </w:r>
          </w:p>
        </w:tc>
        <w:tc>
          <w:tcPr>
            <w:tcW w:w="980" w:type="dxa"/>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环节</w:t>
            </w:r>
          </w:p>
        </w:tc>
        <w:tc>
          <w:tcPr>
            <w:tcW w:w="2891" w:type="dxa"/>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责任事项</w:t>
            </w:r>
          </w:p>
        </w:tc>
        <w:tc>
          <w:tcPr>
            <w:tcW w:w="1361" w:type="dxa"/>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2438"/>
        </w:trPr>
        <w:tc>
          <w:tcPr>
            <w:tcW w:w="645" w:type="dxa"/>
            <w:vMerge w:val="restart"/>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3</w:t>
            </w:r>
          </w:p>
        </w:tc>
        <w:tc>
          <w:tcPr>
            <w:tcW w:w="2041" w:type="dxa"/>
            <w:vMerge w:val="restart"/>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交通工程建设项目招投标备案</w:t>
            </w:r>
          </w:p>
        </w:tc>
        <w:tc>
          <w:tcPr>
            <w:tcW w:w="4876" w:type="dxa"/>
            <w:vMerge w:val="restart"/>
            <w:vAlign w:val="center"/>
          </w:tcPr>
          <w:p w:rsidR="0059130C" w:rsidRDefault="002E22CA">
            <w:pPr>
              <w:widowControl/>
              <w:spacing w:line="240" w:lineRule="exact"/>
              <w:jc w:val="left"/>
              <w:textAlignment w:val="center"/>
              <w:rPr>
                <w:rFonts w:ascii="仿宋_GB2312" w:eastAsia="仿宋_GB2312" w:hAnsi="仿宋_GB2312" w:cs="仿宋_GB2312"/>
                <w:color w:val="000000" w:themeColor="text1"/>
                <w:kern w:val="0"/>
                <w:szCs w:val="21"/>
              </w:rPr>
            </w:pPr>
            <w:r>
              <w:rPr>
                <w:rFonts w:ascii="仿宋_GB2312" w:eastAsia="仿宋_GB2312" w:hAnsi="仿宋_GB2312" w:cs="仿宋_GB2312" w:hint="eastAsia"/>
                <w:color w:val="000000" w:themeColor="text1"/>
                <w:kern w:val="0"/>
                <w:szCs w:val="21"/>
              </w:rPr>
              <w:t>《公路工程建设项目招标投标管理办法》（交通运输部令2015年第24号）第十七条 招标人应当按照省级人民政府交通运输主管部门的规定，</w:t>
            </w:r>
            <w:proofErr w:type="gramStart"/>
            <w:r>
              <w:rPr>
                <w:rFonts w:ascii="仿宋_GB2312" w:eastAsia="仿宋_GB2312" w:hAnsi="仿宋_GB2312" w:cs="仿宋_GB2312" w:hint="eastAsia"/>
                <w:color w:val="000000" w:themeColor="text1"/>
                <w:kern w:val="0"/>
                <w:szCs w:val="21"/>
              </w:rPr>
              <w:t>将资格</w:t>
            </w:r>
            <w:proofErr w:type="gramEnd"/>
            <w:r>
              <w:rPr>
                <w:rFonts w:ascii="仿宋_GB2312" w:eastAsia="仿宋_GB2312" w:hAnsi="仿宋_GB2312" w:cs="仿宋_GB2312" w:hint="eastAsia"/>
                <w:color w:val="000000" w:themeColor="text1"/>
                <w:kern w:val="0"/>
                <w:szCs w:val="21"/>
              </w:rPr>
              <w:t>预审文件及其澄清、修改，招标文件及其澄清、修改</w:t>
            </w:r>
            <w:proofErr w:type="gramStart"/>
            <w:r>
              <w:rPr>
                <w:rFonts w:ascii="仿宋_GB2312" w:eastAsia="仿宋_GB2312" w:hAnsi="仿宋_GB2312" w:cs="仿宋_GB2312" w:hint="eastAsia"/>
                <w:color w:val="000000" w:themeColor="text1"/>
                <w:kern w:val="0"/>
                <w:szCs w:val="21"/>
              </w:rPr>
              <w:t>报相应</w:t>
            </w:r>
            <w:proofErr w:type="gramEnd"/>
            <w:r>
              <w:rPr>
                <w:rFonts w:ascii="仿宋_GB2312" w:eastAsia="仿宋_GB2312" w:hAnsi="仿宋_GB2312" w:cs="仿宋_GB2312" w:hint="eastAsia"/>
                <w:color w:val="000000" w:themeColor="text1"/>
                <w:kern w:val="0"/>
                <w:szCs w:val="21"/>
              </w:rPr>
              <w:t>的交通运输主管部门备案。 第五十五条 依法必须进行招标的公路工程建设项目，招标人应当自确定中标人之日起15日内，将招标投标情况的书面报告报对该项目具有招标监督职责的交通运输主管部门备案。</w:t>
            </w:r>
          </w:p>
          <w:p w:rsidR="0059130C" w:rsidRDefault="002E22CA">
            <w:pPr>
              <w:widowControl/>
              <w:spacing w:line="240" w:lineRule="exact"/>
              <w:jc w:val="left"/>
              <w:textAlignment w:val="center"/>
              <w:rPr>
                <w:rFonts w:ascii="仿宋_GB2312" w:eastAsia="仿宋_GB2312" w:hAnsi="仿宋_GB2312" w:cs="仿宋_GB2312"/>
                <w:color w:val="000000" w:themeColor="text1"/>
                <w:kern w:val="0"/>
                <w:szCs w:val="21"/>
              </w:rPr>
            </w:pPr>
            <w:r>
              <w:rPr>
                <w:rFonts w:ascii="仿宋_GB2312" w:eastAsia="仿宋_GB2312" w:hAnsi="仿宋_GB2312" w:cs="仿宋_GB2312" w:hint="eastAsia"/>
                <w:color w:val="000000" w:themeColor="text1"/>
                <w:kern w:val="0"/>
                <w:szCs w:val="21"/>
              </w:rPr>
              <w:t>《水运工程建设项目招标投标管理办法》（交通运输部令2021年第14号）第十八条　（一）编制资格预审文件和招标文件，</w:t>
            </w:r>
            <w:proofErr w:type="gramStart"/>
            <w:r>
              <w:rPr>
                <w:rFonts w:ascii="仿宋_GB2312" w:eastAsia="仿宋_GB2312" w:hAnsi="仿宋_GB2312" w:cs="仿宋_GB2312" w:hint="eastAsia"/>
                <w:color w:val="000000" w:themeColor="text1"/>
                <w:kern w:val="0"/>
                <w:szCs w:val="21"/>
              </w:rPr>
              <w:t>报交通</w:t>
            </w:r>
            <w:proofErr w:type="gramEnd"/>
            <w:r>
              <w:rPr>
                <w:rFonts w:ascii="仿宋_GB2312" w:eastAsia="仿宋_GB2312" w:hAnsi="仿宋_GB2312" w:cs="仿宋_GB2312" w:hint="eastAsia"/>
                <w:color w:val="000000" w:themeColor="text1"/>
                <w:kern w:val="0"/>
                <w:szCs w:val="21"/>
              </w:rPr>
              <w:t>运输主管部门备案；（三）对提出投标申请的潜在投标人进行资格预审，资格审查结果</w:t>
            </w:r>
            <w:proofErr w:type="gramStart"/>
            <w:r>
              <w:rPr>
                <w:rFonts w:ascii="仿宋_GB2312" w:eastAsia="仿宋_GB2312" w:hAnsi="仿宋_GB2312" w:cs="仿宋_GB2312" w:hint="eastAsia"/>
                <w:color w:val="000000" w:themeColor="text1"/>
                <w:kern w:val="0"/>
                <w:szCs w:val="21"/>
              </w:rPr>
              <w:t>报交通</w:t>
            </w:r>
            <w:proofErr w:type="gramEnd"/>
            <w:r>
              <w:rPr>
                <w:rFonts w:ascii="仿宋_GB2312" w:eastAsia="仿宋_GB2312" w:hAnsi="仿宋_GB2312" w:cs="仿宋_GB2312" w:hint="eastAsia"/>
                <w:color w:val="000000" w:themeColor="text1"/>
                <w:kern w:val="0"/>
                <w:szCs w:val="21"/>
              </w:rPr>
              <w:t>运输主管部门备案；（十）编制招标投标情况书面报告</w:t>
            </w:r>
            <w:proofErr w:type="gramStart"/>
            <w:r>
              <w:rPr>
                <w:rFonts w:ascii="仿宋_GB2312" w:eastAsia="仿宋_GB2312" w:hAnsi="仿宋_GB2312" w:cs="仿宋_GB2312" w:hint="eastAsia"/>
                <w:color w:val="000000" w:themeColor="text1"/>
                <w:kern w:val="0"/>
                <w:szCs w:val="21"/>
              </w:rPr>
              <w:t>报交通</w:t>
            </w:r>
            <w:proofErr w:type="gramEnd"/>
            <w:r>
              <w:rPr>
                <w:rFonts w:ascii="仿宋_GB2312" w:eastAsia="仿宋_GB2312" w:hAnsi="仿宋_GB2312" w:cs="仿宋_GB2312" w:hint="eastAsia"/>
                <w:color w:val="000000" w:themeColor="text1"/>
                <w:kern w:val="0"/>
                <w:szCs w:val="21"/>
              </w:rPr>
              <w:t>运输主管部门备案。</w:t>
            </w:r>
          </w:p>
        </w:tc>
        <w:tc>
          <w:tcPr>
            <w:tcW w:w="980" w:type="dxa"/>
            <w:vMerge w:val="restart"/>
            <w:vAlign w:val="center"/>
          </w:tcPr>
          <w:p w:rsidR="0059130C" w:rsidRDefault="002E22CA">
            <w:pPr>
              <w:widowControl/>
              <w:spacing w:line="240" w:lineRule="exact"/>
              <w:jc w:val="center"/>
              <w:textAlignment w:val="center"/>
              <w:rPr>
                <w:rFonts w:ascii="仿宋_GB2312" w:eastAsia="仿宋_GB2312" w:hAnsi="仿宋_GB2312" w:cs="仿宋_GB2312"/>
                <w:color w:val="000000" w:themeColor="text1"/>
                <w:kern w:val="0"/>
                <w:szCs w:val="21"/>
              </w:rPr>
            </w:pPr>
            <w:r>
              <w:rPr>
                <w:rFonts w:ascii="仿宋_GB2312" w:eastAsia="仿宋_GB2312" w:hAnsi="仿宋_GB2312" w:cs="仿宋_GB2312" w:hint="eastAsia"/>
                <w:color w:val="000000" w:themeColor="text1"/>
                <w:kern w:val="0"/>
                <w:szCs w:val="21"/>
              </w:rPr>
              <w:t>其他</w:t>
            </w:r>
          </w:p>
          <w:p w:rsidR="0059130C" w:rsidRDefault="002E22CA">
            <w:pPr>
              <w:widowControl/>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kern w:val="0"/>
                <w:szCs w:val="21"/>
              </w:rPr>
              <w:t>职权</w:t>
            </w:r>
          </w:p>
        </w:tc>
        <w:tc>
          <w:tcPr>
            <w:tcW w:w="980" w:type="dxa"/>
            <w:vAlign w:val="center"/>
          </w:tcPr>
          <w:p w:rsidR="0059130C" w:rsidRDefault="002E22CA">
            <w:pPr>
              <w:widowControl/>
              <w:spacing w:line="240" w:lineRule="exact"/>
              <w:jc w:val="center"/>
              <w:textAlignment w:val="center"/>
              <w:rPr>
                <w:rFonts w:ascii="仿宋_GB2312" w:eastAsia="仿宋_GB2312" w:hAnsi="仿宋_GB2312" w:cs="仿宋_GB2312"/>
                <w:color w:val="000000" w:themeColor="text1"/>
                <w:kern w:val="0"/>
                <w:szCs w:val="21"/>
              </w:rPr>
            </w:pPr>
            <w:r>
              <w:rPr>
                <w:rFonts w:ascii="仿宋_GB2312" w:eastAsia="仿宋_GB2312" w:hAnsi="仿宋_GB2312" w:cs="仿宋_GB2312" w:hint="eastAsia"/>
                <w:color w:val="000000" w:themeColor="text1"/>
                <w:kern w:val="0"/>
                <w:szCs w:val="21"/>
              </w:rPr>
              <w:t>受理</w:t>
            </w:r>
          </w:p>
        </w:tc>
        <w:tc>
          <w:tcPr>
            <w:tcW w:w="2891" w:type="dxa"/>
            <w:vAlign w:val="center"/>
          </w:tcPr>
          <w:p w:rsidR="0059130C" w:rsidRDefault="002E22CA">
            <w:pPr>
              <w:widowControl/>
              <w:spacing w:line="240" w:lineRule="exact"/>
              <w:jc w:val="left"/>
              <w:textAlignment w:val="center"/>
              <w:rPr>
                <w:rFonts w:ascii="仿宋_GB2312" w:eastAsia="仿宋_GB2312" w:hAnsi="仿宋_GB2312" w:cs="仿宋_GB2312"/>
                <w:color w:val="000000" w:themeColor="text1"/>
                <w:kern w:val="0"/>
                <w:szCs w:val="21"/>
              </w:rPr>
            </w:pPr>
            <w:r>
              <w:rPr>
                <w:rFonts w:ascii="仿宋_GB2312" w:eastAsia="仿宋_GB2312" w:hAnsi="仿宋_GB2312" w:cs="仿宋_GB2312" w:hint="eastAsia"/>
                <w:color w:val="000000" w:themeColor="text1"/>
                <w:kern w:val="0"/>
                <w:szCs w:val="21"/>
              </w:rPr>
              <w:t>对申请材料进行初步审核。经审核，申请材料齐全、符合法定形式的，决定予以受理。对申请材料不齐全或者不符合法定形式的，应当当场告知申请人需要补正的全部内容并即时决定不予受理，并告知申请人。</w:t>
            </w:r>
          </w:p>
        </w:tc>
        <w:tc>
          <w:tcPr>
            <w:tcW w:w="1361" w:type="dxa"/>
            <w:vMerge w:val="restart"/>
            <w:vAlign w:val="center"/>
          </w:tcPr>
          <w:p w:rsidR="0059130C" w:rsidRDefault="002E22CA">
            <w:pPr>
              <w:widowControl/>
              <w:spacing w:line="240" w:lineRule="exact"/>
              <w:jc w:val="center"/>
              <w:textAlignment w:val="center"/>
              <w:rPr>
                <w:rFonts w:ascii="仿宋_GB2312" w:eastAsia="仿宋_GB2312" w:hAnsi="仿宋_GB2312" w:cs="仿宋_GB2312"/>
                <w:color w:val="000000" w:themeColor="text1"/>
                <w:kern w:val="0"/>
                <w:szCs w:val="21"/>
              </w:rPr>
            </w:pPr>
            <w:r>
              <w:rPr>
                <w:rFonts w:ascii="仿宋_GB2312" w:eastAsia="仿宋_GB2312" w:hAnsi="仿宋_GB2312" w:cs="仿宋_GB2312" w:hint="eastAsia"/>
                <w:color w:val="000000" w:themeColor="text1"/>
                <w:kern w:val="0"/>
                <w:szCs w:val="21"/>
                <w:lang/>
              </w:rPr>
              <w:t>行政审批服务股、规划建设管理股</w:t>
            </w:r>
          </w:p>
        </w:tc>
      </w:tr>
      <w:tr w:rsidR="0059130C">
        <w:trPr>
          <w:trHeight w:val="2438"/>
        </w:trPr>
        <w:tc>
          <w:tcPr>
            <w:tcW w:w="645" w:type="dxa"/>
            <w:vMerge/>
            <w:vAlign w:val="center"/>
          </w:tcPr>
          <w:p w:rsidR="0059130C" w:rsidRDefault="0059130C">
            <w:pPr>
              <w:spacing w:line="240" w:lineRule="exact"/>
              <w:jc w:val="center"/>
              <w:rPr>
                <w:rFonts w:ascii="仿宋_GB2312" w:eastAsia="仿宋_GB2312" w:hAnsi="仿宋_GB2312" w:cs="仿宋_GB2312"/>
                <w:color w:val="000000" w:themeColor="text1"/>
                <w:szCs w:val="21"/>
              </w:rPr>
            </w:pPr>
          </w:p>
        </w:tc>
        <w:tc>
          <w:tcPr>
            <w:tcW w:w="2041" w:type="dxa"/>
            <w:vMerge/>
            <w:vAlign w:val="center"/>
          </w:tcPr>
          <w:p w:rsidR="0059130C" w:rsidRDefault="0059130C">
            <w:pPr>
              <w:spacing w:line="240" w:lineRule="exact"/>
              <w:jc w:val="center"/>
              <w:rPr>
                <w:rFonts w:ascii="仿宋_GB2312" w:eastAsia="仿宋_GB2312" w:hAnsi="仿宋_GB2312" w:cs="仿宋_GB2312"/>
                <w:color w:val="000000" w:themeColor="text1"/>
                <w:szCs w:val="21"/>
              </w:rPr>
            </w:pPr>
          </w:p>
        </w:tc>
        <w:tc>
          <w:tcPr>
            <w:tcW w:w="4876" w:type="dxa"/>
            <w:vMerge/>
            <w:vAlign w:val="center"/>
          </w:tcPr>
          <w:p w:rsidR="0059130C" w:rsidRDefault="0059130C">
            <w:pPr>
              <w:widowControl/>
              <w:spacing w:line="240" w:lineRule="exact"/>
              <w:jc w:val="center"/>
              <w:rPr>
                <w:rFonts w:ascii="仿宋_GB2312" w:eastAsia="仿宋_GB2312" w:hAnsi="仿宋_GB2312" w:cs="仿宋_GB2312"/>
                <w:color w:val="000000" w:themeColor="text1"/>
                <w:szCs w:val="21"/>
              </w:rPr>
            </w:pPr>
          </w:p>
        </w:tc>
        <w:tc>
          <w:tcPr>
            <w:tcW w:w="980" w:type="dxa"/>
            <w:vMerge/>
            <w:vAlign w:val="center"/>
          </w:tcPr>
          <w:p w:rsidR="0059130C" w:rsidRDefault="0059130C">
            <w:pPr>
              <w:widowControl/>
              <w:spacing w:line="240" w:lineRule="exact"/>
              <w:jc w:val="center"/>
              <w:rPr>
                <w:rFonts w:ascii="仿宋_GB2312" w:eastAsia="仿宋_GB2312" w:hAnsi="仿宋_GB2312" w:cs="仿宋_GB2312"/>
                <w:color w:val="000000" w:themeColor="text1"/>
                <w:szCs w:val="21"/>
              </w:rPr>
            </w:pPr>
          </w:p>
        </w:tc>
        <w:tc>
          <w:tcPr>
            <w:tcW w:w="980" w:type="dxa"/>
            <w:vAlign w:val="center"/>
          </w:tcPr>
          <w:p w:rsidR="0059130C" w:rsidRDefault="002E22CA">
            <w:pPr>
              <w:widowControl/>
              <w:spacing w:line="240" w:lineRule="exact"/>
              <w:jc w:val="center"/>
              <w:textAlignment w:val="center"/>
              <w:rPr>
                <w:rFonts w:ascii="仿宋_GB2312" w:eastAsia="仿宋_GB2312" w:hAnsi="仿宋_GB2312" w:cs="仿宋_GB2312"/>
                <w:color w:val="000000" w:themeColor="text1"/>
                <w:kern w:val="0"/>
                <w:szCs w:val="21"/>
              </w:rPr>
            </w:pPr>
            <w:r>
              <w:rPr>
                <w:rFonts w:ascii="仿宋_GB2312" w:eastAsia="仿宋_GB2312" w:hAnsi="仿宋_GB2312" w:cs="仿宋_GB2312" w:hint="eastAsia"/>
                <w:color w:val="000000" w:themeColor="text1"/>
                <w:kern w:val="0"/>
                <w:szCs w:val="21"/>
              </w:rPr>
              <w:t>审核</w:t>
            </w:r>
          </w:p>
        </w:tc>
        <w:tc>
          <w:tcPr>
            <w:tcW w:w="2891" w:type="dxa"/>
            <w:vAlign w:val="center"/>
          </w:tcPr>
          <w:p w:rsidR="0059130C" w:rsidRDefault="002E22CA">
            <w:pPr>
              <w:widowControl/>
              <w:spacing w:line="240" w:lineRule="exact"/>
              <w:jc w:val="left"/>
              <w:textAlignment w:val="center"/>
              <w:rPr>
                <w:rFonts w:ascii="仿宋_GB2312" w:eastAsia="仿宋_GB2312" w:hAnsi="仿宋_GB2312" w:cs="仿宋_GB2312"/>
                <w:color w:val="000000" w:themeColor="text1"/>
                <w:kern w:val="0"/>
                <w:szCs w:val="21"/>
              </w:rPr>
            </w:pPr>
            <w:r>
              <w:rPr>
                <w:rFonts w:ascii="仿宋_GB2312" w:eastAsia="仿宋_GB2312" w:hAnsi="仿宋_GB2312" w:cs="仿宋_GB2312" w:hint="eastAsia"/>
                <w:color w:val="000000" w:themeColor="text1"/>
                <w:kern w:val="0"/>
                <w:szCs w:val="21"/>
              </w:rPr>
              <w:t>提交材料是否齐全、是否符合法定形式；材料需要核实的，核实相关材料。</w:t>
            </w:r>
          </w:p>
        </w:tc>
        <w:tc>
          <w:tcPr>
            <w:tcW w:w="1361" w:type="dxa"/>
            <w:vMerge/>
            <w:vAlign w:val="center"/>
          </w:tcPr>
          <w:p w:rsidR="0059130C" w:rsidRDefault="0059130C">
            <w:pPr>
              <w:spacing w:line="240" w:lineRule="exact"/>
              <w:jc w:val="center"/>
              <w:rPr>
                <w:rFonts w:ascii="仿宋_GB2312" w:eastAsia="仿宋_GB2312" w:hAnsi="仿宋_GB2312" w:cs="仿宋_GB2312"/>
                <w:color w:val="000000" w:themeColor="text1"/>
                <w:szCs w:val="21"/>
              </w:rPr>
            </w:pPr>
          </w:p>
        </w:tc>
      </w:tr>
      <w:tr w:rsidR="0059130C">
        <w:trPr>
          <w:trHeight w:val="2053"/>
        </w:trPr>
        <w:tc>
          <w:tcPr>
            <w:tcW w:w="645" w:type="dxa"/>
            <w:vMerge/>
            <w:vAlign w:val="center"/>
          </w:tcPr>
          <w:p w:rsidR="0059130C" w:rsidRDefault="0059130C">
            <w:pPr>
              <w:spacing w:line="240" w:lineRule="exact"/>
              <w:jc w:val="center"/>
              <w:rPr>
                <w:rFonts w:ascii="仿宋_GB2312" w:eastAsia="仿宋_GB2312" w:hAnsi="仿宋_GB2312" w:cs="仿宋_GB2312"/>
                <w:color w:val="000000" w:themeColor="text1"/>
                <w:szCs w:val="21"/>
              </w:rPr>
            </w:pPr>
          </w:p>
        </w:tc>
        <w:tc>
          <w:tcPr>
            <w:tcW w:w="2041" w:type="dxa"/>
            <w:vMerge/>
            <w:vAlign w:val="center"/>
          </w:tcPr>
          <w:p w:rsidR="0059130C" w:rsidRDefault="0059130C">
            <w:pPr>
              <w:spacing w:line="240" w:lineRule="exact"/>
              <w:jc w:val="center"/>
              <w:rPr>
                <w:rFonts w:ascii="仿宋_GB2312" w:eastAsia="仿宋_GB2312" w:hAnsi="仿宋_GB2312" w:cs="仿宋_GB2312"/>
                <w:color w:val="000000" w:themeColor="text1"/>
                <w:szCs w:val="21"/>
              </w:rPr>
            </w:pPr>
          </w:p>
        </w:tc>
        <w:tc>
          <w:tcPr>
            <w:tcW w:w="4876" w:type="dxa"/>
            <w:vMerge/>
            <w:vAlign w:val="center"/>
          </w:tcPr>
          <w:p w:rsidR="0059130C" w:rsidRDefault="0059130C">
            <w:pPr>
              <w:widowControl/>
              <w:spacing w:line="240" w:lineRule="exact"/>
              <w:jc w:val="center"/>
              <w:rPr>
                <w:rFonts w:ascii="仿宋_GB2312" w:eastAsia="仿宋_GB2312" w:hAnsi="仿宋_GB2312" w:cs="仿宋_GB2312"/>
                <w:color w:val="000000" w:themeColor="text1"/>
                <w:szCs w:val="21"/>
              </w:rPr>
            </w:pPr>
          </w:p>
        </w:tc>
        <w:tc>
          <w:tcPr>
            <w:tcW w:w="980" w:type="dxa"/>
            <w:vMerge/>
            <w:vAlign w:val="center"/>
          </w:tcPr>
          <w:p w:rsidR="0059130C" w:rsidRDefault="0059130C">
            <w:pPr>
              <w:widowControl/>
              <w:spacing w:line="240" w:lineRule="exact"/>
              <w:jc w:val="center"/>
              <w:rPr>
                <w:rFonts w:ascii="仿宋_GB2312" w:eastAsia="仿宋_GB2312" w:hAnsi="仿宋_GB2312" w:cs="仿宋_GB2312"/>
                <w:color w:val="000000" w:themeColor="text1"/>
                <w:szCs w:val="21"/>
              </w:rPr>
            </w:pPr>
          </w:p>
        </w:tc>
        <w:tc>
          <w:tcPr>
            <w:tcW w:w="980" w:type="dxa"/>
            <w:vAlign w:val="center"/>
          </w:tcPr>
          <w:p w:rsidR="0059130C" w:rsidRDefault="002E22CA">
            <w:pPr>
              <w:widowControl/>
              <w:spacing w:line="240" w:lineRule="exact"/>
              <w:jc w:val="center"/>
              <w:textAlignment w:val="center"/>
              <w:rPr>
                <w:rFonts w:ascii="仿宋_GB2312" w:eastAsia="仿宋_GB2312" w:hAnsi="仿宋_GB2312" w:cs="仿宋_GB2312"/>
                <w:color w:val="000000" w:themeColor="text1"/>
                <w:kern w:val="0"/>
                <w:szCs w:val="21"/>
              </w:rPr>
            </w:pPr>
            <w:r>
              <w:rPr>
                <w:rFonts w:ascii="仿宋_GB2312" w:eastAsia="仿宋_GB2312" w:hAnsi="仿宋_GB2312" w:cs="仿宋_GB2312" w:hint="eastAsia"/>
                <w:color w:val="000000" w:themeColor="text1"/>
                <w:kern w:val="0"/>
                <w:szCs w:val="21"/>
              </w:rPr>
              <w:t>决定</w:t>
            </w:r>
          </w:p>
        </w:tc>
        <w:tc>
          <w:tcPr>
            <w:tcW w:w="2891" w:type="dxa"/>
            <w:vAlign w:val="center"/>
          </w:tcPr>
          <w:p w:rsidR="0059130C" w:rsidRDefault="002E22CA">
            <w:pPr>
              <w:widowControl/>
              <w:spacing w:line="240" w:lineRule="exact"/>
              <w:jc w:val="left"/>
              <w:textAlignment w:val="center"/>
              <w:rPr>
                <w:rFonts w:ascii="仿宋_GB2312" w:eastAsia="仿宋_GB2312" w:hAnsi="仿宋_GB2312" w:cs="仿宋_GB2312"/>
                <w:color w:val="000000" w:themeColor="text1"/>
                <w:kern w:val="0"/>
                <w:szCs w:val="21"/>
              </w:rPr>
            </w:pPr>
            <w:r>
              <w:rPr>
                <w:rFonts w:ascii="仿宋_GB2312" w:eastAsia="仿宋_GB2312" w:hAnsi="仿宋_GB2312" w:cs="仿宋_GB2312" w:hint="eastAsia"/>
                <w:color w:val="000000" w:themeColor="text1"/>
                <w:kern w:val="0"/>
                <w:szCs w:val="21"/>
              </w:rPr>
              <w:t>根据审核情况，</w:t>
            </w:r>
            <w:proofErr w:type="gramStart"/>
            <w:r>
              <w:rPr>
                <w:rFonts w:ascii="仿宋_GB2312" w:eastAsia="仿宋_GB2312" w:hAnsi="仿宋_GB2312" w:cs="仿宋_GB2312" w:hint="eastAsia"/>
                <w:color w:val="000000" w:themeColor="text1"/>
                <w:kern w:val="0"/>
                <w:szCs w:val="21"/>
              </w:rPr>
              <w:t>作出</w:t>
            </w:r>
            <w:proofErr w:type="gramEnd"/>
            <w:r>
              <w:rPr>
                <w:rFonts w:ascii="仿宋_GB2312" w:eastAsia="仿宋_GB2312" w:hAnsi="仿宋_GB2312" w:cs="仿宋_GB2312" w:hint="eastAsia"/>
                <w:color w:val="000000" w:themeColor="text1"/>
                <w:kern w:val="0"/>
                <w:szCs w:val="21"/>
              </w:rPr>
              <w:t>准予许可或不予招标备案的决定。</w:t>
            </w:r>
          </w:p>
        </w:tc>
        <w:tc>
          <w:tcPr>
            <w:tcW w:w="1361" w:type="dxa"/>
            <w:vMerge/>
            <w:vAlign w:val="center"/>
          </w:tcPr>
          <w:p w:rsidR="0059130C" w:rsidRDefault="0059130C">
            <w:pPr>
              <w:spacing w:line="240" w:lineRule="exact"/>
              <w:jc w:val="center"/>
              <w:rPr>
                <w:rFonts w:ascii="仿宋_GB2312" w:eastAsia="仿宋_GB2312" w:hAnsi="仿宋_GB2312" w:cs="仿宋_GB2312"/>
                <w:color w:val="000000" w:themeColor="text1"/>
                <w:szCs w:val="21"/>
              </w:rPr>
            </w:pPr>
          </w:p>
        </w:tc>
      </w:tr>
      <w:tr w:rsidR="0059130C">
        <w:trPr>
          <w:trHeight w:val="680"/>
        </w:trPr>
        <w:tc>
          <w:tcPr>
            <w:tcW w:w="645" w:type="dxa"/>
            <w:vMerge/>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29" w:type="dxa"/>
            <w:gridSpan w:val="6"/>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调整情况：新增</w:t>
            </w:r>
          </w:p>
        </w:tc>
      </w:tr>
      <w:tr w:rsidR="0059130C">
        <w:trPr>
          <w:trHeight w:val="680"/>
        </w:trPr>
        <w:tc>
          <w:tcPr>
            <w:tcW w:w="645" w:type="dxa"/>
            <w:vMerge/>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29" w:type="dxa"/>
            <w:gridSpan w:val="6"/>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调整原因：根据《河南省政务服务事项基本目录》，新增此事项</w:t>
            </w:r>
          </w:p>
        </w:tc>
      </w:tr>
    </w:tbl>
    <w:p w:rsidR="0059130C" w:rsidRDefault="0059130C">
      <w:pPr>
        <w:spacing w:line="240" w:lineRule="exact"/>
        <w:rPr>
          <w:rFonts w:ascii="仿宋_GB2312" w:eastAsia="仿宋_GB2312" w:hAnsi="仿宋_GB2312" w:cs="仿宋_GB2312"/>
          <w:color w:val="000000" w:themeColor="text1"/>
          <w:szCs w:val="21"/>
        </w:rPr>
      </w:pPr>
    </w:p>
    <w:tbl>
      <w:tblPr>
        <w:tblW w:w="14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5" w:type="dxa"/>
          <w:right w:w="15" w:type="dxa"/>
        </w:tblCellMar>
        <w:tblLook w:val="04A0"/>
      </w:tblPr>
      <w:tblGrid>
        <w:gridCol w:w="999"/>
        <w:gridCol w:w="2041"/>
        <w:gridCol w:w="4876"/>
        <w:gridCol w:w="980"/>
        <w:gridCol w:w="980"/>
        <w:gridCol w:w="2891"/>
        <w:gridCol w:w="1361"/>
      </w:tblGrid>
      <w:tr w:rsidR="0059130C">
        <w:trPr>
          <w:trHeight w:val="690"/>
        </w:trPr>
        <w:tc>
          <w:tcPr>
            <w:tcW w:w="999" w:type="dxa"/>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序号</w:t>
            </w:r>
          </w:p>
        </w:tc>
        <w:tc>
          <w:tcPr>
            <w:tcW w:w="2041" w:type="dxa"/>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项目名称</w:t>
            </w:r>
          </w:p>
        </w:tc>
        <w:tc>
          <w:tcPr>
            <w:tcW w:w="4876" w:type="dxa"/>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实施依据</w:t>
            </w:r>
          </w:p>
        </w:tc>
        <w:tc>
          <w:tcPr>
            <w:tcW w:w="980" w:type="dxa"/>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类别</w:t>
            </w:r>
          </w:p>
        </w:tc>
        <w:tc>
          <w:tcPr>
            <w:tcW w:w="980" w:type="dxa"/>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环节</w:t>
            </w:r>
          </w:p>
        </w:tc>
        <w:tc>
          <w:tcPr>
            <w:tcW w:w="2891" w:type="dxa"/>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责任事项</w:t>
            </w:r>
          </w:p>
        </w:tc>
        <w:tc>
          <w:tcPr>
            <w:tcW w:w="1361" w:type="dxa"/>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2381"/>
        </w:trPr>
        <w:tc>
          <w:tcPr>
            <w:tcW w:w="999" w:type="dxa"/>
            <w:vMerge w:val="restart"/>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4</w:t>
            </w:r>
          </w:p>
        </w:tc>
        <w:tc>
          <w:tcPr>
            <w:tcW w:w="2041" w:type="dxa"/>
            <w:vMerge w:val="restart"/>
            <w:vAlign w:val="center"/>
          </w:tcPr>
          <w:p w:rsidR="0059130C" w:rsidRDefault="002E22CA">
            <w:pPr>
              <w:widowControl/>
              <w:spacing w:line="240" w:lineRule="exact"/>
              <w:jc w:val="left"/>
              <w:textAlignment w:val="center"/>
              <w:rPr>
                <w:rFonts w:ascii="仿宋_GB2312" w:eastAsia="仿宋_GB2312" w:hAnsi="仿宋_GB2312" w:cs="仿宋_GB2312"/>
                <w:color w:val="000000" w:themeColor="text1"/>
                <w:kern w:val="0"/>
                <w:szCs w:val="21"/>
              </w:rPr>
            </w:pPr>
            <w:r>
              <w:rPr>
                <w:rFonts w:ascii="仿宋_GB2312" w:eastAsia="仿宋_GB2312" w:hAnsi="仿宋_GB2312" w:cs="仿宋_GB2312" w:hint="eastAsia"/>
                <w:color w:val="000000" w:themeColor="text1"/>
                <w:kern w:val="0"/>
                <w:szCs w:val="21"/>
              </w:rPr>
              <w:t>公路工程质量监督手续办理</w:t>
            </w:r>
          </w:p>
        </w:tc>
        <w:tc>
          <w:tcPr>
            <w:tcW w:w="4876" w:type="dxa"/>
            <w:vMerge w:val="restart"/>
            <w:vAlign w:val="center"/>
          </w:tcPr>
          <w:p w:rsidR="0059130C" w:rsidRDefault="002E22CA">
            <w:pPr>
              <w:widowControl/>
              <w:spacing w:line="240" w:lineRule="exact"/>
              <w:jc w:val="left"/>
              <w:textAlignment w:val="center"/>
              <w:rPr>
                <w:rFonts w:ascii="仿宋_GB2312" w:eastAsia="仿宋_GB2312" w:hAnsi="仿宋_GB2312" w:cs="仿宋_GB2312"/>
                <w:color w:val="000000" w:themeColor="text1"/>
                <w:kern w:val="0"/>
                <w:szCs w:val="21"/>
              </w:rPr>
            </w:pPr>
            <w:r>
              <w:rPr>
                <w:rFonts w:ascii="仿宋_GB2312" w:eastAsia="仿宋_GB2312" w:hAnsi="仿宋_GB2312" w:cs="仿宋_GB2312" w:hint="eastAsia"/>
                <w:color w:val="000000" w:themeColor="text1"/>
                <w:kern w:val="0"/>
                <w:szCs w:val="21"/>
              </w:rPr>
              <w:t>《公路水运工程质量监督管理规定》（交通运输部令2017年第28号）</w:t>
            </w:r>
          </w:p>
          <w:p w:rsidR="0059130C" w:rsidRDefault="002E22CA">
            <w:pPr>
              <w:widowControl/>
              <w:spacing w:line="240" w:lineRule="exact"/>
              <w:jc w:val="left"/>
              <w:textAlignment w:val="center"/>
              <w:rPr>
                <w:rFonts w:ascii="仿宋_GB2312" w:eastAsia="仿宋_GB2312" w:hAnsi="仿宋_GB2312" w:cs="仿宋_GB2312"/>
                <w:color w:val="000000" w:themeColor="text1"/>
                <w:kern w:val="0"/>
                <w:szCs w:val="21"/>
              </w:rPr>
            </w:pPr>
            <w:r>
              <w:rPr>
                <w:rFonts w:ascii="仿宋_GB2312" w:eastAsia="仿宋_GB2312" w:hAnsi="仿宋_GB2312" w:cs="仿宋_GB2312" w:hint="eastAsia"/>
                <w:color w:val="000000" w:themeColor="text1"/>
                <w:kern w:val="0"/>
                <w:szCs w:val="21"/>
              </w:rPr>
              <w:t>第四条 县级以上地方人民政府交通运输主管部门按照规定的职责负责本行政区域内的公路水运工程质量监督管理工作。公路水运工程质量监督管理，可以由交通运输主管部门委托的建设工程质量监督机构具体实施。</w:t>
            </w:r>
          </w:p>
          <w:p w:rsidR="0059130C" w:rsidRDefault="002E22CA">
            <w:pPr>
              <w:widowControl/>
              <w:spacing w:line="240" w:lineRule="exact"/>
              <w:jc w:val="left"/>
              <w:textAlignment w:val="center"/>
              <w:rPr>
                <w:rFonts w:ascii="仿宋_GB2312" w:eastAsia="仿宋_GB2312" w:hAnsi="仿宋_GB2312" w:cs="仿宋_GB2312"/>
                <w:color w:val="000000" w:themeColor="text1"/>
                <w:kern w:val="0"/>
                <w:szCs w:val="21"/>
              </w:rPr>
            </w:pPr>
            <w:r>
              <w:rPr>
                <w:rFonts w:ascii="仿宋_GB2312" w:eastAsia="仿宋_GB2312" w:hAnsi="仿宋_GB2312" w:cs="仿宋_GB2312" w:hint="eastAsia"/>
                <w:color w:val="000000" w:themeColor="text1"/>
                <w:kern w:val="0"/>
                <w:szCs w:val="21"/>
              </w:rPr>
              <w:t>第二十条  公路水运工程实行质量监督管理制度。交通运输主管部门及其委托的建设工程质量监督机构应当依据法律、法规和强制性标准等，科学、规范、公正地开展公路水运工程质量监督管理工作。任何单位和个人不得非法干预或者阻挠质量监督管理工作。</w:t>
            </w:r>
          </w:p>
          <w:p w:rsidR="0059130C" w:rsidRDefault="002E22CA">
            <w:pPr>
              <w:widowControl/>
              <w:spacing w:line="240" w:lineRule="exact"/>
              <w:jc w:val="left"/>
              <w:textAlignment w:val="center"/>
              <w:rPr>
                <w:rFonts w:ascii="仿宋_GB2312" w:eastAsia="仿宋_GB2312" w:hAnsi="仿宋_GB2312" w:cs="仿宋_GB2312"/>
                <w:color w:val="000000" w:themeColor="text1"/>
                <w:kern w:val="0"/>
                <w:szCs w:val="21"/>
              </w:rPr>
            </w:pPr>
            <w:r>
              <w:rPr>
                <w:rFonts w:ascii="仿宋_GB2312" w:eastAsia="仿宋_GB2312" w:hAnsi="仿宋_GB2312" w:cs="仿宋_GB2312" w:hint="eastAsia"/>
                <w:color w:val="000000" w:themeColor="text1"/>
                <w:kern w:val="0"/>
                <w:szCs w:val="21"/>
              </w:rPr>
              <w:t>第二十二条  交通运输主管部门或者其委托的建设工程质量监督机构依法要求建设单位按规定办理质量监督手续。建设单位应当按照国家规定向交通运输主管部门或者其委托的建设工程质量监督机构提交以下材料，办理工程质量监督手续：</w:t>
            </w:r>
          </w:p>
          <w:p w:rsidR="0059130C" w:rsidRDefault="002E22CA">
            <w:pPr>
              <w:widowControl/>
              <w:spacing w:line="240" w:lineRule="exact"/>
              <w:jc w:val="left"/>
              <w:textAlignment w:val="center"/>
              <w:rPr>
                <w:rFonts w:ascii="仿宋_GB2312" w:eastAsia="仿宋_GB2312" w:hAnsi="仿宋_GB2312" w:cs="仿宋_GB2312"/>
                <w:color w:val="000000" w:themeColor="text1"/>
                <w:kern w:val="0"/>
                <w:szCs w:val="21"/>
              </w:rPr>
            </w:pPr>
            <w:r>
              <w:rPr>
                <w:rFonts w:ascii="仿宋_GB2312" w:eastAsia="仿宋_GB2312" w:hAnsi="仿宋_GB2312" w:cs="仿宋_GB2312" w:hint="eastAsia"/>
                <w:color w:val="000000" w:themeColor="text1"/>
                <w:kern w:val="0"/>
                <w:szCs w:val="21"/>
              </w:rPr>
              <w:t>（一）公路水运工程质量监督管理登记表；</w:t>
            </w:r>
          </w:p>
          <w:p w:rsidR="0059130C" w:rsidRDefault="002E22CA">
            <w:pPr>
              <w:widowControl/>
              <w:spacing w:line="240" w:lineRule="exact"/>
              <w:jc w:val="left"/>
              <w:textAlignment w:val="center"/>
              <w:rPr>
                <w:rFonts w:ascii="仿宋_GB2312" w:eastAsia="仿宋_GB2312" w:hAnsi="仿宋_GB2312" w:cs="仿宋_GB2312"/>
                <w:color w:val="000000" w:themeColor="text1"/>
                <w:kern w:val="0"/>
                <w:szCs w:val="21"/>
              </w:rPr>
            </w:pPr>
            <w:r>
              <w:rPr>
                <w:rFonts w:ascii="仿宋_GB2312" w:eastAsia="仿宋_GB2312" w:hAnsi="仿宋_GB2312" w:cs="仿宋_GB2312" w:hint="eastAsia"/>
                <w:color w:val="000000" w:themeColor="text1"/>
                <w:kern w:val="0"/>
                <w:szCs w:val="21"/>
              </w:rPr>
              <w:t>（二）交通运输主管部门批复的施工图设计文件；</w:t>
            </w:r>
          </w:p>
          <w:p w:rsidR="0059130C" w:rsidRDefault="002E22CA">
            <w:pPr>
              <w:widowControl/>
              <w:spacing w:line="240" w:lineRule="exact"/>
              <w:jc w:val="left"/>
              <w:textAlignment w:val="center"/>
              <w:rPr>
                <w:rFonts w:ascii="仿宋_GB2312" w:eastAsia="仿宋_GB2312" w:hAnsi="仿宋_GB2312" w:cs="仿宋_GB2312"/>
                <w:color w:val="000000" w:themeColor="text1"/>
                <w:kern w:val="0"/>
                <w:szCs w:val="21"/>
              </w:rPr>
            </w:pPr>
            <w:r>
              <w:rPr>
                <w:rFonts w:ascii="仿宋_GB2312" w:eastAsia="仿宋_GB2312" w:hAnsi="仿宋_GB2312" w:cs="仿宋_GB2312" w:hint="eastAsia"/>
                <w:color w:val="000000" w:themeColor="text1"/>
                <w:kern w:val="0"/>
                <w:szCs w:val="21"/>
              </w:rPr>
              <w:t>（三）施工、监理合同及招投标文件；</w:t>
            </w:r>
          </w:p>
          <w:p w:rsidR="0059130C" w:rsidRDefault="002E22CA">
            <w:pPr>
              <w:widowControl/>
              <w:spacing w:line="240" w:lineRule="exact"/>
              <w:jc w:val="left"/>
              <w:textAlignment w:val="center"/>
              <w:rPr>
                <w:rFonts w:ascii="仿宋_GB2312" w:eastAsia="仿宋_GB2312" w:hAnsi="仿宋_GB2312" w:cs="仿宋_GB2312"/>
                <w:color w:val="000000" w:themeColor="text1"/>
                <w:kern w:val="0"/>
                <w:szCs w:val="21"/>
              </w:rPr>
            </w:pPr>
            <w:r>
              <w:rPr>
                <w:rFonts w:ascii="仿宋_GB2312" w:eastAsia="仿宋_GB2312" w:hAnsi="仿宋_GB2312" w:cs="仿宋_GB2312" w:hint="eastAsia"/>
                <w:color w:val="000000" w:themeColor="text1"/>
                <w:kern w:val="0"/>
                <w:szCs w:val="21"/>
              </w:rPr>
              <w:t>（四）建设单位现场管理机构、人员、质量保证体系等文件；</w:t>
            </w:r>
          </w:p>
          <w:p w:rsidR="0059130C" w:rsidRDefault="002E22CA">
            <w:pPr>
              <w:widowControl/>
              <w:spacing w:line="240" w:lineRule="exact"/>
              <w:jc w:val="left"/>
              <w:textAlignment w:val="center"/>
              <w:rPr>
                <w:rFonts w:ascii="仿宋_GB2312" w:eastAsia="仿宋_GB2312" w:hAnsi="仿宋_GB2312" w:cs="仿宋_GB2312"/>
                <w:color w:val="000000" w:themeColor="text1"/>
                <w:kern w:val="0"/>
                <w:szCs w:val="21"/>
              </w:rPr>
            </w:pPr>
            <w:r>
              <w:rPr>
                <w:rFonts w:ascii="仿宋_GB2312" w:eastAsia="仿宋_GB2312" w:hAnsi="仿宋_GB2312" w:cs="仿宋_GB2312" w:hint="eastAsia"/>
                <w:color w:val="000000" w:themeColor="text1"/>
                <w:kern w:val="0"/>
                <w:szCs w:val="21"/>
              </w:rPr>
              <w:t>（五）本单位以及勘察、设计、施工、监理、试验检测等单位对其项目负责人、质量负责人的书面授权委托书、质量保证体系等文件；</w:t>
            </w:r>
          </w:p>
          <w:p w:rsidR="0059130C" w:rsidRDefault="002E22CA">
            <w:pPr>
              <w:widowControl/>
              <w:spacing w:line="240" w:lineRule="exact"/>
              <w:jc w:val="left"/>
              <w:textAlignment w:val="center"/>
              <w:rPr>
                <w:rFonts w:ascii="仿宋_GB2312" w:eastAsia="仿宋_GB2312" w:hAnsi="仿宋_GB2312" w:cs="仿宋_GB2312"/>
                <w:color w:val="000000" w:themeColor="text1"/>
                <w:kern w:val="0"/>
                <w:szCs w:val="21"/>
              </w:rPr>
            </w:pPr>
            <w:r>
              <w:rPr>
                <w:rFonts w:ascii="仿宋_GB2312" w:eastAsia="仿宋_GB2312" w:hAnsi="仿宋_GB2312" w:cs="仿宋_GB2312" w:hint="eastAsia"/>
                <w:color w:val="000000" w:themeColor="text1"/>
                <w:kern w:val="0"/>
                <w:szCs w:val="21"/>
              </w:rPr>
              <w:t>（六）依法要求提供的其他相关材料。</w:t>
            </w:r>
          </w:p>
        </w:tc>
        <w:tc>
          <w:tcPr>
            <w:tcW w:w="980" w:type="dxa"/>
            <w:vMerge w:val="restart"/>
            <w:vAlign w:val="center"/>
          </w:tcPr>
          <w:p w:rsidR="0059130C" w:rsidRDefault="002E22CA">
            <w:pPr>
              <w:widowControl/>
              <w:spacing w:line="240" w:lineRule="exact"/>
              <w:jc w:val="center"/>
              <w:textAlignment w:val="center"/>
              <w:rPr>
                <w:rFonts w:ascii="仿宋_GB2312" w:eastAsia="仿宋_GB2312" w:hAnsi="仿宋_GB2312" w:cs="仿宋_GB2312"/>
                <w:color w:val="000000" w:themeColor="text1"/>
                <w:kern w:val="0"/>
                <w:szCs w:val="21"/>
              </w:rPr>
            </w:pPr>
            <w:r>
              <w:rPr>
                <w:rFonts w:ascii="仿宋_GB2312" w:eastAsia="仿宋_GB2312" w:hAnsi="仿宋_GB2312" w:cs="仿宋_GB2312" w:hint="eastAsia"/>
                <w:color w:val="000000" w:themeColor="text1"/>
                <w:kern w:val="0"/>
                <w:szCs w:val="21"/>
              </w:rPr>
              <w:t>其他</w:t>
            </w:r>
          </w:p>
          <w:p w:rsidR="0059130C" w:rsidRDefault="002E22CA">
            <w:pPr>
              <w:widowControl/>
              <w:spacing w:line="240" w:lineRule="exact"/>
              <w:jc w:val="center"/>
              <w:textAlignment w:val="center"/>
              <w:rPr>
                <w:rFonts w:ascii="仿宋_GB2312" w:eastAsia="仿宋_GB2312" w:hAnsi="仿宋_GB2312" w:cs="仿宋_GB2312"/>
                <w:color w:val="000000" w:themeColor="text1"/>
                <w:kern w:val="0"/>
                <w:szCs w:val="21"/>
              </w:rPr>
            </w:pPr>
            <w:r>
              <w:rPr>
                <w:rFonts w:ascii="仿宋_GB2312" w:eastAsia="仿宋_GB2312" w:hAnsi="仿宋_GB2312" w:cs="仿宋_GB2312" w:hint="eastAsia"/>
                <w:color w:val="000000" w:themeColor="text1"/>
                <w:kern w:val="0"/>
                <w:szCs w:val="21"/>
              </w:rPr>
              <w:t>职权</w:t>
            </w:r>
          </w:p>
        </w:tc>
        <w:tc>
          <w:tcPr>
            <w:tcW w:w="980" w:type="dxa"/>
            <w:vAlign w:val="center"/>
          </w:tcPr>
          <w:p w:rsidR="0059130C" w:rsidRDefault="002E22CA">
            <w:pPr>
              <w:widowControl/>
              <w:spacing w:line="240" w:lineRule="exact"/>
              <w:jc w:val="center"/>
              <w:textAlignment w:val="center"/>
              <w:rPr>
                <w:rFonts w:ascii="仿宋_GB2312" w:eastAsia="仿宋_GB2312" w:hAnsi="仿宋_GB2312" w:cs="仿宋_GB2312"/>
                <w:color w:val="000000" w:themeColor="text1"/>
                <w:kern w:val="0"/>
                <w:szCs w:val="21"/>
              </w:rPr>
            </w:pPr>
            <w:r>
              <w:rPr>
                <w:rFonts w:ascii="仿宋_GB2312" w:eastAsia="仿宋_GB2312" w:hAnsi="仿宋_GB2312" w:cs="仿宋_GB2312" w:hint="eastAsia"/>
                <w:color w:val="000000" w:themeColor="text1"/>
                <w:kern w:val="0"/>
                <w:szCs w:val="21"/>
              </w:rPr>
              <w:t>受理</w:t>
            </w:r>
          </w:p>
        </w:tc>
        <w:tc>
          <w:tcPr>
            <w:tcW w:w="2891" w:type="dxa"/>
            <w:vAlign w:val="center"/>
          </w:tcPr>
          <w:p w:rsidR="0059130C" w:rsidRDefault="002E22CA">
            <w:pPr>
              <w:widowControl/>
              <w:spacing w:line="240" w:lineRule="exact"/>
              <w:jc w:val="left"/>
              <w:textAlignment w:val="center"/>
              <w:rPr>
                <w:rFonts w:ascii="仿宋_GB2312" w:eastAsia="仿宋_GB2312" w:hAnsi="仿宋_GB2312" w:cs="仿宋_GB2312"/>
                <w:color w:val="000000" w:themeColor="text1"/>
                <w:kern w:val="0"/>
                <w:szCs w:val="21"/>
              </w:rPr>
            </w:pPr>
            <w:r>
              <w:rPr>
                <w:rFonts w:ascii="仿宋_GB2312" w:eastAsia="仿宋_GB2312" w:hAnsi="仿宋_GB2312" w:cs="仿宋_GB2312" w:hint="eastAsia"/>
                <w:color w:val="000000" w:themeColor="text1"/>
                <w:kern w:val="0"/>
                <w:szCs w:val="21"/>
              </w:rPr>
              <w:t>对申请材料进行审核。经审核，申请材料齐全、符合规定要求的，出具受理通知书。对申请材料不齐全或者不符合规定的，应当一次性告知需要补充的全部内容。</w:t>
            </w:r>
          </w:p>
        </w:tc>
        <w:tc>
          <w:tcPr>
            <w:tcW w:w="1361" w:type="dxa"/>
            <w:vMerge w:val="restart"/>
            <w:vAlign w:val="center"/>
          </w:tcPr>
          <w:p w:rsidR="0059130C" w:rsidRDefault="002E22CA">
            <w:pPr>
              <w:widowControl/>
              <w:spacing w:line="240" w:lineRule="exact"/>
              <w:jc w:val="center"/>
              <w:textAlignment w:val="center"/>
              <w:rPr>
                <w:rFonts w:ascii="仿宋_GB2312" w:eastAsia="仿宋_GB2312" w:hAnsi="仿宋_GB2312" w:cs="仿宋_GB2312"/>
                <w:color w:val="000000" w:themeColor="text1"/>
                <w:kern w:val="0"/>
                <w:szCs w:val="21"/>
              </w:rPr>
            </w:pPr>
            <w:r>
              <w:rPr>
                <w:rFonts w:ascii="仿宋_GB2312" w:eastAsia="仿宋_GB2312" w:hAnsi="仿宋_GB2312" w:cs="仿宋_GB2312" w:hint="eastAsia"/>
                <w:color w:val="000000" w:themeColor="text1"/>
                <w:kern w:val="0"/>
                <w:szCs w:val="21"/>
                <w:lang/>
              </w:rPr>
              <w:t>行政审批服务股、规划建设管理股</w:t>
            </w:r>
            <w:bookmarkStart w:id="1" w:name="_GoBack"/>
            <w:bookmarkEnd w:id="1"/>
          </w:p>
        </w:tc>
      </w:tr>
      <w:tr w:rsidR="0059130C">
        <w:trPr>
          <w:trHeight w:val="2381"/>
        </w:trPr>
        <w:tc>
          <w:tcPr>
            <w:tcW w:w="999" w:type="dxa"/>
            <w:vMerge/>
            <w:vAlign w:val="center"/>
          </w:tcPr>
          <w:p w:rsidR="0059130C" w:rsidRDefault="0059130C">
            <w:pPr>
              <w:spacing w:line="240" w:lineRule="exact"/>
              <w:jc w:val="center"/>
              <w:rPr>
                <w:rFonts w:ascii="仿宋_GB2312" w:eastAsia="仿宋_GB2312" w:hAnsi="仿宋_GB2312" w:cs="仿宋_GB2312"/>
                <w:color w:val="000000" w:themeColor="text1"/>
                <w:szCs w:val="21"/>
              </w:rPr>
            </w:pPr>
          </w:p>
        </w:tc>
        <w:tc>
          <w:tcPr>
            <w:tcW w:w="2041" w:type="dxa"/>
            <w:vMerge/>
            <w:vAlign w:val="center"/>
          </w:tcPr>
          <w:p w:rsidR="0059130C" w:rsidRDefault="0059130C">
            <w:pPr>
              <w:widowControl/>
              <w:spacing w:line="240" w:lineRule="exact"/>
              <w:jc w:val="center"/>
              <w:rPr>
                <w:rFonts w:ascii="仿宋_GB2312" w:eastAsia="仿宋_GB2312" w:hAnsi="仿宋_GB2312" w:cs="仿宋_GB2312"/>
                <w:color w:val="000000" w:themeColor="text1"/>
                <w:szCs w:val="21"/>
              </w:rPr>
            </w:pPr>
          </w:p>
        </w:tc>
        <w:tc>
          <w:tcPr>
            <w:tcW w:w="4876" w:type="dxa"/>
            <w:vMerge/>
            <w:vAlign w:val="center"/>
          </w:tcPr>
          <w:p w:rsidR="0059130C" w:rsidRDefault="0059130C">
            <w:pPr>
              <w:widowControl/>
              <w:spacing w:line="240" w:lineRule="exact"/>
              <w:jc w:val="center"/>
              <w:rPr>
                <w:rFonts w:ascii="仿宋_GB2312" w:eastAsia="仿宋_GB2312" w:hAnsi="仿宋_GB2312" w:cs="仿宋_GB2312"/>
                <w:color w:val="000000" w:themeColor="text1"/>
                <w:szCs w:val="21"/>
              </w:rPr>
            </w:pPr>
          </w:p>
        </w:tc>
        <w:tc>
          <w:tcPr>
            <w:tcW w:w="980" w:type="dxa"/>
            <w:vMerge/>
            <w:vAlign w:val="center"/>
          </w:tcPr>
          <w:p w:rsidR="0059130C" w:rsidRDefault="0059130C">
            <w:pPr>
              <w:widowControl/>
              <w:spacing w:line="240" w:lineRule="exact"/>
              <w:jc w:val="center"/>
              <w:rPr>
                <w:rFonts w:ascii="仿宋_GB2312" w:eastAsia="仿宋_GB2312" w:hAnsi="仿宋_GB2312" w:cs="仿宋_GB2312"/>
                <w:color w:val="000000" w:themeColor="text1"/>
                <w:szCs w:val="21"/>
              </w:rPr>
            </w:pPr>
          </w:p>
        </w:tc>
        <w:tc>
          <w:tcPr>
            <w:tcW w:w="980" w:type="dxa"/>
            <w:vAlign w:val="center"/>
          </w:tcPr>
          <w:p w:rsidR="0059130C" w:rsidRDefault="002E22CA">
            <w:pPr>
              <w:widowControl/>
              <w:spacing w:line="240" w:lineRule="exact"/>
              <w:jc w:val="center"/>
              <w:textAlignment w:val="center"/>
              <w:rPr>
                <w:rFonts w:ascii="仿宋_GB2312" w:eastAsia="仿宋_GB2312" w:hAnsi="仿宋_GB2312" w:cs="仿宋_GB2312"/>
                <w:color w:val="000000" w:themeColor="text1"/>
                <w:kern w:val="0"/>
                <w:szCs w:val="21"/>
              </w:rPr>
            </w:pPr>
            <w:r>
              <w:rPr>
                <w:rFonts w:ascii="仿宋_GB2312" w:eastAsia="仿宋_GB2312" w:hAnsi="仿宋_GB2312" w:cs="仿宋_GB2312" w:hint="eastAsia"/>
                <w:color w:val="000000" w:themeColor="text1"/>
                <w:kern w:val="0"/>
                <w:szCs w:val="21"/>
              </w:rPr>
              <w:t>审核</w:t>
            </w:r>
          </w:p>
        </w:tc>
        <w:tc>
          <w:tcPr>
            <w:tcW w:w="2891" w:type="dxa"/>
            <w:vAlign w:val="center"/>
          </w:tcPr>
          <w:p w:rsidR="0059130C" w:rsidRDefault="002E22CA">
            <w:pPr>
              <w:widowControl/>
              <w:spacing w:line="240" w:lineRule="exact"/>
              <w:jc w:val="left"/>
              <w:textAlignment w:val="center"/>
              <w:rPr>
                <w:rFonts w:ascii="仿宋_GB2312" w:eastAsia="仿宋_GB2312" w:hAnsi="仿宋_GB2312" w:cs="仿宋_GB2312"/>
                <w:color w:val="000000" w:themeColor="text1"/>
                <w:kern w:val="0"/>
                <w:szCs w:val="21"/>
              </w:rPr>
            </w:pPr>
            <w:r>
              <w:rPr>
                <w:rFonts w:ascii="仿宋_GB2312" w:eastAsia="仿宋_GB2312" w:hAnsi="仿宋_GB2312" w:cs="仿宋_GB2312" w:hint="eastAsia"/>
                <w:color w:val="000000" w:themeColor="text1"/>
                <w:kern w:val="0"/>
                <w:szCs w:val="21"/>
              </w:rPr>
              <w:t>提交材料是否齐全、是否符合规定；材料需要核实的，核实相关材料。</w:t>
            </w:r>
          </w:p>
        </w:tc>
        <w:tc>
          <w:tcPr>
            <w:tcW w:w="1361" w:type="dxa"/>
            <w:vMerge/>
            <w:vAlign w:val="center"/>
          </w:tcPr>
          <w:p w:rsidR="0059130C" w:rsidRDefault="0059130C">
            <w:pPr>
              <w:spacing w:line="240" w:lineRule="exact"/>
              <w:jc w:val="center"/>
              <w:rPr>
                <w:rFonts w:ascii="仿宋_GB2312" w:eastAsia="仿宋_GB2312" w:hAnsi="仿宋_GB2312" w:cs="仿宋_GB2312"/>
                <w:color w:val="000000" w:themeColor="text1"/>
                <w:szCs w:val="21"/>
              </w:rPr>
            </w:pPr>
          </w:p>
        </w:tc>
      </w:tr>
      <w:tr w:rsidR="0059130C" w:rsidTr="002E22CA">
        <w:trPr>
          <w:trHeight w:val="1909"/>
        </w:trPr>
        <w:tc>
          <w:tcPr>
            <w:tcW w:w="999" w:type="dxa"/>
            <w:vMerge/>
            <w:vAlign w:val="center"/>
          </w:tcPr>
          <w:p w:rsidR="0059130C" w:rsidRDefault="0059130C">
            <w:pPr>
              <w:spacing w:line="240" w:lineRule="exact"/>
              <w:jc w:val="center"/>
              <w:rPr>
                <w:rFonts w:ascii="仿宋_GB2312" w:eastAsia="仿宋_GB2312" w:hAnsi="仿宋_GB2312" w:cs="仿宋_GB2312"/>
                <w:color w:val="000000" w:themeColor="text1"/>
                <w:szCs w:val="21"/>
              </w:rPr>
            </w:pPr>
          </w:p>
        </w:tc>
        <w:tc>
          <w:tcPr>
            <w:tcW w:w="2041" w:type="dxa"/>
            <w:vMerge/>
            <w:vAlign w:val="center"/>
          </w:tcPr>
          <w:p w:rsidR="0059130C" w:rsidRDefault="0059130C">
            <w:pPr>
              <w:widowControl/>
              <w:spacing w:line="240" w:lineRule="exact"/>
              <w:jc w:val="center"/>
              <w:rPr>
                <w:rFonts w:ascii="仿宋_GB2312" w:eastAsia="仿宋_GB2312" w:hAnsi="仿宋_GB2312" w:cs="仿宋_GB2312"/>
                <w:color w:val="000000" w:themeColor="text1"/>
                <w:szCs w:val="21"/>
              </w:rPr>
            </w:pPr>
          </w:p>
        </w:tc>
        <w:tc>
          <w:tcPr>
            <w:tcW w:w="4876" w:type="dxa"/>
            <w:vMerge/>
            <w:vAlign w:val="center"/>
          </w:tcPr>
          <w:p w:rsidR="0059130C" w:rsidRDefault="0059130C">
            <w:pPr>
              <w:widowControl/>
              <w:spacing w:line="240" w:lineRule="exact"/>
              <w:jc w:val="center"/>
              <w:rPr>
                <w:rFonts w:ascii="仿宋_GB2312" w:eastAsia="仿宋_GB2312" w:hAnsi="仿宋_GB2312" w:cs="仿宋_GB2312"/>
                <w:color w:val="000000" w:themeColor="text1"/>
                <w:szCs w:val="21"/>
              </w:rPr>
            </w:pPr>
          </w:p>
        </w:tc>
        <w:tc>
          <w:tcPr>
            <w:tcW w:w="980" w:type="dxa"/>
            <w:vMerge/>
            <w:vAlign w:val="center"/>
          </w:tcPr>
          <w:p w:rsidR="0059130C" w:rsidRDefault="0059130C">
            <w:pPr>
              <w:widowControl/>
              <w:spacing w:line="240" w:lineRule="exact"/>
              <w:jc w:val="center"/>
              <w:rPr>
                <w:rFonts w:ascii="仿宋_GB2312" w:eastAsia="仿宋_GB2312" w:hAnsi="仿宋_GB2312" w:cs="仿宋_GB2312"/>
                <w:color w:val="000000" w:themeColor="text1"/>
                <w:szCs w:val="21"/>
              </w:rPr>
            </w:pPr>
          </w:p>
        </w:tc>
        <w:tc>
          <w:tcPr>
            <w:tcW w:w="980" w:type="dxa"/>
            <w:vAlign w:val="center"/>
          </w:tcPr>
          <w:p w:rsidR="0059130C" w:rsidRDefault="002E22CA">
            <w:pPr>
              <w:widowControl/>
              <w:spacing w:line="240" w:lineRule="exact"/>
              <w:jc w:val="center"/>
              <w:textAlignment w:val="center"/>
              <w:rPr>
                <w:rFonts w:ascii="仿宋_GB2312" w:eastAsia="仿宋_GB2312" w:hAnsi="仿宋_GB2312" w:cs="仿宋_GB2312"/>
                <w:color w:val="000000" w:themeColor="text1"/>
                <w:kern w:val="0"/>
                <w:szCs w:val="21"/>
              </w:rPr>
            </w:pPr>
            <w:r>
              <w:rPr>
                <w:rFonts w:ascii="仿宋_GB2312" w:eastAsia="仿宋_GB2312" w:hAnsi="仿宋_GB2312" w:cs="仿宋_GB2312" w:hint="eastAsia"/>
                <w:color w:val="000000" w:themeColor="text1"/>
                <w:kern w:val="0"/>
                <w:szCs w:val="21"/>
              </w:rPr>
              <w:t>决定</w:t>
            </w:r>
          </w:p>
        </w:tc>
        <w:tc>
          <w:tcPr>
            <w:tcW w:w="2891" w:type="dxa"/>
            <w:vAlign w:val="center"/>
          </w:tcPr>
          <w:p w:rsidR="0059130C" w:rsidRDefault="002E22CA">
            <w:pPr>
              <w:widowControl/>
              <w:spacing w:line="240" w:lineRule="exact"/>
              <w:jc w:val="left"/>
              <w:textAlignment w:val="center"/>
              <w:rPr>
                <w:rFonts w:ascii="仿宋_GB2312" w:eastAsia="仿宋_GB2312" w:hAnsi="仿宋_GB2312" w:cs="仿宋_GB2312"/>
                <w:color w:val="000000" w:themeColor="text1"/>
                <w:kern w:val="0"/>
                <w:szCs w:val="21"/>
              </w:rPr>
            </w:pPr>
            <w:r>
              <w:rPr>
                <w:rFonts w:ascii="仿宋_GB2312" w:eastAsia="仿宋_GB2312" w:hAnsi="仿宋_GB2312" w:cs="仿宋_GB2312" w:hint="eastAsia"/>
                <w:color w:val="000000" w:themeColor="text1"/>
                <w:kern w:val="0"/>
                <w:szCs w:val="21"/>
              </w:rPr>
              <w:t>根据审核情况，出具公路水运工程质量监督管理受理通知书。</w:t>
            </w:r>
          </w:p>
        </w:tc>
        <w:tc>
          <w:tcPr>
            <w:tcW w:w="1361" w:type="dxa"/>
            <w:vMerge/>
            <w:vAlign w:val="center"/>
          </w:tcPr>
          <w:p w:rsidR="0059130C" w:rsidRDefault="0059130C">
            <w:pPr>
              <w:spacing w:line="240" w:lineRule="exact"/>
              <w:jc w:val="center"/>
              <w:rPr>
                <w:rFonts w:ascii="仿宋_GB2312" w:eastAsia="仿宋_GB2312" w:hAnsi="仿宋_GB2312" w:cs="仿宋_GB2312"/>
                <w:color w:val="000000" w:themeColor="text1"/>
                <w:szCs w:val="21"/>
              </w:rPr>
            </w:pPr>
          </w:p>
        </w:tc>
      </w:tr>
      <w:tr w:rsidR="0059130C">
        <w:trPr>
          <w:trHeight w:val="530"/>
        </w:trPr>
        <w:tc>
          <w:tcPr>
            <w:tcW w:w="999" w:type="dxa"/>
            <w:vMerge/>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29" w:type="dxa"/>
            <w:gridSpan w:val="6"/>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调整情况：新增</w:t>
            </w:r>
          </w:p>
        </w:tc>
      </w:tr>
      <w:tr w:rsidR="0059130C">
        <w:trPr>
          <w:trHeight w:val="680"/>
        </w:trPr>
        <w:tc>
          <w:tcPr>
            <w:tcW w:w="999" w:type="dxa"/>
            <w:vMerge/>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29" w:type="dxa"/>
            <w:gridSpan w:val="6"/>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调整原因：根据《河南省政务服务事项基本目录》，新增此事项</w:t>
            </w:r>
          </w:p>
        </w:tc>
      </w:tr>
    </w:tbl>
    <w:p w:rsidR="0059130C" w:rsidRDefault="002E22CA">
      <w:pPr>
        <w:spacing w:line="240" w:lineRule="exact"/>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br w:type="page"/>
      </w:r>
    </w:p>
    <w:p w:rsidR="0059130C" w:rsidRDefault="0059130C">
      <w:pPr>
        <w:spacing w:line="240" w:lineRule="exact"/>
        <w:rPr>
          <w:rFonts w:ascii="仿宋_GB2312" w:eastAsia="仿宋_GB2312" w:hAnsi="仿宋_GB2312" w:cs="仿宋_GB2312"/>
          <w:color w:val="000000" w:themeColor="text1"/>
          <w:szCs w:val="21"/>
        </w:rPr>
      </w:pPr>
    </w:p>
    <w:p w:rsidR="0059130C" w:rsidRDefault="0059130C">
      <w:pPr>
        <w:spacing w:line="240" w:lineRule="exact"/>
        <w:rPr>
          <w:rFonts w:ascii="仿宋_GB2312" w:eastAsia="仿宋_GB2312" w:hAnsi="仿宋_GB2312" w:cs="仿宋_GB2312"/>
          <w:color w:val="000000" w:themeColor="text1"/>
          <w:szCs w:val="21"/>
        </w:rPr>
      </w:pPr>
    </w:p>
    <w:tbl>
      <w:tblPr>
        <w:tblW w:w="14128" w:type="dxa"/>
        <w:jc w:val="center"/>
        <w:tblLayout w:type="fixed"/>
        <w:tblCellMar>
          <w:left w:w="15" w:type="dxa"/>
          <w:right w:w="15" w:type="dxa"/>
        </w:tblCellMar>
        <w:tblLook w:val="04A0"/>
      </w:tblPr>
      <w:tblGrid>
        <w:gridCol w:w="791"/>
        <w:gridCol w:w="1551"/>
        <w:gridCol w:w="4866"/>
        <w:gridCol w:w="741"/>
        <w:gridCol w:w="856"/>
        <w:gridCol w:w="3943"/>
        <w:gridCol w:w="1380"/>
      </w:tblGrid>
      <w:tr w:rsidR="0059130C" w:rsidTr="002E22CA">
        <w:trPr>
          <w:trHeight w:val="23"/>
          <w:jc w:val="center"/>
        </w:trPr>
        <w:tc>
          <w:tcPr>
            <w:tcW w:w="780"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153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80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73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44"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889"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rsidTr="002E22CA">
        <w:trPr>
          <w:trHeight w:val="23"/>
          <w:jc w:val="center"/>
        </w:trPr>
        <w:tc>
          <w:tcPr>
            <w:tcW w:w="78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5</w:t>
            </w:r>
          </w:p>
        </w:tc>
        <w:tc>
          <w:tcPr>
            <w:tcW w:w="1530"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未取得相应从业资格证件，驾驶道路客货运车辆的；使用失效、伪造、变造的从业资格证件，驾驶道路客货运车辆的；超越从业资格证件核定范围，驾驶道路客货运车辆的处罚</w:t>
            </w:r>
          </w:p>
        </w:tc>
        <w:tc>
          <w:tcPr>
            <w:tcW w:w="4800"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道路运输从业人员管理规定》（交通部令2019年第18号）第四十五条：“违反本规定，有下列行为之一的人员，由县级以上道路运输管理机构责令改正，处200元以上2000元以下的罚款；构成犯罪的，依法追究刑事责任： </w:t>
            </w:r>
          </w:p>
          <w:p w:rsidR="0059130C" w:rsidRDefault="002E22CA">
            <w:pPr>
              <w:overflowPunct w:val="0"/>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（一）未取得相应从业资格证件，驾驶道路客货运输车辆的； （二）使用失效、伪造、变造的从业资格证件，驾驶道路客货运输车辆的；（三）超越从业资格证件核定范围，驾驶道路客货运输车辆的。</w:t>
            </w:r>
          </w:p>
          <w:p w:rsidR="0059130C" w:rsidRDefault="002E22CA">
            <w:pPr>
              <w:overflowPunct w:val="0"/>
              <w:spacing w:line="240" w:lineRule="exact"/>
              <w:jc w:val="left"/>
              <w:rPr>
                <w:rFonts w:ascii="仿宋_GB2312" w:eastAsia="仿宋_GB2312" w:hAnsi="仿宋_GB2312" w:cs="仿宋_GB2312"/>
                <w:kern w:val="0"/>
                <w:szCs w:val="21"/>
                <w:u w:val="single"/>
                <w:lang/>
              </w:rPr>
            </w:pPr>
            <w:r>
              <w:rPr>
                <w:rFonts w:ascii="仿宋_GB2312" w:eastAsia="仿宋_GB2312" w:hAnsi="仿宋_GB2312" w:cs="仿宋_GB2312" w:hint="eastAsia"/>
                <w:kern w:val="0"/>
                <w:szCs w:val="21"/>
                <w:lang/>
              </w:rPr>
              <w:t>调整为：</w:t>
            </w:r>
            <w:r>
              <w:rPr>
                <w:rFonts w:ascii="仿宋_GB2312" w:eastAsia="仿宋_GB2312" w:hAnsi="仿宋_GB2312" w:cs="仿宋_GB2312" w:hint="eastAsia"/>
                <w:kern w:val="0"/>
                <w:szCs w:val="21"/>
                <w:u w:val="single"/>
                <w:lang/>
              </w:rPr>
              <w:t>《道路运输从业人员管理规定》（交通部令2022年第38号）第四十六条：“违反本规定，有下列行为之一的人员，由县级以上交通运输主管部门责令改正，处200元以上2000元以下的罚款：</w:t>
            </w:r>
          </w:p>
          <w:p w:rsidR="0059130C" w:rsidRDefault="002E22CA">
            <w:pPr>
              <w:overflowPunct w:val="0"/>
              <w:spacing w:line="240" w:lineRule="exact"/>
              <w:jc w:val="left"/>
              <w:rPr>
                <w:rFonts w:ascii="仿宋_GB2312" w:eastAsia="仿宋_GB2312" w:hAnsi="仿宋_GB2312" w:cs="仿宋_GB2312"/>
                <w:kern w:val="0"/>
                <w:szCs w:val="21"/>
                <w:u w:val="single"/>
                <w:lang/>
              </w:rPr>
            </w:pPr>
            <w:r>
              <w:rPr>
                <w:rFonts w:ascii="仿宋_GB2312" w:eastAsia="仿宋_GB2312" w:hAnsi="仿宋_GB2312" w:cs="仿宋_GB2312" w:hint="eastAsia"/>
                <w:kern w:val="0"/>
                <w:szCs w:val="21"/>
                <w:u w:val="single"/>
                <w:lang/>
              </w:rPr>
              <w:t>（一）未取得相应从业资格证件，驾驶道路客运车辆的；</w:t>
            </w:r>
          </w:p>
          <w:p w:rsidR="0059130C" w:rsidRDefault="002E22CA">
            <w:pPr>
              <w:overflowPunct w:val="0"/>
              <w:spacing w:line="240" w:lineRule="exact"/>
              <w:jc w:val="left"/>
              <w:rPr>
                <w:rFonts w:ascii="仿宋_GB2312" w:eastAsia="仿宋_GB2312" w:hAnsi="仿宋_GB2312" w:cs="仿宋_GB2312"/>
                <w:kern w:val="0"/>
                <w:szCs w:val="21"/>
                <w:u w:val="single"/>
                <w:lang/>
              </w:rPr>
            </w:pPr>
            <w:r>
              <w:rPr>
                <w:rFonts w:ascii="仿宋_GB2312" w:eastAsia="仿宋_GB2312" w:hAnsi="仿宋_GB2312" w:cs="仿宋_GB2312" w:hint="eastAsia"/>
                <w:kern w:val="0"/>
                <w:szCs w:val="21"/>
                <w:u w:val="single"/>
                <w:lang/>
              </w:rPr>
              <w:t>（二）使用失效、伪造、变造的从业资格证件，驾驶道路客运车辆的；</w:t>
            </w:r>
          </w:p>
          <w:p w:rsidR="0059130C" w:rsidRDefault="002E22CA">
            <w:pPr>
              <w:overflowPunct w:val="0"/>
              <w:spacing w:line="240" w:lineRule="exact"/>
              <w:jc w:val="left"/>
              <w:rPr>
                <w:rFonts w:ascii="仿宋_GB2312" w:eastAsia="仿宋_GB2312" w:hAnsi="仿宋_GB2312" w:cs="仿宋_GB2312"/>
                <w:kern w:val="0"/>
                <w:szCs w:val="21"/>
                <w:u w:val="single"/>
                <w:lang/>
              </w:rPr>
            </w:pPr>
            <w:r>
              <w:rPr>
                <w:rFonts w:ascii="仿宋_GB2312" w:eastAsia="仿宋_GB2312" w:hAnsi="仿宋_GB2312" w:cs="仿宋_GB2312" w:hint="eastAsia"/>
                <w:kern w:val="0"/>
                <w:szCs w:val="21"/>
                <w:u w:val="single"/>
                <w:lang/>
              </w:rPr>
              <w:t>（三）超越从业资格证件核定范围，驾驶道路客运车辆的。</w:t>
            </w:r>
          </w:p>
          <w:p w:rsidR="0059130C" w:rsidRDefault="002E22CA">
            <w:pPr>
              <w:overflowPunct w:val="0"/>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kern w:val="0"/>
                <w:szCs w:val="21"/>
                <w:u w:val="single"/>
                <w:lang/>
              </w:rPr>
              <w:t>驾驶道路货运车辆违反前款规定的，由县级以上交通运输主管部门责令改正，处200元罚款。</w:t>
            </w:r>
            <w:r>
              <w:rPr>
                <w:rFonts w:ascii="仿宋_GB2312" w:eastAsia="仿宋_GB2312" w:hAnsi="仿宋_GB2312" w:cs="仿宋_GB2312" w:hint="eastAsia"/>
                <w:kern w:val="0"/>
                <w:szCs w:val="21"/>
                <w:lang/>
              </w:rPr>
              <w:t>”</w:t>
            </w:r>
          </w:p>
        </w:tc>
        <w:tc>
          <w:tcPr>
            <w:tcW w:w="731"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844"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3889"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p w:rsidR="0059130C" w:rsidRDefault="0059130C">
            <w:pPr>
              <w:spacing w:line="240" w:lineRule="exact"/>
              <w:rPr>
                <w:rFonts w:ascii="仿宋_GB2312" w:eastAsia="仿宋_GB2312" w:hAnsi="仿宋_GB2312" w:cs="仿宋_GB2312"/>
                <w:szCs w:val="21"/>
              </w:rPr>
            </w:pPr>
          </w:p>
          <w:p w:rsidR="0059130C" w:rsidRDefault="0059130C">
            <w:pPr>
              <w:spacing w:line="240" w:lineRule="exact"/>
              <w:rPr>
                <w:rFonts w:ascii="仿宋_GB2312" w:eastAsia="仿宋_GB2312" w:hAnsi="仿宋_GB2312" w:cs="仿宋_GB2312"/>
                <w:szCs w:val="21"/>
              </w:rPr>
            </w:pPr>
          </w:p>
          <w:p w:rsidR="0059130C" w:rsidRDefault="0059130C">
            <w:pPr>
              <w:spacing w:line="240" w:lineRule="exact"/>
              <w:rPr>
                <w:rFonts w:ascii="仿宋_GB2312" w:eastAsia="仿宋_GB2312" w:hAnsi="仿宋_GB2312" w:cs="仿宋_GB2312"/>
                <w:szCs w:val="21"/>
              </w:rPr>
            </w:pPr>
          </w:p>
          <w:p w:rsidR="0059130C" w:rsidRDefault="002E22CA">
            <w:pPr>
              <w:spacing w:line="240" w:lineRule="exact"/>
              <w:jc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rsidTr="002E22CA">
        <w:trPr>
          <w:trHeight w:val="23"/>
          <w:jc w:val="center"/>
        </w:trPr>
        <w:tc>
          <w:tcPr>
            <w:tcW w:w="780"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53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80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31"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4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388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rsidTr="002E22CA">
        <w:trPr>
          <w:trHeight w:val="23"/>
          <w:jc w:val="center"/>
        </w:trPr>
        <w:tc>
          <w:tcPr>
            <w:tcW w:w="780"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53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80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31"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4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388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rsidTr="002E22CA">
        <w:trPr>
          <w:trHeight w:val="23"/>
          <w:jc w:val="center"/>
        </w:trPr>
        <w:tc>
          <w:tcPr>
            <w:tcW w:w="780"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53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80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31"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4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388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rsidTr="002E22CA">
        <w:trPr>
          <w:trHeight w:val="23"/>
          <w:jc w:val="center"/>
        </w:trPr>
        <w:tc>
          <w:tcPr>
            <w:tcW w:w="780"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53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80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31"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4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388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rsidTr="002E22CA">
        <w:trPr>
          <w:trHeight w:val="23"/>
          <w:jc w:val="center"/>
        </w:trPr>
        <w:tc>
          <w:tcPr>
            <w:tcW w:w="780"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53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80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31"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4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388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rsidTr="002E22CA">
        <w:trPr>
          <w:trHeight w:val="23"/>
          <w:jc w:val="center"/>
        </w:trPr>
        <w:tc>
          <w:tcPr>
            <w:tcW w:w="780"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53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80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31"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4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388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rsidTr="002E22CA">
        <w:trPr>
          <w:trHeight w:val="784"/>
          <w:jc w:val="center"/>
        </w:trPr>
        <w:tc>
          <w:tcPr>
            <w:tcW w:w="780"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53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80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31"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44"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3889"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rsidTr="002E22CA">
        <w:trPr>
          <w:trHeight w:val="340"/>
          <w:jc w:val="center"/>
        </w:trPr>
        <w:tc>
          <w:tcPr>
            <w:tcW w:w="780"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5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A82127">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调整情况：</w:t>
            </w:r>
            <w:r w:rsidR="002E22CA">
              <w:rPr>
                <w:rFonts w:ascii="仿宋_GB2312" w:eastAsia="仿宋_GB2312" w:hAnsi="仿宋_GB2312" w:cs="仿宋_GB2312" w:hint="eastAsia"/>
                <w:szCs w:val="21"/>
              </w:rPr>
              <w:t>调整实施依据</w:t>
            </w:r>
          </w:p>
        </w:tc>
      </w:tr>
      <w:tr w:rsidR="0059130C" w:rsidTr="002E22CA">
        <w:trPr>
          <w:trHeight w:val="340"/>
          <w:jc w:val="center"/>
        </w:trPr>
        <w:tc>
          <w:tcPr>
            <w:tcW w:w="780"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5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调整原因：根据《道路运输从业人员管理规定》（交通部令2022年第38</w:t>
            </w:r>
            <w:r w:rsidR="00A82127">
              <w:rPr>
                <w:rFonts w:ascii="仿宋_GB2312" w:eastAsia="仿宋_GB2312" w:hAnsi="仿宋_GB2312" w:cs="仿宋_GB2312" w:hint="eastAsia"/>
                <w:szCs w:val="21"/>
              </w:rPr>
              <w:t>号），</w:t>
            </w:r>
            <w:r>
              <w:rPr>
                <w:rFonts w:ascii="仿宋_GB2312" w:eastAsia="仿宋_GB2312" w:hAnsi="仿宋_GB2312" w:cs="仿宋_GB2312" w:hint="eastAsia"/>
                <w:szCs w:val="21"/>
              </w:rPr>
              <w:t>调整实施依据</w:t>
            </w:r>
          </w:p>
        </w:tc>
      </w:tr>
    </w:tbl>
    <w:tbl>
      <w:tblPr>
        <w:tblpPr w:leftFromText="180" w:rightFromText="180" w:vertAnchor="text" w:horzAnchor="margin" w:tblpY="-3"/>
        <w:tblW w:w="14128" w:type="dxa"/>
        <w:tblLayout w:type="fixed"/>
        <w:tblCellMar>
          <w:left w:w="15" w:type="dxa"/>
          <w:right w:w="15" w:type="dxa"/>
        </w:tblCellMar>
        <w:tblLook w:val="04A0"/>
      </w:tblPr>
      <w:tblGrid>
        <w:gridCol w:w="606"/>
        <w:gridCol w:w="1968"/>
        <w:gridCol w:w="5014"/>
        <w:gridCol w:w="990"/>
        <w:gridCol w:w="945"/>
        <w:gridCol w:w="3439"/>
        <w:gridCol w:w="1166"/>
      </w:tblGrid>
      <w:tr w:rsidR="002E22CA" w:rsidTr="002E22CA">
        <w:trPr>
          <w:trHeight w:val="23"/>
        </w:trPr>
        <w:tc>
          <w:tcPr>
            <w:tcW w:w="606" w:type="dxa"/>
            <w:tcBorders>
              <w:top w:val="single" w:sz="4" w:space="0" w:color="000000"/>
              <w:left w:val="single" w:sz="4" w:space="0" w:color="000000"/>
              <w:bottom w:val="single" w:sz="4" w:space="0" w:color="000000"/>
              <w:right w:val="single" w:sz="4" w:space="0" w:color="000000"/>
            </w:tcBorders>
            <w:vAlign w:val="center"/>
          </w:tcPr>
          <w:p w:rsidR="002E22CA" w:rsidRDefault="002E22CA" w:rsidP="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1968" w:type="dxa"/>
            <w:tcBorders>
              <w:top w:val="single" w:sz="4" w:space="0" w:color="000000"/>
              <w:left w:val="single" w:sz="4" w:space="0" w:color="000000"/>
              <w:bottom w:val="single" w:sz="4" w:space="0" w:color="000000"/>
              <w:right w:val="single" w:sz="4" w:space="0" w:color="000000"/>
            </w:tcBorders>
            <w:vAlign w:val="center"/>
          </w:tcPr>
          <w:p w:rsidR="002E22CA" w:rsidRDefault="002E22CA" w:rsidP="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5014" w:type="dxa"/>
            <w:tcBorders>
              <w:top w:val="single" w:sz="4" w:space="0" w:color="000000"/>
              <w:left w:val="single" w:sz="4" w:space="0" w:color="000000"/>
              <w:bottom w:val="single" w:sz="4" w:space="0" w:color="000000"/>
              <w:right w:val="single" w:sz="4" w:space="0" w:color="000000"/>
            </w:tcBorders>
            <w:vAlign w:val="center"/>
          </w:tcPr>
          <w:p w:rsidR="002E22CA" w:rsidRDefault="002E22CA" w:rsidP="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990" w:type="dxa"/>
            <w:tcBorders>
              <w:top w:val="single" w:sz="4" w:space="0" w:color="000000"/>
              <w:left w:val="single" w:sz="4" w:space="0" w:color="000000"/>
              <w:bottom w:val="single" w:sz="4" w:space="0" w:color="000000"/>
              <w:right w:val="single" w:sz="4" w:space="0" w:color="000000"/>
            </w:tcBorders>
            <w:vAlign w:val="center"/>
          </w:tcPr>
          <w:p w:rsidR="002E22CA" w:rsidRDefault="002E22CA" w:rsidP="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2E22CA" w:rsidRDefault="002E22CA" w:rsidP="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945" w:type="dxa"/>
            <w:tcBorders>
              <w:top w:val="single" w:sz="4" w:space="0" w:color="000000"/>
              <w:left w:val="single" w:sz="4" w:space="0" w:color="000000"/>
              <w:bottom w:val="single" w:sz="4" w:space="0" w:color="000000"/>
              <w:right w:val="single" w:sz="4" w:space="0" w:color="000000"/>
            </w:tcBorders>
            <w:vAlign w:val="center"/>
          </w:tcPr>
          <w:p w:rsidR="002E22CA" w:rsidRDefault="002E22CA" w:rsidP="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2E22CA" w:rsidRDefault="002E22CA" w:rsidP="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439" w:type="dxa"/>
            <w:tcBorders>
              <w:top w:val="single" w:sz="4" w:space="0" w:color="000000"/>
              <w:left w:val="single" w:sz="4" w:space="0" w:color="000000"/>
              <w:bottom w:val="single" w:sz="4" w:space="0" w:color="000000"/>
              <w:right w:val="single" w:sz="4" w:space="0" w:color="000000"/>
            </w:tcBorders>
            <w:vAlign w:val="center"/>
          </w:tcPr>
          <w:p w:rsidR="002E22CA" w:rsidRDefault="002E22CA" w:rsidP="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166" w:type="dxa"/>
            <w:tcBorders>
              <w:top w:val="single" w:sz="4" w:space="0" w:color="000000"/>
              <w:left w:val="single" w:sz="4" w:space="0" w:color="000000"/>
              <w:bottom w:val="single" w:sz="4" w:space="0" w:color="000000"/>
              <w:right w:val="single" w:sz="4" w:space="0" w:color="000000"/>
            </w:tcBorders>
            <w:vAlign w:val="center"/>
          </w:tcPr>
          <w:p w:rsidR="002E22CA" w:rsidRDefault="002E22CA" w:rsidP="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2E22CA" w:rsidTr="002E22CA">
        <w:trPr>
          <w:trHeight w:val="23"/>
        </w:trPr>
        <w:tc>
          <w:tcPr>
            <w:tcW w:w="606" w:type="dxa"/>
            <w:vMerge w:val="restart"/>
            <w:tcBorders>
              <w:top w:val="single" w:sz="4" w:space="0" w:color="000000"/>
              <w:left w:val="single" w:sz="4" w:space="0" w:color="000000"/>
              <w:right w:val="single" w:sz="4" w:space="0" w:color="000000"/>
            </w:tcBorders>
            <w:vAlign w:val="center"/>
          </w:tcPr>
          <w:p w:rsidR="002E22CA" w:rsidRDefault="002E22CA" w:rsidP="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6</w:t>
            </w:r>
          </w:p>
        </w:tc>
        <w:tc>
          <w:tcPr>
            <w:tcW w:w="1968" w:type="dxa"/>
            <w:vMerge w:val="restart"/>
            <w:tcBorders>
              <w:top w:val="single" w:sz="4" w:space="0" w:color="000000"/>
              <w:left w:val="single" w:sz="4" w:space="0" w:color="000000"/>
              <w:right w:val="single" w:sz="4" w:space="0" w:color="000000"/>
            </w:tcBorders>
            <w:vAlign w:val="center"/>
          </w:tcPr>
          <w:p w:rsidR="002E22CA" w:rsidRDefault="002E22CA" w:rsidP="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未取得道路货物运输经营许可，擅自从事道路货物运输经营；超越许可事项，从事道路货物运输经营的处罚</w:t>
            </w:r>
          </w:p>
          <w:p w:rsidR="002E22CA" w:rsidRDefault="002E22CA" w:rsidP="002E22CA">
            <w:pPr>
              <w:pStyle w:val="a6"/>
              <w:spacing w:beforeAutospacing="0" w:afterAutospacing="0" w:line="240" w:lineRule="exact"/>
              <w:rPr>
                <w:rFonts w:ascii="仿宋_GB2312" w:eastAsia="仿宋_GB2312" w:hAnsi="仿宋_GB2312" w:cs="仿宋_GB2312"/>
                <w:sz w:val="21"/>
                <w:szCs w:val="21"/>
                <w:u w:val="single"/>
                <w:lang/>
              </w:rPr>
            </w:pPr>
            <w:r>
              <w:rPr>
                <w:rFonts w:ascii="仿宋_GB2312" w:eastAsia="仿宋_GB2312" w:hAnsi="仿宋_GB2312" w:cs="仿宋_GB2312" w:hint="eastAsia"/>
                <w:sz w:val="21"/>
                <w:szCs w:val="21"/>
                <w:u w:val="single"/>
                <w:lang/>
              </w:rPr>
              <w:t>调整为：未取得道路运输经营许可，擅自从事道路普通货物运输经营的；超越许可事项，从事道路货物运输经营的处罚</w:t>
            </w:r>
          </w:p>
          <w:p w:rsidR="002E22CA" w:rsidRDefault="002E22CA" w:rsidP="002E22CA">
            <w:pPr>
              <w:pStyle w:val="a6"/>
              <w:spacing w:beforeAutospacing="0" w:afterAutospacing="0" w:line="240" w:lineRule="exact"/>
              <w:rPr>
                <w:rFonts w:ascii="仿宋_GB2312" w:eastAsia="仿宋_GB2312" w:hAnsi="仿宋_GB2312" w:cs="仿宋_GB2312"/>
                <w:sz w:val="21"/>
                <w:szCs w:val="21"/>
                <w:lang/>
              </w:rPr>
            </w:pPr>
          </w:p>
        </w:tc>
        <w:tc>
          <w:tcPr>
            <w:tcW w:w="5014" w:type="dxa"/>
            <w:vMerge w:val="restart"/>
            <w:tcBorders>
              <w:top w:val="single" w:sz="4" w:space="0" w:color="000000"/>
              <w:left w:val="single" w:sz="4" w:space="0" w:color="000000"/>
              <w:right w:val="single" w:sz="4" w:space="0" w:color="000000"/>
            </w:tcBorders>
            <w:vAlign w:val="center"/>
          </w:tcPr>
          <w:p w:rsidR="002E22CA" w:rsidRDefault="002E22CA" w:rsidP="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中华人民共和国道路运输条例》（国务院令第752号）第六十三条：“违反本条例的规定，未取得道路运输经营许可，擅自从事道路运输经营的，由县级以上地方人民政府交通运输主管部门责令停止经营；有违法所得的，没收违法所得，处违法所得2倍以上10倍以下的罚款；没有违法所得或者违法所得不足2万元的，处3万元以上10万元以下的罚款；构成犯罪的，依法追究刑事责任。”</w:t>
            </w:r>
          </w:p>
          <w:p w:rsidR="002E22CA" w:rsidRDefault="002E22CA" w:rsidP="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《道路货物运输及站场管理规定》（交通运输部令2019年第17号）第五十七条：“违反本规定，有下列行为之一的，由县级以上道路运输管理机构责令停止经营；有违法所得的，</w:t>
            </w:r>
            <w:hyperlink r:id="rId8" w:tgtFrame="https://baike.sogou.com/_blank" w:history="1">
              <w:r>
                <w:rPr>
                  <w:rFonts w:ascii="仿宋_GB2312" w:eastAsia="仿宋_GB2312" w:hAnsi="仿宋_GB2312" w:cs="仿宋_GB2312" w:hint="eastAsia"/>
                  <w:sz w:val="21"/>
                  <w:szCs w:val="21"/>
                  <w:lang/>
                </w:rPr>
                <w:t>没收违法所得</w:t>
              </w:r>
            </w:hyperlink>
            <w:r>
              <w:rPr>
                <w:rFonts w:ascii="仿宋_GB2312" w:eastAsia="仿宋_GB2312" w:hAnsi="仿宋_GB2312" w:cs="仿宋_GB2312" w:hint="eastAsia"/>
                <w:sz w:val="21"/>
                <w:szCs w:val="21"/>
                <w:lang/>
              </w:rPr>
              <w:t>，处违法所得2倍以上10倍以下的罚款；没有违法所得或者违法所得不足2万元的，处3万元以上10万元以下的罚款；构成犯罪的，依法</w:t>
            </w:r>
            <w:hyperlink r:id="rId9" w:tgtFrame="https://baike.sogou.com/_blank" w:history="1">
              <w:r>
                <w:rPr>
                  <w:rFonts w:ascii="仿宋_GB2312" w:eastAsia="仿宋_GB2312" w:hAnsi="仿宋_GB2312" w:cs="仿宋_GB2312" w:hint="eastAsia"/>
                  <w:sz w:val="21"/>
                  <w:szCs w:val="21"/>
                  <w:lang/>
                </w:rPr>
                <w:t>追究刑事责任</w:t>
              </w:r>
            </w:hyperlink>
            <w:r>
              <w:rPr>
                <w:rFonts w:ascii="仿宋_GB2312" w:eastAsia="仿宋_GB2312" w:hAnsi="仿宋_GB2312" w:cs="仿宋_GB2312" w:hint="eastAsia"/>
                <w:sz w:val="21"/>
                <w:szCs w:val="21"/>
                <w:lang/>
              </w:rPr>
              <w:t>：（一）未按规定取得道路货物运输经营许可，擅自从事道路货物运输经营的；（三）超越许可的事项，从事道路货物运输经营的。”</w:t>
            </w:r>
          </w:p>
          <w:p w:rsidR="002E22CA" w:rsidRDefault="002E22CA" w:rsidP="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调整为：</w:t>
            </w:r>
            <w:r>
              <w:rPr>
                <w:rFonts w:ascii="仿宋_GB2312" w:eastAsia="仿宋_GB2312" w:hAnsi="仿宋_GB2312" w:cs="仿宋_GB2312" w:hint="eastAsia"/>
                <w:sz w:val="21"/>
                <w:szCs w:val="21"/>
                <w:u w:val="single"/>
                <w:lang/>
              </w:rPr>
              <w:t>《中华人民共和国道路运输条例》（国务院令第764号）第六十三条第一项：“（一）未取得道路运输经营许可，擅自从事道路普通货物运输经营，违法所得超过1万元的，没收违法所得，处违法所得1倍以上5倍以下的罚款；没有违法所得或者违法所得不足1万元的，处3000元以上1万元以下的罚款，情节严重的，处1万元以上5万元以下的罚款。”《道路货物运输及站场管理规定》（交通运输部令2022年第30号）第六十一条：“违反本规定，有下列行为之一的，由交通运输主管部门责令停止经营；有违法所得的，没收违法所得，处违法所得2倍以上10倍以下的罚款；没有违法所得或者违法所得不足2万元的，处3万元以上10万元以下的罚款；构成犯罪的，依法追究刑事责任：（一）未按规定取得道路货物运输经营许可，擅自从事道路货物运输经营的；（三）超越许可的事项，从事道路货物运输经营的。</w:t>
            </w:r>
          </w:p>
        </w:tc>
        <w:tc>
          <w:tcPr>
            <w:tcW w:w="990" w:type="dxa"/>
            <w:vMerge w:val="restart"/>
            <w:tcBorders>
              <w:top w:val="single" w:sz="4" w:space="0" w:color="000000"/>
              <w:left w:val="single" w:sz="4" w:space="0" w:color="000000"/>
              <w:right w:val="single" w:sz="4" w:space="0" w:color="000000"/>
            </w:tcBorders>
            <w:vAlign w:val="center"/>
          </w:tcPr>
          <w:p w:rsidR="002E22CA" w:rsidRDefault="002E22CA" w:rsidP="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945" w:type="dxa"/>
            <w:tcBorders>
              <w:top w:val="single" w:sz="4" w:space="0" w:color="000000"/>
              <w:left w:val="single" w:sz="4" w:space="0" w:color="000000"/>
              <w:bottom w:val="single" w:sz="4" w:space="0" w:color="auto"/>
              <w:right w:val="single" w:sz="4" w:space="0" w:color="000000"/>
            </w:tcBorders>
            <w:vAlign w:val="center"/>
          </w:tcPr>
          <w:p w:rsidR="002E22CA" w:rsidRDefault="002E22CA" w:rsidP="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3439" w:type="dxa"/>
            <w:tcBorders>
              <w:top w:val="single" w:sz="4" w:space="0" w:color="000000"/>
              <w:left w:val="single" w:sz="4" w:space="0" w:color="000000"/>
              <w:bottom w:val="single" w:sz="4" w:space="0" w:color="auto"/>
              <w:right w:val="single" w:sz="4" w:space="0" w:color="000000"/>
            </w:tcBorders>
            <w:vAlign w:val="center"/>
          </w:tcPr>
          <w:p w:rsidR="002E22CA" w:rsidRDefault="002E22CA" w:rsidP="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166" w:type="dxa"/>
            <w:vMerge w:val="restart"/>
            <w:tcBorders>
              <w:top w:val="single" w:sz="4" w:space="0" w:color="000000"/>
              <w:left w:val="single" w:sz="4" w:space="0" w:color="000000"/>
              <w:right w:val="single" w:sz="4" w:space="0" w:color="000000"/>
            </w:tcBorders>
            <w:vAlign w:val="center"/>
          </w:tcPr>
          <w:p w:rsidR="002E22CA" w:rsidRDefault="002E22CA" w:rsidP="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2E22CA" w:rsidTr="002E22CA">
        <w:trPr>
          <w:trHeight w:val="23"/>
        </w:trPr>
        <w:tc>
          <w:tcPr>
            <w:tcW w:w="606" w:type="dxa"/>
            <w:vMerge/>
            <w:tcBorders>
              <w:left w:val="single" w:sz="4" w:space="0" w:color="000000"/>
              <w:right w:val="single" w:sz="4" w:space="0" w:color="000000"/>
            </w:tcBorders>
            <w:vAlign w:val="center"/>
          </w:tcPr>
          <w:p w:rsidR="002E22CA" w:rsidRDefault="002E22CA" w:rsidP="002E22CA">
            <w:pPr>
              <w:autoSpaceDN w:val="0"/>
              <w:spacing w:line="240" w:lineRule="exact"/>
              <w:jc w:val="center"/>
              <w:textAlignment w:val="center"/>
              <w:rPr>
                <w:rFonts w:ascii="仿宋_GB2312" w:eastAsia="仿宋_GB2312" w:hAnsi="仿宋_GB2312" w:cs="仿宋_GB2312"/>
                <w:szCs w:val="21"/>
              </w:rPr>
            </w:pPr>
          </w:p>
        </w:tc>
        <w:tc>
          <w:tcPr>
            <w:tcW w:w="1968" w:type="dxa"/>
            <w:vMerge/>
            <w:tcBorders>
              <w:left w:val="single" w:sz="4" w:space="0" w:color="000000"/>
              <w:bottom w:val="single" w:sz="4" w:space="0" w:color="000000"/>
              <w:right w:val="single" w:sz="4" w:space="0" w:color="000000"/>
            </w:tcBorders>
            <w:vAlign w:val="center"/>
          </w:tcPr>
          <w:p w:rsidR="002E22CA" w:rsidRDefault="002E22CA" w:rsidP="002E22CA">
            <w:pPr>
              <w:autoSpaceDN w:val="0"/>
              <w:spacing w:line="240" w:lineRule="exact"/>
              <w:jc w:val="left"/>
              <w:textAlignment w:val="center"/>
              <w:rPr>
                <w:rFonts w:ascii="仿宋_GB2312" w:eastAsia="仿宋_GB2312" w:hAnsi="仿宋_GB2312" w:cs="仿宋_GB2312"/>
                <w:szCs w:val="21"/>
              </w:rPr>
            </w:pPr>
          </w:p>
        </w:tc>
        <w:tc>
          <w:tcPr>
            <w:tcW w:w="5014" w:type="dxa"/>
            <w:vMerge/>
            <w:tcBorders>
              <w:left w:val="single" w:sz="4" w:space="0" w:color="000000"/>
              <w:bottom w:val="single" w:sz="4" w:space="0" w:color="000000"/>
              <w:right w:val="single" w:sz="4" w:space="0" w:color="000000"/>
            </w:tcBorders>
            <w:vAlign w:val="center"/>
          </w:tcPr>
          <w:p w:rsidR="002E22CA" w:rsidRDefault="002E22CA" w:rsidP="002E22CA">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2E22CA" w:rsidRDefault="002E22CA" w:rsidP="002E22CA">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2E22CA" w:rsidRDefault="002E22CA" w:rsidP="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3439" w:type="dxa"/>
            <w:tcBorders>
              <w:top w:val="single" w:sz="4" w:space="0" w:color="auto"/>
              <w:left w:val="single" w:sz="4" w:space="0" w:color="000000"/>
              <w:bottom w:val="single" w:sz="4" w:space="0" w:color="auto"/>
              <w:right w:val="single" w:sz="4" w:space="0" w:color="000000"/>
            </w:tcBorders>
            <w:vAlign w:val="center"/>
          </w:tcPr>
          <w:p w:rsidR="002E22CA" w:rsidRDefault="002E22CA" w:rsidP="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166" w:type="dxa"/>
            <w:vMerge/>
            <w:tcBorders>
              <w:left w:val="single" w:sz="4" w:space="0" w:color="000000"/>
              <w:right w:val="single" w:sz="4" w:space="0" w:color="000000"/>
            </w:tcBorders>
            <w:vAlign w:val="center"/>
          </w:tcPr>
          <w:p w:rsidR="002E22CA" w:rsidRDefault="002E22CA" w:rsidP="002E22CA">
            <w:pPr>
              <w:autoSpaceDN w:val="0"/>
              <w:spacing w:line="240" w:lineRule="exact"/>
              <w:jc w:val="left"/>
              <w:textAlignment w:val="center"/>
              <w:rPr>
                <w:rFonts w:ascii="仿宋_GB2312" w:eastAsia="仿宋_GB2312" w:hAnsi="仿宋_GB2312" w:cs="仿宋_GB2312"/>
                <w:szCs w:val="21"/>
              </w:rPr>
            </w:pPr>
          </w:p>
        </w:tc>
      </w:tr>
      <w:tr w:rsidR="002E22CA" w:rsidTr="002E22CA">
        <w:trPr>
          <w:trHeight w:val="471"/>
        </w:trPr>
        <w:tc>
          <w:tcPr>
            <w:tcW w:w="606" w:type="dxa"/>
            <w:vMerge/>
            <w:tcBorders>
              <w:left w:val="single" w:sz="4" w:space="0" w:color="000000"/>
              <w:right w:val="single" w:sz="4" w:space="0" w:color="000000"/>
            </w:tcBorders>
            <w:vAlign w:val="center"/>
          </w:tcPr>
          <w:p w:rsidR="002E22CA" w:rsidRDefault="002E22CA" w:rsidP="002E22CA">
            <w:pPr>
              <w:autoSpaceDN w:val="0"/>
              <w:spacing w:line="240" w:lineRule="exact"/>
              <w:jc w:val="center"/>
              <w:textAlignment w:val="center"/>
              <w:rPr>
                <w:rFonts w:ascii="仿宋_GB2312" w:eastAsia="仿宋_GB2312" w:hAnsi="仿宋_GB2312" w:cs="仿宋_GB2312"/>
                <w:szCs w:val="21"/>
              </w:rPr>
            </w:pPr>
          </w:p>
        </w:tc>
        <w:tc>
          <w:tcPr>
            <w:tcW w:w="1968" w:type="dxa"/>
            <w:vMerge/>
            <w:tcBorders>
              <w:left w:val="single" w:sz="4" w:space="0" w:color="000000"/>
              <w:bottom w:val="single" w:sz="4" w:space="0" w:color="000000"/>
              <w:right w:val="single" w:sz="4" w:space="0" w:color="000000"/>
            </w:tcBorders>
            <w:vAlign w:val="center"/>
          </w:tcPr>
          <w:p w:rsidR="002E22CA" w:rsidRDefault="002E22CA" w:rsidP="002E22CA">
            <w:pPr>
              <w:autoSpaceDN w:val="0"/>
              <w:spacing w:line="240" w:lineRule="exact"/>
              <w:jc w:val="left"/>
              <w:textAlignment w:val="center"/>
              <w:rPr>
                <w:rFonts w:ascii="仿宋_GB2312" w:eastAsia="仿宋_GB2312" w:hAnsi="仿宋_GB2312" w:cs="仿宋_GB2312"/>
                <w:szCs w:val="21"/>
              </w:rPr>
            </w:pPr>
          </w:p>
        </w:tc>
        <w:tc>
          <w:tcPr>
            <w:tcW w:w="5014" w:type="dxa"/>
            <w:vMerge/>
            <w:tcBorders>
              <w:left w:val="single" w:sz="4" w:space="0" w:color="000000"/>
              <w:bottom w:val="single" w:sz="4" w:space="0" w:color="000000"/>
              <w:right w:val="single" w:sz="4" w:space="0" w:color="000000"/>
            </w:tcBorders>
            <w:vAlign w:val="center"/>
          </w:tcPr>
          <w:p w:rsidR="002E22CA" w:rsidRDefault="002E22CA" w:rsidP="002E22CA">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2E22CA" w:rsidRDefault="002E22CA" w:rsidP="002E22CA">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2E22CA" w:rsidRDefault="002E22CA" w:rsidP="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3439" w:type="dxa"/>
            <w:tcBorders>
              <w:top w:val="single" w:sz="4" w:space="0" w:color="auto"/>
              <w:left w:val="single" w:sz="4" w:space="0" w:color="000000"/>
              <w:bottom w:val="single" w:sz="4" w:space="0" w:color="auto"/>
              <w:right w:val="single" w:sz="4" w:space="0" w:color="000000"/>
            </w:tcBorders>
            <w:vAlign w:val="center"/>
          </w:tcPr>
          <w:p w:rsidR="002E22CA" w:rsidRDefault="002E22CA" w:rsidP="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166" w:type="dxa"/>
            <w:vMerge/>
            <w:tcBorders>
              <w:left w:val="single" w:sz="4" w:space="0" w:color="000000"/>
              <w:right w:val="single" w:sz="4" w:space="0" w:color="000000"/>
            </w:tcBorders>
            <w:vAlign w:val="center"/>
          </w:tcPr>
          <w:p w:rsidR="002E22CA" w:rsidRDefault="002E22CA" w:rsidP="002E22CA">
            <w:pPr>
              <w:autoSpaceDN w:val="0"/>
              <w:spacing w:line="240" w:lineRule="exact"/>
              <w:jc w:val="left"/>
              <w:textAlignment w:val="center"/>
              <w:rPr>
                <w:rFonts w:ascii="仿宋_GB2312" w:eastAsia="仿宋_GB2312" w:hAnsi="仿宋_GB2312" w:cs="仿宋_GB2312"/>
                <w:szCs w:val="21"/>
              </w:rPr>
            </w:pPr>
          </w:p>
        </w:tc>
      </w:tr>
      <w:tr w:rsidR="002E22CA" w:rsidTr="002E22CA">
        <w:trPr>
          <w:trHeight w:val="23"/>
        </w:trPr>
        <w:tc>
          <w:tcPr>
            <w:tcW w:w="606" w:type="dxa"/>
            <w:vMerge/>
            <w:tcBorders>
              <w:left w:val="single" w:sz="4" w:space="0" w:color="000000"/>
              <w:right w:val="single" w:sz="4" w:space="0" w:color="000000"/>
            </w:tcBorders>
            <w:vAlign w:val="center"/>
          </w:tcPr>
          <w:p w:rsidR="002E22CA" w:rsidRDefault="002E22CA" w:rsidP="002E22CA">
            <w:pPr>
              <w:autoSpaceDN w:val="0"/>
              <w:spacing w:line="240" w:lineRule="exact"/>
              <w:jc w:val="center"/>
              <w:textAlignment w:val="center"/>
              <w:rPr>
                <w:rFonts w:ascii="仿宋_GB2312" w:eastAsia="仿宋_GB2312" w:hAnsi="仿宋_GB2312" w:cs="仿宋_GB2312"/>
                <w:szCs w:val="21"/>
              </w:rPr>
            </w:pPr>
          </w:p>
        </w:tc>
        <w:tc>
          <w:tcPr>
            <w:tcW w:w="1968" w:type="dxa"/>
            <w:vMerge/>
            <w:tcBorders>
              <w:left w:val="single" w:sz="4" w:space="0" w:color="000000"/>
              <w:bottom w:val="single" w:sz="4" w:space="0" w:color="000000"/>
              <w:right w:val="single" w:sz="4" w:space="0" w:color="000000"/>
            </w:tcBorders>
            <w:vAlign w:val="center"/>
          </w:tcPr>
          <w:p w:rsidR="002E22CA" w:rsidRDefault="002E22CA" w:rsidP="002E22CA">
            <w:pPr>
              <w:autoSpaceDN w:val="0"/>
              <w:spacing w:line="240" w:lineRule="exact"/>
              <w:jc w:val="left"/>
              <w:textAlignment w:val="center"/>
              <w:rPr>
                <w:rFonts w:ascii="仿宋_GB2312" w:eastAsia="仿宋_GB2312" w:hAnsi="仿宋_GB2312" w:cs="仿宋_GB2312"/>
                <w:szCs w:val="21"/>
              </w:rPr>
            </w:pPr>
          </w:p>
        </w:tc>
        <w:tc>
          <w:tcPr>
            <w:tcW w:w="5014" w:type="dxa"/>
            <w:vMerge/>
            <w:tcBorders>
              <w:left w:val="single" w:sz="4" w:space="0" w:color="000000"/>
              <w:bottom w:val="single" w:sz="4" w:space="0" w:color="000000"/>
              <w:right w:val="single" w:sz="4" w:space="0" w:color="000000"/>
            </w:tcBorders>
            <w:vAlign w:val="center"/>
          </w:tcPr>
          <w:p w:rsidR="002E22CA" w:rsidRDefault="002E22CA" w:rsidP="002E22CA">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2E22CA" w:rsidRDefault="002E22CA" w:rsidP="002E22CA">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2E22CA" w:rsidRDefault="002E22CA" w:rsidP="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3439" w:type="dxa"/>
            <w:tcBorders>
              <w:top w:val="single" w:sz="4" w:space="0" w:color="auto"/>
              <w:left w:val="single" w:sz="4" w:space="0" w:color="000000"/>
              <w:bottom w:val="single" w:sz="4" w:space="0" w:color="auto"/>
              <w:right w:val="single" w:sz="4" w:space="0" w:color="000000"/>
            </w:tcBorders>
            <w:vAlign w:val="center"/>
          </w:tcPr>
          <w:p w:rsidR="002E22CA" w:rsidRDefault="002E22CA" w:rsidP="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166" w:type="dxa"/>
            <w:vMerge/>
            <w:tcBorders>
              <w:left w:val="single" w:sz="4" w:space="0" w:color="000000"/>
              <w:right w:val="single" w:sz="4" w:space="0" w:color="000000"/>
            </w:tcBorders>
            <w:vAlign w:val="center"/>
          </w:tcPr>
          <w:p w:rsidR="002E22CA" w:rsidRDefault="002E22CA" w:rsidP="002E22CA">
            <w:pPr>
              <w:autoSpaceDN w:val="0"/>
              <w:spacing w:line="240" w:lineRule="exact"/>
              <w:jc w:val="left"/>
              <w:textAlignment w:val="center"/>
              <w:rPr>
                <w:rFonts w:ascii="仿宋_GB2312" w:eastAsia="仿宋_GB2312" w:hAnsi="仿宋_GB2312" w:cs="仿宋_GB2312"/>
                <w:szCs w:val="21"/>
              </w:rPr>
            </w:pPr>
          </w:p>
        </w:tc>
      </w:tr>
      <w:tr w:rsidR="002E22CA" w:rsidTr="002E22CA">
        <w:trPr>
          <w:trHeight w:val="23"/>
        </w:trPr>
        <w:tc>
          <w:tcPr>
            <w:tcW w:w="606" w:type="dxa"/>
            <w:vMerge/>
            <w:tcBorders>
              <w:left w:val="single" w:sz="4" w:space="0" w:color="000000"/>
              <w:right w:val="single" w:sz="4" w:space="0" w:color="000000"/>
            </w:tcBorders>
            <w:vAlign w:val="center"/>
          </w:tcPr>
          <w:p w:rsidR="002E22CA" w:rsidRDefault="002E22CA" w:rsidP="002E22CA">
            <w:pPr>
              <w:autoSpaceDN w:val="0"/>
              <w:spacing w:line="240" w:lineRule="exact"/>
              <w:jc w:val="center"/>
              <w:textAlignment w:val="center"/>
              <w:rPr>
                <w:rFonts w:ascii="仿宋_GB2312" w:eastAsia="仿宋_GB2312" w:hAnsi="仿宋_GB2312" w:cs="仿宋_GB2312"/>
                <w:szCs w:val="21"/>
              </w:rPr>
            </w:pPr>
          </w:p>
        </w:tc>
        <w:tc>
          <w:tcPr>
            <w:tcW w:w="1968" w:type="dxa"/>
            <w:vMerge/>
            <w:tcBorders>
              <w:left w:val="single" w:sz="4" w:space="0" w:color="000000"/>
              <w:bottom w:val="single" w:sz="4" w:space="0" w:color="000000"/>
              <w:right w:val="single" w:sz="4" w:space="0" w:color="000000"/>
            </w:tcBorders>
            <w:vAlign w:val="center"/>
          </w:tcPr>
          <w:p w:rsidR="002E22CA" w:rsidRDefault="002E22CA" w:rsidP="002E22CA">
            <w:pPr>
              <w:autoSpaceDN w:val="0"/>
              <w:spacing w:line="240" w:lineRule="exact"/>
              <w:jc w:val="left"/>
              <w:textAlignment w:val="center"/>
              <w:rPr>
                <w:rFonts w:ascii="仿宋_GB2312" w:eastAsia="仿宋_GB2312" w:hAnsi="仿宋_GB2312" w:cs="仿宋_GB2312"/>
                <w:szCs w:val="21"/>
              </w:rPr>
            </w:pPr>
          </w:p>
        </w:tc>
        <w:tc>
          <w:tcPr>
            <w:tcW w:w="5014" w:type="dxa"/>
            <w:vMerge/>
            <w:tcBorders>
              <w:left w:val="single" w:sz="4" w:space="0" w:color="000000"/>
              <w:bottom w:val="single" w:sz="4" w:space="0" w:color="000000"/>
              <w:right w:val="single" w:sz="4" w:space="0" w:color="000000"/>
            </w:tcBorders>
            <w:vAlign w:val="center"/>
          </w:tcPr>
          <w:p w:rsidR="002E22CA" w:rsidRDefault="002E22CA" w:rsidP="002E22CA">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2E22CA" w:rsidRDefault="002E22CA" w:rsidP="002E22CA">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2E22CA" w:rsidRDefault="002E22CA" w:rsidP="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3439" w:type="dxa"/>
            <w:tcBorders>
              <w:top w:val="single" w:sz="4" w:space="0" w:color="auto"/>
              <w:left w:val="single" w:sz="4" w:space="0" w:color="000000"/>
              <w:bottom w:val="single" w:sz="4" w:space="0" w:color="auto"/>
              <w:right w:val="single" w:sz="4" w:space="0" w:color="000000"/>
            </w:tcBorders>
            <w:vAlign w:val="center"/>
          </w:tcPr>
          <w:p w:rsidR="002E22CA" w:rsidRDefault="002E22CA" w:rsidP="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166" w:type="dxa"/>
            <w:vMerge/>
            <w:tcBorders>
              <w:left w:val="single" w:sz="4" w:space="0" w:color="000000"/>
              <w:right w:val="single" w:sz="4" w:space="0" w:color="000000"/>
            </w:tcBorders>
            <w:vAlign w:val="center"/>
          </w:tcPr>
          <w:p w:rsidR="002E22CA" w:rsidRDefault="002E22CA" w:rsidP="002E22CA">
            <w:pPr>
              <w:autoSpaceDN w:val="0"/>
              <w:spacing w:line="240" w:lineRule="exact"/>
              <w:jc w:val="left"/>
              <w:textAlignment w:val="center"/>
              <w:rPr>
                <w:rFonts w:ascii="仿宋_GB2312" w:eastAsia="仿宋_GB2312" w:hAnsi="仿宋_GB2312" w:cs="仿宋_GB2312"/>
                <w:szCs w:val="21"/>
              </w:rPr>
            </w:pPr>
          </w:p>
        </w:tc>
      </w:tr>
      <w:tr w:rsidR="002E22CA" w:rsidTr="002E22CA">
        <w:trPr>
          <w:trHeight w:val="23"/>
        </w:trPr>
        <w:tc>
          <w:tcPr>
            <w:tcW w:w="606" w:type="dxa"/>
            <w:vMerge/>
            <w:tcBorders>
              <w:left w:val="single" w:sz="4" w:space="0" w:color="000000"/>
              <w:right w:val="single" w:sz="4" w:space="0" w:color="000000"/>
            </w:tcBorders>
            <w:vAlign w:val="center"/>
          </w:tcPr>
          <w:p w:rsidR="002E22CA" w:rsidRDefault="002E22CA" w:rsidP="002E22CA">
            <w:pPr>
              <w:autoSpaceDN w:val="0"/>
              <w:spacing w:line="240" w:lineRule="exact"/>
              <w:jc w:val="center"/>
              <w:textAlignment w:val="center"/>
              <w:rPr>
                <w:rFonts w:ascii="仿宋_GB2312" w:eastAsia="仿宋_GB2312" w:hAnsi="仿宋_GB2312" w:cs="仿宋_GB2312"/>
                <w:szCs w:val="21"/>
              </w:rPr>
            </w:pPr>
          </w:p>
        </w:tc>
        <w:tc>
          <w:tcPr>
            <w:tcW w:w="1968" w:type="dxa"/>
            <w:vMerge/>
            <w:tcBorders>
              <w:left w:val="single" w:sz="4" w:space="0" w:color="000000"/>
              <w:bottom w:val="single" w:sz="4" w:space="0" w:color="000000"/>
              <w:right w:val="single" w:sz="4" w:space="0" w:color="000000"/>
            </w:tcBorders>
            <w:vAlign w:val="center"/>
          </w:tcPr>
          <w:p w:rsidR="002E22CA" w:rsidRDefault="002E22CA" w:rsidP="002E22CA">
            <w:pPr>
              <w:autoSpaceDN w:val="0"/>
              <w:spacing w:line="240" w:lineRule="exact"/>
              <w:jc w:val="left"/>
              <w:textAlignment w:val="center"/>
              <w:rPr>
                <w:rFonts w:ascii="仿宋_GB2312" w:eastAsia="仿宋_GB2312" w:hAnsi="仿宋_GB2312" w:cs="仿宋_GB2312"/>
                <w:szCs w:val="21"/>
              </w:rPr>
            </w:pPr>
          </w:p>
        </w:tc>
        <w:tc>
          <w:tcPr>
            <w:tcW w:w="5014" w:type="dxa"/>
            <w:vMerge/>
            <w:tcBorders>
              <w:left w:val="single" w:sz="4" w:space="0" w:color="000000"/>
              <w:bottom w:val="single" w:sz="4" w:space="0" w:color="000000"/>
              <w:right w:val="single" w:sz="4" w:space="0" w:color="000000"/>
            </w:tcBorders>
            <w:vAlign w:val="center"/>
          </w:tcPr>
          <w:p w:rsidR="002E22CA" w:rsidRDefault="002E22CA" w:rsidP="002E22CA">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2E22CA" w:rsidRDefault="002E22CA" w:rsidP="002E22CA">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2E22CA" w:rsidRDefault="002E22CA" w:rsidP="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3439" w:type="dxa"/>
            <w:tcBorders>
              <w:top w:val="single" w:sz="4" w:space="0" w:color="auto"/>
              <w:left w:val="single" w:sz="4" w:space="0" w:color="000000"/>
              <w:bottom w:val="single" w:sz="4" w:space="0" w:color="auto"/>
              <w:right w:val="single" w:sz="4" w:space="0" w:color="000000"/>
            </w:tcBorders>
            <w:vAlign w:val="center"/>
          </w:tcPr>
          <w:p w:rsidR="002E22CA" w:rsidRDefault="002E22CA" w:rsidP="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166" w:type="dxa"/>
            <w:vMerge/>
            <w:tcBorders>
              <w:left w:val="single" w:sz="4" w:space="0" w:color="000000"/>
              <w:right w:val="single" w:sz="4" w:space="0" w:color="000000"/>
            </w:tcBorders>
            <w:vAlign w:val="center"/>
          </w:tcPr>
          <w:p w:rsidR="002E22CA" w:rsidRDefault="002E22CA" w:rsidP="002E22CA">
            <w:pPr>
              <w:autoSpaceDN w:val="0"/>
              <w:spacing w:line="240" w:lineRule="exact"/>
              <w:jc w:val="left"/>
              <w:textAlignment w:val="center"/>
              <w:rPr>
                <w:rFonts w:ascii="仿宋_GB2312" w:eastAsia="仿宋_GB2312" w:hAnsi="仿宋_GB2312" w:cs="仿宋_GB2312"/>
                <w:szCs w:val="21"/>
              </w:rPr>
            </w:pPr>
          </w:p>
        </w:tc>
      </w:tr>
      <w:tr w:rsidR="002E22CA" w:rsidTr="002E22CA">
        <w:trPr>
          <w:trHeight w:val="23"/>
        </w:trPr>
        <w:tc>
          <w:tcPr>
            <w:tcW w:w="606" w:type="dxa"/>
            <w:vMerge/>
            <w:tcBorders>
              <w:left w:val="single" w:sz="4" w:space="0" w:color="000000"/>
              <w:right w:val="single" w:sz="4" w:space="0" w:color="000000"/>
            </w:tcBorders>
            <w:vAlign w:val="center"/>
          </w:tcPr>
          <w:p w:rsidR="002E22CA" w:rsidRDefault="002E22CA" w:rsidP="002E22CA">
            <w:pPr>
              <w:autoSpaceDN w:val="0"/>
              <w:spacing w:line="240" w:lineRule="exact"/>
              <w:jc w:val="center"/>
              <w:textAlignment w:val="center"/>
              <w:rPr>
                <w:rFonts w:ascii="仿宋_GB2312" w:eastAsia="仿宋_GB2312" w:hAnsi="仿宋_GB2312" w:cs="仿宋_GB2312"/>
                <w:szCs w:val="21"/>
              </w:rPr>
            </w:pPr>
          </w:p>
        </w:tc>
        <w:tc>
          <w:tcPr>
            <w:tcW w:w="1968" w:type="dxa"/>
            <w:vMerge/>
            <w:tcBorders>
              <w:left w:val="single" w:sz="4" w:space="0" w:color="000000"/>
              <w:bottom w:val="single" w:sz="4" w:space="0" w:color="000000"/>
              <w:right w:val="single" w:sz="4" w:space="0" w:color="000000"/>
            </w:tcBorders>
            <w:vAlign w:val="center"/>
          </w:tcPr>
          <w:p w:rsidR="002E22CA" w:rsidRDefault="002E22CA" w:rsidP="002E22CA">
            <w:pPr>
              <w:autoSpaceDN w:val="0"/>
              <w:spacing w:line="240" w:lineRule="exact"/>
              <w:jc w:val="left"/>
              <w:textAlignment w:val="center"/>
              <w:rPr>
                <w:rFonts w:ascii="仿宋_GB2312" w:eastAsia="仿宋_GB2312" w:hAnsi="仿宋_GB2312" w:cs="仿宋_GB2312"/>
                <w:szCs w:val="21"/>
              </w:rPr>
            </w:pPr>
          </w:p>
        </w:tc>
        <w:tc>
          <w:tcPr>
            <w:tcW w:w="5014" w:type="dxa"/>
            <w:vMerge/>
            <w:tcBorders>
              <w:left w:val="single" w:sz="4" w:space="0" w:color="000000"/>
              <w:bottom w:val="single" w:sz="4" w:space="0" w:color="000000"/>
              <w:right w:val="single" w:sz="4" w:space="0" w:color="000000"/>
            </w:tcBorders>
            <w:vAlign w:val="center"/>
          </w:tcPr>
          <w:p w:rsidR="002E22CA" w:rsidRDefault="002E22CA" w:rsidP="002E22CA">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2E22CA" w:rsidRDefault="002E22CA" w:rsidP="002E22CA">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2E22CA" w:rsidRDefault="002E22CA" w:rsidP="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3439" w:type="dxa"/>
            <w:tcBorders>
              <w:top w:val="single" w:sz="4" w:space="0" w:color="auto"/>
              <w:left w:val="single" w:sz="4" w:space="0" w:color="000000"/>
              <w:bottom w:val="single" w:sz="4" w:space="0" w:color="auto"/>
              <w:right w:val="single" w:sz="4" w:space="0" w:color="000000"/>
            </w:tcBorders>
            <w:vAlign w:val="center"/>
          </w:tcPr>
          <w:p w:rsidR="002E22CA" w:rsidRDefault="002E22CA" w:rsidP="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166" w:type="dxa"/>
            <w:vMerge/>
            <w:tcBorders>
              <w:left w:val="single" w:sz="4" w:space="0" w:color="000000"/>
              <w:right w:val="single" w:sz="4" w:space="0" w:color="000000"/>
            </w:tcBorders>
            <w:vAlign w:val="center"/>
          </w:tcPr>
          <w:p w:rsidR="002E22CA" w:rsidRDefault="002E22CA" w:rsidP="002E22CA">
            <w:pPr>
              <w:autoSpaceDN w:val="0"/>
              <w:spacing w:line="240" w:lineRule="exact"/>
              <w:jc w:val="left"/>
              <w:textAlignment w:val="center"/>
              <w:rPr>
                <w:rFonts w:ascii="仿宋_GB2312" w:eastAsia="仿宋_GB2312" w:hAnsi="仿宋_GB2312" w:cs="仿宋_GB2312"/>
                <w:szCs w:val="21"/>
              </w:rPr>
            </w:pPr>
          </w:p>
        </w:tc>
      </w:tr>
      <w:tr w:rsidR="002E22CA" w:rsidTr="002E22CA">
        <w:trPr>
          <w:trHeight w:val="90"/>
        </w:trPr>
        <w:tc>
          <w:tcPr>
            <w:tcW w:w="606" w:type="dxa"/>
            <w:vMerge/>
            <w:tcBorders>
              <w:left w:val="single" w:sz="4" w:space="0" w:color="000000"/>
              <w:right w:val="single" w:sz="4" w:space="0" w:color="000000"/>
            </w:tcBorders>
            <w:vAlign w:val="center"/>
          </w:tcPr>
          <w:p w:rsidR="002E22CA" w:rsidRDefault="002E22CA" w:rsidP="002E22CA">
            <w:pPr>
              <w:autoSpaceDN w:val="0"/>
              <w:spacing w:line="240" w:lineRule="exact"/>
              <w:jc w:val="center"/>
              <w:textAlignment w:val="center"/>
              <w:rPr>
                <w:rFonts w:ascii="仿宋_GB2312" w:eastAsia="仿宋_GB2312" w:hAnsi="仿宋_GB2312" w:cs="仿宋_GB2312"/>
                <w:szCs w:val="21"/>
              </w:rPr>
            </w:pPr>
          </w:p>
        </w:tc>
        <w:tc>
          <w:tcPr>
            <w:tcW w:w="1968" w:type="dxa"/>
            <w:vMerge/>
            <w:tcBorders>
              <w:left w:val="single" w:sz="4" w:space="0" w:color="000000"/>
              <w:bottom w:val="single" w:sz="4" w:space="0" w:color="000000"/>
              <w:right w:val="single" w:sz="4" w:space="0" w:color="000000"/>
            </w:tcBorders>
            <w:vAlign w:val="center"/>
          </w:tcPr>
          <w:p w:rsidR="002E22CA" w:rsidRDefault="002E22CA" w:rsidP="002E22CA">
            <w:pPr>
              <w:autoSpaceDN w:val="0"/>
              <w:spacing w:line="240" w:lineRule="exact"/>
              <w:jc w:val="left"/>
              <w:textAlignment w:val="center"/>
              <w:rPr>
                <w:rFonts w:ascii="仿宋_GB2312" w:eastAsia="仿宋_GB2312" w:hAnsi="仿宋_GB2312" w:cs="仿宋_GB2312"/>
                <w:szCs w:val="21"/>
              </w:rPr>
            </w:pPr>
          </w:p>
        </w:tc>
        <w:tc>
          <w:tcPr>
            <w:tcW w:w="5014" w:type="dxa"/>
            <w:vMerge/>
            <w:tcBorders>
              <w:left w:val="single" w:sz="4" w:space="0" w:color="000000"/>
              <w:bottom w:val="single" w:sz="4" w:space="0" w:color="000000"/>
              <w:right w:val="single" w:sz="4" w:space="0" w:color="000000"/>
            </w:tcBorders>
            <w:vAlign w:val="center"/>
          </w:tcPr>
          <w:p w:rsidR="002E22CA" w:rsidRDefault="002E22CA" w:rsidP="002E22CA">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bottom w:val="single" w:sz="4" w:space="0" w:color="000000"/>
              <w:right w:val="single" w:sz="4" w:space="0" w:color="000000"/>
            </w:tcBorders>
            <w:vAlign w:val="center"/>
          </w:tcPr>
          <w:p w:rsidR="002E22CA" w:rsidRDefault="002E22CA" w:rsidP="002E22CA">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000000"/>
              <w:right w:val="single" w:sz="4" w:space="0" w:color="000000"/>
            </w:tcBorders>
            <w:vAlign w:val="center"/>
          </w:tcPr>
          <w:p w:rsidR="002E22CA" w:rsidRDefault="002E22CA" w:rsidP="002E22CA">
            <w:pPr>
              <w:spacing w:line="240" w:lineRule="exact"/>
              <w:jc w:val="center"/>
              <w:rPr>
                <w:rFonts w:ascii="仿宋_GB2312" w:eastAsia="仿宋_GB2312" w:hAnsi="仿宋_GB2312" w:cs="仿宋_GB2312"/>
                <w:kern w:val="0"/>
                <w:szCs w:val="21"/>
                <w:lang/>
              </w:rPr>
            </w:pPr>
          </w:p>
        </w:tc>
        <w:tc>
          <w:tcPr>
            <w:tcW w:w="3439" w:type="dxa"/>
            <w:tcBorders>
              <w:top w:val="single" w:sz="4" w:space="0" w:color="auto"/>
              <w:left w:val="single" w:sz="4" w:space="0" w:color="000000"/>
              <w:bottom w:val="single" w:sz="4" w:space="0" w:color="000000"/>
              <w:right w:val="single" w:sz="4" w:space="0" w:color="000000"/>
            </w:tcBorders>
            <w:vAlign w:val="center"/>
          </w:tcPr>
          <w:p w:rsidR="002E22CA" w:rsidRDefault="002E22CA" w:rsidP="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166" w:type="dxa"/>
            <w:vMerge/>
            <w:tcBorders>
              <w:left w:val="single" w:sz="4" w:space="0" w:color="000000"/>
              <w:bottom w:val="single" w:sz="4" w:space="0" w:color="000000"/>
              <w:right w:val="single" w:sz="4" w:space="0" w:color="000000"/>
            </w:tcBorders>
            <w:vAlign w:val="center"/>
          </w:tcPr>
          <w:p w:rsidR="002E22CA" w:rsidRDefault="002E22CA" w:rsidP="002E22CA">
            <w:pPr>
              <w:autoSpaceDN w:val="0"/>
              <w:spacing w:line="240" w:lineRule="exact"/>
              <w:jc w:val="left"/>
              <w:textAlignment w:val="center"/>
              <w:rPr>
                <w:rFonts w:ascii="仿宋_GB2312" w:eastAsia="仿宋_GB2312" w:hAnsi="仿宋_GB2312" w:cs="仿宋_GB2312"/>
                <w:szCs w:val="21"/>
              </w:rPr>
            </w:pPr>
          </w:p>
        </w:tc>
      </w:tr>
      <w:tr w:rsidR="002E22CA" w:rsidTr="002E22CA">
        <w:trPr>
          <w:trHeight w:val="23"/>
        </w:trPr>
        <w:tc>
          <w:tcPr>
            <w:tcW w:w="606" w:type="dxa"/>
            <w:vMerge/>
            <w:tcBorders>
              <w:left w:val="single" w:sz="4" w:space="0" w:color="000000"/>
              <w:right w:val="single" w:sz="4" w:space="0" w:color="000000"/>
            </w:tcBorders>
            <w:vAlign w:val="center"/>
          </w:tcPr>
          <w:p w:rsidR="002E22CA" w:rsidRDefault="002E22CA" w:rsidP="002E22CA">
            <w:pPr>
              <w:autoSpaceDN w:val="0"/>
              <w:spacing w:line="240" w:lineRule="exact"/>
              <w:jc w:val="center"/>
              <w:textAlignment w:val="center"/>
              <w:rPr>
                <w:rFonts w:ascii="仿宋_GB2312" w:eastAsia="仿宋_GB2312" w:hAnsi="仿宋_GB2312" w:cs="仿宋_GB2312"/>
                <w:szCs w:val="21"/>
              </w:rPr>
            </w:pPr>
          </w:p>
        </w:tc>
        <w:tc>
          <w:tcPr>
            <w:tcW w:w="13522" w:type="dxa"/>
            <w:gridSpan w:val="6"/>
            <w:tcBorders>
              <w:top w:val="single" w:sz="4" w:space="0" w:color="000000"/>
              <w:left w:val="single" w:sz="4" w:space="0" w:color="000000"/>
              <w:bottom w:val="single" w:sz="4" w:space="0" w:color="000000"/>
              <w:right w:val="single" w:sz="4" w:space="0" w:color="000000"/>
            </w:tcBorders>
            <w:vAlign w:val="center"/>
          </w:tcPr>
          <w:p w:rsidR="002E22CA" w:rsidRDefault="00A82127" w:rsidP="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调整情况：</w:t>
            </w:r>
            <w:r w:rsidR="002E22CA">
              <w:rPr>
                <w:rFonts w:ascii="仿宋_GB2312" w:eastAsia="仿宋_GB2312" w:hAnsi="仿宋_GB2312" w:cs="仿宋_GB2312" w:hint="eastAsia"/>
                <w:szCs w:val="21"/>
              </w:rPr>
              <w:t>调整项目名称、实施依据</w:t>
            </w:r>
          </w:p>
        </w:tc>
      </w:tr>
      <w:tr w:rsidR="002E22CA" w:rsidTr="002E22CA">
        <w:trPr>
          <w:trHeight w:val="23"/>
        </w:trPr>
        <w:tc>
          <w:tcPr>
            <w:tcW w:w="606" w:type="dxa"/>
            <w:vMerge/>
            <w:tcBorders>
              <w:left w:val="single" w:sz="4" w:space="0" w:color="000000"/>
              <w:bottom w:val="single" w:sz="4" w:space="0" w:color="auto"/>
              <w:right w:val="single" w:sz="4" w:space="0" w:color="000000"/>
            </w:tcBorders>
            <w:vAlign w:val="center"/>
          </w:tcPr>
          <w:p w:rsidR="002E22CA" w:rsidRDefault="002E22CA" w:rsidP="002E22CA">
            <w:pPr>
              <w:autoSpaceDN w:val="0"/>
              <w:spacing w:line="240" w:lineRule="exact"/>
              <w:jc w:val="center"/>
              <w:textAlignment w:val="center"/>
              <w:rPr>
                <w:rFonts w:ascii="仿宋_GB2312" w:eastAsia="仿宋_GB2312" w:hAnsi="仿宋_GB2312" w:cs="仿宋_GB2312"/>
                <w:szCs w:val="21"/>
              </w:rPr>
            </w:pPr>
          </w:p>
        </w:tc>
        <w:tc>
          <w:tcPr>
            <w:tcW w:w="13522" w:type="dxa"/>
            <w:gridSpan w:val="6"/>
            <w:tcBorders>
              <w:top w:val="single" w:sz="4" w:space="0" w:color="000000"/>
              <w:left w:val="single" w:sz="4" w:space="0" w:color="000000"/>
              <w:bottom w:val="single" w:sz="4" w:space="0" w:color="000000"/>
              <w:right w:val="single" w:sz="4" w:space="0" w:color="000000"/>
            </w:tcBorders>
            <w:vAlign w:val="center"/>
          </w:tcPr>
          <w:p w:rsidR="002E22CA" w:rsidRDefault="002E22CA" w:rsidP="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调整原因：根据《中华人民共和国道路运输条例》（国务院令第764</w:t>
            </w:r>
            <w:r w:rsidR="00A82127">
              <w:rPr>
                <w:rFonts w:ascii="仿宋_GB2312" w:eastAsia="仿宋_GB2312" w:hAnsi="仿宋_GB2312" w:cs="仿宋_GB2312" w:hint="eastAsia"/>
                <w:szCs w:val="21"/>
              </w:rPr>
              <w:t>号），</w:t>
            </w:r>
            <w:r>
              <w:rPr>
                <w:rFonts w:ascii="仿宋_GB2312" w:eastAsia="仿宋_GB2312" w:hAnsi="仿宋_GB2312" w:cs="仿宋_GB2312" w:hint="eastAsia"/>
                <w:szCs w:val="21"/>
              </w:rPr>
              <w:t>调整事项名称、实施依据</w:t>
            </w:r>
          </w:p>
        </w:tc>
      </w:tr>
    </w:tbl>
    <w:p w:rsidR="0059130C" w:rsidRDefault="0059130C">
      <w:pPr>
        <w:spacing w:line="240" w:lineRule="exact"/>
        <w:rPr>
          <w:rFonts w:ascii="仿宋_GB2312" w:eastAsia="仿宋_GB2312" w:hAnsi="仿宋_GB2312" w:cs="仿宋_GB2312"/>
          <w:color w:val="000000" w:themeColor="text1"/>
          <w:szCs w:val="21"/>
        </w:rPr>
      </w:pPr>
    </w:p>
    <w:tbl>
      <w:tblPr>
        <w:tblW w:w="14008" w:type="dxa"/>
        <w:jc w:val="center"/>
        <w:tblLayout w:type="fixed"/>
        <w:tblCellMar>
          <w:left w:w="15" w:type="dxa"/>
          <w:right w:w="15" w:type="dxa"/>
        </w:tblCellMar>
        <w:tblLook w:val="04A0"/>
      </w:tblPr>
      <w:tblGrid>
        <w:gridCol w:w="717"/>
        <w:gridCol w:w="2040"/>
        <w:gridCol w:w="4515"/>
        <w:gridCol w:w="675"/>
        <w:gridCol w:w="870"/>
        <w:gridCol w:w="4141"/>
        <w:gridCol w:w="1050"/>
      </w:tblGrid>
      <w:tr w:rsidR="0059130C">
        <w:trPr>
          <w:trHeight w:val="640"/>
          <w:jc w:val="center"/>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51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7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14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05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454"/>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7</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已取得道路货物运输经营许可证的货运经营者使用无运输证的车辆参加货物运输的处罚</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调整为：</w:t>
            </w:r>
            <w:r>
              <w:rPr>
                <w:rFonts w:ascii="仿宋_GB2312" w:eastAsia="仿宋_GB2312" w:hAnsi="仿宋_GB2312" w:cs="仿宋_GB2312" w:hint="eastAsia"/>
                <w:sz w:val="21"/>
                <w:szCs w:val="21"/>
                <w:u w:val="single"/>
                <w:lang/>
              </w:rPr>
              <w:t>取得道路货物运输经营许可的道路货物运输经营者使用无《道路运输证》的车辆参加危险货物运输的处罚</w:t>
            </w:r>
          </w:p>
        </w:tc>
        <w:tc>
          <w:tcPr>
            <w:tcW w:w="451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道路货物运输及站场管理规定》（交通运输部令2019年第17号）第五十九条第一款：“违反本规定，取得道路货物运输经营许可的道路货物运输经营者使用无道路运输证的车辆参加货物运输的，由县级以上道路运输管理机构责令改正，处3000元以上1万元以下的罚款。”</w:t>
            </w:r>
          </w:p>
          <w:p w:rsidR="0059130C" w:rsidRDefault="002E22CA">
            <w:pPr>
              <w:pStyle w:val="a6"/>
              <w:spacing w:beforeAutospacing="0" w:afterAutospacing="0" w:line="240" w:lineRule="exact"/>
              <w:rPr>
                <w:rFonts w:ascii="仿宋_GB2312" w:eastAsia="仿宋_GB2312" w:hAnsi="仿宋_GB2312" w:cs="仿宋_GB2312"/>
                <w:sz w:val="21"/>
                <w:szCs w:val="21"/>
                <w:u w:val="single"/>
                <w:lang/>
              </w:rPr>
            </w:pPr>
            <w:r>
              <w:rPr>
                <w:rFonts w:ascii="仿宋_GB2312" w:eastAsia="仿宋_GB2312" w:hAnsi="仿宋_GB2312" w:cs="仿宋_GB2312" w:hint="eastAsia"/>
                <w:sz w:val="21"/>
                <w:szCs w:val="21"/>
                <w:lang/>
              </w:rPr>
              <w:t>调整为：</w:t>
            </w:r>
            <w:r>
              <w:rPr>
                <w:rFonts w:ascii="仿宋_GB2312" w:eastAsia="仿宋_GB2312" w:hAnsi="仿宋_GB2312" w:cs="仿宋_GB2312" w:hint="eastAsia"/>
                <w:sz w:val="21"/>
                <w:szCs w:val="21"/>
                <w:u w:val="single"/>
                <w:lang/>
              </w:rPr>
              <w:t>《道路货物运输及站场管理规定》（交通运输部令2022年第30号）第六十三条：“违反本规定，取得道路货物运输经营许可的道路货物运输经营者使用无《道路运输证》的车辆参加普通货物运输的，由交通运输主管部门责令改正，处1000元以上3000元以下的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u w:val="single"/>
                <w:lang/>
              </w:rPr>
              <w:t>违反前款规定使用无《道路运输证》的车辆参加危险货物运输的，由交通运输主管部门责令改正，处3000元以上1万元以下的罚款。”</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87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141"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05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454"/>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14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05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454"/>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14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05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454"/>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14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05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454"/>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14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05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454"/>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14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05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454"/>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14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05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454"/>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141"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05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567"/>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291"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调整情</w:t>
            </w:r>
            <w:r w:rsidR="00A82127">
              <w:rPr>
                <w:rFonts w:ascii="仿宋_GB2312" w:eastAsia="仿宋_GB2312" w:hAnsi="仿宋_GB2312" w:cs="仿宋_GB2312" w:hint="eastAsia"/>
                <w:szCs w:val="21"/>
              </w:rPr>
              <w:t>况：</w:t>
            </w:r>
            <w:r>
              <w:rPr>
                <w:rFonts w:ascii="仿宋_GB2312" w:eastAsia="仿宋_GB2312" w:hAnsi="仿宋_GB2312" w:cs="仿宋_GB2312" w:hint="eastAsia"/>
                <w:szCs w:val="21"/>
              </w:rPr>
              <w:t>调整项目名称、实施依据</w:t>
            </w:r>
          </w:p>
        </w:tc>
      </w:tr>
      <w:tr w:rsidR="0059130C">
        <w:trPr>
          <w:trHeight w:val="567"/>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291"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调整原因：根据《道路货物运输及站场管理规定》（交通运输部令2022年第30</w:t>
            </w:r>
            <w:r w:rsidR="00A82127">
              <w:rPr>
                <w:rFonts w:ascii="仿宋_GB2312" w:eastAsia="仿宋_GB2312" w:hAnsi="仿宋_GB2312" w:cs="仿宋_GB2312" w:hint="eastAsia"/>
                <w:szCs w:val="21"/>
              </w:rPr>
              <w:t>号），</w:t>
            </w:r>
            <w:r>
              <w:rPr>
                <w:rFonts w:ascii="仿宋_GB2312" w:eastAsia="仿宋_GB2312" w:hAnsi="仿宋_GB2312" w:cs="仿宋_GB2312" w:hint="eastAsia"/>
                <w:szCs w:val="21"/>
              </w:rPr>
              <w:t>调整项目名称、实施依据</w:t>
            </w:r>
          </w:p>
        </w:tc>
      </w:tr>
    </w:tbl>
    <w:p w:rsidR="0059130C" w:rsidRDefault="002E22CA">
      <w:pPr>
        <w:spacing w:line="240" w:lineRule="exact"/>
        <w:rPr>
          <w:rFonts w:ascii="仿宋_GB2312" w:eastAsia="仿宋_GB2312" w:hAnsi="仿宋_GB2312" w:cs="仿宋_GB2312"/>
          <w:color w:val="000000" w:themeColor="text1"/>
          <w:szCs w:val="21"/>
        </w:rPr>
      </w:pPr>
      <w:r>
        <w:rPr>
          <w:rFonts w:ascii="仿宋_GB2312" w:eastAsia="仿宋_GB2312" w:hAnsi="仿宋_GB2312" w:cs="仿宋_GB2312" w:hint="eastAsia"/>
          <w:szCs w:val="21"/>
        </w:rPr>
        <w:br w:type="page"/>
      </w:r>
    </w:p>
    <w:tbl>
      <w:tblPr>
        <w:tblW w:w="14370" w:type="dxa"/>
        <w:jc w:val="center"/>
        <w:tblLayout w:type="fixed"/>
        <w:tblCellMar>
          <w:left w:w="15" w:type="dxa"/>
          <w:right w:w="15" w:type="dxa"/>
        </w:tblCellMar>
        <w:tblLook w:val="04A0"/>
      </w:tblPr>
      <w:tblGrid>
        <w:gridCol w:w="720"/>
        <w:gridCol w:w="1631"/>
        <w:gridCol w:w="5106"/>
        <w:gridCol w:w="562"/>
        <w:gridCol w:w="694"/>
        <w:gridCol w:w="5026"/>
        <w:gridCol w:w="631"/>
      </w:tblGrid>
      <w:tr w:rsidR="0059130C">
        <w:trPr>
          <w:trHeight w:val="640"/>
          <w:jc w:val="center"/>
        </w:trPr>
        <w:tc>
          <w:tcPr>
            <w:tcW w:w="720"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163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510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56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694"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502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63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964"/>
          <w:jc w:val="center"/>
        </w:trPr>
        <w:tc>
          <w:tcPr>
            <w:tcW w:w="72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8</w:t>
            </w:r>
          </w:p>
        </w:tc>
        <w:tc>
          <w:tcPr>
            <w:tcW w:w="1631"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道路货物运输经营者、货运站经营者、道路危险货物运输企业或者单位已不具备开业要求的有关安全条件、存在重大运输安全隐患的处罚</w:t>
            </w:r>
            <w:r>
              <w:rPr>
                <w:rFonts w:ascii="仿宋_GB2312" w:eastAsia="仿宋_GB2312" w:hAnsi="仿宋_GB2312" w:cs="仿宋_GB2312"/>
                <w:sz w:val="21"/>
                <w:szCs w:val="21"/>
                <w:lang/>
              </w:rPr>
              <w:br/>
            </w:r>
            <w:r>
              <w:rPr>
                <w:rFonts w:ascii="仿宋_GB2312" w:eastAsia="仿宋_GB2312" w:hAnsi="仿宋_GB2312" w:cs="仿宋_GB2312" w:hint="eastAsia"/>
                <w:sz w:val="21"/>
                <w:szCs w:val="21"/>
                <w:lang/>
              </w:rPr>
              <w:t>调整为：</w:t>
            </w:r>
            <w:r>
              <w:rPr>
                <w:rFonts w:ascii="仿宋_GB2312" w:eastAsia="仿宋_GB2312" w:hAnsi="仿宋_GB2312" w:cs="仿宋_GB2312" w:hint="eastAsia"/>
                <w:sz w:val="21"/>
                <w:szCs w:val="21"/>
                <w:u w:val="single"/>
                <w:lang/>
              </w:rPr>
              <w:t>放射性物品道路运输企业或者单位已不具备许可要求的有关安全条件，存在重大运输安全隐患的处罚</w:t>
            </w:r>
          </w:p>
        </w:tc>
        <w:tc>
          <w:tcPr>
            <w:tcW w:w="510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道路货物运输及站场管理规定》（交通运输部令2019年第17号）第六十条：“违反本规定，取得道路货物运输经营许可的道路货物运输经营者、货运站经营者已不具备开业要求的有关安全条件、存在重大运输安全隐患的，由县级以上道路运输管理机构限期责令改正；在规定时间内不能按要求改正且情节严重的，由原许可机关吊销《道路运输经营许可证》或者吊销其相应的经营范围。”</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放射性物品道路运输管理规定》（交通运输部令2016年第71号）第四十四条：“违反本规定，放射性物品道路运输企业或者单位已不具备许可要求的有关安全条件，存在重大运输安全隐患的，由县级以上道路运输管理机构责令限期改正；在规定时间内不能按要求改正且情节严重的，由原许可机关吊销《道路运输经营许可证》或者《放射性物品道路运输许可证》，或者在许可证件上注销相应的许可范围。”</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调整为：</w:t>
            </w:r>
            <w:r>
              <w:rPr>
                <w:rFonts w:ascii="仿宋_GB2312" w:eastAsia="仿宋_GB2312" w:hAnsi="仿宋_GB2312" w:cs="仿宋_GB2312" w:hint="eastAsia"/>
                <w:sz w:val="21"/>
                <w:szCs w:val="21"/>
                <w:u w:val="single"/>
                <w:lang/>
              </w:rPr>
              <w:t>《放射性物品道路运输管理规定》（交通运输部令2016年第71号）第四十四条：“违反本规定，放射性物品道路运输企业或者单位已不具备许可要求的有关安全条件，存在重大运输安全隐患的，由县级以上道路运输管理机构责令限期改正；在规定时间内不能按要求改正且情节严重的，由原许可机关吊销《道路运输经营许可证》或者《放射性物品道路运输许可证》，或者在许可证件上注销相应的许可范围。”</w:t>
            </w:r>
          </w:p>
        </w:tc>
        <w:tc>
          <w:tcPr>
            <w:tcW w:w="562"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694"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5026"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63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964"/>
          <w:jc w:val="center"/>
        </w:trPr>
        <w:tc>
          <w:tcPr>
            <w:tcW w:w="720"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63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510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56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9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502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631"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964"/>
          <w:jc w:val="center"/>
        </w:trPr>
        <w:tc>
          <w:tcPr>
            <w:tcW w:w="720"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63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510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56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9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502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631"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964"/>
          <w:jc w:val="center"/>
        </w:trPr>
        <w:tc>
          <w:tcPr>
            <w:tcW w:w="720"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63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510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56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9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502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631"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964"/>
          <w:jc w:val="center"/>
        </w:trPr>
        <w:tc>
          <w:tcPr>
            <w:tcW w:w="720"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63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510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56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9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502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631"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711"/>
          <w:jc w:val="center"/>
        </w:trPr>
        <w:tc>
          <w:tcPr>
            <w:tcW w:w="720"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63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510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56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9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502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631"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964"/>
          <w:jc w:val="center"/>
        </w:trPr>
        <w:tc>
          <w:tcPr>
            <w:tcW w:w="720"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63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510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56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9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502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631"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599"/>
          <w:jc w:val="center"/>
        </w:trPr>
        <w:tc>
          <w:tcPr>
            <w:tcW w:w="720"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63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510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562"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94"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5026"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631"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23"/>
          <w:jc w:val="center"/>
        </w:trPr>
        <w:tc>
          <w:tcPr>
            <w:tcW w:w="720"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650"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A82127">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调整情况：</w:t>
            </w:r>
            <w:r w:rsidR="002E22CA">
              <w:rPr>
                <w:rFonts w:ascii="仿宋_GB2312" w:eastAsia="仿宋_GB2312" w:hAnsi="仿宋_GB2312" w:cs="仿宋_GB2312" w:hint="eastAsia"/>
                <w:szCs w:val="21"/>
              </w:rPr>
              <w:t>调整项目名称、实施依据</w:t>
            </w:r>
          </w:p>
        </w:tc>
      </w:tr>
      <w:tr w:rsidR="0059130C">
        <w:trPr>
          <w:trHeight w:val="23"/>
          <w:jc w:val="center"/>
        </w:trPr>
        <w:tc>
          <w:tcPr>
            <w:tcW w:w="720"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650"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调整原因：2022年附件三第12项实施依据中《道路货物运输及站场管理规定》（交通运输部令2019年第17号）第六十条已根据《道路货物运输及站场管理规定》</w:t>
            </w:r>
            <w:r>
              <w:rPr>
                <w:rFonts w:ascii="仿宋_GB2312" w:eastAsia="仿宋_GB2312" w:hAnsi="仿宋_GB2312" w:cs="仿宋_GB2312" w:hint="eastAsia"/>
                <w:color w:val="000000" w:themeColor="text1"/>
                <w:szCs w:val="21"/>
              </w:rPr>
              <w:t>（交通运输部令2022年第30号）取消，所以保留《放射性物品道路运输管理规定》（交通运输部令2016年第71号）第四十四条</w:t>
            </w:r>
          </w:p>
        </w:tc>
      </w:tr>
    </w:tbl>
    <w:p w:rsidR="0059130C" w:rsidRDefault="002E22CA">
      <w:pPr>
        <w:spacing w:line="240" w:lineRule="exact"/>
        <w:rPr>
          <w:rFonts w:ascii="仿宋_GB2312" w:eastAsia="仿宋_GB2312" w:hAnsi="仿宋_GB2312" w:cs="仿宋_GB2312"/>
          <w:color w:val="000000" w:themeColor="text1"/>
          <w:szCs w:val="21"/>
        </w:rPr>
      </w:pPr>
      <w:r>
        <w:rPr>
          <w:rFonts w:ascii="仿宋_GB2312" w:eastAsia="仿宋_GB2312" w:hAnsi="仿宋_GB2312" w:cs="仿宋_GB2312" w:hint="eastAsia"/>
          <w:szCs w:val="21"/>
        </w:rPr>
        <w:br w:type="page"/>
      </w:r>
    </w:p>
    <w:tbl>
      <w:tblPr>
        <w:tblW w:w="14945" w:type="dxa"/>
        <w:tblInd w:w="-416" w:type="dxa"/>
        <w:tblLayout w:type="fixed"/>
        <w:tblCellMar>
          <w:left w:w="15" w:type="dxa"/>
          <w:right w:w="15" w:type="dxa"/>
        </w:tblCellMar>
        <w:tblLook w:val="04A0"/>
      </w:tblPr>
      <w:tblGrid>
        <w:gridCol w:w="507"/>
        <w:gridCol w:w="2682"/>
        <w:gridCol w:w="6206"/>
        <w:gridCol w:w="563"/>
        <w:gridCol w:w="617"/>
        <w:gridCol w:w="3901"/>
        <w:gridCol w:w="469"/>
      </w:tblGrid>
      <w:tr w:rsidR="0059130C">
        <w:trPr>
          <w:trHeight w:val="461"/>
          <w:tblHeader/>
        </w:trPr>
        <w:tc>
          <w:tcPr>
            <w:tcW w:w="50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268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620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56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617"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90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469"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964"/>
        </w:trPr>
        <w:tc>
          <w:tcPr>
            <w:tcW w:w="50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9</w:t>
            </w:r>
          </w:p>
        </w:tc>
        <w:tc>
          <w:tcPr>
            <w:tcW w:w="2682"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客运经营者不按公布的班次行驶；客运班车不按批准的客运站点停靠；不按规定的线路行驶；强行招揽乘客；加班车、顶班车、接驳车无正当理由不按原正班车的线路、站点、班次行驶；客运包车未持有效的包车客运标志牌进行经营的，不按照包车客运标志牌载明的事项运行的，线路两端均不在车籍所在地的，按班车模式定点定线运营的，招揽包车合同以外的旅客乘车；客运经营者以欺骗暴力等手段招揽旅客；在旅客运输途中擅自变更运输车辆或者将旅客移交他人运输的处罚</w:t>
            </w:r>
          </w:p>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调整为：</w:t>
            </w:r>
            <w:r>
              <w:rPr>
                <w:rFonts w:ascii="仿宋_GB2312" w:eastAsia="仿宋_GB2312" w:hAnsi="仿宋_GB2312" w:cs="仿宋_GB2312" w:hint="eastAsia"/>
                <w:kern w:val="0"/>
                <w:szCs w:val="21"/>
                <w:u w:val="single"/>
                <w:lang/>
              </w:rPr>
              <w:t>客运班车不按照批准的配客站点停靠或者不按照规定的线路、日发班次下限行驶的；加班车、顶班车、接驳车无正当理由不按照规定的线路、站点运行的；以欺骗、暴力等手段招揽旅客的；擅自将旅客移交他人运输的；客运包车未持有效的包车客运标志牌进行经营的，不按照包车客运标志牌载明的事项运行的，线路两端均不在车籍所在地的，招揽包车合同以外的旅客乘车的处罚</w:t>
            </w:r>
          </w:p>
        </w:tc>
        <w:tc>
          <w:tcPr>
            <w:tcW w:w="6206"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中华人民共和国道路运输条例》（国务院令第752号）第六十九条：“违反本条例的规定，客运经营者、货运经营者有下列情形之一的，由县级以上地方人民政府交通运输主管部门责令改正，处1000元以上3000元以下的罚款；情节严重的，由原许可机关吊销道路运输经营许可证：（一）不按批准的客运站点停靠或者不按规定的线路、公布的班次行驶的；（二）强行招揽旅客、货物的；（三）在旅客运输途中擅自变更运输车辆或者将旅客移交他人运输的。”</w:t>
            </w:r>
          </w:p>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道路旅客运输及客运站管理规定》（交通运输部令2020年第17号）第一百条：“违反本规定，客运经营者有下列情形之一的，由县级以上道路运输管理机构责令改正，处1000元以上3000元以下的罚款（一）客运班车不按照批准的配客站点停靠或者不按照规定的线路、日发班次下限行驶的；（二）加班车、顶班车、接驳车无正当理由不按照规定的线路、站点运行的；（三）以欺骗、暴力等手段招揽旅客的；（四）擅自将旅客移交他人运输的；（五）在旅客运输途中擅自变更运输车辆的；违反上述规定，情节严重的，由原许可机关吊销相应许可；（七）客运包车未持有效的包车客运标志牌进行经营的，不按照包车客运标志牌载明的事项运行的，线路两端均不在车籍所在地的，招揽包车合同以外的旅客乘车的；”</w:t>
            </w:r>
          </w:p>
          <w:p w:rsidR="0059130C" w:rsidRDefault="0059130C">
            <w:pPr>
              <w:spacing w:line="240" w:lineRule="exact"/>
              <w:rPr>
                <w:rFonts w:ascii="仿宋_GB2312" w:eastAsia="仿宋_GB2312" w:hAnsi="仿宋_GB2312" w:cs="仿宋_GB2312"/>
                <w:szCs w:val="21"/>
              </w:rPr>
            </w:pPr>
          </w:p>
          <w:p w:rsidR="0059130C" w:rsidRDefault="002E22CA">
            <w:pPr>
              <w:spacing w:line="240" w:lineRule="exact"/>
              <w:rPr>
                <w:rFonts w:ascii="仿宋_GB2312" w:eastAsia="仿宋_GB2312" w:hAnsi="仿宋_GB2312" w:cs="仿宋_GB2312"/>
                <w:kern w:val="0"/>
                <w:szCs w:val="21"/>
                <w:u w:val="single"/>
                <w:lang/>
              </w:rPr>
            </w:pPr>
            <w:r>
              <w:rPr>
                <w:rFonts w:ascii="仿宋_GB2312" w:eastAsia="仿宋_GB2312" w:hAnsi="仿宋_GB2312" w:cs="仿宋_GB2312" w:hint="eastAsia"/>
                <w:kern w:val="0"/>
                <w:szCs w:val="21"/>
                <w:lang/>
              </w:rPr>
              <w:t>调整为：</w:t>
            </w:r>
            <w:r>
              <w:rPr>
                <w:rFonts w:ascii="仿宋_GB2312" w:eastAsia="仿宋_GB2312" w:hAnsi="仿宋_GB2312" w:cs="仿宋_GB2312" w:hint="eastAsia"/>
                <w:kern w:val="0"/>
                <w:szCs w:val="21"/>
                <w:u w:val="single"/>
                <w:lang/>
              </w:rPr>
              <w:t>《道路旅客运输及客运站管理规定》（交通运输部令2022年第33号）第九十九条第一款：“违反本规定，客运经营者有下列情形之一的，由交通运输主管部门责令改正，处1000元以上3000元以下的罚款：（一）客运班车不按照批准的配客站点停靠或者不按照规定的线路、日发班次下限行驶的；（二）加班车、顶班车、接驳车无正当理由不按照规定的线路、站点运行的；（三）以欺骗、暴力等手段招揽旅客的；（四）擅自将旅客移交他人运输的；（七）客运包车未持有效的包车客运标志牌进行经营的，不按照包车客运标志牌载明的事项运行的，线路两端均不在车籍所在地的，招揽包车合同以外的旅客乘车的；</w:t>
            </w:r>
          </w:p>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u w:val="single"/>
                <w:lang/>
              </w:rPr>
              <w:t>《道路旅客运输及客运站管理规定》（交通运输部令2022年第33号）第九十九条第二款：“违反前款第（一）至（六）项规定，情节严重的，由原许可机关吊销相应许可。”</w:t>
            </w:r>
          </w:p>
        </w:tc>
        <w:tc>
          <w:tcPr>
            <w:tcW w:w="563"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617"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3901"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46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964"/>
        </w:trPr>
        <w:tc>
          <w:tcPr>
            <w:tcW w:w="50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68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620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56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1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390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469"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964"/>
        </w:trPr>
        <w:tc>
          <w:tcPr>
            <w:tcW w:w="50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68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620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56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1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390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469"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964"/>
        </w:trPr>
        <w:tc>
          <w:tcPr>
            <w:tcW w:w="50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68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620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56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1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390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469"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964"/>
        </w:trPr>
        <w:tc>
          <w:tcPr>
            <w:tcW w:w="50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68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620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56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1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390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469"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964"/>
        </w:trPr>
        <w:tc>
          <w:tcPr>
            <w:tcW w:w="50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68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620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56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1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390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469"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964"/>
        </w:trPr>
        <w:tc>
          <w:tcPr>
            <w:tcW w:w="50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68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620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56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1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390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469"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684"/>
        </w:trPr>
        <w:tc>
          <w:tcPr>
            <w:tcW w:w="50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68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620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56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17"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3901"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469"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50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4438"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A82127">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调整情况：</w:t>
            </w:r>
            <w:r w:rsidR="002E22CA">
              <w:rPr>
                <w:rFonts w:ascii="仿宋_GB2312" w:eastAsia="仿宋_GB2312" w:hAnsi="仿宋_GB2312" w:cs="仿宋_GB2312" w:hint="eastAsia"/>
                <w:szCs w:val="21"/>
              </w:rPr>
              <w:t>调整项目名称、实施依据</w:t>
            </w:r>
          </w:p>
        </w:tc>
      </w:tr>
      <w:tr w:rsidR="0059130C">
        <w:trPr>
          <w:trHeight w:val="23"/>
        </w:trPr>
        <w:tc>
          <w:tcPr>
            <w:tcW w:w="507"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4438"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调整原因：根据《道路旅客运输及客运站管理规定》（交通运输部令2022年第33号），修改此事项名称、实施依据</w:t>
            </w:r>
          </w:p>
        </w:tc>
      </w:tr>
      <w:tr w:rsidR="0059130C">
        <w:trPr>
          <w:trHeight w:val="23"/>
        </w:trPr>
        <w:tc>
          <w:tcPr>
            <w:tcW w:w="50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lastRenderedPageBreak/>
              <w:t>10</w:t>
            </w:r>
          </w:p>
        </w:tc>
        <w:tc>
          <w:tcPr>
            <w:tcW w:w="2682"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未取得巡游出租汽车经营许可，擅自从事巡游出租汽车经营活动；起讫点均不在许可的经营区域从事巡游出租汽车经营活动；使用未取得道路运输证的车辆，擅自从事巡游出租汽车经营活动；使用失效、伪造、变造、被注销等无效道路运输证的车辆从事巡游出租汽车经营活动的处罚</w:t>
            </w:r>
          </w:p>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调整：</w:t>
            </w:r>
            <w:r>
              <w:rPr>
                <w:rFonts w:ascii="仿宋_GB2312" w:eastAsia="仿宋_GB2312" w:hAnsi="仿宋_GB2312" w:cs="仿宋_GB2312" w:hint="eastAsia"/>
                <w:szCs w:val="21"/>
                <w:u w:val="single"/>
              </w:rPr>
              <w:t>未取得巡游出租汽车经营许可，擅自从事巡游出租汽车经营活动的处罚</w:t>
            </w:r>
          </w:p>
        </w:tc>
        <w:tc>
          <w:tcPr>
            <w:tcW w:w="6206"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巡游出租汽车经营服务管理规定》（交通运输部令2021年第16号）第四十五条“违反本规定，未取得巡游出租汽车经营许可，擅自从事巡游出租汽车经营活动的，由县级以上地方人民政府出租汽车行政主管部门责令改正，并处以5000元以上2万元以下罚款。构成犯罪的，依法追究刑事责任。”</w:t>
            </w:r>
          </w:p>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巡游出租汽车经营服务管理规定》（交通运输部令2021年第16号）第四十六条“违反本规定，有下列行为之一的，由县级以上地方人民政府出租汽车行政主管部门责令改正，并处以3000元以上1万元以下罚款。构成犯罪的，依法追究刑事责任：（一）起讫点均不在许可的经营区域从事巡游出租汽车经营活动的；（二）使用未取得道路运输证的车辆，擅自从事巡游出租汽车经营活动的；（三）使用失效、伪造、变造、被注销等无效道路运输证的车辆从事巡游出租汽车经营活动的。”</w:t>
            </w:r>
          </w:p>
          <w:p w:rsidR="0059130C" w:rsidRDefault="002E22CA">
            <w:pPr>
              <w:overflowPunct w:val="0"/>
              <w:snapToGrid w:val="0"/>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kern w:val="0"/>
                <w:szCs w:val="21"/>
                <w:u w:val="single"/>
                <w:lang/>
              </w:rPr>
              <w:t>调整为：《巡游出租汽车经营服务管理规定》（交通运输部令2021年第16号）第四十五条“违反本规定，未取得巡游出租汽车经营许可，擅自从事巡游出租汽车经营活动的，由县级以上地方人民政府出租汽车行政主管部门责令改正，并处以5000元以上2万元以下罚款。构成犯罪的，依法追究刑事责任。”</w:t>
            </w:r>
          </w:p>
        </w:tc>
        <w:tc>
          <w:tcPr>
            <w:tcW w:w="563"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617"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3901"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46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50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68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620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56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1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390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469"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50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68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620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56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1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390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469"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50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68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620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56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1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390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469"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50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68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620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56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1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390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469"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50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68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620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56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1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390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469"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90"/>
        </w:trPr>
        <w:tc>
          <w:tcPr>
            <w:tcW w:w="50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68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620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56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1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390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469"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816"/>
        </w:trPr>
        <w:tc>
          <w:tcPr>
            <w:tcW w:w="50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68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620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56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17"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3901"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469"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407"/>
        </w:trPr>
        <w:tc>
          <w:tcPr>
            <w:tcW w:w="50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4438"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A82127">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调整情况：</w:t>
            </w:r>
            <w:r w:rsidR="002E22CA">
              <w:rPr>
                <w:rFonts w:ascii="仿宋_GB2312" w:eastAsia="仿宋_GB2312" w:hAnsi="仿宋_GB2312" w:cs="仿宋_GB2312" w:hint="eastAsia"/>
                <w:szCs w:val="21"/>
              </w:rPr>
              <w:t>调整项目名称、实施依据</w:t>
            </w:r>
          </w:p>
        </w:tc>
      </w:tr>
      <w:tr w:rsidR="0059130C">
        <w:trPr>
          <w:trHeight w:val="90"/>
        </w:trPr>
        <w:tc>
          <w:tcPr>
            <w:tcW w:w="507"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4438"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调整原因：根据《巡游出租汽车经营服务管理规定》（交通运输部令2021年第16号），修改此事项名称、实施依据</w:t>
            </w:r>
          </w:p>
        </w:tc>
      </w:tr>
    </w:tbl>
    <w:p w:rsidR="0059130C" w:rsidRDefault="0059130C">
      <w:pPr>
        <w:spacing w:line="240" w:lineRule="exact"/>
        <w:rPr>
          <w:rFonts w:ascii="仿宋_GB2312" w:eastAsia="仿宋_GB2312" w:hAnsi="仿宋_GB2312" w:cs="仿宋_GB2312"/>
          <w:color w:val="000000" w:themeColor="text1"/>
          <w:szCs w:val="21"/>
        </w:rPr>
      </w:pPr>
    </w:p>
    <w:tbl>
      <w:tblPr>
        <w:tblW w:w="14698" w:type="dxa"/>
        <w:tblLayout w:type="fixed"/>
        <w:tblCellMar>
          <w:left w:w="15" w:type="dxa"/>
          <w:right w:w="15" w:type="dxa"/>
        </w:tblCellMar>
        <w:tblLook w:val="04A0"/>
      </w:tblPr>
      <w:tblGrid>
        <w:gridCol w:w="717"/>
        <w:gridCol w:w="1603"/>
        <w:gridCol w:w="2567"/>
        <w:gridCol w:w="833"/>
        <w:gridCol w:w="1167"/>
        <w:gridCol w:w="7173"/>
        <w:gridCol w:w="638"/>
      </w:tblGrid>
      <w:tr w:rsidR="0059130C">
        <w:trPr>
          <w:trHeight w:val="520"/>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lastRenderedPageBreak/>
              <w:t>序号</w:t>
            </w:r>
          </w:p>
        </w:tc>
        <w:tc>
          <w:tcPr>
            <w:tcW w:w="160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项目名称</w:t>
            </w:r>
          </w:p>
        </w:tc>
        <w:tc>
          <w:tcPr>
            <w:tcW w:w="2567"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实施依据</w:t>
            </w:r>
          </w:p>
        </w:tc>
        <w:tc>
          <w:tcPr>
            <w:tcW w:w="83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类别</w:t>
            </w:r>
          </w:p>
        </w:tc>
        <w:tc>
          <w:tcPr>
            <w:tcW w:w="1167"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环节</w:t>
            </w:r>
          </w:p>
        </w:tc>
        <w:tc>
          <w:tcPr>
            <w:tcW w:w="717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责任事项</w:t>
            </w:r>
          </w:p>
        </w:tc>
        <w:tc>
          <w:tcPr>
            <w:tcW w:w="638"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964"/>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11</w:t>
            </w:r>
          </w:p>
        </w:tc>
        <w:tc>
          <w:tcPr>
            <w:tcW w:w="1603"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客运经营者擅自改装已取得车辆营运证的车辆的处罚</w:t>
            </w:r>
          </w:p>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调整为：</w:t>
            </w:r>
            <w:r>
              <w:rPr>
                <w:rFonts w:ascii="仿宋_GB2312" w:eastAsia="仿宋_GB2312" w:hAnsi="仿宋_GB2312" w:cs="仿宋_GB2312" w:hint="eastAsia"/>
                <w:sz w:val="21"/>
                <w:szCs w:val="21"/>
                <w:u w:val="single"/>
                <w:lang/>
              </w:rPr>
              <w:t>客运经营者、货运经营者擅自改装已取得车辆营运证的车辆的</w:t>
            </w:r>
            <w:r>
              <w:rPr>
                <w:rFonts w:ascii="仿宋_GB2312" w:eastAsia="仿宋_GB2312" w:hAnsi="仿宋_GB2312" w:cs="仿宋_GB2312" w:hint="eastAsia"/>
                <w:sz w:val="21"/>
                <w:szCs w:val="21"/>
                <w:u w:val="single"/>
              </w:rPr>
              <w:t>处罚</w:t>
            </w:r>
          </w:p>
          <w:p w:rsidR="0059130C" w:rsidRDefault="0059130C">
            <w:pPr>
              <w:pStyle w:val="a6"/>
              <w:spacing w:beforeAutospacing="0" w:afterAutospacing="0" w:line="240" w:lineRule="exact"/>
              <w:rPr>
                <w:rFonts w:ascii="仿宋_GB2312" w:eastAsia="仿宋_GB2312" w:hAnsi="仿宋_GB2312" w:cs="仿宋_GB2312"/>
                <w:sz w:val="21"/>
                <w:szCs w:val="21"/>
              </w:rPr>
            </w:pPr>
          </w:p>
        </w:tc>
        <w:tc>
          <w:tcPr>
            <w:tcW w:w="2567"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 xml:space="preserve"> </w:t>
            </w:r>
            <w:r>
              <w:rPr>
                <w:rFonts w:ascii="仿宋_GB2312" w:eastAsia="仿宋_GB2312" w:hAnsi="仿宋_GB2312" w:cs="仿宋_GB2312" w:hint="eastAsia"/>
                <w:sz w:val="21"/>
                <w:szCs w:val="21"/>
                <w:lang/>
              </w:rPr>
              <w:t>《中华人民共和国道路运输条例》（国务院令第752号）第七十条第二款违反本条例的规定，客运经营者、货运经营者擅自改装已取得车辆营运证的车辆的，由县级以上地方人民政府交通运输主管部门责令改正，处5000元以上2万元以下的罚款。</w:t>
            </w:r>
          </w:p>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调整为：</w:t>
            </w:r>
            <w:r>
              <w:rPr>
                <w:rFonts w:ascii="仿宋_GB2312" w:eastAsia="仿宋_GB2312" w:hAnsi="仿宋_GB2312" w:cs="仿宋_GB2312" w:hint="eastAsia"/>
                <w:sz w:val="21"/>
                <w:szCs w:val="21"/>
                <w:u w:val="single"/>
                <w:lang/>
              </w:rPr>
              <w:t>《中华人民共和国道路运输条例》（国务院令第764号）第六十九条第二款：“违反本条例的规定，客运经营者、货运经营者擅自改装已取得车辆营运证的车辆的，由县级以上地方人民政府交通运输主管部门责令改正，处5000元以上2万元以下的罚款。</w:t>
            </w:r>
          </w:p>
        </w:tc>
        <w:tc>
          <w:tcPr>
            <w:tcW w:w="833"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1167"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7173"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638"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szCs w:val="21"/>
              </w:rPr>
              <w:t>内乡县交通运输综合行政执法大队</w:t>
            </w:r>
          </w:p>
        </w:tc>
      </w:tr>
      <w:tr w:rsidR="0059130C">
        <w:trPr>
          <w:trHeight w:val="964"/>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717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638"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64"/>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717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638"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64"/>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717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638"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64"/>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717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638"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64"/>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717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638"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64"/>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717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638"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64"/>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173"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638"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rPr>
          <w:trHeight w:val="334"/>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981"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A82127">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调整情况：</w:t>
            </w:r>
            <w:r w:rsidR="002E22CA">
              <w:rPr>
                <w:rFonts w:ascii="仿宋_GB2312" w:eastAsia="仿宋_GB2312" w:hAnsi="仿宋_GB2312" w:cs="仿宋_GB2312" w:hint="eastAsia"/>
                <w:color w:val="000000" w:themeColor="text1"/>
                <w:szCs w:val="21"/>
              </w:rPr>
              <w:t>调整项目名称、实施依据</w:t>
            </w:r>
          </w:p>
        </w:tc>
      </w:tr>
      <w:tr w:rsidR="0059130C">
        <w:trPr>
          <w:trHeight w:val="363"/>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981"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调整原因：</w:t>
            </w:r>
            <w:r>
              <w:rPr>
                <w:rFonts w:ascii="仿宋_GB2312" w:eastAsia="仿宋_GB2312" w:hAnsi="仿宋_GB2312" w:cs="仿宋_GB2312" w:hint="eastAsia"/>
                <w:szCs w:val="21"/>
              </w:rPr>
              <w:t>根据《中华人民共和国道路运输条例》（国务院令第764</w:t>
            </w:r>
            <w:r w:rsidR="00A82127">
              <w:rPr>
                <w:rFonts w:ascii="仿宋_GB2312" w:eastAsia="仿宋_GB2312" w:hAnsi="仿宋_GB2312" w:cs="仿宋_GB2312" w:hint="eastAsia"/>
                <w:szCs w:val="21"/>
              </w:rPr>
              <w:t>号）</w:t>
            </w:r>
            <w:r>
              <w:rPr>
                <w:rFonts w:ascii="仿宋_GB2312" w:eastAsia="仿宋_GB2312" w:hAnsi="仿宋_GB2312" w:cs="仿宋_GB2312" w:hint="eastAsia"/>
                <w:szCs w:val="21"/>
              </w:rPr>
              <w:t>调整</w:t>
            </w:r>
            <w:r>
              <w:rPr>
                <w:rFonts w:ascii="仿宋_GB2312" w:eastAsia="仿宋_GB2312" w:hAnsi="仿宋_GB2312" w:cs="仿宋_GB2312" w:hint="eastAsia"/>
                <w:color w:val="000000" w:themeColor="text1"/>
                <w:szCs w:val="21"/>
              </w:rPr>
              <w:t>项目名称、实施依据</w:t>
            </w:r>
          </w:p>
        </w:tc>
      </w:tr>
    </w:tbl>
    <w:p w:rsidR="0059130C" w:rsidRDefault="0059130C">
      <w:pPr>
        <w:spacing w:line="240" w:lineRule="exact"/>
        <w:rPr>
          <w:rFonts w:ascii="仿宋_GB2312" w:eastAsia="仿宋_GB2312" w:hAnsi="仿宋_GB2312" w:cs="仿宋_GB2312"/>
          <w:szCs w:val="21"/>
        </w:rPr>
      </w:pPr>
    </w:p>
    <w:tbl>
      <w:tblPr>
        <w:tblW w:w="14605" w:type="dxa"/>
        <w:jc w:val="center"/>
        <w:tblLayout w:type="fixed"/>
        <w:tblCellMar>
          <w:left w:w="15" w:type="dxa"/>
          <w:right w:w="15" w:type="dxa"/>
        </w:tblCellMar>
        <w:tblLook w:val="04A0"/>
      </w:tblPr>
      <w:tblGrid>
        <w:gridCol w:w="717"/>
        <w:gridCol w:w="1603"/>
        <w:gridCol w:w="5911"/>
        <w:gridCol w:w="544"/>
        <w:gridCol w:w="619"/>
        <w:gridCol w:w="508"/>
        <w:gridCol w:w="4158"/>
        <w:gridCol w:w="545"/>
      </w:tblGrid>
      <w:tr w:rsidR="0059130C">
        <w:trPr>
          <w:trHeight w:val="640"/>
          <w:jc w:val="center"/>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160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591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544"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619"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666" w:type="dxa"/>
            <w:gridSpan w:val="2"/>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54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12</w:t>
            </w:r>
          </w:p>
        </w:tc>
        <w:tc>
          <w:tcPr>
            <w:tcW w:w="1603"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1年内违法超限运输超过3次的货运车辆；1年内违法超限运输超过3次的货运车辆驾驶人；道路运输企业1年内违法超限运输的货运车辆超过本单位货运车辆总数10%的处罚</w:t>
            </w:r>
          </w:p>
          <w:p w:rsidR="0059130C" w:rsidRDefault="002E22CA">
            <w:pPr>
              <w:pStyle w:val="a6"/>
              <w:spacing w:beforeAutospacing="0" w:afterAutospacing="0" w:line="240" w:lineRule="exact"/>
              <w:rPr>
                <w:rFonts w:ascii="仿宋_GB2312" w:eastAsia="仿宋_GB2312" w:hAnsi="仿宋_GB2312" w:cs="仿宋_GB2312"/>
                <w:sz w:val="21"/>
                <w:szCs w:val="21"/>
                <w:u w:val="single"/>
                <w:lang/>
              </w:rPr>
            </w:pPr>
            <w:r>
              <w:rPr>
                <w:rFonts w:ascii="仿宋_GB2312" w:eastAsia="仿宋_GB2312" w:hAnsi="仿宋_GB2312" w:cs="仿宋_GB2312" w:hint="eastAsia"/>
                <w:sz w:val="21"/>
                <w:szCs w:val="21"/>
                <w:lang/>
              </w:rPr>
              <w:t>改为：</w:t>
            </w:r>
            <w:r>
              <w:rPr>
                <w:rFonts w:ascii="仿宋_GB2312" w:eastAsia="仿宋_GB2312" w:hAnsi="仿宋_GB2312" w:cs="仿宋_GB2312" w:hint="eastAsia"/>
                <w:sz w:val="21"/>
                <w:szCs w:val="21"/>
                <w:u w:val="single"/>
                <w:lang/>
              </w:rPr>
              <w:t>1年内违法超限运输超过3次的货运车辆；1年内违法超限运输超过3次的货运车辆驾驶人；道路运输企业1年内违法超限运输的货运车辆超过本单位货运车辆总数10%的，超过30%的处罚</w:t>
            </w:r>
          </w:p>
          <w:p w:rsidR="0059130C" w:rsidRDefault="0059130C">
            <w:pPr>
              <w:pStyle w:val="a6"/>
              <w:spacing w:beforeAutospacing="0" w:afterAutospacing="0" w:line="240" w:lineRule="exact"/>
              <w:rPr>
                <w:rFonts w:ascii="仿宋_GB2312" w:eastAsia="仿宋_GB2312" w:hAnsi="仿宋_GB2312" w:cs="仿宋_GB2312"/>
                <w:sz w:val="21"/>
                <w:szCs w:val="21"/>
                <w:u w:val="single"/>
                <w:lang/>
              </w:rPr>
            </w:pPr>
          </w:p>
        </w:tc>
        <w:tc>
          <w:tcPr>
            <w:tcW w:w="5911"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公路安全保护条例》（国务院令2011年第593号）第六十六条：“对1年内违法超限运输超过3次的货运车辆，由道路运输管理机构吊销其车辆营运证；对1年内违法超限运输超过3次的货运车辆驾驶人，由道路运输管理机构责令其停止从事营业性运输；道路运输企业1年内违法超限运输的货运车辆超过本单位货运车辆总数10%的，由道路运输管理机构责令道路运输企业停业整顿；情节严重的，吊销其道路运输经营许可证，并向社会公告。”</w:t>
            </w:r>
          </w:p>
          <w:p w:rsidR="0059130C" w:rsidRDefault="002E22CA">
            <w:pPr>
              <w:pStyle w:val="a6"/>
              <w:spacing w:beforeAutospacing="0" w:afterAutospacing="0" w:line="240" w:lineRule="exact"/>
              <w:rPr>
                <w:rFonts w:ascii="仿宋_GB2312" w:eastAsia="仿宋_GB2312" w:hAnsi="仿宋_GB2312" w:cs="仿宋_GB2312"/>
                <w:sz w:val="21"/>
                <w:szCs w:val="21"/>
                <w:u w:val="single"/>
                <w:lang/>
              </w:rPr>
            </w:pPr>
            <w:r>
              <w:rPr>
                <w:rFonts w:ascii="仿宋_GB2312" w:eastAsia="仿宋_GB2312" w:hAnsi="仿宋_GB2312" w:cs="仿宋_GB2312" w:hint="eastAsia"/>
                <w:sz w:val="21"/>
                <w:szCs w:val="21"/>
                <w:lang/>
              </w:rPr>
              <w:t>改为：</w:t>
            </w:r>
            <w:r>
              <w:rPr>
                <w:rFonts w:ascii="仿宋_GB2312" w:eastAsia="仿宋_GB2312" w:hAnsi="仿宋_GB2312" w:cs="仿宋_GB2312" w:hint="eastAsia"/>
                <w:sz w:val="21"/>
                <w:szCs w:val="21"/>
                <w:u w:val="single"/>
                <w:lang/>
              </w:rPr>
              <w:t>《公路安全保护条例》（国务院令2011年第593号）第六十六条：“对1年内违法超限运输超过3次的货运车辆，由道路运输管理机构吊销其车辆营运证；对1年内违法超限运输超过3次的货运车辆驾驶人，由道路运输管理机构责令其停止从事营业性运输；道路运输企业1年内违法超限运输的货运车辆超过本单位货运车辆总数10%的，由道路运输管理机构责令道路运输企业停业整顿；情节严重的，吊销其道路运输经营许可证，并向社会公告。”</w:t>
            </w:r>
          </w:p>
          <w:p w:rsidR="0059130C" w:rsidRDefault="002E22CA">
            <w:pPr>
              <w:pStyle w:val="a6"/>
              <w:spacing w:beforeAutospacing="0" w:afterAutospacing="0" w:line="240" w:lineRule="exact"/>
              <w:rPr>
                <w:rFonts w:ascii="仿宋_GB2312" w:eastAsia="仿宋_GB2312" w:hAnsi="仿宋_GB2312" w:cs="仿宋_GB2312"/>
                <w:sz w:val="21"/>
                <w:szCs w:val="21"/>
                <w:u w:val="single"/>
                <w:lang/>
              </w:rPr>
            </w:pPr>
            <w:r>
              <w:rPr>
                <w:rFonts w:ascii="仿宋_GB2312" w:eastAsia="仿宋_GB2312" w:hAnsi="仿宋_GB2312" w:cs="仿宋_GB2312" w:hint="eastAsia"/>
                <w:sz w:val="21"/>
                <w:szCs w:val="21"/>
                <w:u w:val="single"/>
                <w:lang/>
              </w:rPr>
              <w:t>《河南省治理货物运输车辆超限超载条例》(2018年6月1日河南省第十三届人民代表大会常务委员会第三次会议通过根据2023年5月31日河南省第十四届人民代 表大会常务委员会第三次会议《关于修改〈河南省治理货物运输车辆超限超载条例〉的决定》修正)第二十九条：“货运车辆一年内违法超限超载运输超过三次的，由交通运输主管部门吊销该车辆的车辆营运证。货运车辆驾驶人一年内违法超限超载运输超过三次的，由交通运输主管部门责令其停止从事营业性运输。</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u w:val="single"/>
                <w:lang/>
              </w:rPr>
              <w:t>道路运输企业一年内违法超限超载运输的货运车辆超过本单位货运车辆总数百分之十的，由交通运输主管部门责令停业整顿；超过百分之三十的，依法吊销其道路运输经营许可证，并向社会公告。”</w:t>
            </w:r>
          </w:p>
        </w:tc>
        <w:tc>
          <w:tcPr>
            <w:tcW w:w="544"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619"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666" w:type="dxa"/>
            <w:gridSpan w:val="2"/>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545"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136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591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54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1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666" w:type="dxa"/>
            <w:gridSpan w:val="2"/>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545"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591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54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1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666" w:type="dxa"/>
            <w:gridSpan w:val="2"/>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545"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591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54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1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666" w:type="dxa"/>
            <w:gridSpan w:val="2"/>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545"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1157"/>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591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54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1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666" w:type="dxa"/>
            <w:gridSpan w:val="2"/>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545"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591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54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1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666" w:type="dxa"/>
            <w:gridSpan w:val="2"/>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545"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591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54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1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666" w:type="dxa"/>
            <w:gridSpan w:val="2"/>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545"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414"/>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591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54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19"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666" w:type="dxa"/>
            <w:gridSpan w:val="2"/>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545"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489"/>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888" w:type="dxa"/>
            <w:gridSpan w:val="7"/>
            <w:tcBorders>
              <w:top w:val="single" w:sz="4" w:space="0" w:color="000000"/>
              <w:left w:val="single" w:sz="4" w:space="0" w:color="000000"/>
              <w:bottom w:val="single" w:sz="4" w:space="0" w:color="000000"/>
              <w:right w:val="single" w:sz="4" w:space="0" w:color="000000"/>
            </w:tcBorders>
            <w:vAlign w:val="center"/>
          </w:tcPr>
          <w:p w:rsidR="0059130C" w:rsidRDefault="00A82127">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调整情况：</w:t>
            </w:r>
            <w:r w:rsidR="002E22CA">
              <w:rPr>
                <w:rFonts w:ascii="仿宋_GB2312" w:eastAsia="仿宋_GB2312" w:hAnsi="仿宋_GB2312" w:cs="仿宋_GB2312" w:hint="eastAsia"/>
                <w:szCs w:val="21"/>
              </w:rPr>
              <w:t>调整项目名称、实施依据</w:t>
            </w:r>
          </w:p>
        </w:tc>
      </w:tr>
      <w:tr w:rsidR="0059130C">
        <w:trPr>
          <w:trHeight w:val="816"/>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888" w:type="dxa"/>
            <w:gridSpan w:val="7"/>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调整原因：根据《河南省治理货物运输车辆超限超载条例》(2018年6月1日河南省第十三届人民代表大会常务委员会 第三次会议通过  根据2023年5月31日河南省第十四届人民代 表大会常务委员会第三次会议《关于修改〈河南省治理货物运输车辆超限超载条例〉的决定》修正)</w:t>
            </w:r>
            <w:r w:rsidR="00A82127">
              <w:rPr>
                <w:rFonts w:ascii="仿宋_GB2312" w:eastAsia="仿宋_GB2312" w:hAnsi="仿宋_GB2312" w:cs="仿宋_GB2312" w:hint="eastAsia"/>
                <w:szCs w:val="21"/>
              </w:rPr>
              <w:t>，</w:t>
            </w:r>
            <w:r>
              <w:rPr>
                <w:rFonts w:ascii="仿宋_GB2312" w:eastAsia="仿宋_GB2312" w:hAnsi="仿宋_GB2312" w:cs="仿宋_GB2312" w:hint="eastAsia"/>
                <w:szCs w:val="21"/>
              </w:rPr>
              <w:t>调整项目名称、实施依据</w:t>
            </w:r>
          </w:p>
        </w:tc>
      </w:tr>
      <w:tr w:rsidR="0059130C">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trHeight w:val="520"/>
          <w:jc w:val="center"/>
        </w:trPr>
        <w:tc>
          <w:tcPr>
            <w:tcW w:w="717" w:type="dxa"/>
            <w:tcBorders>
              <w:top w:val="single" w:sz="4" w:space="0" w:color="000000"/>
              <w:left w:val="single" w:sz="4" w:space="0" w:color="000000"/>
              <w:bottom w:val="single" w:sz="4" w:space="0" w:color="auto"/>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lastRenderedPageBreak/>
              <w:t>序号</w:t>
            </w:r>
          </w:p>
        </w:tc>
        <w:tc>
          <w:tcPr>
            <w:tcW w:w="1603"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项目名称</w:t>
            </w:r>
          </w:p>
        </w:tc>
        <w:tc>
          <w:tcPr>
            <w:tcW w:w="5911"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实施依据</w:t>
            </w:r>
          </w:p>
        </w:tc>
        <w:tc>
          <w:tcPr>
            <w:tcW w:w="544"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类别</w:t>
            </w:r>
          </w:p>
        </w:tc>
        <w:tc>
          <w:tcPr>
            <w:tcW w:w="1127" w:type="dxa"/>
            <w:gridSpan w:val="2"/>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环节</w:t>
            </w:r>
          </w:p>
        </w:tc>
        <w:tc>
          <w:tcPr>
            <w:tcW w:w="4158"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责任事项</w:t>
            </w:r>
          </w:p>
        </w:tc>
        <w:tc>
          <w:tcPr>
            <w:tcW w:w="545"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trHeight w:val="870"/>
          <w:jc w:val="center"/>
        </w:trPr>
        <w:tc>
          <w:tcPr>
            <w:tcW w:w="717" w:type="dxa"/>
            <w:vMerge w:val="restart"/>
            <w:tcBorders>
              <w:top w:val="single" w:sz="4" w:space="0" w:color="auto"/>
              <w:left w:val="single" w:sz="4" w:space="0" w:color="auto"/>
              <w:bottom w:val="single" w:sz="4" w:space="0" w:color="auto"/>
              <w:right w:val="single" w:sz="4" w:space="0" w:color="auto"/>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13</w:t>
            </w:r>
          </w:p>
        </w:tc>
        <w:tc>
          <w:tcPr>
            <w:tcW w:w="1603" w:type="dxa"/>
            <w:vMerge w:val="restart"/>
            <w:tcBorders>
              <w:top w:val="single" w:sz="4" w:space="0" w:color="auto"/>
              <w:left w:val="single" w:sz="4" w:space="0" w:color="auto"/>
              <w:bottom w:val="single" w:sz="4" w:space="0" w:color="auto"/>
              <w:right w:val="single" w:sz="4" w:space="0" w:color="auto"/>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未取得道路客运经营许可，擅自从事道路客运经营；未取得道路客运班线经营许可，擅自从事班车客运经营；超越许可事项从事道路客运经营的处罚</w:t>
            </w:r>
          </w:p>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调整为：</w:t>
            </w:r>
            <w:r>
              <w:rPr>
                <w:rFonts w:ascii="仿宋_GB2312" w:eastAsia="仿宋_GB2312" w:hAnsi="仿宋_GB2312" w:cs="仿宋_GB2312" w:hint="eastAsia"/>
                <w:sz w:val="21"/>
                <w:szCs w:val="21"/>
                <w:u w:val="single"/>
              </w:rPr>
              <w:t>未取得道路客运经营许可，擅自从事道路客运经营；未取得道路客运班线经营许可，擅自从事班车客运经营的处罚</w:t>
            </w:r>
          </w:p>
        </w:tc>
        <w:tc>
          <w:tcPr>
            <w:tcW w:w="5911" w:type="dxa"/>
            <w:vMerge w:val="restart"/>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《中华人民共和国道路运输条例》（国务院令第752号）第六十三条：“ 违反本条例的规定，未取得道路运输经营许可，擅自从事道路运输经营的，由县级以上地方人民政府交通运输主管部门责令停止经营；有违法所得的，没收违法所得，处违法所得2倍以上10倍以下的罚款；没有违法所得或者违法所得不足2万元的，处3万元以上10万元以下的罚款；构成犯罪的，依法追究刑事责任。”</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道路旅客运输及客运站管理规定》（交通运输部令2020年第17号）第九十三条：“违反本规定，有下列行为之一的，由县级以上道路运输管理机构责令停止经营；有违法所得的，没收违法所得，处违法所得2倍以上10倍以下的罚款；没有违法所得或者违法所得不足2万元的，处3万元以上10万元以下的罚款；构成犯罪的，依法追究刑事</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责任：”（一）未取得道路客运经营许可，擅自从事道路客运经营的；（二）未取得道路客运班线经营许可，擅自从事班车客运经营的；（四）超越许可事项，从事道路客运经营的。</w:t>
            </w:r>
          </w:p>
          <w:p w:rsidR="0059130C" w:rsidRDefault="002E22CA">
            <w:pPr>
              <w:pStyle w:val="a6"/>
              <w:spacing w:beforeAutospacing="0" w:afterAutospacing="0" w:line="240" w:lineRule="exact"/>
              <w:rPr>
                <w:rFonts w:ascii="仿宋_GB2312" w:eastAsia="仿宋_GB2312" w:hAnsi="仿宋_GB2312" w:cs="仿宋_GB2312"/>
                <w:sz w:val="21"/>
                <w:szCs w:val="21"/>
                <w:u w:val="single"/>
                <w:lang/>
              </w:rPr>
            </w:pPr>
            <w:r>
              <w:rPr>
                <w:rFonts w:ascii="仿宋_GB2312" w:eastAsia="仿宋_GB2312" w:hAnsi="仿宋_GB2312" w:cs="仿宋_GB2312" w:hint="eastAsia"/>
                <w:sz w:val="21"/>
                <w:szCs w:val="21"/>
                <w:lang/>
              </w:rPr>
              <w:t>调整为：</w:t>
            </w:r>
            <w:r>
              <w:rPr>
                <w:rFonts w:ascii="仿宋_GB2312" w:eastAsia="仿宋_GB2312" w:hAnsi="仿宋_GB2312" w:cs="仿宋_GB2312" w:hint="eastAsia"/>
                <w:sz w:val="21"/>
                <w:szCs w:val="21"/>
                <w:u w:val="single"/>
                <w:lang/>
              </w:rPr>
              <w:t>《中华人民共和国道路运输条例》（国务院令第764号）第六十三条第二项：“ 违反本条例的规定，有下列情形之一的，由县级以上地方人民政府交通运输主管部门责令停止经营，并处罚款；构成犯罪的，依法追究刑事责任：（二）未取得道路运输经营许可，擅自从事道路客运经营，违法所得超过2万元的，没收违法所得，处违法所得2倍以上10倍以下的罚款；没有违法所得或者违法所得不足2万元的，处1万元以上10万元以下的罚款；”</w:t>
            </w:r>
          </w:p>
          <w:p w:rsidR="0059130C" w:rsidRDefault="002E22CA">
            <w:pPr>
              <w:pStyle w:val="a6"/>
              <w:spacing w:beforeAutospacing="0" w:afterAutospacing="0" w:line="240" w:lineRule="exact"/>
              <w:rPr>
                <w:rFonts w:ascii="仿宋_GB2312" w:eastAsia="仿宋_GB2312" w:hAnsi="仿宋_GB2312" w:cs="仿宋_GB2312"/>
                <w:sz w:val="21"/>
                <w:szCs w:val="21"/>
                <w:u w:val="single"/>
                <w:lang/>
              </w:rPr>
            </w:pPr>
            <w:r>
              <w:rPr>
                <w:rFonts w:ascii="仿宋_GB2312" w:eastAsia="仿宋_GB2312" w:hAnsi="仿宋_GB2312" w:cs="仿宋_GB2312" w:hint="eastAsia"/>
                <w:sz w:val="21"/>
                <w:szCs w:val="21"/>
                <w:u w:val="single"/>
                <w:lang/>
              </w:rPr>
              <w:t>《道路旅客运输及客运站管理规定》（交通运输部令2022年第33号）第九十三条第一项：“违反本规定，有下列行为之一的，由交通运输主管部门责令停止经营；有违法所得的，没收违法所得，处违法所得2倍以上10倍以下的罚款；没有违法所得或者违法所得不足2万元的，处3万元以上10万元以下的罚款；构成犯罪的，依法追究刑事责任：</w:t>
            </w:r>
          </w:p>
          <w:p w:rsidR="0059130C" w:rsidRDefault="002E22CA">
            <w:pPr>
              <w:pStyle w:val="a6"/>
              <w:spacing w:beforeAutospacing="0" w:afterAutospacing="0" w:line="240" w:lineRule="exact"/>
              <w:rPr>
                <w:rFonts w:ascii="仿宋_GB2312" w:eastAsia="仿宋_GB2312" w:hAnsi="仿宋_GB2312" w:cs="仿宋_GB2312"/>
                <w:sz w:val="21"/>
                <w:szCs w:val="21"/>
                <w:u w:val="single"/>
                <w:lang/>
              </w:rPr>
            </w:pPr>
            <w:r>
              <w:rPr>
                <w:rFonts w:ascii="仿宋_GB2312" w:eastAsia="仿宋_GB2312" w:hAnsi="仿宋_GB2312" w:cs="仿宋_GB2312" w:hint="eastAsia"/>
                <w:sz w:val="21"/>
                <w:szCs w:val="21"/>
                <w:u w:val="single"/>
                <w:lang/>
              </w:rPr>
              <w:t>（一）未取得道路客运经营许可，擅自从事道路客运经营的；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u w:val="single"/>
                <w:lang/>
              </w:rPr>
              <w:t>（二）未取得道路客运班线经营许可，擅自从事班车客运经营的;</w:t>
            </w:r>
          </w:p>
        </w:tc>
        <w:tc>
          <w:tcPr>
            <w:tcW w:w="544" w:type="dxa"/>
            <w:vMerge w:val="restart"/>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619" w:type="dxa"/>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666" w:type="dxa"/>
            <w:gridSpan w:val="2"/>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545" w:type="dxa"/>
            <w:vMerge w:val="restart"/>
            <w:tcBorders>
              <w:top w:val="single" w:sz="4" w:space="0" w:color="auto"/>
              <w:left w:val="single" w:sz="4" w:space="0" w:color="auto"/>
              <w:bottom w:val="single" w:sz="4" w:space="0" w:color="auto"/>
              <w:right w:val="single" w:sz="4" w:space="0" w:color="auto"/>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内乡县交通运输综合行政执法大队</w:t>
            </w:r>
          </w:p>
        </w:tc>
      </w:tr>
      <w:tr w:rsidR="0059130C">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trHeight w:val="1694"/>
          <w:jc w:val="center"/>
        </w:trPr>
        <w:tc>
          <w:tcPr>
            <w:tcW w:w="717" w:type="dxa"/>
            <w:vMerge/>
            <w:tcBorders>
              <w:top w:val="single" w:sz="4" w:space="0" w:color="auto"/>
              <w:left w:val="single" w:sz="4" w:space="0" w:color="auto"/>
              <w:bottom w:val="single" w:sz="4" w:space="0" w:color="auto"/>
              <w:right w:val="single" w:sz="4" w:space="0" w:color="auto"/>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911"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44"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19" w:type="dxa"/>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666" w:type="dxa"/>
            <w:gridSpan w:val="2"/>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545"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trHeight w:val="770"/>
          <w:jc w:val="center"/>
        </w:trPr>
        <w:tc>
          <w:tcPr>
            <w:tcW w:w="717" w:type="dxa"/>
            <w:vMerge/>
            <w:tcBorders>
              <w:top w:val="single" w:sz="4" w:space="0" w:color="auto"/>
              <w:left w:val="single" w:sz="4" w:space="0" w:color="auto"/>
              <w:bottom w:val="single" w:sz="4" w:space="0" w:color="auto"/>
              <w:right w:val="single" w:sz="4" w:space="0" w:color="auto"/>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911"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44"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19" w:type="dxa"/>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666" w:type="dxa"/>
            <w:gridSpan w:val="2"/>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545"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trHeight w:val="490"/>
          <w:jc w:val="center"/>
        </w:trPr>
        <w:tc>
          <w:tcPr>
            <w:tcW w:w="717" w:type="dxa"/>
            <w:vMerge/>
            <w:tcBorders>
              <w:top w:val="single" w:sz="4" w:space="0" w:color="auto"/>
              <w:left w:val="single" w:sz="4" w:space="0" w:color="auto"/>
              <w:bottom w:val="single" w:sz="4" w:space="0" w:color="auto"/>
              <w:right w:val="single" w:sz="4" w:space="0" w:color="auto"/>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911"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44"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19" w:type="dxa"/>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666" w:type="dxa"/>
            <w:gridSpan w:val="2"/>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545"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trHeight w:val="499"/>
          <w:jc w:val="center"/>
        </w:trPr>
        <w:tc>
          <w:tcPr>
            <w:tcW w:w="717" w:type="dxa"/>
            <w:vMerge/>
            <w:tcBorders>
              <w:top w:val="single" w:sz="4" w:space="0" w:color="auto"/>
              <w:left w:val="single" w:sz="4" w:space="0" w:color="auto"/>
              <w:bottom w:val="single" w:sz="4" w:space="0" w:color="auto"/>
              <w:right w:val="single" w:sz="4" w:space="0" w:color="auto"/>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911"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44"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19" w:type="dxa"/>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666" w:type="dxa"/>
            <w:gridSpan w:val="2"/>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545"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trHeight w:val="440"/>
          <w:jc w:val="center"/>
        </w:trPr>
        <w:tc>
          <w:tcPr>
            <w:tcW w:w="717" w:type="dxa"/>
            <w:vMerge/>
            <w:tcBorders>
              <w:top w:val="single" w:sz="4" w:space="0" w:color="auto"/>
              <w:left w:val="single" w:sz="4" w:space="0" w:color="auto"/>
              <w:bottom w:val="single" w:sz="4" w:space="0" w:color="auto"/>
              <w:right w:val="single" w:sz="4" w:space="0" w:color="auto"/>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911"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44"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19" w:type="dxa"/>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666" w:type="dxa"/>
            <w:gridSpan w:val="2"/>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545"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trHeight w:val="590"/>
          <w:jc w:val="center"/>
        </w:trPr>
        <w:tc>
          <w:tcPr>
            <w:tcW w:w="717" w:type="dxa"/>
            <w:vMerge/>
            <w:tcBorders>
              <w:top w:val="single" w:sz="4" w:space="0" w:color="auto"/>
              <w:left w:val="single" w:sz="4" w:space="0" w:color="auto"/>
              <w:bottom w:val="single" w:sz="4" w:space="0" w:color="auto"/>
              <w:right w:val="single" w:sz="4" w:space="0" w:color="auto"/>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911"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44"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19" w:type="dxa"/>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666" w:type="dxa"/>
            <w:gridSpan w:val="2"/>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545" w:type="dxa"/>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trHeight w:val="714"/>
          <w:jc w:val="center"/>
        </w:trPr>
        <w:tc>
          <w:tcPr>
            <w:tcW w:w="717" w:type="dxa"/>
            <w:vMerge/>
            <w:tcBorders>
              <w:top w:val="single" w:sz="4" w:space="0" w:color="auto"/>
              <w:left w:val="single" w:sz="4" w:space="0" w:color="auto"/>
              <w:bottom w:val="single" w:sz="4" w:space="0" w:color="auto"/>
              <w:right w:val="single" w:sz="4" w:space="0" w:color="auto"/>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911"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44"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19" w:type="dxa"/>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666" w:type="dxa"/>
            <w:gridSpan w:val="2"/>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545" w:type="dxa"/>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trHeight w:val="334"/>
          <w:jc w:val="center"/>
        </w:trPr>
        <w:tc>
          <w:tcPr>
            <w:tcW w:w="717" w:type="dxa"/>
            <w:vMerge/>
            <w:tcBorders>
              <w:top w:val="single" w:sz="4" w:space="0" w:color="auto"/>
              <w:left w:val="single" w:sz="4" w:space="0" w:color="auto"/>
              <w:bottom w:val="single" w:sz="4" w:space="0" w:color="auto"/>
              <w:right w:val="single" w:sz="4" w:space="0" w:color="auto"/>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888" w:type="dxa"/>
            <w:gridSpan w:val="7"/>
            <w:tcBorders>
              <w:top w:val="single" w:sz="4" w:space="0" w:color="auto"/>
              <w:left w:val="single" w:sz="4" w:space="0" w:color="auto"/>
              <w:bottom w:val="single" w:sz="4" w:space="0" w:color="auto"/>
              <w:right w:val="single" w:sz="4" w:space="0" w:color="auto"/>
            </w:tcBorders>
            <w:vAlign w:val="center"/>
          </w:tcPr>
          <w:p w:rsidR="0059130C" w:rsidRDefault="00A82127">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调整情况：</w:t>
            </w:r>
            <w:r w:rsidR="002E22CA">
              <w:rPr>
                <w:rFonts w:ascii="仿宋_GB2312" w:eastAsia="仿宋_GB2312" w:hAnsi="仿宋_GB2312" w:cs="仿宋_GB2312" w:hint="eastAsia"/>
                <w:color w:val="000000" w:themeColor="text1"/>
                <w:szCs w:val="21"/>
              </w:rPr>
              <w:t>调整项目名称、实施依据</w:t>
            </w:r>
          </w:p>
        </w:tc>
      </w:tr>
      <w:tr w:rsidR="0059130C">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trHeight w:val="609"/>
          <w:jc w:val="center"/>
        </w:trPr>
        <w:tc>
          <w:tcPr>
            <w:tcW w:w="717" w:type="dxa"/>
            <w:vMerge/>
            <w:tcBorders>
              <w:top w:val="single" w:sz="4" w:space="0" w:color="auto"/>
              <w:left w:val="single" w:sz="4" w:space="0" w:color="auto"/>
              <w:bottom w:val="single" w:sz="4" w:space="0" w:color="auto"/>
              <w:right w:val="single" w:sz="4" w:space="0" w:color="auto"/>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888" w:type="dxa"/>
            <w:gridSpan w:val="7"/>
            <w:tcBorders>
              <w:top w:val="single" w:sz="4" w:space="0" w:color="auto"/>
              <w:left w:val="single" w:sz="4" w:space="0" w:color="auto"/>
              <w:bottom w:val="single" w:sz="4" w:space="0" w:color="auto"/>
              <w:right w:val="single" w:sz="4" w:space="0" w:color="auto"/>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调整原因：</w:t>
            </w:r>
            <w:r>
              <w:rPr>
                <w:rFonts w:ascii="仿宋_GB2312" w:eastAsia="仿宋_GB2312" w:hAnsi="仿宋_GB2312" w:cs="仿宋_GB2312" w:hint="eastAsia"/>
                <w:szCs w:val="21"/>
              </w:rPr>
              <w:t>根据《中华人民共和国道路运输条例》（国务院令第764号）《道路旅客运输及客运站管理规定》（交通运输部令2022年第33</w:t>
            </w:r>
            <w:r w:rsidR="00A82127">
              <w:rPr>
                <w:rFonts w:ascii="仿宋_GB2312" w:eastAsia="仿宋_GB2312" w:hAnsi="仿宋_GB2312" w:cs="仿宋_GB2312" w:hint="eastAsia"/>
                <w:szCs w:val="21"/>
              </w:rPr>
              <w:t>号）</w:t>
            </w:r>
            <w:r>
              <w:rPr>
                <w:rFonts w:ascii="仿宋_GB2312" w:eastAsia="仿宋_GB2312" w:hAnsi="仿宋_GB2312" w:cs="仿宋_GB2312" w:hint="eastAsia"/>
                <w:szCs w:val="21"/>
              </w:rPr>
              <w:t>调整</w:t>
            </w:r>
            <w:r>
              <w:rPr>
                <w:rFonts w:ascii="仿宋_GB2312" w:eastAsia="仿宋_GB2312" w:hAnsi="仿宋_GB2312" w:cs="仿宋_GB2312" w:hint="eastAsia"/>
                <w:color w:val="000000" w:themeColor="text1"/>
                <w:szCs w:val="21"/>
              </w:rPr>
              <w:t>项目名称、实施依据</w:t>
            </w:r>
          </w:p>
        </w:tc>
      </w:tr>
      <w:tr w:rsidR="0059130C">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trHeight w:val="520"/>
          <w:jc w:val="center"/>
        </w:trPr>
        <w:tc>
          <w:tcPr>
            <w:tcW w:w="717" w:type="dxa"/>
            <w:tcBorders>
              <w:top w:val="single" w:sz="4" w:space="0" w:color="auto"/>
              <w:left w:val="single" w:sz="4" w:space="0" w:color="000000"/>
              <w:bottom w:val="single" w:sz="4" w:space="0" w:color="auto"/>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lastRenderedPageBreak/>
              <w:t>序号</w:t>
            </w:r>
          </w:p>
        </w:tc>
        <w:tc>
          <w:tcPr>
            <w:tcW w:w="1603" w:type="dxa"/>
            <w:tcBorders>
              <w:top w:val="single" w:sz="4" w:space="0" w:color="auto"/>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项目名称</w:t>
            </w:r>
          </w:p>
        </w:tc>
        <w:tc>
          <w:tcPr>
            <w:tcW w:w="5911" w:type="dxa"/>
            <w:tcBorders>
              <w:top w:val="single" w:sz="4" w:space="0" w:color="auto"/>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实施依据</w:t>
            </w:r>
          </w:p>
        </w:tc>
        <w:tc>
          <w:tcPr>
            <w:tcW w:w="544" w:type="dxa"/>
            <w:tcBorders>
              <w:top w:val="single" w:sz="4" w:space="0" w:color="auto"/>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类别</w:t>
            </w:r>
          </w:p>
        </w:tc>
        <w:tc>
          <w:tcPr>
            <w:tcW w:w="619" w:type="dxa"/>
            <w:tcBorders>
              <w:top w:val="single" w:sz="4" w:space="0" w:color="auto"/>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环节</w:t>
            </w:r>
          </w:p>
        </w:tc>
        <w:tc>
          <w:tcPr>
            <w:tcW w:w="4666" w:type="dxa"/>
            <w:gridSpan w:val="2"/>
            <w:tcBorders>
              <w:top w:val="single" w:sz="4" w:space="0" w:color="auto"/>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责任事项</w:t>
            </w:r>
          </w:p>
        </w:tc>
        <w:tc>
          <w:tcPr>
            <w:tcW w:w="545" w:type="dxa"/>
            <w:tcBorders>
              <w:top w:val="single" w:sz="4" w:space="0" w:color="auto"/>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trHeight w:val="536"/>
          <w:jc w:val="center"/>
        </w:trPr>
        <w:tc>
          <w:tcPr>
            <w:tcW w:w="717" w:type="dxa"/>
            <w:vMerge w:val="restart"/>
            <w:tcBorders>
              <w:top w:val="single" w:sz="4" w:space="0" w:color="auto"/>
              <w:left w:val="single" w:sz="4" w:space="0" w:color="auto"/>
              <w:bottom w:val="single" w:sz="4" w:space="0" w:color="auto"/>
              <w:right w:val="single" w:sz="4" w:space="0" w:color="auto"/>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14</w:t>
            </w:r>
          </w:p>
        </w:tc>
        <w:tc>
          <w:tcPr>
            <w:tcW w:w="1603" w:type="dxa"/>
            <w:vMerge w:val="restart"/>
            <w:tcBorders>
              <w:top w:val="single" w:sz="4" w:space="0" w:color="auto"/>
              <w:left w:val="single" w:sz="4" w:space="0" w:color="auto"/>
              <w:bottom w:val="single" w:sz="4" w:space="0" w:color="auto"/>
              <w:right w:val="single" w:sz="4" w:space="0" w:color="auto"/>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未取得货运站经营许可，擅自从事货运站经营；使用失效、伪造、变造、被注销等无效的道路运输经营许可证从事货运站经营行为；超越许可事项，从事货运站经营的处罚</w:t>
            </w:r>
          </w:p>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调整为</w:t>
            </w:r>
            <w:r>
              <w:rPr>
                <w:rFonts w:ascii="仿宋_GB2312" w:eastAsia="仿宋_GB2312" w:hAnsi="仿宋_GB2312" w:cs="仿宋_GB2312" w:hint="eastAsia"/>
                <w:sz w:val="21"/>
                <w:szCs w:val="21"/>
                <w:u w:val="single"/>
              </w:rPr>
              <w:t>未按规定取得道路货物运输经营许可，擅自从事道路货物运输经营；超越许可事项，从事道路货物运输经营的处罚</w:t>
            </w:r>
          </w:p>
        </w:tc>
        <w:tc>
          <w:tcPr>
            <w:tcW w:w="5911" w:type="dxa"/>
            <w:vMerge w:val="restart"/>
            <w:tcBorders>
              <w:top w:val="single" w:sz="4" w:space="0" w:color="auto"/>
              <w:left w:val="single" w:sz="4" w:space="0" w:color="auto"/>
              <w:bottom w:val="single" w:sz="4" w:space="0" w:color="auto"/>
              <w:right w:val="single" w:sz="4" w:space="0" w:color="auto"/>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道路货物运输及站场管理规定》（交通运输部令2019年第17号）第六十二条：“违反本规定，有下列行为之一的，由县级以上道路运输管理机构责令停止经营；有违法所得的，没收违法所得，处违法所得2倍以上10倍以下的罚款；没有违法所得或者违法所得不足1万元的，处2万元以上5万元以下的罚款；构成犯罪的，依法追究刑事责任：</w:t>
            </w:r>
          </w:p>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（一）未取得货运站经营许可，擅自从事货运站经营的；</w:t>
            </w:r>
          </w:p>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（二）使用失效、伪造、变造、被注销等无效的道路运输经营许可证</w:t>
            </w:r>
            <w:proofErr w:type="gramStart"/>
            <w:r>
              <w:rPr>
                <w:rFonts w:ascii="仿宋_GB2312" w:eastAsia="仿宋_GB2312" w:hAnsi="仿宋_GB2312" w:cs="仿宋_GB2312" w:hint="eastAsia"/>
                <w:sz w:val="21"/>
                <w:szCs w:val="21"/>
              </w:rPr>
              <w:t>件从事</w:t>
            </w:r>
            <w:proofErr w:type="gramEnd"/>
            <w:r>
              <w:rPr>
                <w:rFonts w:ascii="仿宋_GB2312" w:eastAsia="仿宋_GB2312" w:hAnsi="仿宋_GB2312" w:cs="仿宋_GB2312" w:hint="eastAsia"/>
                <w:sz w:val="21"/>
                <w:szCs w:val="21"/>
              </w:rPr>
              <w:t>货运站经营的；</w:t>
            </w:r>
          </w:p>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（三）超越许可的事项，从事货运站经营的。”</w:t>
            </w:r>
          </w:p>
          <w:p w:rsidR="0059130C" w:rsidRDefault="002E22CA">
            <w:pPr>
              <w:pStyle w:val="a6"/>
              <w:spacing w:beforeAutospacing="0" w:afterAutospacing="0" w:line="240" w:lineRule="exact"/>
              <w:rPr>
                <w:rFonts w:ascii="仿宋_GB2312" w:eastAsia="仿宋_GB2312" w:hAnsi="仿宋_GB2312" w:cs="仿宋_GB2312"/>
                <w:sz w:val="21"/>
                <w:szCs w:val="21"/>
                <w:u w:val="single"/>
              </w:rPr>
            </w:pPr>
            <w:r>
              <w:rPr>
                <w:rFonts w:ascii="仿宋_GB2312" w:eastAsia="仿宋_GB2312" w:hAnsi="仿宋_GB2312" w:cs="仿宋_GB2312" w:hint="eastAsia"/>
                <w:sz w:val="21"/>
                <w:szCs w:val="21"/>
              </w:rPr>
              <w:t>调整为：</w:t>
            </w:r>
            <w:r>
              <w:rPr>
                <w:rFonts w:ascii="仿宋_GB2312" w:eastAsia="仿宋_GB2312" w:hAnsi="仿宋_GB2312" w:cs="仿宋_GB2312" w:hint="eastAsia"/>
                <w:sz w:val="21"/>
                <w:szCs w:val="21"/>
                <w:u w:val="single"/>
              </w:rPr>
              <w:t>《道路货物运输及站场管理规定》（交通运输部令2022年第30号）第六十一条：“违反本规定，有下列行为之一的，由交通运输主管部门责令停止经营；有违法所得的，没收违法所得，处违法所得2倍以上10倍以下的罚款；没有违法所得或者违法所得不足2万元的，处3万元以上10万元以下的罚款；构成犯罪的，依法追究刑事责任：</w:t>
            </w:r>
          </w:p>
          <w:p w:rsidR="0059130C" w:rsidRDefault="002E22CA">
            <w:pPr>
              <w:pStyle w:val="a6"/>
              <w:spacing w:beforeAutospacing="0" w:afterAutospacing="0" w:line="240" w:lineRule="exact"/>
              <w:rPr>
                <w:rFonts w:ascii="仿宋_GB2312" w:eastAsia="仿宋_GB2312" w:hAnsi="仿宋_GB2312" w:cs="仿宋_GB2312"/>
                <w:sz w:val="21"/>
                <w:szCs w:val="21"/>
                <w:u w:val="single"/>
              </w:rPr>
            </w:pPr>
            <w:r>
              <w:rPr>
                <w:rFonts w:ascii="仿宋_GB2312" w:eastAsia="仿宋_GB2312" w:hAnsi="仿宋_GB2312" w:cs="仿宋_GB2312" w:hint="eastAsia"/>
                <w:sz w:val="21"/>
                <w:szCs w:val="21"/>
                <w:u w:val="single"/>
              </w:rPr>
              <w:t>（一）未按规定取得道路货物运输经营许可，擅自从事道路货物运输经营的；</w:t>
            </w:r>
          </w:p>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u w:val="single"/>
              </w:rPr>
              <w:t>（三）超越许可的事项，从事道路货物运输经营的。”</w:t>
            </w:r>
          </w:p>
        </w:tc>
        <w:tc>
          <w:tcPr>
            <w:tcW w:w="544" w:type="dxa"/>
            <w:vMerge w:val="restart"/>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619" w:type="dxa"/>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666" w:type="dxa"/>
            <w:gridSpan w:val="2"/>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545" w:type="dxa"/>
            <w:vMerge w:val="restart"/>
            <w:tcBorders>
              <w:top w:val="single" w:sz="4" w:space="0" w:color="auto"/>
              <w:left w:val="single" w:sz="4" w:space="0" w:color="auto"/>
              <w:bottom w:val="single" w:sz="4" w:space="0" w:color="auto"/>
              <w:right w:val="single" w:sz="4" w:space="0" w:color="auto"/>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内乡县交通运输综合行政执法大队</w:t>
            </w:r>
          </w:p>
        </w:tc>
      </w:tr>
      <w:tr w:rsidR="0059130C">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trHeight w:val="1359"/>
          <w:jc w:val="center"/>
        </w:trPr>
        <w:tc>
          <w:tcPr>
            <w:tcW w:w="717" w:type="dxa"/>
            <w:vMerge/>
            <w:tcBorders>
              <w:top w:val="single" w:sz="4" w:space="0" w:color="auto"/>
              <w:left w:val="single" w:sz="4" w:space="0" w:color="auto"/>
              <w:bottom w:val="single" w:sz="4" w:space="0" w:color="auto"/>
              <w:right w:val="single" w:sz="4" w:space="0" w:color="auto"/>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911"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44"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19" w:type="dxa"/>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666" w:type="dxa"/>
            <w:gridSpan w:val="2"/>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545"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trHeight w:val="770"/>
          <w:jc w:val="center"/>
        </w:trPr>
        <w:tc>
          <w:tcPr>
            <w:tcW w:w="717" w:type="dxa"/>
            <w:vMerge/>
            <w:tcBorders>
              <w:top w:val="single" w:sz="4" w:space="0" w:color="auto"/>
              <w:left w:val="single" w:sz="4" w:space="0" w:color="auto"/>
              <w:bottom w:val="single" w:sz="4" w:space="0" w:color="auto"/>
              <w:right w:val="single" w:sz="4" w:space="0" w:color="auto"/>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911"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44"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19" w:type="dxa"/>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666" w:type="dxa"/>
            <w:gridSpan w:val="2"/>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545"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trHeight w:val="490"/>
          <w:jc w:val="center"/>
        </w:trPr>
        <w:tc>
          <w:tcPr>
            <w:tcW w:w="717" w:type="dxa"/>
            <w:vMerge/>
            <w:tcBorders>
              <w:top w:val="single" w:sz="4" w:space="0" w:color="auto"/>
              <w:left w:val="single" w:sz="4" w:space="0" w:color="auto"/>
              <w:bottom w:val="single" w:sz="4" w:space="0" w:color="auto"/>
              <w:right w:val="single" w:sz="4" w:space="0" w:color="auto"/>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911"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44"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19" w:type="dxa"/>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666" w:type="dxa"/>
            <w:gridSpan w:val="2"/>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545"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trHeight w:val="499"/>
          <w:jc w:val="center"/>
        </w:trPr>
        <w:tc>
          <w:tcPr>
            <w:tcW w:w="717" w:type="dxa"/>
            <w:vMerge/>
            <w:tcBorders>
              <w:top w:val="single" w:sz="4" w:space="0" w:color="auto"/>
              <w:left w:val="single" w:sz="4" w:space="0" w:color="auto"/>
              <w:bottom w:val="single" w:sz="4" w:space="0" w:color="auto"/>
              <w:right w:val="single" w:sz="4" w:space="0" w:color="auto"/>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911"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44"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19" w:type="dxa"/>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666" w:type="dxa"/>
            <w:gridSpan w:val="2"/>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545"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trHeight w:val="440"/>
          <w:jc w:val="center"/>
        </w:trPr>
        <w:tc>
          <w:tcPr>
            <w:tcW w:w="717" w:type="dxa"/>
            <w:vMerge/>
            <w:tcBorders>
              <w:top w:val="single" w:sz="4" w:space="0" w:color="auto"/>
              <w:left w:val="single" w:sz="4" w:space="0" w:color="auto"/>
              <w:bottom w:val="single" w:sz="4" w:space="0" w:color="auto"/>
              <w:right w:val="single" w:sz="4" w:space="0" w:color="auto"/>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911"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44"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19" w:type="dxa"/>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666" w:type="dxa"/>
            <w:gridSpan w:val="2"/>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545"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trHeight w:val="1119"/>
          <w:jc w:val="center"/>
        </w:trPr>
        <w:tc>
          <w:tcPr>
            <w:tcW w:w="717" w:type="dxa"/>
            <w:vMerge/>
            <w:tcBorders>
              <w:top w:val="single" w:sz="4" w:space="0" w:color="auto"/>
              <w:left w:val="single" w:sz="4" w:space="0" w:color="auto"/>
              <w:bottom w:val="single" w:sz="4" w:space="0" w:color="auto"/>
              <w:right w:val="single" w:sz="4" w:space="0" w:color="auto"/>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911"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44"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19" w:type="dxa"/>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666" w:type="dxa"/>
            <w:gridSpan w:val="2"/>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545"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trHeight w:val="1312"/>
          <w:jc w:val="center"/>
        </w:trPr>
        <w:tc>
          <w:tcPr>
            <w:tcW w:w="717" w:type="dxa"/>
            <w:vMerge/>
            <w:tcBorders>
              <w:top w:val="single" w:sz="4" w:space="0" w:color="auto"/>
              <w:left w:val="single" w:sz="4" w:space="0" w:color="auto"/>
              <w:bottom w:val="single" w:sz="4" w:space="0" w:color="auto"/>
              <w:right w:val="single" w:sz="4" w:space="0" w:color="auto"/>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911"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44"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19" w:type="dxa"/>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666" w:type="dxa"/>
            <w:gridSpan w:val="2"/>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545"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trHeight w:val="334"/>
          <w:jc w:val="center"/>
        </w:trPr>
        <w:tc>
          <w:tcPr>
            <w:tcW w:w="717" w:type="dxa"/>
            <w:vMerge/>
            <w:tcBorders>
              <w:top w:val="single" w:sz="4" w:space="0" w:color="auto"/>
              <w:left w:val="single" w:sz="4" w:space="0" w:color="auto"/>
              <w:bottom w:val="single" w:sz="4" w:space="0" w:color="auto"/>
              <w:right w:val="single" w:sz="4" w:space="0" w:color="auto"/>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888" w:type="dxa"/>
            <w:gridSpan w:val="7"/>
            <w:tcBorders>
              <w:top w:val="single" w:sz="4" w:space="0" w:color="auto"/>
              <w:left w:val="single" w:sz="4" w:space="0" w:color="auto"/>
              <w:bottom w:val="single" w:sz="4" w:space="0" w:color="auto"/>
              <w:right w:val="single" w:sz="4" w:space="0" w:color="auto"/>
            </w:tcBorders>
            <w:vAlign w:val="center"/>
          </w:tcPr>
          <w:p w:rsidR="0059130C" w:rsidRDefault="00A82127">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调整情况：</w:t>
            </w:r>
            <w:r w:rsidR="002E22CA">
              <w:rPr>
                <w:rFonts w:ascii="仿宋_GB2312" w:eastAsia="仿宋_GB2312" w:hAnsi="仿宋_GB2312" w:cs="仿宋_GB2312" w:hint="eastAsia"/>
                <w:color w:val="000000" w:themeColor="text1"/>
                <w:szCs w:val="21"/>
              </w:rPr>
              <w:t>调整项目名称、实施依据</w:t>
            </w:r>
          </w:p>
        </w:tc>
      </w:tr>
      <w:tr w:rsidR="0059130C">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trHeight w:val="384"/>
          <w:jc w:val="center"/>
        </w:trPr>
        <w:tc>
          <w:tcPr>
            <w:tcW w:w="717" w:type="dxa"/>
            <w:vMerge/>
            <w:tcBorders>
              <w:top w:val="single" w:sz="4" w:space="0" w:color="auto"/>
              <w:left w:val="single" w:sz="4" w:space="0" w:color="auto"/>
              <w:bottom w:val="single" w:sz="4" w:space="0" w:color="auto"/>
              <w:right w:val="single" w:sz="4" w:space="0" w:color="auto"/>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888" w:type="dxa"/>
            <w:gridSpan w:val="7"/>
            <w:tcBorders>
              <w:top w:val="single" w:sz="4" w:space="0" w:color="auto"/>
              <w:left w:val="single" w:sz="4" w:space="0" w:color="auto"/>
              <w:bottom w:val="single" w:sz="4" w:space="0" w:color="auto"/>
              <w:right w:val="single" w:sz="4" w:space="0" w:color="auto"/>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调整原因：</w:t>
            </w:r>
            <w:r>
              <w:rPr>
                <w:rFonts w:ascii="仿宋_GB2312" w:eastAsia="仿宋_GB2312" w:hAnsi="仿宋_GB2312" w:cs="仿宋_GB2312" w:hint="eastAsia"/>
                <w:szCs w:val="21"/>
              </w:rPr>
              <w:t>根据《道路货物运输及站场管理规定》（交通运输部令2022年第30</w:t>
            </w:r>
            <w:r w:rsidR="00A82127">
              <w:rPr>
                <w:rFonts w:ascii="仿宋_GB2312" w:eastAsia="仿宋_GB2312" w:hAnsi="仿宋_GB2312" w:cs="仿宋_GB2312" w:hint="eastAsia"/>
                <w:szCs w:val="21"/>
              </w:rPr>
              <w:t>号）</w:t>
            </w:r>
            <w:r>
              <w:rPr>
                <w:rFonts w:ascii="仿宋_GB2312" w:eastAsia="仿宋_GB2312" w:hAnsi="仿宋_GB2312" w:cs="仿宋_GB2312" w:hint="eastAsia"/>
                <w:szCs w:val="21"/>
              </w:rPr>
              <w:t>调整项名称、</w:t>
            </w:r>
            <w:r>
              <w:rPr>
                <w:rFonts w:ascii="仿宋_GB2312" w:eastAsia="仿宋_GB2312" w:hAnsi="仿宋_GB2312" w:cs="仿宋_GB2312" w:hint="eastAsia"/>
                <w:color w:val="000000" w:themeColor="text1"/>
                <w:szCs w:val="21"/>
              </w:rPr>
              <w:t>实施依据</w:t>
            </w:r>
          </w:p>
        </w:tc>
      </w:tr>
      <w:tr w:rsidR="0059130C">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trHeight w:val="520"/>
          <w:jc w:val="center"/>
        </w:trPr>
        <w:tc>
          <w:tcPr>
            <w:tcW w:w="717" w:type="dxa"/>
            <w:tcBorders>
              <w:top w:val="single" w:sz="4" w:space="0" w:color="auto"/>
              <w:left w:val="single" w:sz="4" w:space="0" w:color="000000"/>
              <w:bottom w:val="single" w:sz="4" w:space="0" w:color="auto"/>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lastRenderedPageBreak/>
              <w:t>序号</w:t>
            </w:r>
          </w:p>
        </w:tc>
        <w:tc>
          <w:tcPr>
            <w:tcW w:w="1603" w:type="dxa"/>
            <w:tcBorders>
              <w:top w:val="single" w:sz="4" w:space="0" w:color="auto"/>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项目名称</w:t>
            </w:r>
          </w:p>
        </w:tc>
        <w:tc>
          <w:tcPr>
            <w:tcW w:w="5911" w:type="dxa"/>
            <w:tcBorders>
              <w:top w:val="single" w:sz="4" w:space="0" w:color="auto"/>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实施依据</w:t>
            </w:r>
          </w:p>
        </w:tc>
        <w:tc>
          <w:tcPr>
            <w:tcW w:w="544" w:type="dxa"/>
            <w:tcBorders>
              <w:top w:val="single" w:sz="4" w:space="0" w:color="auto"/>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类别</w:t>
            </w:r>
          </w:p>
        </w:tc>
        <w:tc>
          <w:tcPr>
            <w:tcW w:w="619" w:type="dxa"/>
            <w:tcBorders>
              <w:top w:val="single" w:sz="4" w:space="0" w:color="auto"/>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环节</w:t>
            </w:r>
          </w:p>
        </w:tc>
        <w:tc>
          <w:tcPr>
            <w:tcW w:w="4666" w:type="dxa"/>
            <w:gridSpan w:val="2"/>
            <w:tcBorders>
              <w:top w:val="single" w:sz="4" w:space="0" w:color="auto"/>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责任事项</w:t>
            </w:r>
          </w:p>
        </w:tc>
        <w:tc>
          <w:tcPr>
            <w:tcW w:w="545" w:type="dxa"/>
            <w:tcBorders>
              <w:top w:val="single" w:sz="4" w:space="0" w:color="auto"/>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trHeight w:val="536"/>
          <w:jc w:val="center"/>
        </w:trPr>
        <w:tc>
          <w:tcPr>
            <w:tcW w:w="717" w:type="dxa"/>
            <w:vMerge w:val="restart"/>
            <w:tcBorders>
              <w:top w:val="single" w:sz="4" w:space="0" w:color="auto"/>
              <w:left w:val="single" w:sz="4" w:space="0" w:color="auto"/>
              <w:bottom w:val="single" w:sz="4" w:space="0" w:color="auto"/>
              <w:right w:val="single" w:sz="4" w:space="0" w:color="auto"/>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15</w:t>
            </w:r>
          </w:p>
        </w:tc>
        <w:tc>
          <w:tcPr>
            <w:tcW w:w="1603" w:type="dxa"/>
            <w:vMerge w:val="restart"/>
            <w:tcBorders>
              <w:top w:val="single" w:sz="4" w:space="0" w:color="auto"/>
              <w:left w:val="single" w:sz="4" w:space="0" w:color="auto"/>
              <w:bottom w:val="single" w:sz="4" w:space="0" w:color="auto"/>
              <w:right w:val="single" w:sz="4" w:space="0" w:color="auto"/>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道路货物运输和货运站经营者非法转让、出租道路运输经营许可证的处罚</w:t>
            </w:r>
          </w:p>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调整为：</w:t>
            </w:r>
            <w:r>
              <w:rPr>
                <w:rFonts w:ascii="仿宋_GB2312" w:eastAsia="仿宋_GB2312" w:hAnsi="仿宋_GB2312" w:cs="仿宋_GB2312" w:hint="eastAsia"/>
                <w:sz w:val="21"/>
                <w:szCs w:val="21"/>
                <w:u w:val="single"/>
                <w:lang/>
              </w:rPr>
              <w:t>道路货物运输经营者非法转让、出租道路运输经营许可证件</w:t>
            </w:r>
            <w:r>
              <w:rPr>
                <w:rFonts w:ascii="仿宋_GB2312" w:eastAsia="仿宋_GB2312" w:hAnsi="仿宋_GB2312" w:cs="仿宋_GB2312" w:hint="eastAsia"/>
                <w:sz w:val="21"/>
                <w:szCs w:val="21"/>
                <w:u w:val="single"/>
              </w:rPr>
              <w:t>的处罚</w:t>
            </w:r>
          </w:p>
        </w:tc>
        <w:tc>
          <w:tcPr>
            <w:tcW w:w="5911" w:type="dxa"/>
            <w:vMerge w:val="restart"/>
            <w:tcBorders>
              <w:top w:val="single" w:sz="4" w:space="0" w:color="auto"/>
              <w:left w:val="single" w:sz="4" w:space="0" w:color="auto"/>
              <w:bottom w:val="single" w:sz="4" w:space="0" w:color="auto"/>
              <w:right w:val="single" w:sz="4" w:space="0" w:color="auto"/>
            </w:tcBorders>
            <w:vAlign w:val="center"/>
          </w:tcPr>
          <w:p w:rsidR="0059130C" w:rsidRDefault="002E22CA">
            <w:pPr>
              <w:overflowPunct w:val="0"/>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中华人民共和国道路运输条例》（国务院令2019年第709号）第六十六条：“违反本条例的规定，客运经营者、货运经营者、道路运输相关业务经营者非法转让、出租道路运输许可证件的，由县级以上道路运输管理机构责令停止违法行为，收缴有关证件，处2000元以上1万元以下的罚款；有违法所得的，没收违法所得。”</w:t>
            </w:r>
          </w:p>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道路货物运输及站场管理规定》（交通运输部令2019年第17号）第五十八条：“违反本规定，道路货物运输和货运站经营者非法转让、出租道路运输经营许可证件的，由县级以上道路运输管理机构责令停止违法行为，收缴有关证件，处2000元以上1万元以下的罚款；有违法所得的，没收违法所得。”</w:t>
            </w:r>
          </w:p>
          <w:p w:rsidR="0059130C" w:rsidRDefault="002E22CA">
            <w:pPr>
              <w:overflowPunct w:val="0"/>
              <w:snapToGrid w:val="0"/>
              <w:spacing w:line="240" w:lineRule="exact"/>
              <w:rPr>
                <w:rFonts w:ascii="仿宋_GB2312" w:eastAsia="仿宋_GB2312" w:hAnsi="仿宋_GB2312" w:cs="仿宋_GB2312"/>
                <w:kern w:val="0"/>
                <w:szCs w:val="21"/>
                <w:u w:val="single"/>
                <w:lang/>
              </w:rPr>
            </w:pPr>
            <w:r>
              <w:rPr>
                <w:rFonts w:ascii="仿宋_GB2312" w:eastAsia="仿宋_GB2312" w:hAnsi="仿宋_GB2312" w:cs="仿宋_GB2312" w:hint="eastAsia"/>
                <w:szCs w:val="21"/>
              </w:rPr>
              <w:t>调整为：</w:t>
            </w:r>
            <w:r>
              <w:rPr>
                <w:rFonts w:ascii="仿宋_GB2312" w:eastAsia="仿宋_GB2312" w:hAnsi="仿宋_GB2312" w:cs="仿宋_GB2312" w:hint="eastAsia"/>
                <w:kern w:val="0"/>
                <w:szCs w:val="21"/>
                <w:u w:val="single"/>
                <w:lang/>
              </w:rPr>
              <w:t>《中华人民共和国道路运输条例》（国务院令第764号）第六十六条：“违反本条例的规定，客运经营者、货运经营者、道路运输相关业务经营者非法转让、出租道路运输许可证件的，由县级以地方人民政府交通运输主管部门责令停止违法行为，收缴有关证件，处2000元以上1万元以下的罚款；有违法所得的，没收违法所得。”</w:t>
            </w:r>
          </w:p>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u w:val="single"/>
                <w:lang/>
              </w:rPr>
              <w:t>《道路货物运输及站场管理规定》（交通运输部令2022年第30号）第六十二条：“违反本规定，道路货物运输经营者非法转让、出租道路运输经营许可证件的，由交通运输主管部门责令停止违法行为，收缴有关证件，处2000元以上1万元以下的罚款；有违法所得的，没收违法所得。”</w:t>
            </w:r>
          </w:p>
        </w:tc>
        <w:tc>
          <w:tcPr>
            <w:tcW w:w="544" w:type="dxa"/>
            <w:vMerge w:val="restart"/>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619" w:type="dxa"/>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666" w:type="dxa"/>
            <w:gridSpan w:val="2"/>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545" w:type="dxa"/>
            <w:vMerge w:val="restart"/>
            <w:tcBorders>
              <w:top w:val="single" w:sz="4" w:space="0" w:color="auto"/>
              <w:left w:val="single" w:sz="4" w:space="0" w:color="auto"/>
              <w:bottom w:val="single" w:sz="4" w:space="0" w:color="auto"/>
              <w:right w:val="single" w:sz="4" w:space="0" w:color="auto"/>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内乡县交通运输综合行政执法大队</w:t>
            </w:r>
          </w:p>
        </w:tc>
      </w:tr>
      <w:tr w:rsidR="0059130C">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trHeight w:val="1453"/>
          <w:jc w:val="center"/>
        </w:trPr>
        <w:tc>
          <w:tcPr>
            <w:tcW w:w="717" w:type="dxa"/>
            <w:vMerge/>
            <w:tcBorders>
              <w:top w:val="single" w:sz="4" w:space="0" w:color="auto"/>
              <w:left w:val="single" w:sz="4" w:space="0" w:color="auto"/>
              <w:bottom w:val="single" w:sz="4" w:space="0" w:color="auto"/>
              <w:right w:val="single" w:sz="4" w:space="0" w:color="auto"/>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911"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44"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19" w:type="dxa"/>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666" w:type="dxa"/>
            <w:gridSpan w:val="2"/>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545"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trHeight w:val="770"/>
          <w:jc w:val="center"/>
        </w:trPr>
        <w:tc>
          <w:tcPr>
            <w:tcW w:w="717" w:type="dxa"/>
            <w:vMerge/>
            <w:tcBorders>
              <w:top w:val="single" w:sz="4" w:space="0" w:color="auto"/>
              <w:left w:val="single" w:sz="4" w:space="0" w:color="auto"/>
              <w:bottom w:val="single" w:sz="4" w:space="0" w:color="auto"/>
              <w:right w:val="single" w:sz="4" w:space="0" w:color="auto"/>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911"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44"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19" w:type="dxa"/>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666" w:type="dxa"/>
            <w:gridSpan w:val="2"/>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545"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trHeight w:val="490"/>
          <w:jc w:val="center"/>
        </w:trPr>
        <w:tc>
          <w:tcPr>
            <w:tcW w:w="717" w:type="dxa"/>
            <w:vMerge/>
            <w:tcBorders>
              <w:top w:val="single" w:sz="4" w:space="0" w:color="auto"/>
              <w:left w:val="single" w:sz="4" w:space="0" w:color="auto"/>
              <w:bottom w:val="single" w:sz="4" w:space="0" w:color="auto"/>
              <w:right w:val="single" w:sz="4" w:space="0" w:color="auto"/>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911"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44"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19" w:type="dxa"/>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666" w:type="dxa"/>
            <w:gridSpan w:val="2"/>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545"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trHeight w:val="1212"/>
          <w:jc w:val="center"/>
        </w:trPr>
        <w:tc>
          <w:tcPr>
            <w:tcW w:w="717" w:type="dxa"/>
            <w:vMerge/>
            <w:tcBorders>
              <w:top w:val="single" w:sz="4" w:space="0" w:color="auto"/>
              <w:left w:val="single" w:sz="4" w:space="0" w:color="auto"/>
              <w:bottom w:val="single" w:sz="4" w:space="0" w:color="auto"/>
              <w:right w:val="single" w:sz="4" w:space="0" w:color="auto"/>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911"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44"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19" w:type="dxa"/>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666" w:type="dxa"/>
            <w:gridSpan w:val="2"/>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545"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trHeight w:val="440"/>
          <w:jc w:val="center"/>
        </w:trPr>
        <w:tc>
          <w:tcPr>
            <w:tcW w:w="717" w:type="dxa"/>
            <w:vMerge/>
            <w:tcBorders>
              <w:top w:val="single" w:sz="4" w:space="0" w:color="auto"/>
              <w:left w:val="single" w:sz="4" w:space="0" w:color="auto"/>
              <w:bottom w:val="single" w:sz="4" w:space="0" w:color="auto"/>
              <w:right w:val="single" w:sz="4" w:space="0" w:color="auto"/>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911"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44"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19" w:type="dxa"/>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666" w:type="dxa"/>
            <w:gridSpan w:val="2"/>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545"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trHeight w:val="590"/>
          <w:jc w:val="center"/>
        </w:trPr>
        <w:tc>
          <w:tcPr>
            <w:tcW w:w="717" w:type="dxa"/>
            <w:vMerge/>
            <w:tcBorders>
              <w:top w:val="single" w:sz="4" w:space="0" w:color="auto"/>
              <w:left w:val="single" w:sz="4" w:space="0" w:color="auto"/>
              <w:bottom w:val="single" w:sz="4" w:space="0" w:color="auto"/>
              <w:right w:val="single" w:sz="4" w:space="0" w:color="auto"/>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911"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44"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19" w:type="dxa"/>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666" w:type="dxa"/>
            <w:gridSpan w:val="2"/>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545"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trHeight w:val="888"/>
          <w:jc w:val="center"/>
        </w:trPr>
        <w:tc>
          <w:tcPr>
            <w:tcW w:w="717" w:type="dxa"/>
            <w:vMerge/>
            <w:tcBorders>
              <w:top w:val="single" w:sz="4" w:space="0" w:color="auto"/>
              <w:left w:val="single" w:sz="4" w:space="0" w:color="auto"/>
              <w:bottom w:val="single" w:sz="4" w:space="0" w:color="auto"/>
              <w:right w:val="single" w:sz="4" w:space="0" w:color="auto"/>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911"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44"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19" w:type="dxa"/>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666" w:type="dxa"/>
            <w:gridSpan w:val="2"/>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545"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trHeight w:val="334"/>
          <w:jc w:val="center"/>
        </w:trPr>
        <w:tc>
          <w:tcPr>
            <w:tcW w:w="717" w:type="dxa"/>
            <w:vMerge/>
            <w:tcBorders>
              <w:top w:val="single" w:sz="4" w:space="0" w:color="auto"/>
              <w:left w:val="single" w:sz="4" w:space="0" w:color="auto"/>
              <w:bottom w:val="single" w:sz="4" w:space="0" w:color="auto"/>
              <w:right w:val="single" w:sz="4" w:space="0" w:color="auto"/>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888" w:type="dxa"/>
            <w:gridSpan w:val="7"/>
            <w:tcBorders>
              <w:top w:val="single" w:sz="4" w:space="0" w:color="auto"/>
              <w:left w:val="single" w:sz="4" w:space="0" w:color="auto"/>
              <w:bottom w:val="single" w:sz="4" w:space="0" w:color="auto"/>
              <w:right w:val="single" w:sz="4" w:space="0" w:color="auto"/>
            </w:tcBorders>
            <w:vAlign w:val="center"/>
          </w:tcPr>
          <w:p w:rsidR="0059130C" w:rsidRDefault="00A82127">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调整情况：</w:t>
            </w:r>
            <w:r w:rsidR="002E22CA">
              <w:rPr>
                <w:rFonts w:ascii="仿宋_GB2312" w:eastAsia="仿宋_GB2312" w:hAnsi="仿宋_GB2312" w:cs="仿宋_GB2312" w:hint="eastAsia"/>
                <w:color w:val="000000" w:themeColor="text1"/>
                <w:szCs w:val="21"/>
              </w:rPr>
              <w:t>调整项目名称、实施依据</w:t>
            </w:r>
          </w:p>
        </w:tc>
      </w:tr>
      <w:tr w:rsidR="0059130C">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trHeight w:val="609"/>
          <w:jc w:val="center"/>
        </w:trPr>
        <w:tc>
          <w:tcPr>
            <w:tcW w:w="717" w:type="dxa"/>
            <w:vMerge/>
            <w:tcBorders>
              <w:top w:val="single" w:sz="4" w:space="0" w:color="auto"/>
              <w:left w:val="single" w:sz="4" w:space="0" w:color="auto"/>
              <w:bottom w:val="single" w:sz="4" w:space="0" w:color="auto"/>
              <w:right w:val="single" w:sz="4" w:space="0" w:color="auto"/>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888" w:type="dxa"/>
            <w:gridSpan w:val="7"/>
            <w:tcBorders>
              <w:top w:val="single" w:sz="4" w:space="0" w:color="auto"/>
              <w:left w:val="single" w:sz="4" w:space="0" w:color="auto"/>
              <w:bottom w:val="single" w:sz="4" w:space="0" w:color="auto"/>
              <w:right w:val="single" w:sz="4" w:space="0" w:color="auto"/>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调整原因：</w:t>
            </w:r>
            <w:r>
              <w:rPr>
                <w:rFonts w:ascii="仿宋_GB2312" w:eastAsia="仿宋_GB2312" w:hAnsi="仿宋_GB2312" w:cs="仿宋_GB2312" w:hint="eastAsia"/>
                <w:szCs w:val="21"/>
              </w:rPr>
              <w:t>根据：《中华人民共和国道路运输条例》（国务院令第764号）《道路货物运输及站场管理规定》（交通运输部令2022年第30</w:t>
            </w:r>
            <w:r w:rsidR="00A82127">
              <w:rPr>
                <w:rFonts w:ascii="仿宋_GB2312" w:eastAsia="仿宋_GB2312" w:hAnsi="仿宋_GB2312" w:cs="仿宋_GB2312" w:hint="eastAsia"/>
                <w:szCs w:val="21"/>
              </w:rPr>
              <w:t>号）</w:t>
            </w:r>
            <w:r>
              <w:rPr>
                <w:rFonts w:ascii="仿宋_GB2312" w:eastAsia="仿宋_GB2312" w:hAnsi="仿宋_GB2312" w:cs="仿宋_GB2312" w:hint="eastAsia"/>
                <w:szCs w:val="21"/>
              </w:rPr>
              <w:t>调整项名称、</w:t>
            </w:r>
            <w:r>
              <w:rPr>
                <w:rFonts w:ascii="仿宋_GB2312" w:eastAsia="仿宋_GB2312" w:hAnsi="仿宋_GB2312" w:cs="仿宋_GB2312" w:hint="eastAsia"/>
                <w:color w:val="000000" w:themeColor="text1"/>
                <w:szCs w:val="21"/>
              </w:rPr>
              <w:t>实施依据</w:t>
            </w:r>
          </w:p>
        </w:tc>
      </w:tr>
      <w:tr w:rsidR="0059130C">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trHeight w:val="520"/>
          <w:jc w:val="center"/>
        </w:trPr>
        <w:tc>
          <w:tcPr>
            <w:tcW w:w="717" w:type="dxa"/>
            <w:tcBorders>
              <w:top w:val="single" w:sz="4" w:space="0" w:color="auto"/>
              <w:left w:val="single" w:sz="4" w:space="0" w:color="000000"/>
              <w:bottom w:val="single" w:sz="4" w:space="0" w:color="auto"/>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lastRenderedPageBreak/>
              <w:t>序号</w:t>
            </w:r>
          </w:p>
        </w:tc>
        <w:tc>
          <w:tcPr>
            <w:tcW w:w="1603" w:type="dxa"/>
            <w:tcBorders>
              <w:top w:val="single" w:sz="4" w:space="0" w:color="auto"/>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项目名称</w:t>
            </w:r>
          </w:p>
        </w:tc>
        <w:tc>
          <w:tcPr>
            <w:tcW w:w="5911" w:type="dxa"/>
            <w:tcBorders>
              <w:top w:val="single" w:sz="4" w:space="0" w:color="auto"/>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实施依据</w:t>
            </w:r>
          </w:p>
        </w:tc>
        <w:tc>
          <w:tcPr>
            <w:tcW w:w="544" w:type="dxa"/>
            <w:tcBorders>
              <w:top w:val="single" w:sz="4" w:space="0" w:color="auto"/>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类别</w:t>
            </w:r>
          </w:p>
        </w:tc>
        <w:tc>
          <w:tcPr>
            <w:tcW w:w="619" w:type="dxa"/>
            <w:tcBorders>
              <w:top w:val="single" w:sz="4" w:space="0" w:color="auto"/>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环节</w:t>
            </w:r>
          </w:p>
        </w:tc>
        <w:tc>
          <w:tcPr>
            <w:tcW w:w="4666" w:type="dxa"/>
            <w:gridSpan w:val="2"/>
            <w:tcBorders>
              <w:top w:val="single" w:sz="4" w:space="0" w:color="auto"/>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责任事项</w:t>
            </w:r>
          </w:p>
        </w:tc>
        <w:tc>
          <w:tcPr>
            <w:tcW w:w="545" w:type="dxa"/>
            <w:tcBorders>
              <w:top w:val="single" w:sz="4" w:space="0" w:color="auto"/>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trHeight w:val="536"/>
          <w:jc w:val="center"/>
        </w:trPr>
        <w:tc>
          <w:tcPr>
            <w:tcW w:w="717" w:type="dxa"/>
            <w:vMerge w:val="restart"/>
            <w:tcBorders>
              <w:top w:val="single" w:sz="4" w:space="0" w:color="auto"/>
              <w:left w:val="single" w:sz="4" w:space="0" w:color="auto"/>
              <w:bottom w:val="single" w:sz="4" w:space="0" w:color="auto"/>
              <w:right w:val="single" w:sz="4" w:space="0" w:color="auto"/>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16</w:t>
            </w:r>
          </w:p>
        </w:tc>
        <w:tc>
          <w:tcPr>
            <w:tcW w:w="1603" w:type="dxa"/>
            <w:vMerge w:val="restart"/>
            <w:tcBorders>
              <w:top w:val="single" w:sz="4" w:space="0" w:color="auto"/>
              <w:left w:val="single" w:sz="4" w:space="0" w:color="auto"/>
              <w:bottom w:val="single" w:sz="4" w:space="0" w:color="auto"/>
              <w:right w:val="single" w:sz="4" w:space="0" w:color="auto"/>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货运站经营者擅自改变道路运输站（场）的用途和服务功能的处罚</w:t>
            </w:r>
          </w:p>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调整为</w:t>
            </w:r>
            <w:r>
              <w:rPr>
                <w:rFonts w:ascii="仿宋_GB2312" w:eastAsia="仿宋_GB2312" w:hAnsi="仿宋_GB2312" w:cs="仿宋_GB2312" w:hint="eastAsia"/>
                <w:sz w:val="21"/>
                <w:szCs w:val="21"/>
                <w:u w:val="single"/>
              </w:rPr>
              <w:t>：货运站经营者擅自改变货运站的用途和服务功能的处罚</w:t>
            </w:r>
          </w:p>
        </w:tc>
        <w:tc>
          <w:tcPr>
            <w:tcW w:w="5911" w:type="dxa"/>
            <w:vMerge w:val="restart"/>
            <w:tcBorders>
              <w:top w:val="single" w:sz="4" w:space="0" w:color="auto"/>
              <w:left w:val="single" w:sz="4" w:space="0" w:color="auto"/>
              <w:bottom w:val="single" w:sz="4" w:space="0" w:color="auto"/>
              <w:right w:val="single" w:sz="4" w:space="0" w:color="auto"/>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道路货物运输及站场管理规定》（交通运输部令2019年第17号）第六十四条：“违反本规定，货运站经营者擅自改变道路运输站（场）的用途和服务功能，由县级以上道路运输管理机构责令改正；拒不改正的，处3000元的罚款；有违法所得的，没收违法所得。”</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调整为：</w:t>
            </w:r>
            <w:r>
              <w:rPr>
                <w:rFonts w:ascii="仿宋_GB2312" w:eastAsia="仿宋_GB2312" w:hAnsi="仿宋_GB2312" w:cs="仿宋_GB2312" w:hint="eastAsia"/>
                <w:sz w:val="21"/>
                <w:szCs w:val="21"/>
                <w:u w:val="single"/>
                <w:lang/>
              </w:rPr>
              <w:t>《道路货物运输及站场管理规定》（交通运输部令2022年第30号）第六十七条：“违反本规定，货运站经营者擅自改变货运站的用途和服务功能，由交通运输主管部门责令改正；拒不改正的，处3000元的罚款；有违法所得的，没收违法所得。”</w:t>
            </w:r>
          </w:p>
        </w:tc>
        <w:tc>
          <w:tcPr>
            <w:tcW w:w="544" w:type="dxa"/>
            <w:vMerge w:val="restart"/>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619" w:type="dxa"/>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666" w:type="dxa"/>
            <w:gridSpan w:val="2"/>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545" w:type="dxa"/>
            <w:vMerge w:val="restart"/>
            <w:tcBorders>
              <w:top w:val="single" w:sz="4" w:space="0" w:color="auto"/>
              <w:left w:val="single" w:sz="4" w:space="0" w:color="auto"/>
              <w:bottom w:val="single" w:sz="4" w:space="0" w:color="auto"/>
              <w:right w:val="single" w:sz="4" w:space="0" w:color="auto"/>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内乡县交通运输综合行政执法大队</w:t>
            </w:r>
          </w:p>
        </w:tc>
      </w:tr>
      <w:tr w:rsidR="0059130C">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trHeight w:val="1415"/>
          <w:jc w:val="center"/>
        </w:trPr>
        <w:tc>
          <w:tcPr>
            <w:tcW w:w="717" w:type="dxa"/>
            <w:vMerge/>
            <w:tcBorders>
              <w:top w:val="single" w:sz="4" w:space="0" w:color="auto"/>
              <w:left w:val="single" w:sz="4" w:space="0" w:color="auto"/>
              <w:bottom w:val="single" w:sz="4" w:space="0" w:color="auto"/>
              <w:right w:val="single" w:sz="4" w:space="0" w:color="auto"/>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911"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44"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19" w:type="dxa"/>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666" w:type="dxa"/>
            <w:gridSpan w:val="2"/>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545"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trHeight w:val="770"/>
          <w:jc w:val="center"/>
        </w:trPr>
        <w:tc>
          <w:tcPr>
            <w:tcW w:w="717" w:type="dxa"/>
            <w:vMerge/>
            <w:tcBorders>
              <w:top w:val="single" w:sz="4" w:space="0" w:color="auto"/>
              <w:left w:val="single" w:sz="4" w:space="0" w:color="auto"/>
              <w:bottom w:val="single" w:sz="4" w:space="0" w:color="auto"/>
              <w:right w:val="single" w:sz="4" w:space="0" w:color="auto"/>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911"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44"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19" w:type="dxa"/>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666" w:type="dxa"/>
            <w:gridSpan w:val="2"/>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545"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trHeight w:val="490"/>
          <w:jc w:val="center"/>
        </w:trPr>
        <w:tc>
          <w:tcPr>
            <w:tcW w:w="717" w:type="dxa"/>
            <w:vMerge/>
            <w:tcBorders>
              <w:top w:val="single" w:sz="4" w:space="0" w:color="auto"/>
              <w:left w:val="single" w:sz="4" w:space="0" w:color="auto"/>
              <w:bottom w:val="single" w:sz="4" w:space="0" w:color="auto"/>
              <w:right w:val="single" w:sz="4" w:space="0" w:color="auto"/>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911"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44"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19" w:type="dxa"/>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666" w:type="dxa"/>
            <w:gridSpan w:val="2"/>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545"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trHeight w:val="1156"/>
          <w:jc w:val="center"/>
        </w:trPr>
        <w:tc>
          <w:tcPr>
            <w:tcW w:w="717" w:type="dxa"/>
            <w:vMerge/>
            <w:tcBorders>
              <w:top w:val="single" w:sz="4" w:space="0" w:color="auto"/>
              <w:left w:val="single" w:sz="4" w:space="0" w:color="auto"/>
              <w:bottom w:val="single" w:sz="4" w:space="0" w:color="auto"/>
              <w:right w:val="single" w:sz="4" w:space="0" w:color="auto"/>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911"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44"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19" w:type="dxa"/>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666" w:type="dxa"/>
            <w:gridSpan w:val="2"/>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545"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trHeight w:val="440"/>
          <w:jc w:val="center"/>
        </w:trPr>
        <w:tc>
          <w:tcPr>
            <w:tcW w:w="717" w:type="dxa"/>
            <w:vMerge/>
            <w:tcBorders>
              <w:top w:val="single" w:sz="4" w:space="0" w:color="auto"/>
              <w:left w:val="single" w:sz="4" w:space="0" w:color="auto"/>
              <w:bottom w:val="single" w:sz="4" w:space="0" w:color="auto"/>
              <w:right w:val="single" w:sz="4" w:space="0" w:color="auto"/>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911"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44"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19" w:type="dxa"/>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666" w:type="dxa"/>
            <w:gridSpan w:val="2"/>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545"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trHeight w:val="590"/>
          <w:jc w:val="center"/>
        </w:trPr>
        <w:tc>
          <w:tcPr>
            <w:tcW w:w="717" w:type="dxa"/>
            <w:vMerge/>
            <w:tcBorders>
              <w:top w:val="single" w:sz="4" w:space="0" w:color="auto"/>
              <w:left w:val="single" w:sz="4" w:space="0" w:color="auto"/>
              <w:bottom w:val="single" w:sz="4" w:space="0" w:color="auto"/>
              <w:right w:val="single" w:sz="4" w:space="0" w:color="auto"/>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911"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44"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19" w:type="dxa"/>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666" w:type="dxa"/>
            <w:gridSpan w:val="2"/>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545"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trHeight w:val="750"/>
          <w:jc w:val="center"/>
        </w:trPr>
        <w:tc>
          <w:tcPr>
            <w:tcW w:w="717" w:type="dxa"/>
            <w:vMerge/>
            <w:tcBorders>
              <w:top w:val="single" w:sz="4" w:space="0" w:color="auto"/>
              <w:left w:val="single" w:sz="4" w:space="0" w:color="auto"/>
              <w:bottom w:val="single" w:sz="4" w:space="0" w:color="auto"/>
              <w:right w:val="single" w:sz="4" w:space="0" w:color="auto"/>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911"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44"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19" w:type="dxa"/>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666" w:type="dxa"/>
            <w:gridSpan w:val="2"/>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545"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trHeight w:val="334"/>
          <w:jc w:val="center"/>
        </w:trPr>
        <w:tc>
          <w:tcPr>
            <w:tcW w:w="717" w:type="dxa"/>
            <w:vMerge/>
            <w:tcBorders>
              <w:top w:val="single" w:sz="4" w:space="0" w:color="auto"/>
              <w:left w:val="single" w:sz="4" w:space="0" w:color="auto"/>
              <w:bottom w:val="single" w:sz="4" w:space="0" w:color="auto"/>
              <w:right w:val="single" w:sz="4" w:space="0" w:color="auto"/>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888" w:type="dxa"/>
            <w:gridSpan w:val="7"/>
            <w:tcBorders>
              <w:top w:val="single" w:sz="4" w:space="0" w:color="auto"/>
              <w:left w:val="single" w:sz="4" w:space="0" w:color="auto"/>
              <w:bottom w:val="single" w:sz="4" w:space="0" w:color="auto"/>
              <w:right w:val="single" w:sz="4" w:space="0" w:color="auto"/>
            </w:tcBorders>
            <w:vAlign w:val="center"/>
          </w:tcPr>
          <w:p w:rsidR="0059130C" w:rsidRDefault="00A82127">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调整情况：</w:t>
            </w:r>
            <w:r w:rsidR="002E22CA">
              <w:rPr>
                <w:rFonts w:ascii="仿宋_GB2312" w:eastAsia="仿宋_GB2312" w:hAnsi="仿宋_GB2312" w:cs="仿宋_GB2312" w:hint="eastAsia"/>
                <w:color w:val="000000" w:themeColor="text1"/>
                <w:szCs w:val="21"/>
              </w:rPr>
              <w:t>调整项目名称、实施依据</w:t>
            </w:r>
          </w:p>
        </w:tc>
      </w:tr>
      <w:tr w:rsidR="0059130C">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trHeight w:val="609"/>
          <w:jc w:val="center"/>
        </w:trPr>
        <w:tc>
          <w:tcPr>
            <w:tcW w:w="717" w:type="dxa"/>
            <w:vMerge/>
            <w:tcBorders>
              <w:top w:val="single" w:sz="4" w:space="0" w:color="auto"/>
              <w:left w:val="single" w:sz="4" w:space="0" w:color="auto"/>
              <w:bottom w:val="single" w:sz="4" w:space="0" w:color="auto"/>
              <w:right w:val="single" w:sz="4" w:space="0" w:color="auto"/>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888" w:type="dxa"/>
            <w:gridSpan w:val="7"/>
            <w:tcBorders>
              <w:top w:val="single" w:sz="4" w:space="0" w:color="auto"/>
              <w:left w:val="single" w:sz="4" w:space="0" w:color="auto"/>
              <w:bottom w:val="single" w:sz="4" w:space="0" w:color="auto"/>
              <w:right w:val="single" w:sz="4" w:space="0" w:color="auto"/>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调整原因：</w:t>
            </w:r>
            <w:r>
              <w:rPr>
                <w:rFonts w:ascii="仿宋_GB2312" w:eastAsia="仿宋_GB2312" w:hAnsi="仿宋_GB2312" w:cs="仿宋_GB2312" w:hint="eastAsia"/>
                <w:szCs w:val="21"/>
              </w:rPr>
              <w:t>根据：《道路货物运输及站场管理规定》（交通运输部令2022年第30</w:t>
            </w:r>
            <w:r w:rsidR="00A82127">
              <w:rPr>
                <w:rFonts w:ascii="仿宋_GB2312" w:eastAsia="仿宋_GB2312" w:hAnsi="仿宋_GB2312" w:cs="仿宋_GB2312" w:hint="eastAsia"/>
                <w:szCs w:val="21"/>
              </w:rPr>
              <w:t>号）</w:t>
            </w:r>
            <w:r>
              <w:rPr>
                <w:rFonts w:ascii="仿宋_GB2312" w:eastAsia="仿宋_GB2312" w:hAnsi="仿宋_GB2312" w:cs="仿宋_GB2312" w:hint="eastAsia"/>
                <w:szCs w:val="21"/>
              </w:rPr>
              <w:t>调整项名称、</w:t>
            </w:r>
            <w:r>
              <w:rPr>
                <w:rFonts w:ascii="仿宋_GB2312" w:eastAsia="仿宋_GB2312" w:hAnsi="仿宋_GB2312" w:cs="仿宋_GB2312" w:hint="eastAsia"/>
                <w:color w:val="000000" w:themeColor="text1"/>
                <w:szCs w:val="21"/>
              </w:rPr>
              <w:t>实施依据</w:t>
            </w:r>
          </w:p>
        </w:tc>
      </w:tr>
    </w:tbl>
    <w:p w:rsidR="0059130C" w:rsidRDefault="0059130C">
      <w:pPr>
        <w:pStyle w:val="a0"/>
        <w:spacing w:after="0" w:line="240" w:lineRule="exact"/>
        <w:rPr>
          <w:rFonts w:ascii="仿宋_GB2312" w:eastAsia="仿宋_GB2312" w:hAnsi="仿宋_GB2312" w:cs="仿宋_GB2312"/>
          <w:szCs w:val="21"/>
        </w:rPr>
      </w:pPr>
    </w:p>
    <w:tbl>
      <w:tblPr>
        <w:tblW w:w="14454" w:type="dxa"/>
        <w:tblLayout w:type="fixed"/>
        <w:tblCellMar>
          <w:left w:w="15" w:type="dxa"/>
          <w:right w:w="15" w:type="dxa"/>
        </w:tblCellMar>
        <w:tblLook w:val="04A0"/>
      </w:tblPr>
      <w:tblGrid>
        <w:gridCol w:w="717"/>
        <w:gridCol w:w="1603"/>
        <w:gridCol w:w="2567"/>
        <w:gridCol w:w="833"/>
        <w:gridCol w:w="1049"/>
        <w:gridCol w:w="118"/>
        <w:gridCol w:w="742"/>
        <w:gridCol w:w="632"/>
        <w:gridCol w:w="4843"/>
        <w:gridCol w:w="1350"/>
      </w:tblGrid>
      <w:tr w:rsidR="0059130C">
        <w:trPr>
          <w:trHeight w:val="520"/>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lastRenderedPageBreak/>
              <w:t>序号</w:t>
            </w:r>
          </w:p>
        </w:tc>
        <w:tc>
          <w:tcPr>
            <w:tcW w:w="160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项目名称</w:t>
            </w:r>
          </w:p>
        </w:tc>
        <w:tc>
          <w:tcPr>
            <w:tcW w:w="4449" w:type="dxa"/>
            <w:gridSpan w:val="3"/>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实施依据</w:t>
            </w:r>
          </w:p>
        </w:tc>
        <w:tc>
          <w:tcPr>
            <w:tcW w:w="860" w:type="dxa"/>
            <w:gridSpan w:val="2"/>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类别</w:t>
            </w:r>
          </w:p>
        </w:tc>
        <w:tc>
          <w:tcPr>
            <w:tcW w:w="63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环节</w:t>
            </w:r>
          </w:p>
        </w:tc>
        <w:tc>
          <w:tcPr>
            <w:tcW w:w="484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责任事项</w:t>
            </w:r>
          </w:p>
        </w:tc>
        <w:tc>
          <w:tcPr>
            <w:tcW w:w="135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536"/>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17</w:t>
            </w:r>
          </w:p>
        </w:tc>
        <w:tc>
          <w:tcPr>
            <w:tcW w:w="1603"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货运经营者使用失效、伪造、变造、被注销等无效的道路运输经营许可证</w:t>
            </w:r>
            <w:proofErr w:type="gramStart"/>
            <w:r>
              <w:rPr>
                <w:rFonts w:ascii="仿宋_GB2312" w:eastAsia="仿宋_GB2312" w:hAnsi="仿宋_GB2312" w:cs="仿宋_GB2312" w:hint="eastAsia"/>
                <w:sz w:val="21"/>
                <w:szCs w:val="21"/>
              </w:rPr>
              <w:t>件从事</w:t>
            </w:r>
            <w:proofErr w:type="gramEnd"/>
            <w:r>
              <w:rPr>
                <w:rFonts w:ascii="仿宋_GB2312" w:eastAsia="仿宋_GB2312" w:hAnsi="仿宋_GB2312" w:cs="仿宋_GB2312" w:hint="eastAsia"/>
                <w:sz w:val="21"/>
                <w:szCs w:val="21"/>
              </w:rPr>
              <w:t>道路货物运输经营的处罚</w:t>
            </w:r>
          </w:p>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调整为：</w:t>
            </w:r>
            <w:r>
              <w:rPr>
                <w:rFonts w:ascii="仿宋_GB2312" w:eastAsia="仿宋_GB2312" w:hAnsi="仿宋_GB2312" w:cs="仿宋_GB2312" w:hint="eastAsia"/>
                <w:sz w:val="21"/>
                <w:szCs w:val="21"/>
                <w:u w:val="single"/>
              </w:rPr>
              <w:t>货运经营者使用失效、伪造、变造、被注销等无效的道路运输经营许可证</w:t>
            </w:r>
            <w:proofErr w:type="gramStart"/>
            <w:r>
              <w:rPr>
                <w:rFonts w:ascii="仿宋_GB2312" w:eastAsia="仿宋_GB2312" w:hAnsi="仿宋_GB2312" w:cs="仿宋_GB2312" w:hint="eastAsia"/>
                <w:sz w:val="21"/>
                <w:szCs w:val="21"/>
                <w:u w:val="single"/>
              </w:rPr>
              <w:t>件从事</w:t>
            </w:r>
            <w:proofErr w:type="gramEnd"/>
            <w:r>
              <w:rPr>
                <w:rFonts w:ascii="仿宋_GB2312" w:eastAsia="仿宋_GB2312" w:hAnsi="仿宋_GB2312" w:cs="仿宋_GB2312" w:hint="eastAsia"/>
                <w:sz w:val="21"/>
                <w:szCs w:val="21"/>
                <w:u w:val="single"/>
              </w:rPr>
              <w:t>道路货物运输经营的处罚</w:t>
            </w:r>
          </w:p>
        </w:tc>
        <w:tc>
          <w:tcPr>
            <w:tcW w:w="4449" w:type="dxa"/>
            <w:gridSpan w:val="3"/>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《道路货物运输及站场管理规定》（交通运输部令2019年第17号）第五十七条：“违反本规定，有下列行为之一的，由县级以上道路运输管理机构责令停止经营；有违法所得的，</w:t>
            </w:r>
            <w:hyperlink r:id="rId10" w:tgtFrame="https://baike.sogou.com/_blank" w:history="1">
              <w:r>
                <w:rPr>
                  <w:rFonts w:ascii="仿宋_GB2312" w:eastAsia="仿宋_GB2312" w:hAnsi="仿宋_GB2312" w:cs="仿宋_GB2312" w:hint="eastAsia"/>
                  <w:kern w:val="0"/>
                  <w:szCs w:val="21"/>
                </w:rPr>
                <w:t>没收违法所得</w:t>
              </w:r>
            </w:hyperlink>
            <w:r>
              <w:rPr>
                <w:rFonts w:ascii="仿宋_GB2312" w:eastAsia="仿宋_GB2312" w:hAnsi="仿宋_GB2312" w:cs="仿宋_GB2312" w:hint="eastAsia"/>
                <w:kern w:val="0"/>
                <w:szCs w:val="21"/>
              </w:rPr>
              <w:t>，处违法所得2倍以上10倍以下的罚款；没有违法所得或者违法所得不足2万元的，处3万元以上10万元以下的罚款；构成犯罪的，依法</w:t>
            </w:r>
            <w:hyperlink r:id="rId11" w:tgtFrame="https://baike.sogou.com/_blank" w:history="1">
              <w:r>
                <w:rPr>
                  <w:rFonts w:ascii="仿宋_GB2312" w:eastAsia="仿宋_GB2312" w:hAnsi="仿宋_GB2312" w:cs="仿宋_GB2312" w:hint="eastAsia"/>
                  <w:kern w:val="0"/>
                  <w:szCs w:val="21"/>
                </w:rPr>
                <w:t>追究刑事责任</w:t>
              </w:r>
            </w:hyperlink>
            <w:r>
              <w:rPr>
                <w:rFonts w:ascii="仿宋_GB2312" w:eastAsia="仿宋_GB2312" w:hAnsi="仿宋_GB2312" w:cs="仿宋_GB2312" w:hint="eastAsia"/>
                <w:kern w:val="0"/>
                <w:szCs w:val="21"/>
              </w:rPr>
              <w:t>：</w:t>
            </w:r>
          </w:p>
          <w:p w:rsidR="0059130C" w:rsidRDefault="002E22CA">
            <w:pPr>
              <w:overflowPunct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（二）使用失效、伪造、变造、被注销等无效的道路运输经营许可证</w:t>
            </w:r>
            <w:proofErr w:type="gramStart"/>
            <w:r>
              <w:rPr>
                <w:rFonts w:ascii="仿宋_GB2312" w:eastAsia="仿宋_GB2312" w:hAnsi="仿宋_GB2312" w:cs="仿宋_GB2312" w:hint="eastAsia"/>
                <w:kern w:val="0"/>
                <w:szCs w:val="21"/>
              </w:rPr>
              <w:t>件从事</w:t>
            </w:r>
            <w:proofErr w:type="gramEnd"/>
            <w:r>
              <w:rPr>
                <w:rFonts w:ascii="仿宋_GB2312" w:eastAsia="仿宋_GB2312" w:hAnsi="仿宋_GB2312" w:cs="仿宋_GB2312" w:hint="eastAsia"/>
                <w:kern w:val="0"/>
                <w:szCs w:val="21"/>
              </w:rPr>
              <w:t>道路货物运输经营的；”</w:t>
            </w:r>
          </w:p>
          <w:p w:rsidR="0059130C" w:rsidRDefault="002E22CA">
            <w:pPr>
              <w:pStyle w:val="a6"/>
              <w:spacing w:beforeAutospacing="0" w:afterAutospacing="0" w:line="240" w:lineRule="exact"/>
              <w:rPr>
                <w:rFonts w:ascii="仿宋_GB2312" w:eastAsia="仿宋_GB2312" w:hAnsi="仿宋_GB2312" w:cs="仿宋_GB2312"/>
                <w:sz w:val="21"/>
                <w:szCs w:val="21"/>
                <w:u w:val="single"/>
              </w:rPr>
            </w:pPr>
            <w:r>
              <w:rPr>
                <w:rFonts w:ascii="仿宋_GB2312" w:eastAsia="仿宋_GB2312" w:hAnsi="仿宋_GB2312" w:cs="仿宋_GB2312" w:hint="eastAsia"/>
                <w:sz w:val="21"/>
                <w:szCs w:val="21"/>
                <w:u w:val="single"/>
              </w:rPr>
              <w:t>调整为：《道路货物运输及站场管理规定》（交通运输部令2022年第30号）第六十一条：违反本规定，有下列行为之一的，由交通运输主管部门责令停止经营；有违法所得的，没收违法所得，处违法所得2倍以上10倍以下的罚款；没有违法所得或者违法所得不足2万元的，处3万元以上10万元以下的罚款；构成犯罪的，依法追究刑事责任：</w:t>
            </w:r>
          </w:p>
          <w:p w:rsidR="0059130C" w:rsidRDefault="002E22CA">
            <w:pPr>
              <w:pStyle w:val="a6"/>
              <w:spacing w:beforeAutospacing="0" w:afterAutospacing="0" w:line="240" w:lineRule="exact"/>
              <w:rPr>
                <w:rFonts w:ascii="仿宋_GB2312" w:eastAsia="仿宋_GB2312" w:hAnsi="仿宋_GB2312" w:cs="仿宋_GB2312"/>
                <w:sz w:val="21"/>
                <w:szCs w:val="21"/>
                <w:u w:val="single"/>
              </w:rPr>
            </w:pPr>
            <w:r>
              <w:rPr>
                <w:rFonts w:ascii="仿宋_GB2312" w:eastAsia="仿宋_GB2312" w:hAnsi="仿宋_GB2312" w:cs="仿宋_GB2312" w:hint="eastAsia"/>
                <w:sz w:val="21"/>
                <w:szCs w:val="21"/>
                <w:u w:val="single"/>
              </w:rPr>
              <w:t>（二）使用失效、伪造、变造、被注销等无效的道路运输经营许可证</w:t>
            </w:r>
            <w:proofErr w:type="gramStart"/>
            <w:r>
              <w:rPr>
                <w:rFonts w:ascii="仿宋_GB2312" w:eastAsia="仿宋_GB2312" w:hAnsi="仿宋_GB2312" w:cs="仿宋_GB2312" w:hint="eastAsia"/>
                <w:sz w:val="21"/>
                <w:szCs w:val="21"/>
                <w:u w:val="single"/>
              </w:rPr>
              <w:t>件从事</w:t>
            </w:r>
            <w:proofErr w:type="gramEnd"/>
            <w:r>
              <w:rPr>
                <w:rFonts w:ascii="仿宋_GB2312" w:eastAsia="仿宋_GB2312" w:hAnsi="仿宋_GB2312" w:cs="仿宋_GB2312" w:hint="eastAsia"/>
                <w:sz w:val="21"/>
                <w:szCs w:val="21"/>
                <w:u w:val="single"/>
              </w:rPr>
              <w:t>道路货物运输经营的；”</w:t>
            </w:r>
          </w:p>
          <w:p w:rsidR="0059130C" w:rsidRDefault="0059130C">
            <w:pPr>
              <w:pStyle w:val="a6"/>
              <w:spacing w:beforeAutospacing="0" w:afterAutospacing="0" w:line="240" w:lineRule="exact"/>
              <w:rPr>
                <w:rFonts w:ascii="仿宋_GB2312" w:eastAsia="仿宋_GB2312" w:hAnsi="仿宋_GB2312" w:cs="仿宋_GB2312"/>
                <w:sz w:val="21"/>
                <w:szCs w:val="21"/>
              </w:rPr>
            </w:pPr>
          </w:p>
        </w:tc>
        <w:tc>
          <w:tcPr>
            <w:tcW w:w="860" w:type="dxa"/>
            <w:gridSpan w:val="2"/>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632"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843"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5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内乡县交通运输综合行政执法大队</w:t>
            </w:r>
          </w:p>
        </w:tc>
      </w:tr>
      <w:tr w:rsidR="0059130C">
        <w:trPr>
          <w:trHeight w:val="1075"/>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449" w:type="dxa"/>
            <w:gridSpan w:val="3"/>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60" w:type="dxa"/>
            <w:gridSpan w:val="2"/>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3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84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5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770"/>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449" w:type="dxa"/>
            <w:gridSpan w:val="3"/>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60" w:type="dxa"/>
            <w:gridSpan w:val="2"/>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3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84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5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90"/>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449" w:type="dxa"/>
            <w:gridSpan w:val="3"/>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60" w:type="dxa"/>
            <w:gridSpan w:val="2"/>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3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84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5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99"/>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449" w:type="dxa"/>
            <w:gridSpan w:val="3"/>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60" w:type="dxa"/>
            <w:gridSpan w:val="2"/>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3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84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5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40"/>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449" w:type="dxa"/>
            <w:gridSpan w:val="3"/>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60" w:type="dxa"/>
            <w:gridSpan w:val="2"/>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3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84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5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100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449" w:type="dxa"/>
            <w:gridSpan w:val="3"/>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60" w:type="dxa"/>
            <w:gridSpan w:val="2"/>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3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84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5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1775"/>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449" w:type="dxa"/>
            <w:gridSpan w:val="3"/>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60" w:type="dxa"/>
            <w:gridSpan w:val="2"/>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32"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843"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5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rPr>
          <w:trHeight w:val="334"/>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737" w:type="dxa"/>
            <w:gridSpan w:val="9"/>
            <w:tcBorders>
              <w:top w:val="single" w:sz="4" w:space="0" w:color="000000"/>
              <w:left w:val="single" w:sz="4" w:space="0" w:color="000000"/>
              <w:bottom w:val="single" w:sz="4" w:space="0" w:color="000000"/>
              <w:right w:val="single" w:sz="4" w:space="0" w:color="000000"/>
            </w:tcBorders>
            <w:vAlign w:val="center"/>
          </w:tcPr>
          <w:p w:rsidR="0059130C" w:rsidRDefault="00A82127">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调整情况：</w:t>
            </w:r>
            <w:r w:rsidR="002E22CA">
              <w:rPr>
                <w:rFonts w:ascii="仿宋_GB2312" w:eastAsia="仿宋_GB2312" w:hAnsi="仿宋_GB2312" w:cs="仿宋_GB2312" w:hint="eastAsia"/>
                <w:color w:val="000000" w:themeColor="text1"/>
                <w:szCs w:val="21"/>
              </w:rPr>
              <w:t>调整项目名称、实施依据</w:t>
            </w:r>
          </w:p>
        </w:tc>
      </w:tr>
      <w:tr w:rsidR="0059130C">
        <w:trPr>
          <w:trHeight w:val="609"/>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737" w:type="dxa"/>
            <w:gridSpan w:val="9"/>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调整原因：</w:t>
            </w:r>
            <w:r>
              <w:rPr>
                <w:rFonts w:ascii="仿宋_GB2312" w:eastAsia="仿宋_GB2312" w:hAnsi="仿宋_GB2312" w:cs="仿宋_GB2312" w:hint="eastAsia"/>
                <w:szCs w:val="21"/>
              </w:rPr>
              <w:t>根据《道路货物运输及站场管理规定》（交通运输部令2022年第30</w:t>
            </w:r>
            <w:r w:rsidR="00A82127">
              <w:rPr>
                <w:rFonts w:ascii="仿宋_GB2312" w:eastAsia="仿宋_GB2312" w:hAnsi="仿宋_GB2312" w:cs="仿宋_GB2312" w:hint="eastAsia"/>
                <w:szCs w:val="21"/>
              </w:rPr>
              <w:t>号）</w:t>
            </w:r>
            <w:r>
              <w:rPr>
                <w:rFonts w:ascii="仿宋_GB2312" w:eastAsia="仿宋_GB2312" w:hAnsi="仿宋_GB2312" w:cs="仿宋_GB2312" w:hint="eastAsia"/>
                <w:szCs w:val="21"/>
              </w:rPr>
              <w:t>调整项名称、</w:t>
            </w:r>
            <w:r>
              <w:rPr>
                <w:rFonts w:ascii="仿宋_GB2312" w:eastAsia="仿宋_GB2312" w:hAnsi="仿宋_GB2312" w:cs="仿宋_GB2312" w:hint="eastAsia"/>
                <w:color w:val="000000" w:themeColor="text1"/>
                <w:szCs w:val="21"/>
              </w:rPr>
              <w:t>实施依据</w:t>
            </w:r>
          </w:p>
        </w:tc>
      </w:tr>
      <w:tr w:rsidR="0059130C">
        <w:trPr>
          <w:trHeight w:val="520"/>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lastRenderedPageBreak/>
              <w:t>序号</w:t>
            </w:r>
          </w:p>
        </w:tc>
        <w:tc>
          <w:tcPr>
            <w:tcW w:w="160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项目名称</w:t>
            </w:r>
          </w:p>
        </w:tc>
        <w:tc>
          <w:tcPr>
            <w:tcW w:w="2567"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实施依据</w:t>
            </w:r>
          </w:p>
        </w:tc>
        <w:tc>
          <w:tcPr>
            <w:tcW w:w="83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类别</w:t>
            </w:r>
          </w:p>
        </w:tc>
        <w:tc>
          <w:tcPr>
            <w:tcW w:w="1167" w:type="dxa"/>
            <w:gridSpan w:val="2"/>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环节</w:t>
            </w:r>
          </w:p>
        </w:tc>
        <w:tc>
          <w:tcPr>
            <w:tcW w:w="6217" w:type="dxa"/>
            <w:gridSpan w:val="3"/>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责任事项</w:t>
            </w:r>
          </w:p>
        </w:tc>
        <w:tc>
          <w:tcPr>
            <w:tcW w:w="135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850"/>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18</w:t>
            </w:r>
          </w:p>
        </w:tc>
        <w:tc>
          <w:tcPr>
            <w:tcW w:w="1603"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机动车维修、机动车驾驶员培训、机动车综合性能检测经营者超出核定的许可范围经营的，机动车综合性能检测经营者未按照有关标准进行机动车综合性能检测的、未经机动车综合性能检测出具检测报告的、</w:t>
            </w:r>
            <w:proofErr w:type="gramStart"/>
            <w:r>
              <w:rPr>
                <w:rFonts w:ascii="仿宋_GB2312" w:eastAsia="仿宋_GB2312" w:hAnsi="仿宋_GB2312" w:cs="仿宋_GB2312" w:hint="eastAsia"/>
                <w:sz w:val="21"/>
                <w:szCs w:val="21"/>
              </w:rPr>
              <w:t>不</w:t>
            </w:r>
            <w:proofErr w:type="gramEnd"/>
            <w:r>
              <w:rPr>
                <w:rFonts w:ascii="仿宋_GB2312" w:eastAsia="仿宋_GB2312" w:hAnsi="仿宋_GB2312" w:cs="仿宋_GB2312" w:hint="eastAsia"/>
                <w:sz w:val="21"/>
                <w:szCs w:val="21"/>
              </w:rPr>
              <w:t>如实出具检测报告的处罚</w:t>
            </w:r>
          </w:p>
          <w:p w:rsidR="0059130C" w:rsidRDefault="002E22CA">
            <w:pPr>
              <w:pStyle w:val="a6"/>
              <w:spacing w:beforeAutospacing="0" w:afterAutospacing="0" w:line="240" w:lineRule="exact"/>
              <w:rPr>
                <w:rFonts w:ascii="仿宋_GB2312" w:eastAsia="仿宋_GB2312" w:hAnsi="仿宋_GB2312" w:cs="仿宋_GB2312"/>
                <w:sz w:val="21"/>
                <w:szCs w:val="21"/>
                <w:u w:val="single"/>
              </w:rPr>
            </w:pPr>
            <w:r>
              <w:rPr>
                <w:rFonts w:ascii="仿宋_GB2312" w:eastAsia="仿宋_GB2312" w:hAnsi="仿宋_GB2312" w:cs="仿宋_GB2312" w:hint="eastAsia"/>
                <w:sz w:val="21"/>
                <w:szCs w:val="21"/>
              </w:rPr>
              <w:t>调整为：</w:t>
            </w:r>
            <w:r>
              <w:rPr>
                <w:rFonts w:ascii="仿宋_GB2312" w:eastAsia="仿宋_GB2312" w:hAnsi="仿宋_GB2312" w:cs="仿宋_GB2312" w:hint="eastAsia"/>
                <w:sz w:val="21"/>
                <w:szCs w:val="21"/>
                <w:u w:val="single"/>
              </w:rPr>
              <w:t>机动车综合性能检测经营者未按照有关标准进行机动车综合性能检测的、未经机动车综合性能检测出具检测报告的、</w:t>
            </w:r>
            <w:proofErr w:type="gramStart"/>
            <w:r>
              <w:rPr>
                <w:rFonts w:ascii="仿宋_GB2312" w:eastAsia="仿宋_GB2312" w:hAnsi="仿宋_GB2312" w:cs="仿宋_GB2312" w:hint="eastAsia"/>
                <w:sz w:val="21"/>
                <w:szCs w:val="21"/>
                <w:u w:val="single"/>
              </w:rPr>
              <w:t>不</w:t>
            </w:r>
            <w:proofErr w:type="gramEnd"/>
            <w:r>
              <w:rPr>
                <w:rFonts w:ascii="仿宋_GB2312" w:eastAsia="仿宋_GB2312" w:hAnsi="仿宋_GB2312" w:cs="仿宋_GB2312" w:hint="eastAsia"/>
                <w:sz w:val="21"/>
                <w:szCs w:val="21"/>
                <w:u w:val="single"/>
              </w:rPr>
              <w:t>如实出具检测报告的处罚</w:t>
            </w:r>
          </w:p>
          <w:p w:rsidR="0059130C" w:rsidRDefault="0059130C">
            <w:pPr>
              <w:pStyle w:val="a6"/>
              <w:spacing w:beforeAutospacing="0" w:afterAutospacing="0" w:line="240" w:lineRule="exact"/>
              <w:rPr>
                <w:rFonts w:ascii="仿宋_GB2312" w:eastAsia="仿宋_GB2312" w:hAnsi="仿宋_GB2312" w:cs="仿宋_GB2312"/>
                <w:sz w:val="21"/>
                <w:szCs w:val="21"/>
              </w:rPr>
            </w:pPr>
          </w:p>
        </w:tc>
        <w:tc>
          <w:tcPr>
            <w:tcW w:w="2567"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 xml:space="preserve"> 《河南省道路运输条例》（2007年12月3日河南省第十届人民代表大会常务委员会第三十四次会议修订　2007年12月3日河南省人民代表大会常务委员会公告第80号公布　自2008年5月1日起施行）第四十条规定：“违反本条例的规定，有下列行为之一的，由县级以上道路运输管理机构按下列规定予以处罚;情节严重的，由原许可机关吊销相应的许可证件;构成犯罪的，依法追究刑事责任：</w:t>
            </w:r>
          </w:p>
          <w:p w:rsidR="0059130C" w:rsidRDefault="002E22CA">
            <w:pPr>
              <w:overflowPunct w:val="0"/>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（一）机动车维修、机动车驾驶员培训、机动车综合性能检测经营者违反本条例第十条规定，超出核定的许可范围经营的，处二千元罚款;</w:t>
            </w:r>
          </w:p>
          <w:p w:rsidR="0059130C" w:rsidRDefault="002E22CA">
            <w:pPr>
              <w:pStyle w:val="a6"/>
              <w:spacing w:beforeAutospacing="0" w:afterAutospacing="0" w:line="240" w:lineRule="exact"/>
              <w:rPr>
                <w:rFonts w:ascii="仿宋_GB2312" w:eastAsia="仿宋_GB2312" w:hAnsi="仿宋_GB2312" w:cs="仿宋_GB2312"/>
                <w:color w:val="000000" w:themeColor="text1"/>
                <w:sz w:val="21"/>
                <w:szCs w:val="21"/>
              </w:rPr>
            </w:pPr>
            <w:r>
              <w:rPr>
                <w:rFonts w:ascii="仿宋_GB2312" w:eastAsia="仿宋_GB2312" w:hAnsi="仿宋_GB2312" w:cs="仿宋_GB2312" w:hint="eastAsia"/>
                <w:sz w:val="21"/>
                <w:szCs w:val="21"/>
              </w:rPr>
              <w:t>（四）违反本条例第三十四条第一款规定，机动车综合性能检测经营者未按照有关标准进行机动车综合性能检测的、未经机动车综合性能检测出具检测报告的、</w:t>
            </w:r>
            <w:proofErr w:type="gramStart"/>
            <w:r>
              <w:rPr>
                <w:rFonts w:ascii="仿宋_GB2312" w:eastAsia="仿宋_GB2312" w:hAnsi="仿宋_GB2312" w:cs="仿宋_GB2312" w:hint="eastAsia"/>
                <w:sz w:val="21"/>
                <w:szCs w:val="21"/>
              </w:rPr>
              <w:t>不</w:t>
            </w:r>
            <w:proofErr w:type="gramEnd"/>
            <w:r>
              <w:rPr>
                <w:rFonts w:ascii="仿宋_GB2312" w:eastAsia="仿宋_GB2312" w:hAnsi="仿宋_GB2312" w:cs="仿宋_GB2312" w:hint="eastAsia"/>
                <w:sz w:val="21"/>
                <w:szCs w:val="21"/>
              </w:rPr>
              <w:t>如实出具检测报告的，处五千元以上一万元以下罚款。”</w:t>
            </w:r>
          </w:p>
        </w:tc>
        <w:tc>
          <w:tcPr>
            <w:tcW w:w="833"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1167" w:type="dxa"/>
            <w:gridSpan w:val="2"/>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6217" w:type="dxa"/>
            <w:gridSpan w:val="3"/>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5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内乡县交通运输综合行政执法大队</w:t>
            </w:r>
          </w:p>
        </w:tc>
      </w:tr>
      <w:tr w:rsidR="0059130C">
        <w:trPr>
          <w:trHeight w:val="850"/>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gridSpan w:val="2"/>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6217" w:type="dxa"/>
            <w:gridSpan w:val="3"/>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5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850"/>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gridSpan w:val="2"/>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6217" w:type="dxa"/>
            <w:gridSpan w:val="3"/>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5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850"/>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gridSpan w:val="2"/>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6217" w:type="dxa"/>
            <w:gridSpan w:val="3"/>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5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850"/>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gridSpan w:val="2"/>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6217" w:type="dxa"/>
            <w:gridSpan w:val="3"/>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5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850"/>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gridSpan w:val="2"/>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6217" w:type="dxa"/>
            <w:gridSpan w:val="3"/>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5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850"/>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gridSpan w:val="2"/>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6217" w:type="dxa"/>
            <w:gridSpan w:val="3"/>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5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850"/>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gridSpan w:val="2"/>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217" w:type="dxa"/>
            <w:gridSpan w:val="3"/>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5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rPr>
          <w:trHeight w:val="571"/>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737" w:type="dxa"/>
            <w:gridSpan w:val="9"/>
            <w:tcBorders>
              <w:top w:val="single" w:sz="4" w:space="0" w:color="000000"/>
              <w:left w:val="single" w:sz="4" w:space="0" w:color="000000"/>
              <w:bottom w:val="single" w:sz="4" w:space="0" w:color="000000"/>
              <w:right w:val="single" w:sz="4" w:space="0" w:color="000000"/>
            </w:tcBorders>
            <w:vAlign w:val="center"/>
          </w:tcPr>
          <w:p w:rsidR="0059130C" w:rsidRDefault="00A82127">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调整情况：</w:t>
            </w:r>
            <w:r w:rsidR="002E22CA">
              <w:rPr>
                <w:rFonts w:ascii="仿宋_GB2312" w:eastAsia="仿宋_GB2312" w:hAnsi="仿宋_GB2312" w:cs="仿宋_GB2312" w:hint="eastAsia"/>
                <w:color w:val="000000" w:themeColor="text1"/>
                <w:szCs w:val="21"/>
              </w:rPr>
              <w:t>调整项目名称</w:t>
            </w:r>
          </w:p>
        </w:tc>
      </w:tr>
      <w:tr w:rsidR="0059130C">
        <w:trPr>
          <w:trHeight w:val="758"/>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737" w:type="dxa"/>
            <w:gridSpan w:val="9"/>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调整原因：根据《交通运输部关于做好机动车驾驶员培训经营备案有关工作的通知》、《中华人民共和国道路运输条例》（国务院令第764号）</w:t>
            </w:r>
            <w:proofErr w:type="gramStart"/>
            <w:r>
              <w:rPr>
                <w:rFonts w:ascii="仿宋_GB2312" w:eastAsia="仿宋_GB2312" w:hAnsi="仿宋_GB2312" w:cs="仿宋_GB2312" w:hint="eastAsia"/>
                <w:color w:val="000000" w:themeColor="text1"/>
                <w:szCs w:val="21"/>
              </w:rPr>
              <w:t>》</w:t>
            </w:r>
            <w:proofErr w:type="gramEnd"/>
            <w:r>
              <w:rPr>
                <w:rFonts w:ascii="仿宋_GB2312" w:eastAsia="仿宋_GB2312" w:hAnsi="仿宋_GB2312" w:cs="仿宋_GB2312" w:hint="eastAsia"/>
                <w:color w:val="000000" w:themeColor="text1"/>
                <w:szCs w:val="21"/>
              </w:rPr>
              <w:t>机动车维修、机动车驾驶员培训的许</w:t>
            </w:r>
            <w:r w:rsidR="00A82127">
              <w:rPr>
                <w:rFonts w:ascii="仿宋_GB2312" w:eastAsia="仿宋_GB2312" w:hAnsi="仿宋_GB2312" w:cs="仿宋_GB2312" w:hint="eastAsia"/>
                <w:color w:val="000000" w:themeColor="text1"/>
                <w:szCs w:val="21"/>
              </w:rPr>
              <w:t>可改为备案，因此机动车维修、机动车驾驶员培训不再进行行政处罚，</w:t>
            </w:r>
            <w:r>
              <w:rPr>
                <w:rFonts w:ascii="仿宋_GB2312" w:eastAsia="仿宋_GB2312" w:hAnsi="仿宋_GB2312" w:cs="仿宋_GB2312" w:hint="eastAsia"/>
                <w:color w:val="000000" w:themeColor="text1"/>
                <w:szCs w:val="21"/>
              </w:rPr>
              <w:t>调整项目名称</w:t>
            </w:r>
          </w:p>
        </w:tc>
      </w:tr>
    </w:tbl>
    <w:p w:rsidR="0059130C" w:rsidRDefault="0059130C">
      <w:pPr>
        <w:spacing w:line="240" w:lineRule="exact"/>
        <w:rPr>
          <w:rFonts w:ascii="仿宋_GB2312" w:eastAsia="仿宋_GB2312" w:hAnsi="仿宋_GB2312" w:cs="仿宋_GB2312"/>
          <w:color w:val="000000" w:themeColor="text1"/>
          <w:szCs w:val="21"/>
        </w:rPr>
      </w:pPr>
    </w:p>
    <w:p w:rsidR="0059130C" w:rsidRDefault="0059130C">
      <w:pPr>
        <w:spacing w:line="240" w:lineRule="exact"/>
        <w:rPr>
          <w:rFonts w:ascii="仿宋_GB2312" w:eastAsia="仿宋_GB2312" w:hAnsi="仿宋_GB2312" w:cs="仿宋_GB2312"/>
          <w:color w:val="000000" w:themeColor="text1"/>
          <w:szCs w:val="21"/>
        </w:rPr>
      </w:pPr>
    </w:p>
    <w:tbl>
      <w:tblPr>
        <w:tblW w:w="14604" w:type="dxa"/>
        <w:tblLayout w:type="fixed"/>
        <w:tblCellMar>
          <w:left w:w="15" w:type="dxa"/>
          <w:right w:w="15" w:type="dxa"/>
        </w:tblCellMar>
        <w:tblLook w:val="04A0"/>
      </w:tblPr>
      <w:tblGrid>
        <w:gridCol w:w="579"/>
        <w:gridCol w:w="1406"/>
        <w:gridCol w:w="4857"/>
        <w:gridCol w:w="768"/>
        <w:gridCol w:w="638"/>
        <w:gridCol w:w="5381"/>
        <w:gridCol w:w="975"/>
      </w:tblGrid>
      <w:tr w:rsidR="0059130C">
        <w:trPr>
          <w:trHeight w:val="520"/>
        </w:trPr>
        <w:tc>
          <w:tcPr>
            <w:tcW w:w="57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序号</w:t>
            </w:r>
          </w:p>
        </w:tc>
        <w:tc>
          <w:tcPr>
            <w:tcW w:w="140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项目名称</w:t>
            </w:r>
          </w:p>
        </w:tc>
        <w:tc>
          <w:tcPr>
            <w:tcW w:w="4857"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实施依据</w:t>
            </w:r>
          </w:p>
        </w:tc>
        <w:tc>
          <w:tcPr>
            <w:tcW w:w="768"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类别</w:t>
            </w:r>
          </w:p>
        </w:tc>
        <w:tc>
          <w:tcPr>
            <w:tcW w:w="638"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环节</w:t>
            </w:r>
          </w:p>
        </w:tc>
        <w:tc>
          <w:tcPr>
            <w:tcW w:w="538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责任事项</w:t>
            </w:r>
          </w:p>
        </w:tc>
        <w:tc>
          <w:tcPr>
            <w:tcW w:w="9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907"/>
        </w:trPr>
        <w:tc>
          <w:tcPr>
            <w:tcW w:w="57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19</w:t>
            </w:r>
          </w:p>
        </w:tc>
        <w:tc>
          <w:tcPr>
            <w:tcW w:w="1406"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客运站经营者擅自改变客运站的用途和服务功能的；不公布运输线路、起讫停靠站点、班次、发车时间、票价的处罚</w:t>
            </w:r>
          </w:p>
          <w:p w:rsidR="0059130C" w:rsidRDefault="002E22CA">
            <w:pPr>
              <w:overflowPunct w:val="0"/>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调整为：</w:t>
            </w:r>
            <w:r>
              <w:rPr>
                <w:rFonts w:ascii="仿宋_GB2312" w:eastAsia="仿宋_GB2312" w:hAnsi="仿宋_GB2312" w:cs="仿宋_GB2312" w:hint="eastAsia"/>
                <w:szCs w:val="21"/>
                <w:u w:val="single"/>
              </w:rPr>
              <w:t>道路运输站（场）经营者、擅自改变道路运输站（场）的用途和服务功能，或者不公布运输线路、起止经停站点、运输班次、始发时间、票价的；客运站经营者擅自改变客运站的用途和服务功能的；不公布运输线路、配客站点、班次、发车时间、票价的处罚</w:t>
            </w:r>
          </w:p>
        </w:tc>
        <w:tc>
          <w:tcPr>
            <w:tcW w:w="4857"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中华人民共和国道路运输条例》（国务院令第752号）第七十一条第二款：“违反本条例的规定，道路运输站（场）经营者擅自改变道路运输站（场）的用途和服务功能，或者不公布运输线路、起止经停站点、运输班次、始发时间、票价的，由县级以上地方人民政府交通运输主管部门责令改正；拒不改正的，处3000元的罚款；有违法所得的，没收违法所得。”</w:t>
            </w:r>
          </w:p>
          <w:p w:rsidR="0059130C" w:rsidRDefault="002E22CA">
            <w:pPr>
              <w:overflowPunct w:val="0"/>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道路旅客运输及客运站管理规定》（交通运输部令2020年第17号）第一百零三条：“违反本规定，客运站经营者有下列情形之一的，由县级以上道路运输管理机构责令改正；拒不改正的，处3000元的罚款；有违法所得的，没收违法所得：（一）擅自改变客运站的用途和服务功能的；（二） 不公布运输线路、配客站点、班次、发车时间、票价的。”</w:t>
            </w:r>
          </w:p>
          <w:p w:rsidR="0059130C" w:rsidRDefault="002E22CA">
            <w:pPr>
              <w:pStyle w:val="a6"/>
              <w:spacing w:beforeAutospacing="0" w:afterAutospacing="0" w:line="240" w:lineRule="exact"/>
              <w:rPr>
                <w:rFonts w:ascii="仿宋_GB2312" w:eastAsia="仿宋_GB2312" w:hAnsi="仿宋_GB2312" w:cs="仿宋_GB2312"/>
                <w:color w:val="000000" w:themeColor="text1"/>
                <w:sz w:val="21"/>
                <w:szCs w:val="21"/>
              </w:rPr>
            </w:pPr>
            <w:r>
              <w:rPr>
                <w:rFonts w:ascii="仿宋_GB2312" w:eastAsia="仿宋_GB2312" w:hAnsi="仿宋_GB2312" w:cs="仿宋_GB2312" w:hint="eastAsia"/>
                <w:sz w:val="21"/>
                <w:szCs w:val="21"/>
              </w:rPr>
              <w:t>调整为：</w:t>
            </w:r>
            <w:r>
              <w:rPr>
                <w:rFonts w:ascii="仿宋_GB2312" w:eastAsia="仿宋_GB2312" w:hAnsi="仿宋_GB2312" w:cs="仿宋_GB2312" w:hint="eastAsia"/>
                <w:sz w:val="21"/>
                <w:szCs w:val="21"/>
                <w:u w:val="single"/>
              </w:rPr>
              <w:t>《中华人民共和国道路运输条例》（国务院令第764号）第七十条第三款：“违反本条例的规定，道路运输站（场）经营者擅自改变道路运输站（场）的用途和服务功能，或者不公布运输线路、起止经停站点、运输班次、始发时间、票价的，由县级以上地方人民政府交通运输主管部门责令改正；拒不改正的，处3000元的罚款；有违法所得的，没收违法所得。”《道路旅客运输及客运站管理规定》（交通运输部令2022年第33号）第一百零二条：“违反本规定，客运站经营者有下列情形之一的，由交通运输主管部门责令改正；拒不改正的，处3000元的罚款；有违法所得的，没收违法所得：（一）擅自改变客运站的用途和服务功能的；（二）不公布运输线路、配客站点、班次、发车时间、票价的。”</w:t>
            </w:r>
          </w:p>
        </w:tc>
        <w:tc>
          <w:tcPr>
            <w:tcW w:w="768"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638"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5381"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975"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内乡县交通运输综合行政执法大队</w:t>
            </w:r>
          </w:p>
        </w:tc>
      </w:tr>
      <w:tr w:rsidR="0059130C">
        <w:trPr>
          <w:trHeight w:val="907"/>
        </w:trPr>
        <w:tc>
          <w:tcPr>
            <w:tcW w:w="57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40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85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6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3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538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975"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trPr>
        <w:tc>
          <w:tcPr>
            <w:tcW w:w="57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40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85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6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3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538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975"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trPr>
        <w:tc>
          <w:tcPr>
            <w:tcW w:w="57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40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85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6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3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538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975"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trPr>
        <w:tc>
          <w:tcPr>
            <w:tcW w:w="57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40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85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6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3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538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975"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trPr>
        <w:tc>
          <w:tcPr>
            <w:tcW w:w="57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40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85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6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3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538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975"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trPr>
        <w:tc>
          <w:tcPr>
            <w:tcW w:w="57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40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85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6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3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538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975"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748"/>
        </w:trPr>
        <w:tc>
          <w:tcPr>
            <w:tcW w:w="57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40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85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68"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38"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5381"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975"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rPr>
          <w:trHeight w:val="311"/>
        </w:trPr>
        <w:tc>
          <w:tcPr>
            <w:tcW w:w="57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402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A82127">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调整情况：</w:t>
            </w:r>
            <w:r w:rsidR="002E22CA">
              <w:rPr>
                <w:rFonts w:ascii="仿宋_GB2312" w:eastAsia="仿宋_GB2312" w:hAnsi="仿宋_GB2312" w:cs="仿宋_GB2312" w:hint="eastAsia"/>
                <w:color w:val="000000" w:themeColor="text1"/>
                <w:szCs w:val="21"/>
              </w:rPr>
              <w:t>调整项目名称、实施依据</w:t>
            </w:r>
          </w:p>
        </w:tc>
      </w:tr>
      <w:tr w:rsidR="0059130C">
        <w:trPr>
          <w:trHeight w:val="543"/>
        </w:trPr>
        <w:tc>
          <w:tcPr>
            <w:tcW w:w="57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402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调整原因：根据《中华人民共和国道路运输条例》（国务院令第764号）、《道路旅客运输及客运站管理规定》（交通运输部令2022年第33</w:t>
            </w:r>
            <w:r w:rsidR="00A82127">
              <w:rPr>
                <w:rFonts w:ascii="仿宋_GB2312" w:eastAsia="仿宋_GB2312" w:hAnsi="仿宋_GB2312" w:cs="仿宋_GB2312" w:hint="eastAsia"/>
                <w:color w:val="000000" w:themeColor="text1"/>
                <w:szCs w:val="21"/>
              </w:rPr>
              <w:t>号）</w:t>
            </w:r>
            <w:r>
              <w:rPr>
                <w:rFonts w:ascii="仿宋_GB2312" w:eastAsia="仿宋_GB2312" w:hAnsi="仿宋_GB2312" w:cs="仿宋_GB2312" w:hint="eastAsia"/>
                <w:color w:val="000000" w:themeColor="text1"/>
                <w:szCs w:val="21"/>
              </w:rPr>
              <w:t>调整项目名称、实施依据</w:t>
            </w:r>
          </w:p>
        </w:tc>
      </w:tr>
    </w:tbl>
    <w:p w:rsidR="0059130C" w:rsidRDefault="0059130C">
      <w:pPr>
        <w:spacing w:line="240" w:lineRule="exact"/>
        <w:rPr>
          <w:rFonts w:ascii="仿宋_GB2312" w:eastAsia="仿宋_GB2312" w:hAnsi="仿宋_GB2312" w:cs="仿宋_GB2312"/>
          <w:szCs w:val="21"/>
          <w:highlight w:val="yellow"/>
        </w:rPr>
      </w:pPr>
    </w:p>
    <w:tbl>
      <w:tblPr>
        <w:tblW w:w="14660" w:type="dxa"/>
        <w:tblLayout w:type="fixed"/>
        <w:tblCellMar>
          <w:left w:w="15" w:type="dxa"/>
          <w:right w:w="15" w:type="dxa"/>
        </w:tblCellMar>
        <w:tblLook w:val="04A0"/>
      </w:tblPr>
      <w:tblGrid>
        <w:gridCol w:w="578"/>
        <w:gridCol w:w="1742"/>
        <w:gridCol w:w="4484"/>
        <w:gridCol w:w="656"/>
        <w:gridCol w:w="657"/>
        <w:gridCol w:w="5925"/>
        <w:gridCol w:w="618"/>
      </w:tblGrid>
      <w:tr w:rsidR="0059130C">
        <w:trPr>
          <w:trHeight w:val="536"/>
        </w:trPr>
        <w:tc>
          <w:tcPr>
            <w:tcW w:w="578"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序号</w:t>
            </w:r>
          </w:p>
        </w:tc>
        <w:tc>
          <w:tcPr>
            <w:tcW w:w="1742"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kern w:val="0"/>
                <w:szCs w:val="21"/>
              </w:rPr>
            </w:pPr>
            <w:r>
              <w:rPr>
                <w:rFonts w:ascii="黑体" w:eastAsia="黑体" w:hAnsi="黑体" w:cs="黑体" w:hint="eastAsia"/>
                <w:color w:val="000000" w:themeColor="text1"/>
                <w:szCs w:val="21"/>
              </w:rPr>
              <w:t>项目名称</w:t>
            </w:r>
          </w:p>
        </w:tc>
        <w:tc>
          <w:tcPr>
            <w:tcW w:w="4484"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u w:val="single"/>
              </w:rPr>
            </w:pPr>
            <w:r>
              <w:rPr>
                <w:rFonts w:ascii="黑体" w:eastAsia="黑体" w:hAnsi="黑体" w:cs="黑体" w:hint="eastAsia"/>
                <w:color w:val="000000" w:themeColor="text1"/>
                <w:szCs w:val="21"/>
              </w:rPr>
              <w:t>实施依据</w:t>
            </w:r>
          </w:p>
        </w:tc>
        <w:tc>
          <w:tcPr>
            <w:tcW w:w="656"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autoSpaceDN w:val="0"/>
              <w:spacing w:line="240" w:lineRule="exact"/>
              <w:jc w:val="center"/>
              <w:textAlignment w:val="center"/>
              <w:rPr>
                <w:rFonts w:ascii="黑体" w:eastAsia="黑体" w:hAnsi="黑体" w:cs="黑体"/>
                <w:color w:val="000000" w:themeColor="text1"/>
                <w:kern w:val="0"/>
                <w:szCs w:val="21"/>
                <w:lang/>
              </w:rPr>
            </w:pPr>
            <w:r>
              <w:rPr>
                <w:rFonts w:ascii="黑体" w:eastAsia="黑体" w:hAnsi="黑体" w:cs="黑体" w:hint="eastAsia"/>
                <w:color w:val="000000" w:themeColor="text1"/>
                <w:szCs w:val="21"/>
              </w:rPr>
              <w:t>类别</w:t>
            </w:r>
          </w:p>
        </w:tc>
        <w:tc>
          <w:tcPr>
            <w:tcW w:w="657"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环节</w:t>
            </w:r>
          </w:p>
        </w:tc>
        <w:tc>
          <w:tcPr>
            <w:tcW w:w="5925"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责任事项</w:t>
            </w:r>
          </w:p>
        </w:tc>
        <w:tc>
          <w:tcPr>
            <w:tcW w:w="618"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907"/>
        </w:trPr>
        <w:tc>
          <w:tcPr>
            <w:tcW w:w="578"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20</w:t>
            </w:r>
          </w:p>
        </w:tc>
        <w:tc>
          <w:tcPr>
            <w:tcW w:w="1742"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未取得经营许可，擅自从事或者变相</w:t>
            </w:r>
            <w:proofErr w:type="gramStart"/>
            <w:r>
              <w:rPr>
                <w:rFonts w:ascii="仿宋_GB2312" w:eastAsia="仿宋_GB2312" w:hAnsi="仿宋_GB2312" w:cs="仿宋_GB2312" w:hint="eastAsia"/>
                <w:kern w:val="0"/>
                <w:szCs w:val="21"/>
              </w:rPr>
              <w:t>从事网约车</w:t>
            </w:r>
            <w:proofErr w:type="gramEnd"/>
            <w:r>
              <w:rPr>
                <w:rFonts w:ascii="仿宋_GB2312" w:eastAsia="仿宋_GB2312" w:hAnsi="仿宋_GB2312" w:cs="仿宋_GB2312" w:hint="eastAsia"/>
                <w:kern w:val="0"/>
                <w:szCs w:val="21"/>
              </w:rPr>
              <w:t>经营活动；伪造、变造或者使用伪造、变造、失效的《网络预约出租汽车运输证》《网络预约出租汽车驾驶员证》</w:t>
            </w:r>
            <w:proofErr w:type="gramStart"/>
            <w:r>
              <w:rPr>
                <w:rFonts w:ascii="仿宋_GB2312" w:eastAsia="仿宋_GB2312" w:hAnsi="仿宋_GB2312" w:cs="仿宋_GB2312" w:hint="eastAsia"/>
                <w:kern w:val="0"/>
                <w:szCs w:val="21"/>
              </w:rPr>
              <w:t>从事网约车</w:t>
            </w:r>
            <w:proofErr w:type="gramEnd"/>
            <w:r>
              <w:rPr>
                <w:rFonts w:ascii="仿宋_GB2312" w:eastAsia="仿宋_GB2312" w:hAnsi="仿宋_GB2312" w:cs="仿宋_GB2312" w:hint="eastAsia"/>
                <w:kern w:val="0"/>
                <w:szCs w:val="21"/>
              </w:rPr>
              <w:t>经营活动的处罚</w:t>
            </w:r>
          </w:p>
          <w:p w:rsidR="0059130C" w:rsidRDefault="002E22CA">
            <w:pPr>
              <w:overflowPunct w:val="0"/>
              <w:spacing w:line="240" w:lineRule="exact"/>
              <w:rPr>
                <w:rFonts w:ascii="仿宋_GB2312" w:eastAsia="仿宋_GB2312" w:hAnsi="仿宋_GB2312" w:cs="仿宋_GB2312"/>
                <w:szCs w:val="21"/>
              </w:rPr>
            </w:pPr>
            <w:r>
              <w:rPr>
                <w:rFonts w:ascii="仿宋_GB2312" w:eastAsia="仿宋_GB2312" w:hAnsi="仿宋_GB2312" w:cs="仿宋_GB2312" w:hint="eastAsia"/>
                <w:kern w:val="0"/>
                <w:szCs w:val="21"/>
              </w:rPr>
              <w:t>调整为：</w:t>
            </w:r>
            <w:r>
              <w:rPr>
                <w:rFonts w:ascii="仿宋_GB2312" w:eastAsia="仿宋_GB2312" w:hAnsi="仿宋_GB2312" w:cs="仿宋_GB2312" w:hint="eastAsia"/>
                <w:kern w:val="0"/>
                <w:szCs w:val="21"/>
                <w:u w:val="single"/>
              </w:rPr>
              <w:t>未取得《网络预约出租汽车运输证》擅自从事或者变相</w:t>
            </w:r>
            <w:proofErr w:type="gramStart"/>
            <w:r>
              <w:rPr>
                <w:rFonts w:ascii="仿宋_GB2312" w:eastAsia="仿宋_GB2312" w:hAnsi="仿宋_GB2312" w:cs="仿宋_GB2312" w:hint="eastAsia"/>
                <w:kern w:val="0"/>
                <w:szCs w:val="21"/>
                <w:u w:val="single"/>
              </w:rPr>
              <w:t>从事网约车</w:t>
            </w:r>
            <w:proofErr w:type="gramEnd"/>
            <w:r>
              <w:rPr>
                <w:rFonts w:ascii="仿宋_GB2312" w:eastAsia="仿宋_GB2312" w:hAnsi="仿宋_GB2312" w:cs="仿宋_GB2312" w:hint="eastAsia"/>
                <w:kern w:val="0"/>
                <w:szCs w:val="21"/>
                <w:u w:val="single"/>
              </w:rPr>
              <w:t>经营活动的；未取得《网络预约出租汽车驾驶员证》擅自从事或者变相</w:t>
            </w:r>
            <w:proofErr w:type="gramStart"/>
            <w:r>
              <w:rPr>
                <w:rFonts w:ascii="仿宋_GB2312" w:eastAsia="仿宋_GB2312" w:hAnsi="仿宋_GB2312" w:cs="仿宋_GB2312" w:hint="eastAsia"/>
                <w:kern w:val="0"/>
                <w:szCs w:val="21"/>
                <w:u w:val="single"/>
              </w:rPr>
              <w:t>从事网约车</w:t>
            </w:r>
            <w:proofErr w:type="gramEnd"/>
            <w:r>
              <w:rPr>
                <w:rFonts w:ascii="仿宋_GB2312" w:eastAsia="仿宋_GB2312" w:hAnsi="仿宋_GB2312" w:cs="仿宋_GB2312" w:hint="eastAsia"/>
                <w:kern w:val="0"/>
                <w:szCs w:val="21"/>
                <w:u w:val="single"/>
              </w:rPr>
              <w:t>经营活动的；伪造、变造或者使用伪造、变造、失效的《网络预约出租汽车运输证》《网络预约出租汽车驾驶员证》</w:t>
            </w:r>
            <w:proofErr w:type="gramStart"/>
            <w:r>
              <w:rPr>
                <w:rFonts w:ascii="仿宋_GB2312" w:eastAsia="仿宋_GB2312" w:hAnsi="仿宋_GB2312" w:cs="仿宋_GB2312" w:hint="eastAsia"/>
                <w:kern w:val="0"/>
                <w:szCs w:val="21"/>
                <w:u w:val="single"/>
              </w:rPr>
              <w:t>从事网约车</w:t>
            </w:r>
            <w:proofErr w:type="gramEnd"/>
            <w:r>
              <w:rPr>
                <w:rFonts w:ascii="仿宋_GB2312" w:eastAsia="仿宋_GB2312" w:hAnsi="仿宋_GB2312" w:cs="仿宋_GB2312" w:hint="eastAsia"/>
                <w:kern w:val="0"/>
                <w:szCs w:val="21"/>
                <w:u w:val="single"/>
              </w:rPr>
              <w:t>经营活动的处罚</w:t>
            </w:r>
          </w:p>
        </w:tc>
        <w:tc>
          <w:tcPr>
            <w:tcW w:w="4484"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《网络预约出租汽车经营服务管理暂行办法》（</w:t>
            </w:r>
            <w:hyperlink r:id="rId12" w:tgtFrame="https://www.waizi.org.cn/doc/_blank" w:tooltip="《网络预约出租汽车经营服务管理暂行办法》（2019年修订版全文）交通运输部令2019年第46号" w:history="1">
              <w:r>
                <w:rPr>
                  <w:rFonts w:ascii="仿宋_GB2312" w:eastAsia="仿宋_GB2312" w:hAnsi="仿宋_GB2312" w:cs="仿宋_GB2312" w:hint="eastAsia"/>
                  <w:sz w:val="21"/>
                  <w:szCs w:val="21"/>
                </w:rPr>
                <w:t>交通运输部令2019年第46号</w:t>
              </w:r>
            </w:hyperlink>
            <w:r>
              <w:rPr>
                <w:rFonts w:ascii="仿宋_GB2312" w:eastAsia="仿宋_GB2312" w:hAnsi="仿宋_GB2312" w:cs="仿宋_GB2312" w:hint="eastAsia"/>
                <w:sz w:val="21"/>
                <w:szCs w:val="21"/>
              </w:rPr>
              <w:t>）第三十四条：违反本规定，有下列行为之一的，由县级以上出租汽车行政主管部门责令改正，予以警告，并处以10000元以上30000元以下罚款；构成犯罪的，依法追究刑事责任：（一）未取得经营许可，擅自从事或者变相</w:t>
            </w:r>
            <w:proofErr w:type="gramStart"/>
            <w:r>
              <w:rPr>
                <w:rFonts w:ascii="仿宋_GB2312" w:eastAsia="仿宋_GB2312" w:hAnsi="仿宋_GB2312" w:cs="仿宋_GB2312" w:hint="eastAsia"/>
                <w:sz w:val="21"/>
                <w:szCs w:val="21"/>
              </w:rPr>
              <w:t>从事网约车</w:t>
            </w:r>
            <w:proofErr w:type="gramEnd"/>
            <w:r>
              <w:rPr>
                <w:rFonts w:ascii="仿宋_GB2312" w:eastAsia="仿宋_GB2312" w:hAnsi="仿宋_GB2312" w:cs="仿宋_GB2312" w:hint="eastAsia"/>
                <w:sz w:val="21"/>
                <w:szCs w:val="21"/>
              </w:rPr>
              <w:t>经营活动；（二）伪造、变造或者使用伪造、变造、失效的《网络预约出租汽车运输证》《网络预约出租汽车驾驶员证》</w:t>
            </w:r>
            <w:proofErr w:type="gramStart"/>
            <w:r>
              <w:rPr>
                <w:rFonts w:ascii="仿宋_GB2312" w:eastAsia="仿宋_GB2312" w:hAnsi="仿宋_GB2312" w:cs="仿宋_GB2312" w:hint="eastAsia"/>
                <w:sz w:val="21"/>
                <w:szCs w:val="21"/>
              </w:rPr>
              <w:t>从事网约车</w:t>
            </w:r>
            <w:proofErr w:type="gramEnd"/>
            <w:r>
              <w:rPr>
                <w:rFonts w:ascii="仿宋_GB2312" w:eastAsia="仿宋_GB2312" w:hAnsi="仿宋_GB2312" w:cs="仿宋_GB2312" w:hint="eastAsia"/>
                <w:sz w:val="21"/>
                <w:szCs w:val="21"/>
              </w:rPr>
              <w:t>经营活动的。</w:t>
            </w:r>
          </w:p>
          <w:p w:rsidR="0059130C" w:rsidRDefault="002E22CA">
            <w:pPr>
              <w:pStyle w:val="a6"/>
              <w:spacing w:beforeAutospacing="0" w:afterAutospacing="0" w:line="240" w:lineRule="exact"/>
              <w:rPr>
                <w:rFonts w:ascii="仿宋_GB2312" w:eastAsia="仿宋_GB2312" w:hAnsi="仿宋_GB2312" w:cs="仿宋_GB2312"/>
                <w:sz w:val="21"/>
                <w:szCs w:val="21"/>
                <w:u w:val="single"/>
              </w:rPr>
            </w:pPr>
            <w:r>
              <w:rPr>
                <w:rFonts w:ascii="仿宋_GB2312" w:eastAsia="仿宋_GB2312" w:hAnsi="仿宋_GB2312" w:cs="仿宋_GB2312" w:hint="eastAsia"/>
                <w:sz w:val="21"/>
                <w:szCs w:val="21"/>
              </w:rPr>
              <w:t>调整为：</w:t>
            </w:r>
            <w:r>
              <w:rPr>
                <w:rFonts w:ascii="仿宋_GB2312" w:eastAsia="仿宋_GB2312" w:hAnsi="仿宋_GB2312" w:cs="仿宋_GB2312" w:hint="eastAsia"/>
                <w:sz w:val="21"/>
                <w:szCs w:val="21"/>
                <w:u w:val="single"/>
              </w:rPr>
              <w:t>《网络预约出租汽车经营服务管理暂行办法》（</w:t>
            </w:r>
            <w:hyperlink r:id="rId13" w:tgtFrame="https://www.waizi.org.cn/doc/_blank" w:tooltip="《网络预约出租汽车经营服务管理暂行办法》（2019年修订版全文）交通运输部令2019年第46号" w:history="1">
              <w:r>
                <w:rPr>
                  <w:rFonts w:ascii="仿宋_GB2312" w:eastAsia="仿宋_GB2312" w:hAnsi="仿宋_GB2312" w:cs="仿宋_GB2312" w:hint="eastAsia"/>
                  <w:sz w:val="21"/>
                  <w:szCs w:val="21"/>
                  <w:u w:val="single"/>
                </w:rPr>
                <w:t>交通运输部令2022年第42号</w:t>
              </w:r>
            </w:hyperlink>
            <w:r>
              <w:rPr>
                <w:rFonts w:ascii="仿宋_GB2312" w:eastAsia="仿宋_GB2312" w:hAnsi="仿宋_GB2312" w:cs="仿宋_GB2312" w:hint="eastAsia"/>
                <w:sz w:val="21"/>
                <w:szCs w:val="21"/>
                <w:u w:val="single"/>
              </w:rPr>
              <w:t>）第三十四条：“违反本规定，擅自从事或者变相从事网约车经营活动，有下列行为之一的，由县级以上出租汽车行政主管部门责令改正，予以警告，并按照以下规定分别予以罚款；构成犯罪的，依法追究刑事责任：（一）未取得《网络预约出租汽车经营许可证》的，对</w:t>
            </w:r>
            <w:proofErr w:type="gramStart"/>
            <w:r>
              <w:rPr>
                <w:rFonts w:ascii="仿宋_GB2312" w:eastAsia="仿宋_GB2312" w:hAnsi="仿宋_GB2312" w:cs="仿宋_GB2312" w:hint="eastAsia"/>
                <w:sz w:val="21"/>
                <w:szCs w:val="21"/>
                <w:u w:val="single"/>
              </w:rPr>
              <w:t>网约车平台</w:t>
            </w:r>
            <w:proofErr w:type="gramEnd"/>
            <w:r>
              <w:rPr>
                <w:rFonts w:ascii="仿宋_GB2312" w:eastAsia="仿宋_GB2312" w:hAnsi="仿宋_GB2312" w:cs="仿宋_GB2312" w:hint="eastAsia"/>
                <w:sz w:val="21"/>
                <w:szCs w:val="21"/>
                <w:u w:val="single"/>
              </w:rPr>
              <w:t>公司处以10000元以上30000元以下罚款；（二）未取得《网络预约出租汽车运输证》的，对当事人处以3000元以上10000元以下罚款；（三）未取得《网络预约出租汽车驾驶员证》的，对当事人处以200元以上2000元以下罚款。</w:t>
            </w:r>
          </w:p>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u w:val="single"/>
              </w:rPr>
              <w:t>伪造、变造或者使用伪造、变造、失效的《网络预约出租汽车运输证》《网络预约出租汽车驾驶员证》</w:t>
            </w:r>
            <w:proofErr w:type="gramStart"/>
            <w:r>
              <w:rPr>
                <w:rFonts w:ascii="仿宋_GB2312" w:eastAsia="仿宋_GB2312" w:hAnsi="仿宋_GB2312" w:cs="仿宋_GB2312" w:hint="eastAsia"/>
                <w:sz w:val="21"/>
                <w:szCs w:val="21"/>
                <w:u w:val="single"/>
              </w:rPr>
              <w:t>从事网约车</w:t>
            </w:r>
            <w:proofErr w:type="gramEnd"/>
            <w:r>
              <w:rPr>
                <w:rFonts w:ascii="仿宋_GB2312" w:eastAsia="仿宋_GB2312" w:hAnsi="仿宋_GB2312" w:cs="仿宋_GB2312" w:hint="eastAsia"/>
                <w:sz w:val="21"/>
                <w:szCs w:val="21"/>
                <w:u w:val="single"/>
              </w:rPr>
              <w:t>经营活动的，分别按照前款第（二）项、第（三）项的规定予以罚款。</w:t>
            </w:r>
          </w:p>
        </w:tc>
        <w:tc>
          <w:tcPr>
            <w:tcW w:w="656"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657"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592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618"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内乡县交通运输综合行政执法大队</w:t>
            </w:r>
          </w:p>
        </w:tc>
      </w:tr>
      <w:tr w:rsidR="0059130C">
        <w:trPr>
          <w:trHeight w:val="907"/>
        </w:trPr>
        <w:tc>
          <w:tcPr>
            <w:tcW w:w="578"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742"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484"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656"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59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618"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trPr>
        <w:tc>
          <w:tcPr>
            <w:tcW w:w="578"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742"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484"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656"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59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618"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trPr>
        <w:tc>
          <w:tcPr>
            <w:tcW w:w="578"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742"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484"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656"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59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618"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trPr>
        <w:tc>
          <w:tcPr>
            <w:tcW w:w="578"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742"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484"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656"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59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618"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trPr>
        <w:tc>
          <w:tcPr>
            <w:tcW w:w="578"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742"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484"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656"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59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618"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trPr>
        <w:tc>
          <w:tcPr>
            <w:tcW w:w="578"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742"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484"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656"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59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618"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trPr>
        <w:tc>
          <w:tcPr>
            <w:tcW w:w="578"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742"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484"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65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57"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5925"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618"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rPr>
          <w:trHeight w:val="311"/>
        </w:trPr>
        <w:tc>
          <w:tcPr>
            <w:tcW w:w="578"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4082"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A82127">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调整情况：</w:t>
            </w:r>
            <w:r w:rsidR="002E22CA">
              <w:rPr>
                <w:rFonts w:ascii="仿宋_GB2312" w:eastAsia="仿宋_GB2312" w:hAnsi="仿宋_GB2312" w:cs="仿宋_GB2312" w:hint="eastAsia"/>
                <w:color w:val="000000" w:themeColor="text1"/>
                <w:szCs w:val="21"/>
              </w:rPr>
              <w:t>调整项目名称、实施依据</w:t>
            </w:r>
          </w:p>
        </w:tc>
      </w:tr>
      <w:tr w:rsidR="0059130C">
        <w:trPr>
          <w:trHeight w:val="543"/>
        </w:trPr>
        <w:tc>
          <w:tcPr>
            <w:tcW w:w="578"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4082"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调整原因：根据《网络预约出租汽车经营服务管理暂行办法》（</w:t>
            </w:r>
            <w:hyperlink r:id="rId14" w:tgtFrame="https://www.waizi.org.cn/doc/_blank" w:tooltip="《网络预约出租汽车经营服务管理暂行办法》（2019年修订版全文）交通运输部令2019年第46号" w:history="1">
              <w:r>
                <w:rPr>
                  <w:rFonts w:ascii="仿宋_GB2312" w:eastAsia="仿宋_GB2312" w:hAnsi="仿宋_GB2312" w:cs="仿宋_GB2312" w:hint="eastAsia"/>
                  <w:color w:val="000000" w:themeColor="text1"/>
                  <w:szCs w:val="21"/>
                </w:rPr>
                <w:t>交通运输部令2022年第42号</w:t>
              </w:r>
            </w:hyperlink>
            <w:r>
              <w:rPr>
                <w:rFonts w:ascii="仿宋_GB2312" w:eastAsia="仿宋_GB2312" w:hAnsi="仿宋_GB2312" w:cs="仿宋_GB2312" w:hint="eastAsia"/>
                <w:color w:val="000000" w:themeColor="text1"/>
                <w:szCs w:val="21"/>
              </w:rPr>
              <w:t>）</w:t>
            </w:r>
            <w:r w:rsidR="00E9165C">
              <w:rPr>
                <w:rFonts w:ascii="仿宋_GB2312" w:eastAsia="仿宋_GB2312" w:hAnsi="仿宋_GB2312" w:cs="仿宋_GB2312" w:hint="eastAsia"/>
                <w:color w:val="000000" w:themeColor="text1"/>
                <w:szCs w:val="21"/>
              </w:rPr>
              <w:t>调整</w:t>
            </w:r>
            <w:r>
              <w:rPr>
                <w:rFonts w:ascii="仿宋_GB2312" w:eastAsia="仿宋_GB2312" w:hAnsi="仿宋_GB2312" w:cs="仿宋_GB2312" w:hint="eastAsia"/>
                <w:color w:val="000000" w:themeColor="text1"/>
                <w:szCs w:val="21"/>
              </w:rPr>
              <w:t>项目名称、实施依据</w:t>
            </w:r>
          </w:p>
        </w:tc>
      </w:tr>
    </w:tbl>
    <w:p w:rsidR="0059130C" w:rsidRDefault="0059130C">
      <w:pPr>
        <w:spacing w:line="240" w:lineRule="exact"/>
        <w:rPr>
          <w:rFonts w:ascii="仿宋_GB2312" w:eastAsia="仿宋_GB2312" w:hAnsi="仿宋_GB2312" w:cs="仿宋_GB2312"/>
          <w:color w:val="000000" w:themeColor="text1"/>
          <w:szCs w:val="21"/>
        </w:rPr>
      </w:pPr>
    </w:p>
    <w:tbl>
      <w:tblPr>
        <w:tblW w:w="13632" w:type="dxa"/>
        <w:jc w:val="center"/>
        <w:tblLayout w:type="fixed"/>
        <w:tblCellMar>
          <w:left w:w="15" w:type="dxa"/>
          <w:right w:w="15" w:type="dxa"/>
        </w:tblCellMar>
        <w:tblLook w:val="04A0"/>
      </w:tblPr>
      <w:tblGrid>
        <w:gridCol w:w="717"/>
        <w:gridCol w:w="1603"/>
        <w:gridCol w:w="3271"/>
        <w:gridCol w:w="758"/>
        <w:gridCol w:w="936"/>
        <w:gridCol w:w="5053"/>
        <w:gridCol w:w="1294"/>
      </w:tblGrid>
      <w:tr w:rsidR="0059130C">
        <w:trPr>
          <w:trHeight w:val="536"/>
          <w:jc w:val="center"/>
        </w:trPr>
        <w:tc>
          <w:tcPr>
            <w:tcW w:w="717"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序号</w:t>
            </w:r>
          </w:p>
        </w:tc>
        <w:tc>
          <w:tcPr>
            <w:tcW w:w="1603"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项目名称</w:t>
            </w:r>
          </w:p>
        </w:tc>
        <w:tc>
          <w:tcPr>
            <w:tcW w:w="3271"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实施依据</w:t>
            </w:r>
          </w:p>
        </w:tc>
        <w:tc>
          <w:tcPr>
            <w:tcW w:w="758"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类别</w:t>
            </w:r>
          </w:p>
        </w:tc>
        <w:tc>
          <w:tcPr>
            <w:tcW w:w="936"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环节</w:t>
            </w:r>
          </w:p>
        </w:tc>
        <w:tc>
          <w:tcPr>
            <w:tcW w:w="5053"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责任事项</w:t>
            </w:r>
          </w:p>
        </w:tc>
        <w:tc>
          <w:tcPr>
            <w:tcW w:w="1294"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964"/>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21</w:t>
            </w:r>
          </w:p>
        </w:tc>
        <w:tc>
          <w:tcPr>
            <w:tcW w:w="1603"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rPr>
                <w:rFonts w:ascii="仿宋_GB2312" w:eastAsia="仿宋_GB2312" w:hAnsi="仿宋_GB2312" w:cs="仿宋_GB2312"/>
                <w:szCs w:val="21"/>
              </w:rPr>
            </w:pPr>
            <w:proofErr w:type="gramStart"/>
            <w:r>
              <w:rPr>
                <w:rFonts w:ascii="仿宋_GB2312" w:eastAsia="仿宋_GB2312" w:hAnsi="仿宋_GB2312" w:cs="仿宋_GB2312" w:hint="eastAsia"/>
                <w:kern w:val="0"/>
                <w:szCs w:val="21"/>
                <w:lang/>
              </w:rPr>
              <w:t>网约车驾驶员</w:t>
            </w:r>
            <w:proofErr w:type="gramEnd"/>
            <w:r>
              <w:rPr>
                <w:rFonts w:ascii="仿宋_GB2312" w:eastAsia="仿宋_GB2312" w:hAnsi="仿宋_GB2312" w:cs="仿宋_GB2312" w:hint="eastAsia"/>
                <w:kern w:val="0"/>
                <w:szCs w:val="21"/>
                <w:lang/>
              </w:rPr>
              <w:t>未按照规定携带《网络预约出租汽车运输证》、《网络预约出租汽车驾驶员证》的；途中甩客或者绕道行驶的；违规收费的；对举报、投诉其服务质量或者对其服务</w:t>
            </w:r>
            <w:proofErr w:type="gramStart"/>
            <w:r>
              <w:rPr>
                <w:rFonts w:ascii="仿宋_GB2312" w:eastAsia="仿宋_GB2312" w:hAnsi="仿宋_GB2312" w:cs="仿宋_GB2312" w:hint="eastAsia"/>
                <w:kern w:val="0"/>
                <w:szCs w:val="21"/>
                <w:lang/>
              </w:rPr>
              <w:t>作出</w:t>
            </w:r>
            <w:proofErr w:type="gramEnd"/>
            <w:r>
              <w:rPr>
                <w:rFonts w:ascii="仿宋_GB2312" w:eastAsia="仿宋_GB2312" w:hAnsi="仿宋_GB2312" w:cs="仿宋_GB2312" w:hint="eastAsia"/>
                <w:kern w:val="0"/>
                <w:szCs w:val="21"/>
                <w:lang/>
              </w:rPr>
              <w:t>不满意评价的乘客实施报复行为的处罚</w:t>
            </w:r>
          </w:p>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调整为：</w:t>
            </w:r>
            <w:proofErr w:type="gramStart"/>
            <w:r>
              <w:rPr>
                <w:rFonts w:ascii="仿宋_GB2312" w:eastAsia="仿宋_GB2312" w:hAnsi="仿宋_GB2312" w:cs="仿宋_GB2312" w:hint="eastAsia"/>
                <w:sz w:val="21"/>
                <w:szCs w:val="21"/>
                <w:u w:val="single"/>
                <w:lang/>
              </w:rPr>
              <w:t>网约车驾驶员</w:t>
            </w:r>
            <w:proofErr w:type="gramEnd"/>
            <w:r>
              <w:rPr>
                <w:rFonts w:ascii="仿宋_GB2312" w:eastAsia="仿宋_GB2312" w:hAnsi="仿宋_GB2312" w:cs="仿宋_GB2312" w:hint="eastAsia"/>
                <w:sz w:val="21"/>
                <w:szCs w:val="21"/>
                <w:u w:val="single"/>
                <w:lang/>
              </w:rPr>
              <w:t>途中甩客或者绕道行驶的；违规收费的；对举报、投诉其服务质量或者对其服务</w:t>
            </w:r>
            <w:proofErr w:type="gramStart"/>
            <w:r>
              <w:rPr>
                <w:rFonts w:ascii="仿宋_GB2312" w:eastAsia="仿宋_GB2312" w:hAnsi="仿宋_GB2312" w:cs="仿宋_GB2312" w:hint="eastAsia"/>
                <w:sz w:val="21"/>
                <w:szCs w:val="21"/>
                <w:u w:val="single"/>
                <w:lang/>
              </w:rPr>
              <w:t>作出</w:t>
            </w:r>
            <w:proofErr w:type="gramEnd"/>
            <w:r>
              <w:rPr>
                <w:rFonts w:ascii="仿宋_GB2312" w:eastAsia="仿宋_GB2312" w:hAnsi="仿宋_GB2312" w:cs="仿宋_GB2312" w:hint="eastAsia"/>
                <w:sz w:val="21"/>
                <w:szCs w:val="21"/>
                <w:u w:val="single"/>
                <w:lang/>
              </w:rPr>
              <w:t>不满意评价的乘客实施报复行为的处罚</w:t>
            </w:r>
          </w:p>
        </w:tc>
        <w:tc>
          <w:tcPr>
            <w:tcW w:w="3271"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《网络预约出租汽车经营服务管理暂行办法》（</w:t>
            </w:r>
            <w:hyperlink r:id="rId15" w:tgtFrame="https://www.waizi.org.cn/doc/_blank" w:tooltip="《网络预约出租汽车经营服务管理暂行办法》（2019年修订版全文）交通运输部令2019年第46号" w:history="1">
              <w:r>
                <w:rPr>
                  <w:rFonts w:ascii="仿宋_GB2312" w:eastAsia="仿宋_GB2312" w:hAnsi="仿宋_GB2312" w:cs="仿宋_GB2312" w:hint="eastAsia"/>
                  <w:sz w:val="21"/>
                  <w:szCs w:val="21"/>
                  <w:lang/>
                </w:rPr>
                <w:t>交通运输部令2019年第46号</w:t>
              </w:r>
            </w:hyperlink>
            <w:r>
              <w:rPr>
                <w:rFonts w:ascii="仿宋_GB2312" w:eastAsia="仿宋_GB2312" w:hAnsi="仿宋_GB2312" w:cs="仿宋_GB2312" w:hint="eastAsia"/>
                <w:sz w:val="21"/>
                <w:szCs w:val="21"/>
                <w:lang/>
              </w:rPr>
              <w:t>）第三十六条：</w:t>
            </w:r>
            <w:proofErr w:type="gramStart"/>
            <w:r>
              <w:rPr>
                <w:rFonts w:ascii="仿宋_GB2312" w:eastAsia="仿宋_GB2312" w:hAnsi="仿宋_GB2312" w:cs="仿宋_GB2312" w:hint="eastAsia"/>
                <w:sz w:val="21"/>
                <w:szCs w:val="21"/>
                <w:lang/>
              </w:rPr>
              <w:t>网约车驾驶员</w:t>
            </w:r>
            <w:proofErr w:type="gramEnd"/>
            <w:r>
              <w:rPr>
                <w:rFonts w:ascii="仿宋_GB2312" w:eastAsia="仿宋_GB2312" w:hAnsi="仿宋_GB2312" w:cs="仿宋_GB2312" w:hint="eastAsia"/>
                <w:sz w:val="21"/>
                <w:szCs w:val="21"/>
                <w:lang/>
              </w:rPr>
              <w:t>违反本规定，有下列情形之一的，由县级以上出租汽车行政主管部门和价格主管部门按照职责责令改正，对每次违法行为处以50元以上200元以下罚款：（一）未按照规定携带《网络预约出租汽车运输证》、《网络预约出租汽车驾驶员证》的；（二）途中甩客或者绕道行驶的；（三）违规收费的；（四）对举报、投诉其服务质量或者对其服务</w:t>
            </w:r>
            <w:proofErr w:type="gramStart"/>
            <w:r>
              <w:rPr>
                <w:rFonts w:ascii="仿宋_GB2312" w:eastAsia="仿宋_GB2312" w:hAnsi="仿宋_GB2312" w:cs="仿宋_GB2312" w:hint="eastAsia"/>
                <w:sz w:val="21"/>
                <w:szCs w:val="21"/>
                <w:lang/>
              </w:rPr>
              <w:t>作出</w:t>
            </w:r>
            <w:proofErr w:type="gramEnd"/>
            <w:r>
              <w:rPr>
                <w:rFonts w:ascii="仿宋_GB2312" w:eastAsia="仿宋_GB2312" w:hAnsi="仿宋_GB2312" w:cs="仿宋_GB2312" w:hint="eastAsia"/>
                <w:sz w:val="21"/>
                <w:szCs w:val="21"/>
                <w:lang/>
              </w:rPr>
              <w:t>不满意评价的乘客实施报复行为的。</w:t>
            </w:r>
          </w:p>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lang/>
              </w:rPr>
              <w:t>调整为：</w:t>
            </w:r>
            <w:r>
              <w:rPr>
                <w:rFonts w:ascii="仿宋_GB2312" w:eastAsia="仿宋_GB2312" w:hAnsi="仿宋_GB2312" w:cs="仿宋_GB2312" w:hint="eastAsia"/>
                <w:sz w:val="21"/>
                <w:szCs w:val="21"/>
                <w:u w:val="single"/>
                <w:lang/>
              </w:rPr>
              <w:t>《网络预约出租汽车经营服务管理暂行办法》（</w:t>
            </w:r>
            <w:hyperlink r:id="rId16" w:tgtFrame="https://www.waizi.org.cn/doc/_blank" w:tooltip="《网络预约出租汽车经营服务管理暂行办法》（2019年修订版全文）交通运输部令2019年第46号" w:history="1">
              <w:r>
                <w:rPr>
                  <w:rFonts w:ascii="仿宋_GB2312" w:eastAsia="仿宋_GB2312" w:hAnsi="仿宋_GB2312" w:cs="仿宋_GB2312" w:hint="eastAsia"/>
                  <w:sz w:val="21"/>
                  <w:szCs w:val="21"/>
                  <w:u w:val="single"/>
                  <w:lang/>
                </w:rPr>
                <w:t>交通运输部令2022年第42号</w:t>
              </w:r>
            </w:hyperlink>
            <w:r>
              <w:rPr>
                <w:rFonts w:ascii="仿宋_GB2312" w:eastAsia="仿宋_GB2312" w:hAnsi="仿宋_GB2312" w:cs="仿宋_GB2312" w:hint="eastAsia"/>
                <w:sz w:val="21"/>
                <w:szCs w:val="21"/>
                <w:u w:val="single"/>
                <w:lang/>
              </w:rPr>
              <w:t>）第三十六条第一款：</w:t>
            </w:r>
            <w:proofErr w:type="gramStart"/>
            <w:r>
              <w:rPr>
                <w:rFonts w:ascii="仿宋_GB2312" w:eastAsia="仿宋_GB2312" w:hAnsi="仿宋_GB2312" w:cs="仿宋_GB2312" w:hint="eastAsia"/>
                <w:sz w:val="21"/>
                <w:szCs w:val="21"/>
                <w:u w:val="single"/>
                <w:lang/>
              </w:rPr>
              <w:t>网约车驾驶员</w:t>
            </w:r>
            <w:proofErr w:type="gramEnd"/>
            <w:r>
              <w:rPr>
                <w:rFonts w:ascii="仿宋_GB2312" w:eastAsia="仿宋_GB2312" w:hAnsi="仿宋_GB2312" w:cs="仿宋_GB2312" w:hint="eastAsia"/>
                <w:sz w:val="21"/>
                <w:szCs w:val="21"/>
                <w:u w:val="single"/>
                <w:lang/>
              </w:rPr>
              <w:t>违反本规定，有下列情形之一的，由县级以上出租汽车行政主管部门和价格主管部门按照职责责令改正，对每次违法行为处以50元以上200元以下罚款：（一）途中甩客或者故意绕道行驶的；（二）违规收费的；（三）对举报、投诉其服务质量或者对其服务</w:t>
            </w:r>
            <w:proofErr w:type="gramStart"/>
            <w:r>
              <w:rPr>
                <w:rFonts w:ascii="仿宋_GB2312" w:eastAsia="仿宋_GB2312" w:hAnsi="仿宋_GB2312" w:cs="仿宋_GB2312" w:hint="eastAsia"/>
                <w:sz w:val="21"/>
                <w:szCs w:val="21"/>
                <w:u w:val="single"/>
                <w:lang/>
              </w:rPr>
              <w:t>作出</w:t>
            </w:r>
            <w:proofErr w:type="gramEnd"/>
            <w:r>
              <w:rPr>
                <w:rFonts w:ascii="仿宋_GB2312" w:eastAsia="仿宋_GB2312" w:hAnsi="仿宋_GB2312" w:cs="仿宋_GB2312" w:hint="eastAsia"/>
                <w:sz w:val="21"/>
                <w:szCs w:val="21"/>
                <w:u w:val="single"/>
                <w:lang/>
              </w:rPr>
              <w:t>不满意评价的乘客实施报复行为的。”</w:t>
            </w:r>
          </w:p>
        </w:tc>
        <w:tc>
          <w:tcPr>
            <w:tcW w:w="758"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936"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5053"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294"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内乡县交通运输综合行政执法大队</w:t>
            </w:r>
          </w:p>
        </w:tc>
      </w:tr>
      <w:tr w:rsidR="0059130C">
        <w:trPr>
          <w:trHeight w:val="964"/>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3271"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5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93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505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294"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64"/>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3271"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5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93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505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294"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64"/>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3271"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5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93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505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294"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64"/>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3271"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5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93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505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294"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64"/>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3271"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5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93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505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294"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64"/>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3271"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5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93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505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294"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69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3271"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58"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936"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5053"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294"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rPr>
          <w:trHeight w:val="311"/>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调整情况：</w:t>
            </w:r>
            <w:r w:rsidR="00E9165C">
              <w:rPr>
                <w:rFonts w:ascii="仿宋_GB2312" w:eastAsia="仿宋_GB2312" w:hAnsi="仿宋_GB2312" w:cs="仿宋_GB2312" w:hint="eastAsia"/>
                <w:color w:val="000000" w:themeColor="text1"/>
                <w:szCs w:val="21"/>
              </w:rPr>
              <w:t>调整</w:t>
            </w:r>
            <w:r>
              <w:rPr>
                <w:rFonts w:ascii="仿宋_GB2312" w:eastAsia="仿宋_GB2312" w:hAnsi="仿宋_GB2312" w:cs="仿宋_GB2312" w:hint="eastAsia"/>
                <w:color w:val="000000" w:themeColor="text1"/>
                <w:szCs w:val="21"/>
              </w:rPr>
              <w:t>项目名称、实施依据</w:t>
            </w:r>
          </w:p>
        </w:tc>
      </w:tr>
      <w:tr w:rsidR="0059130C">
        <w:trPr>
          <w:trHeight w:val="543"/>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调整原因：根据《中华人民共和国道路运输条例》（国务院令第764号）《网络预约出租汽车经营服务管理暂行办法》（</w:t>
            </w:r>
            <w:hyperlink r:id="rId17" w:tgtFrame="https://www.waizi.org.cn/doc/_blank" w:tooltip="《网络预约出租汽车经营服务管理暂行办法》（2019年修订版全文）交通运输部令2019年第46号" w:history="1">
              <w:r>
                <w:rPr>
                  <w:rFonts w:ascii="仿宋_GB2312" w:eastAsia="仿宋_GB2312" w:hAnsi="仿宋_GB2312" w:cs="仿宋_GB2312" w:hint="eastAsia"/>
                  <w:color w:val="000000" w:themeColor="text1"/>
                  <w:szCs w:val="21"/>
                </w:rPr>
                <w:t>交通运输部令2022年第42号</w:t>
              </w:r>
            </w:hyperlink>
            <w:r w:rsidR="00D74615">
              <w:rPr>
                <w:rFonts w:ascii="仿宋_GB2312" w:eastAsia="仿宋_GB2312" w:hAnsi="仿宋_GB2312" w:cs="仿宋_GB2312" w:hint="eastAsia"/>
                <w:color w:val="000000" w:themeColor="text1"/>
                <w:szCs w:val="21"/>
              </w:rPr>
              <w:t>）</w:t>
            </w:r>
            <w:r>
              <w:rPr>
                <w:rFonts w:ascii="仿宋_GB2312" w:eastAsia="仿宋_GB2312" w:hAnsi="仿宋_GB2312" w:cs="仿宋_GB2312" w:hint="eastAsia"/>
                <w:color w:val="000000" w:themeColor="text1"/>
                <w:szCs w:val="21"/>
              </w:rPr>
              <w:t>调整项目名称、实施依据</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3632" w:type="dxa"/>
        <w:jc w:val="center"/>
        <w:tblLayout w:type="fixed"/>
        <w:tblCellMar>
          <w:left w:w="15" w:type="dxa"/>
          <w:right w:w="15" w:type="dxa"/>
        </w:tblCellMar>
        <w:tblLook w:val="04A0"/>
      </w:tblPr>
      <w:tblGrid>
        <w:gridCol w:w="717"/>
        <w:gridCol w:w="1603"/>
        <w:gridCol w:w="3271"/>
        <w:gridCol w:w="758"/>
        <w:gridCol w:w="914"/>
        <w:gridCol w:w="4779"/>
        <w:gridCol w:w="1590"/>
      </w:tblGrid>
      <w:tr w:rsidR="0059130C">
        <w:trPr>
          <w:trHeight w:val="536"/>
          <w:jc w:val="center"/>
        </w:trPr>
        <w:tc>
          <w:tcPr>
            <w:tcW w:w="717"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lastRenderedPageBreak/>
              <w:t>序号</w:t>
            </w:r>
          </w:p>
        </w:tc>
        <w:tc>
          <w:tcPr>
            <w:tcW w:w="1603"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项目名称</w:t>
            </w:r>
          </w:p>
        </w:tc>
        <w:tc>
          <w:tcPr>
            <w:tcW w:w="3271"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实施依据</w:t>
            </w:r>
          </w:p>
        </w:tc>
        <w:tc>
          <w:tcPr>
            <w:tcW w:w="758"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类别</w:t>
            </w:r>
          </w:p>
        </w:tc>
        <w:tc>
          <w:tcPr>
            <w:tcW w:w="914"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环节</w:t>
            </w:r>
          </w:p>
        </w:tc>
        <w:tc>
          <w:tcPr>
            <w:tcW w:w="4779"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责任事项</w:t>
            </w:r>
          </w:p>
        </w:tc>
        <w:tc>
          <w:tcPr>
            <w:tcW w:w="1590"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964"/>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22</w:t>
            </w:r>
          </w:p>
        </w:tc>
        <w:tc>
          <w:tcPr>
            <w:tcW w:w="1603"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托运的普通货物中夹带危险货物，或者将危险货物谎报或者匿报为普通货物托运的处罚</w:t>
            </w:r>
          </w:p>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调整为：</w:t>
            </w:r>
            <w:r>
              <w:rPr>
                <w:rFonts w:ascii="仿宋_GB2312" w:eastAsia="仿宋_GB2312" w:hAnsi="仿宋_GB2312" w:cs="仿宋_GB2312" w:hint="eastAsia"/>
                <w:sz w:val="21"/>
                <w:szCs w:val="21"/>
                <w:u w:val="single"/>
              </w:rPr>
              <w:t>港口作业委托人未按规定向港口经营人提供所托运的危险货物有关资料的；港口作业委托人在托运的普通货物中夹带危险货物，或者将危险货物谎报或者匿报为普通货物托运的处罚</w:t>
            </w:r>
          </w:p>
        </w:tc>
        <w:tc>
          <w:tcPr>
            <w:tcW w:w="3271"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港口危险货物安全管理规定》（交通运输部令2019年第34号）第八十三条：“港口作业委托人未按规定向港口经营人提供所托运的危险货物有关资料的，由所在地港口行政管理部门责令改正，处五万元以上十万元以下的罚款。港口作业委托人在托运的普通货物中夹带危险货物，或者将危险货物谎报或者匿报为普通货物托运的，由所在地港口行政管理部门责令改正，处十万元以上二十万元以下的罚款，有违法所得的，没收违法所得。”</w:t>
            </w:r>
          </w:p>
          <w:p w:rsidR="0059130C" w:rsidRDefault="0059130C">
            <w:pPr>
              <w:pStyle w:val="a6"/>
              <w:spacing w:beforeAutospacing="0" w:afterAutospacing="0" w:line="240" w:lineRule="exact"/>
              <w:rPr>
                <w:rFonts w:ascii="仿宋_GB2312" w:eastAsia="仿宋_GB2312" w:hAnsi="仿宋_GB2312" w:cs="仿宋_GB2312"/>
                <w:sz w:val="21"/>
                <w:szCs w:val="21"/>
              </w:rPr>
            </w:pPr>
          </w:p>
        </w:tc>
        <w:tc>
          <w:tcPr>
            <w:tcW w:w="758"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914"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779"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内乡县交通运输综合行政执法大队</w:t>
            </w:r>
          </w:p>
        </w:tc>
      </w:tr>
      <w:tr w:rsidR="0059130C">
        <w:trPr>
          <w:trHeight w:val="964"/>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3271"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5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91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77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64"/>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3271"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5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91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77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64"/>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3271"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5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91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77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64"/>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3271"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5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91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77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64"/>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3271"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5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91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77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64"/>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3271"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5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91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77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69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3271"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58"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914"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779"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rPr>
          <w:trHeight w:val="311"/>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610F6B">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调整情况：</w:t>
            </w:r>
            <w:r w:rsidR="002E22CA">
              <w:rPr>
                <w:rFonts w:ascii="仿宋_GB2312" w:eastAsia="仿宋_GB2312" w:hAnsi="仿宋_GB2312" w:cs="仿宋_GB2312" w:hint="eastAsia"/>
                <w:color w:val="000000" w:themeColor="text1"/>
                <w:szCs w:val="21"/>
              </w:rPr>
              <w:t>调整项目名称</w:t>
            </w:r>
          </w:p>
        </w:tc>
      </w:tr>
      <w:tr w:rsidR="0059130C">
        <w:trPr>
          <w:trHeight w:val="543"/>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调整原因：根据《港口危险货物安全管理规定》（交通运输部令2019年第34号），2022年项目名称不完整</w:t>
            </w:r>
          </w:p>
        </w:tc>
      </w:tr>
    </w:tbl>
    <w:p w:rsidR="0059130C" w:rsidRDefault="0059130C">
      <w:pPr>
        <w:spacing w:line="240" w:lineRule="exact"/>
        <w:rPr>
          <w:rFonts w:ascii="仿宋_GB2312" w:eastAsia="仿宋_GB2312" w:hAnsi="仿宋_GB2312" w:cs="仿宋_GB2312"/>
          <w:color w:val="000000" w:themeColor="text1"/>
          <w:szCs w:val="21"/>
        </w:rPr>
      </w:pPr>
    </w:p>
    <w:tbl>
      <w:tblPr>
        <w:tblW w:w="13632" w:type="dxa"/>
        <w:tblLayout w:type="fixed"/>
        <w:tblCellMar>
          <w:left w:w="15" w:type="dxa"/>
          <w:right w:w="15" w:type="dxa"/>
        </w:tblCellMar>
        <w:tblLook w:val="04A0"/>
      </w:tblPr>
      <w:tblGrid>
        <w:gridCol w:w="717"/>
        <w:gridCol w:w="1287"/>
        <w:gridCol w:w="4275"/>
        <w:gridCol w:w="694"/>
        <w:gridCol w:w="617"/>
        <w:gridCol w:w="4914"/>
        <w:gridCol w:w="1128"/>
      </w:tblGrid>
      <w:tr w:rsidR="0059130C">
        <w:trPr>
          <w:trHeight w:val="536"/>
        </w:trPr>
        <w:tc>
          <w:tcPr>
            <w:tcW w:w="717"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序号</w:t>
            </w:r>
          </w:p>
        </w:tc>
        <w:tc>
          <w:tcPr>
            <w:tcW w:w="1287"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项目名称</w:t>
            </w:r>
          </w:p>
        </w:tc>
        <w:tc>
          <w:tcPr>
            <w:tcW w:w="4275"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实施依据</w:t>
            </w:r>
          </w:p>
        </w:tc>
        <w:tc>
          <w:tcPr>
            <w:tcW w:w="694"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类别</w:t>
            </w:r>
          </w:p>
        </w:tc>
        <w:tc>
          <w:tcPr>
            <w:tcW w:w="617"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环节</w:t>
            </w:r>
          </w:p>
        </w:tc>
        <w:tc>
          <w:tcPr>
            <w:tcW w:w="4914"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责任事项</w:t>
            </w:r>
          </w:p>
        </w:tc>
        <w:tc>
          <w:tcPr>
            <w:tcW w:w="1128"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850"/>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23</w:t>
            </w:r>
          </w:p>
        </w:tc>
        <w:tc>
          <w:tcPr>
            <w:tcW w:w="1287"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违反船舶所有人、经营人安全营运管理秩序相关违法行为的处罚</w:t>
            </w:r>
          </w:p>
        </w:tc>
        <w:tc>
          <w:tcPr>
            <w:tcW w:w="42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 xml:space="preserve">《中华人民共和国内河海事行政处罚规定》（ 2021年8月11日交通运输部2021第20号令）第五条“违反船舶所有人、经营人安全营运管理秩序，有下列行为之一的，对船舶所有人或者船舶经营人处以 5000元以上 3 万元以下罚款： </w:t>
            </w:r>
          </w:p>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（一）未按规定取得安全营运与防污染管理体系符合证明或者临时符合证明从事航行或者其他有关活动； （二）隐瞒事实真相或者提供虚假材料或者以其他不正当手段骗取安全营运与防污染管理体系符合证明或者临时符合证明； （三）伪造、变造安全营运与防污染管理体系审核的符合证明或者临时符合证明； （四）转让、买卖、租借、冒用安全营运与防污染管理体系审核的符合证明或者临时符合证明。”</w:t>
            </w:r>
          </w:p>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调整为：《</w:t>
            </w:r>
            <w:r>
              <w:rPr>
                <w:rFonts w:ascii="仿宋_GB2312" w:eastAsia="仿宋_GB2312" w:hAnsi="仿宋_GB2312" w:cs="仿宋_GB2312" w:hint="eastAsia"/>
                <w:sz w:val="21"/>
                <w:szCs w:val="21"/>
                <w:u w:val="single"/>
              </w:rPr>
              <w:t>中华人民共和国内河海事行政处罚规定》（交通运输部令2022第28号）第五条“违反船舶所有人、经营人安全营运管理秩序，有下列行为之一的，对船舶所有人或者船舶经营人处以5000元以上3万元以下罚款：（一）未按规定取得安全营运与防污染管理体系符合证明或者临时符合证明从事航行或者其他有关活动；（二）隐瞒事实真相或者提供虚假材料或者以其他不正当手段骗取安全营运与防污染管理体系符合证明或者临时符合证明；（三）伪造、变造安全营运与防污染管理体系审核的符合证明或者临时符合证明；（四）转让、买卖、租借、冒用安全营运与防污染管理体系审核的符合证明或者临时符合证明。”</w:t>
            </w:r>
          </w:p>
        </w:tc>
        <w:tc>
          <w:tcPr>
            <w:tcW w:w="694"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617"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914"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128"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内乡县交通运输综合行政执法大队</w:t>
            </w:r>
          </w:p>
        </w:tc>
      </w:tr>
      <w:tr w:rsidR="0059130C">
        <w:trPr>
          <w:trHeight w:val="850"/>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87"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275"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69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1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91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128"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850"/>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87"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275"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69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1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91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128"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850"/>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87"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275"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69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1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91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128"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850"/>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87"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275"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69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1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91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128"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850"/>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87"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275"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69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1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91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128"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850"/>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87"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275"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69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1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91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128"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850"/>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87"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275"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69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17"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914"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128"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rPr>
          <w:trHeight w:val="311"/>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610F6B">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调整情况：</w:t>
            </w:r>
            <w:r w:rsidR="002E22CA">
              <w:rPr>
                <w:rFonts w:ascii="仿宋_GB2312" w:eastAsia="仿宋_GB2312" w:hAnsi="仿宋_GB2312" w:cs="仿宋_GB2312" w:hint="eastAsia"/>
                <w:color w:val="000000" w:themeColor="text1"/>
                <w:szCs w:val="21"/>
              </w:rPr>
              <w:t>调整实施依据</w:t>
            </w:r>
          </w:p>
        </w:tc>
      </w:tr>
      <w:tr w:rsidR="0059130C">
        <w:trPr>
          <w:trHeight w:val="543"/>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调整原因：根据《中华人民共和国内河海事行政处罚规定》（交通运输部令2022第28号）</w:t>
            </w:r>
            <w:r w:rsidR="00610F6B">
              <w:rPr>
                <w:rFonts w:ascii="仿宋_GB2312" w:eastAsia="仿宋_GB2312" w:hAnsi="仿宋_GB2312" w:cs="仿宋_GB2312" w:hint="eastAsia"/>
                <w:color w:val="000000" w:themeColor="text1"/>
                <w:szCs w:val="21"/>
              </w:rPr>
              <w:t>，</w:t>
            </w:r>
            <w:r>
              <w:rPr>
                <w:rFonts w:ascii="仿宋_GB2312" w:eastAsia="仿宋_GB2312" w:hAnsi="仿宋_GB2312" w:cs="仿宋_GB2312" w:hint="eastAsia"/>
                <w:color w:val="000000" w:themeColor="text1"/>
                <w:szCs w:val="21"/>
              </w:rPr>
              <w:t>调整实施依据</w:t>
            </w:r>
          </w:p>
        </w:tc>
      </w:tr>
    </w:tbl>
    <w:p w:rsidR="0059130C" w:rsidRDefault="0059130C">
      <w:pPr>
        <w:spacing w:line="240" w:lineRule="exact"/>
        <w:rPr>
          <w:rFonts w:ascii="仿宋_GB2312" w:eastAsia="仿宋_GB2312" w:hAnsi="仿宋_GB2312" w:cs="仿宋_GB2312"/>
          <w:szCs w:val="21"/>
        </w:rPr>
      </w:pPr>
    </w:p>
    <w:tbl>
      <w:tblPr>
        <w:tblW w:w="14418" w:type="dxa"/>
        <w:tblInd w:w="167" w:type="dxa"/>
        <w:tblLayout w:type="fixed"/>
        <w:tblCellMar>
          <w:left w:w="15" w:type="dxa"/>
          <w:right w:w="15" w:type="dxa"/>
        </w:tblCellMar>
        <w:tblLook w:val="04A0"/>
      </w:tblPr>
      <w:tblGrid>
        <w:gridCol w:w="550"/>
        <w:gridCol w:w="574"/>
        <w:gridCol w:w="7443"/>
        <w:gridCol w:w="488"/>
        <w:gridCol w:w="562"/>
        <w:gridCol w:w="4220"/>
        <w:gridCol w:w="581"/>
      </w:tblGrid>
      <w:tr w:rsidR="0059130C">
        <w:trPr>
          <w:trHeight w:val="536"/>
        </w:trPr>
        <w:tc>
          <w:tcPr>
            <w:tcW w:w="550"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序号</w:t>
            </w:r>
          </w:p>
        </w:tc>
        <w:tc>
          <w:tcPr>
            <w:tcW w:w="574"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项目名称</w:t>
            </w:r>
          </w:p>
        </w:tc>
        <w:tc>
          <w:tcPr>
            <w:tcW w:w="7443"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实施依据</w:t>
            </w:r>
          </w:p>
        </w:tc>
        <w:tc>
          <w:tcPr>
            <w:tcW w:w="488"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类别</w:t>
            </w:r>
          </w:p>
        </w:tc>
        <w:tc>
          <w:tcPr>
            <w:tcW w:w="562"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环节</w:t>
            </w:r>
          </w:p>
        </w:tc>
        <w:tc>
          <w:tcPr>
            <w:tcW w:w="4220"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责任事项</w:t>
            </w:r>
          </w:p>
        </w:tc>
        <w:tc>
          <w:tcPr>
            <w:tcW w:w="581"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536"/>
        </w:trPr>
        <w:tc>
          <w:tcPr>
            <w:tcW w:w="55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24</w:t>
            </w:r>
          </w:p>
        </w:tc>
        <w:tc>
          <w:tcPr>
            <w:tcW w:w="574"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违反船舶安全营运管理秩序相关违法行为的处罚</w:t>
            </w:r>
          </w:p>
        </w:tc>
        <w:tc>
          <w:tcPr>
            <w:tcW w:w="7443"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 xml:space="preserve">《中华人民共和国内河海事行政处罚规定》（ 2021年8月11日交通运输部2021第20号令）第六条 违反船舶安全营运管理秩序，有下列行为之一的，对船舶所有人或者船舶经营人处以 5000 元以上 3 万元以下罚款；对船长处以 2000 元以上 2 万元以下的罚款；情节严重的，并给予扣留船员适任证书 6 </w:t>
            </w:r>
            <w:proofErr w:type="gramStart"/>
            <w:r>
              <w:rPr>
                <w:rFonts w:ascii="仿宋_GB2312" w:eastAsia="仿宋_GB2312" w:hAnsi="仿宋_GB2312" w:cs="仿宋_GB2312" w:hint="eastAsia"/>
                <w:kern w:val="0"/>
                <w:szCs w:val="21"/>
              </w:rPr>
              <w:t>个</w:t>
            </w:r>
            <w:proofErr w:type="gramEnd"/>
            <w:r>
              <w:rPr>
                <w:rFonts w:ascii="仿宋_GB2312" w:eastAsia="仿宋_GB2312" w:hAnsi="仿宋_GB2312" w:cs="仿宋_GB2312" w:hint="eastAsia"/>
                <w:kern w:val="0"/>
                <w:szCs w:val="21"/>
              </w:rPr>
              <w:t xml:space="preserve">月至 24 </w:t>
            </w:r>
            <w:proofErr w:type="gramStart"/>
            <w:r>
              <w:rPr>
                <w:rFonts w:ascii="仿宋_GB2312" w:eastAsia="仿宋_GB2312" w:hAnsi="仿宋_GB2312" w:cs="仿宋_GB2312" w:hint="eastAsia"/>
                <w:kern w:val="0"/>
                <w:szCs w:val="21"/>
              </w:rPr>
              <w:t>个</w:t>
            </w:r>
            <w:proofErr w:type="gramEnd"/>
            <w:r>
              <w:rPr>
                <w:rFonts w:ascii="仿宋_GB2312" w:eastAsia="仿宋_GB2312" w:hAnsi="仿宋_GB2312" w:cs="仿宋_GB2312" w:hint="eastAsia"/>
                <w:kern w:val="0"/>
                <w:szCs w:val="21"/>
              </w:rPr>
              <w:t>月直至吊销船员适任证书的处罚。 （一）未按规定取得船舶安全管理证书或者临时船舶安全管理证书从事航行或者其他有关活动； （二）隐瞒事实真相或者提供虚假材料或以其他不正当手段骗取船舶安全管理证书或者临时船舶安全管理证书； （三）伪造、变造船舶安全管理证书或者临时船舶安全管理证书； （四）转让、买卖、租借、冒用船舶安全管理证书或者临时船舶安全管理证书。</w:t>
            </w:r>
          </w:p>
          <w:p w:rsidR="0059130C" w:rsidRDefault="002E22CA">
            <w:pPr>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 xml:space="preserve">第七条 违反安全营运管理秩序，有下列情形之一，造成严重后果的，按以欺骗手段取得安全营运与防污染管理体系符合证明或者临时符合证明，对船舶所有人或者船舶经营人取得的安全营运与防污染管理体系符合证明或者临时符合证明予以撤销： （一）不掌控船舶安全配员； （二）不掌握船舶动态； （三）不掌握船舶装载情况； </w:t>
            </w:r>
          </w:p>
          <w:p w:rsidR="0059130C" w:rsidRDefault="002E22CA">
            <w:pPr>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（四）船舶管理人不实际履行安全管理义务； （五）安全管理体系运行存在其他重大问题。</w:t>
            </w:r>
          </w:p>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调整为：</w:t>
            </w:r>
            <w:r>
              <w:rPr>
                <w:rFonts w:ascii="仿宋_GB2312" w:eastAsia="仿宋_GB2312" w:hAnsi="仿宋_GB2312" w:cs="仿宋_GB2312" w:hint="eastAsia"/>
                <w:sz w:val="21"/>
                <w:szCs w:val="21"/>
                <w:u w:val="single"/>
              </w:rPr>
              <w:t>《中华人民共和国内河海事行政处罚规定》（交通运输部令2022第28号）第六条 ：“违反船舶安全营运管理秩序，有下列行为之一的，对船舶所有人或者船舶经营人处以5000元以上3万元以下罚款；对船长处以2000元以上1万元以下的罚款，情节严重的，处以1万元以上2万元以下的罚款，并给予扣留船员适任证书6个月至24个月直至吊销船员适任证书的处罚。（一）未按规定取得船舶安全管理证书或者临时船舶安全管理证书从事航行或者其他有关活动；（二）隐瞒事实真相或者提供虚假材料或以其他不正当手段骗取船舶安全管理证书或者临时船舶安全管理证书；（三）伪造、变造船舶安全管理证书或者临时船舶安全管理证书；（四）转让、买卖、租借、冒用船舶安全管理证书或者临时船舶安全管理证书。第七条 违反安全营运管理秩序，有下列情形之一，造成严重后果的，按以欺骗手段取得安全营运与防污染管理体系符合证明或者临时符合证明，对船舶所有人或者船舶经营人取得的安全营运与防污染管理体系符合证明或者临时符合证明予以撤销：（一）不掌控船舶安全配员；（二）不掌握船舶动态；（三）不掌握船舶装载情况；（四）船舶管理人不实际履行安全管理义务；（五）安全管理体系运行存在其他重大问题。”</w:t>
            </w:r>
          </w:p>
        </w:tc>
        <w:tc>
          <w:tcPr>
            <w:tcW w:w="488"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562"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22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58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内乡县交通运输综合行政执法大队</w:t>
            </w:r>
          </w:p>
        </w:tc>
      </w:tr>
      <w:tr w:rsidR="0059130C">
        <w:trPr>
          <w:trHeight w:val="1075"/>
        </w:trPr>
        <w:tc>
          <w:tcPr>
            <w:tcW w:w="550"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57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7443"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48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6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22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581"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770"/>
        </w:trPr>
        <w:tc>
          <w:tcPr>
            <w:tcW w:w="550"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57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7443"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48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6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22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581"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90"/>
        </w:trPr>
        <w:tc>
          <w:tcPr>
            <w:tcW w:w="550"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57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7443"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48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6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22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581"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680"/>
        </w:trPr>
        <w:tc>
          <w:tcPr>
            <w:tcW w:w="550"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57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7443"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48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6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22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581"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40"/>
        </w:trPr>
        <w:tc>
          <w:tcPr>
            <w:tcW w:w="550"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57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7443"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48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6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22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581"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590"/>
        </w:trPr>
        <w:tc>
          <w:tcPr>
            <w:tcW w:w="550"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57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7443"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48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6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22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581"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1151"/>
        </w:trPr>
        <w:tc>
          <w:tcPr>
            <w:tcW w:w="550"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57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7443"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488"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62"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220"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581"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rPr>
          <w:trHeight w:val="23"/>
        </w:trPr>
        <w:tc>
          <w:tcPr>
            <w:tcW w:w="550"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868"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调整情况：</w:t>
            </w:r>
            <w:r w:rsidR="00E9165C">
              <w:rPr>
                <w:rFonts w:ascii="仿宋_GB2312" w:eastAsia="仿宋_GB2312" w:hAnsi="仿宋_GB2312" w:cs="仿宋_GB2312" w:hint="eastAsia"/>
                <w:color w:val="000000" w:themeColor="text1"/>
                <w:szCs w:val="21"/>
              </w:rPr>
              <w:t>调整</w:t>
            </w:r>
            <w:r>
              <w:rPr>
                <w:rFonts w:ascii="仿宋_GB2312" w:eastAsia="仿宋_GB2312" w:hAnsi="仿宋_GB2312" w:cs="仿宋_GB2312" w:hint="eastAsia"/>
                <w:color w:val="000000" w:themeColor="text1"/>
                <w:szCs w:val="21"/>
              </w:rPr>
              <w:t>实施依据</w:t>
            </w:r>
          </w:p>
        </w:tc>
      </w:tr>
      <w:tr w:rsidR="0059130C">
        <w:trPr>
          <w:trHeight w:val="23"/>
        </w:trPr>
        <w:tc>
          <w:tcPr>
            <w:tcW w:w="550"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868"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调整原因：根据《中华人民共和国内河海事行政处罚规定》（交通运输部令2022第28</w:t>
            </w:r>
            <w:r w:rsidR="00610F6B">
              <w:rPr>
                <w:rFonts w:ascii="仿宋_GB2312" w:eastAsia="仿宋_GB2312" w:hAnsi="仿宋_GB2312" w:cs="仿宋_GB2312" w:hint="eastAsia"/>
                <w:color w:val="000000" w:themeColor="text1"/>
                <w:szCs w:val="21"/>
              </w:rPr>
              <w:t>号），</w:t>
            </w:r>
            <w:r>
              <w:rPr>
                <w:rFonts w:ascii="仿宋_GB2312" w:eastAsia="仿宋_GB2312" w:hAnsi="仿宋_GB2312" w:cs="仿宋_GB2312" w:hint="eastAsia"/>
                <w:color w:val="000000" w:themeColor="text1"/>
                <w:szCs w:val="21"/>
              </w:rPr>
              <w:t>调整实施依据</w:t>
            </w:r>
          </w:p>
        </w:tc>
      </w:tr>
    </w:tbl>
    <w:p w:rsidR="0059130C" w:rsidRDefault="0059130C">
      <w:pPr>
        <w:spacing w:line="240" w:lineRule="exact"/>
        <w:rPr>
          <w:rFonts w:ascii="仿宋_GB2312" w:eastAsia="仿宋_GB2312" w:hAnsi="仿宋_GB2312" w:cs="仿宋_GB2312"/>
          <w:szCs w:val="21"/>
        </w:rPr>
      </w:pPr>
    </w:p>
    <w:tbl>
      <w:tblPr>
        <w:tblW w:w="14528" w:type="dxa"/>
        <w:tblLayout w:type="fixed"/>
        <w:tblCellMar>
          <w:left w:w="15" w:type="dxa"/>
          <w:right w:w="15" w:type="dxa"/>
        </w:tblCellMar>
        <w:tblLook w:val="04A0"/>
      </w:tblPr>
      <w:tblGrid>
        <w:gridCol w:w="717"/>
        <w:gridCol w:w="1603"/>
        <w:gridCol w:w="4764"/>
        <w:gridCol w:w="582"/>
        <w:gridCol w:w="618"/>
        <w:gridCol w:w="5363"/>
        <w:gridCol w:w="881"/>
      </w:tblGrid>
      <w:tr w:rsidR="0059130C">
        <w:trPr>
          <w:trHeight w:val="536"/>
        </w:trPr>
        <w:tc>
          <w:tcPr>
            <w:tcW w:w="717"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序号</w:t>
            </w:r>
          </w:p>
        </w:tc>
        <w:tc>
          <w:tcPr>
            <w:tcW w:w="1603"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项目名称</w:t>
            </w:r>
          </w:p>
        </w:tc>
        <w:tc>
          <w:tcPr>
            <w:tcW w:w="4764"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实施依据</w:t>
            </w:r>
          </w:p>
        </w:tc>
        <w:tc>
          <w:tcPr>
            <w:tcW w:w="582"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类别</w:t>
            </w:r>
          </w:p>
        </w:tc>
        <w:tc>
          <w:tcPr>
            <w:tcW w:w="618"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环节</w:t>
            </w:r>
          </w:p>
        </w:tc>
        <w:tc>
          <w:tcPr>
            <w:tcW w:w="5363"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责任事项</w:t>
            </w:r>
          </w:p>
        </w:tc>
        <w:tc>
          <w:tcPr>
            <w:tcW w:w="881"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536"/>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25</w:t>
            </w:r>
          </w:p>
        </w:tc>
        <w:tc>
          <w:tcPr>
            <w:tcW w:w="1603"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对从事危险化学品运输的船舶所有人或者经营人违法行为的处罚</w:t>
            </w:r>
          </w:p>
        </w:tc>
        <w:tc>
          <w:tcPr>
            <w:tcW w:w="4764"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 xml:space="preserve">《中华人民共和国内河海事行政处罚规定》（ 2021年8月11日交通运输部2021第20号令）第二十条违反《内河交通安全管理条例》第三十条第二款和《危险化学品安全管理条例》第五十四条的规定，有下列情形之一的，依照《危险化学品安全管理条例》第八十 </w:t>
            </w:r>
          </w:p>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 xml:space="preserve">七条规定，责令改正，对船舶所有人或者经营人处以 10 万元以上 20 万元以下的罚款，有违法所得的，没收违法所得；拒不改正的，责令停航整顿： </w:t>
            </w:r>
          </w:p>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 xml:space="preserve">（一）通过内河封闭水域运输剧毒化学品以及国家规定禁止通过内河运输的其他危险化学品的； </w:t>
            </w:r>
          </w:p>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（二）通过内河运输国家规定禁止通过内河运输的剧毒化学品以及其他危险化学品的。</w:t>
            </w:r>
          </w:p>
          <w:p w:rsidR="0059130C" w:rsidRDefault="002E22CA">
            <w:pPr>
              <w:overflowPunct w:val="0"/>
              <w:snapToGrid w:val="0"/>
              <w:spacing w:line="240" w:lineRule="exact"/>
              <w:rPr>
                <w:rFonts w:ascii="仿宋_GB2312" w:eastAsia="仿宋_GB2312" w:hAnsi="仿宋_GB2312" w:cs="仿宋_GB2312"/>
                <w:szCs w:val="21"/>
                <w:u w:val="single"/>
              </w:rPr>
            </w:pPr>
            <w:r>
              <w:rPr>
                <w:rFonts w:ascii="仿宋_GB2312" w:eastAsia="仿宋_GB2312" w:hAnsi="仿宋_GB2312" w:cs="仿宋_GB2312" w:hint="eastAsia"/>
                <w:szCs w:val="21"/>
              </w:rPr>
              <w:t>调整为：</w:t>
            </w:r>
            <w:r>
              <w:rPr>
                <w:rFonts w:ascii="仿宋_GB2312" w:eastAsia="仿宋_GB2312" w:hAnsi="仿宋_GB2312" w:cs="仿宋_GB2312" w:hint="eastAsia"/>
                <w:szCs w:val="21"/>
                <w:u w:val="single"/>
              </w:rPr>
              <w:t>《中华人民共和国内河海事行政处罚规定》（交通运输部令2022第28号）第二十条:“违反《内河交通安全管理条例》第三十条第二款和《危险化学品安全管理条例》第五十四条的规定，有下列情形之一的，依照《危险化学品安全管理条例》第八十七条规定，责令改正，对船舶所有人或者经营人处以10万元以上20万元以下的罚款，有违法所得的，没收违法所得；拒不改正的，责令停航整顿：</w:t>
            </w:r>
          </w:p>
          <w:p w:rsidR="0059130C" w:rsidRDefault="002E22CA">
            <w:pPr>
              <w:overflowPunct w:val="0"/>
              <w:snapToGrid w:val="0"/>
              <w:spacing w:line="240" w:lineRule="exact"/>
              <w:rPr>
                <w:rFonts w:ascii="仿宋_GB2312" w:eastAsia="仿宋_GB2312" w:hAnsi="仿宋_GB2312" w:cs="仿宋_GB2312"/>
                <w:szCs w:val="21"/>
                <w:u w:val="single"/>
              </w:rPr>
            </w:pPr>
            <w:r>
              <w:rPr>
                <w:rFonts w:ascii="仿宋_GB2312" w:eastAsia="仿宋_GB2312" w:hAnsi="仿宋_GB2312" w:cs="仿宋_GB2312" w:hint="eastAsia"/>
                <w:szCs w:val="21"/>
                <w:u w:val="single"/>
              </w:rPr>
              <w:t>（一）通过内河封闭水域运输剧毒化学品以及国家规定禁止通过内河运输的其他危险化学品的；</w:t>
            </w:r>
          </w:p>
          <w:p w:rsidR="0059130C" w:rsidRDefault="002E22CA">
            <w:pPr>
              <w:overflowPunct w:val="0"/>
              <w:snapToGrid w:val="0"/>
              <w:spacing w:line="240" w:lineRule="exact"/>
              <w:rPr>
                <w:rFonts w:ascii="仿宋_GB2312" w:eastAsia="仿宋_GB2312" w:hAnsi="仿宋_GB2312" w:cs="仿宋_GB2312"/>
                <w:szCs w:val="21"/>
                <w:u w:val="single"/>
              </w:rPr>
            </w:pPr>
            <w:r>
              <w:rPr>
                <w:rFonts w:ascii="仿宋_GB2312" w:eastAsia="仿宋_GB2312" w:hAnsi="仿宋_GB2312" w:cs="仿宋_GB2312" w:hint="eastAsia"/>
                <w:szCs w:val="21"/>
                <w:u w:val="single"/>
              </w:rPr>
              <w:t>（二）通过内河运输国家规定禁止通过内河运输的剧毒化学品以及其他危险化学品的。”</w:t>
            </w:r>
          </w:p>
          <w:p w:rsidR="0059130C" w:rsidRDefault="0059130C">
            <w:pPr>
              <w:pStyle w:val="a6"/>
              <w:spacing w:beforeAutospacing="0" w:afterAutospacing="0" w:line="240" w:lineRule="exact"/>
              <w:rPr>
                <w:rFonts w:ascii="仿宋_GB2312" w:eastAsia="仿宋_GB2312" w:hAnsi="仿宋_GB2312" w:cs="仿宋_GB2312"/>
                <w:sz w:val="21"/>
                <w:szCs w:val="21"/>
              </w:rPr>
            </w:pPr>
          </w:p>
        </w:tc>
        <w:tc>
          <w:tcPr>
            <w:tcW w:w="582"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618"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5363"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88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内乡县交通运输综合行政执法大队</w:t>
            </w:r>
          </w:p>
        </w:tc>
      </w:tr>
      <w:tr w:rsidR="0059130C">
        <w:trPr>
          <w:trHeight w:val="1075"/>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764"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8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1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536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881"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770"/>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764"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8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1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536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881"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90"/>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764"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8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1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536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881"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680"/>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764"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8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1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536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881"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40"/>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764"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8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1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536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881"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590"/>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764"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8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1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536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881"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1506"/>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764"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82"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18"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5363"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881"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rPr>
          <w:trHeight w:val="311"/>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811"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610F6B">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调整情况：</w:t>
            </w:r>
            <w:r w:rsidR="002E22CA">
              <w:rPr>
                <w:rFonts w:ascii="仿宋_GB2312" w:eastAsia="仿宋_GB2312" w:hAnsi="仿宋_GB2312" w:cs="仿宋_GB2312" w:hint="eastAsia"/>
                <w:color w:val="000000" w:themeColor="text1"/>
                <w:szCs w:val="21"/>
              </w:rPr>
              <w:t>调整实施依据</w:t>
            </w:r>
          </w:p>
        </w:tc>
      </w:tr>
      <w:tr w:rsidR="0059130C">
        <w:trPr>
          <w:trHeight w:val="543"/>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811"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调整原因：根据《中华人民共和国内河海事行政处罚规定》（交通运输部令2022第28</w:t>
            </w:r>
            <w:r w:rsidR="00610F6B">
              <w:rPr>
                <w:rFonts w:ascii="仿宋_GB2312" w:eastAsia="仿宋_GB2312" w:hAnsi="仿宋_GB2312" w:cs="仿宋_GB2312" w:hint="eastAsia"/>
                <w:color w:val="000000" w:themeColor="text1"/>
                <w:szCs w:val="21"/>
              </w:rPr>
              <w:t>号），</w:t>
            </w:r>
            <w:r>
              <w:rPr>
                <w:rFonts w:ascii="仿宋_GB2312" w:eastAsia="仿宋_GB2312" w:hAnsi="仿宋_GB2312" w:cs="仿宋_GB2312" w:hint="eastAsia"/>
                <w:color w:val="000000" w:themeColor="text1"/>
                <w:szCs w:val="21"/>
              </w:rPr>
              <w:t>调整实施依据</w:t>
            </w:r>
          </w:p>
        </w:tc>
      </w:tr>
    </w:tbl>
    <w:p w:rsidR="0059130C" w:rsidRDefault="002E22CA">
      <w:pPr>
        <w:spacing w:line="240" w:lineRule="exact"/>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br w:type="page"/>
      </w:r>
    </w:p>
    <w:tbl>
      <w:tblPr>
        <w:tblW w:w="13632" w:type="dxa"/>
        <w:jc w:val="center"/>
        <w:tblLayout w:type="fixed"/>
        <w:tblCellMar>
          <w:left w:w="15" w:type="dxa"/>
          <w:right w:w="15" w:type="dxa"/>
        </w:tblCellMar>
        <w:tblLook w:val="04A0"/>
      </w:tblPr>
      <w:tblGrid>
        <w:gridCol w:w="717"/>
        <w:gridCol w:w="574"/>
        <w:gridCol w:w="5362"/>
        <w:gridCol w:w="638"/>
        <w:gridCol w:w="637"/>
        <w:gridCol w:w="5081"/>
        <w:gridCol w:w="623"/>
      </w:tblGrid>
      <w:tr w:rsidR="0059130C">
        <w:trPr>
          <w:trHeight w:val="536"/>
          <w:jc w:val="center"/>
        </w:trPr>
        <w:tc>
          <w:tcPr>
            <w:tcW w:w="717"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lastRenderedPageBreak/>
              <w:t>序号</w:t>
            </w:r>
          </w:p>
        </w:tc>
        <w:tc>
          <w:tcPr>
            <w:tcW w:w="574"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项目名称</w:t>
            </w:r>
          </w:p>
        </w:tc>
        <w:tc>
          <w:tcPr>
            <w:tcW w:w="5362"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u w:val="single"/>
              </w:rPr>
            </w:pPr>
            <w:r>
              <w:rPr>
                <w:rFonts w:ascii="黑体" w:eastAsia="黑体" w:hAnsi="黑体" w:cs="黑体" w:hint="eastAsia"/>
                <w:color w:val="000000" w:themeColor="text1"/>
                <w:szCs w:val="21"/>
              </w:rPr>
              <w:t>实施依据</w:t>
            </w:r>
          </w:p>
        </w:tc>
        <w:tc>
          <w:tcPr>
            <w:tcW w:w="638"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autoSpaceDN w:val="0"/>
              <w:spacing w:line="240" w:lineRule="exact"/>
              <w:jc w:val="center"/>
              <w:textAlignment w:val="center"/>
              <w:rPr>
                <w:rFonts w:ascii="黑体" w:eastAsia="黑体" w:hAnsi="黑体" w:cs="黑体"/>
                <w:color w:val="000000" w:themeColor="text1"/>
                <w:kern w:val="0"/>
                <w:szCs w:val="21"/>
                <w:lang/>
              </w:rPr>
            </w:pPr>
            <w:r>
              <w:rPr>
                <w:rFonts w:ascii="黑体" w:eastAsia="黑体" w:hAnsi="黑体" w:cs="黑体" w:hint="eastAsia"/>
                <w:color w:val="000000" w:themeColor="text1"/>
                <w:szCs w:val="21"/>
              </w:rPr>
              <w:t>类别</w:t>
            </w:r>
          </w:p>
        </w:tc>
        <w:tc>
          <w:tcPr>
            <w:tcW w:w="637"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环节</w:t>
            </w:r>
          </w:p>
        </w:tc>
        <w:tc>
          <w:tcPr>
            <w:tcW w:w="5081"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责任事项</w:t>
            </w:r>
          </w:p>
        </w:tc>
        <w:tc>
          <w:tcPr>
            <w:tcW w:w="623"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536"/>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26</w:t>
            </w:r>
          </w:p>
        </w:tc>
        <w:tc>
          <w:tcPr>
            <w:tcW w:w="574"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对从事危险货物作业人员违法行为的处罚</w:t>
            </w:r>
          </w:p>
        </w:tc>
        <w:tc>
          <w:tcPr>
            <w:tcW w:w="5362"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 xml:space="preserve">《中华人民共和国内河海事行政处罚规定》（ 2021年8月11日交通运输部2021第20号令）第二十一条 违反《内河交通安全管理条例》第三十二条、第三十四条的规定，从事危险货物作业，有下列情形之一的，依照《内河交通安全管理条例》第七十一条的规定，责令停止作业或者航行，对负有责任的主管人员或者其他直接责任人员处以 2 万元以上 10 万元以下的罚款；属于船员的，并给予扣留船员适任证书或者其他适任证件 6 </w:t>
            </w:r>
            <w:proofErr w:type="gramStart"/>
            <w:r>
              <w:rPr>
                <w:rFonts w:ascii="仿宋_GB2312" w:eastAsia="仿宋_GB2312" w:hAnsi="仿宋_GB2312" w:cs="仿宋_GB2312" w:hint="eastAsia"/>
                <w:szCs w:val="21"/>
              </w:rPr>
              <w:t>个月以上</w:t>
            </w:r>
            <w:proofErr w:type="gramEnd"/>
            <w:r>
              <w:rPr>
                <w:rFonts w:ascii="仿宋_GB2312" w:eastAsia="仿宋_GB2312" w:hAnsi="仿宋_GB2312" w:cs="仿宋_GB2312" w:hint="eastAsia"/>
                <w:szCs w:val="21"/>
              </w:rPr>
              <w:t xml:space="preserve">直至吊销船员适任证书或者其他适任证件的处罚： </w:t>
            </w:r>
          </w:p>
          <w:p w:rsidR="0059130C" w:rsidRDefault="002E22CA">
            <w:pPr>
              <w:overflowPunct w:val="0"/>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 xml:space="preserve">（一）从事危险货物运输的船舶，未编制危险货物事故应急预案或者未配备相应的应急救援设备和器材的； </w:t>
            </w:r>
          </w:p>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（二）船舶载运危险货物进出港或者在港口外装卸、过驳危险货物未经海事管理机构同意的。</w:t>
            </w:r>
          </w:p>
          <w:p w:rsidR="0059130C" w:rsidRDefault="002E22CA">
            <w:pPr>
              <w:pStyle w:val="a6"/>
              <w:spacing w:beforeAutospacing="0" w:afterAutospacing="0" w:line="240" w:lineRule="exact"/>
              <w:rPr>
                <w:rFonts w:ascii="仿宋_GB2312" w:eastAsia="仿宋_GB2312" w:hAnsi="仿宋_GB2312" w:cs="仿宋_GB2312"/>
                <w:sz w:val="21"/>
                <w:szCs w:val="21"/>
                <w:u w:val="single"/>
              </w:rPr>
            </w:pPr>
            <w:r>
              <w:rPr>
                <w:rFonts w:ascii="仿宋_GB2312" w:eastAsia="仿宋_GB2312" w:hAnsi="仿宋_GB2312" w:cs="仿宋_GB2312" w:hint="eastAsia"/>
                <w:sz w:val="21"/>
                <w:szCs w:val="21"/>
              </w:rPr>
              <w:t>调整为：</w:t>
            </w:r>
            <w:r>
              <w:rPr>
                <w:rFonts w:ascii="仿宋_GB2312" w:eastAsia="仿宋_GB2312" w:hAnsi="仿宋_GB2312" w:cs="仿宋_GB2312" w:hint="eastAsia"/>
                <w:sz w:val="21"/>
                <w:szCs w:val="21"/>
                <w:u w:val="single"/>
              </w:rPr>
              <w:t>《中华人民共和国内河海事行政处罚规定》（交通运输部令2022第28号）第二十一条：“违反《内河交通安全管理条例》第三十二条、第三十四条的规定，从事危险货物作业，有下列情形之一的，依照《内河交通安全管理条例》第七十一条的规定，责令停止作业或者航行，对负有责任的主管人员或者其他直接责任人员处以2万元以上10万元以下的罚款；属于船员的，并给予扣留船员适任证书或者其他适任证件6个月以上直至吊销船员适任证书或者其他适任证件的处罚：</w:t>
            </w:r>
          </w:p>
          <w:p w:rsidR="0059130C" w:rsidRDefault="002E22CA">
            <w:pPr>
              <w:pStyle w:val="a6"/>
              <w:spacing w:beforeAutospacing="0" w:afterAutospacing="0" w:line="240" w:lineRule="exact"/>
              <w:rPr>
                <w:rFonts w:ascii="仿宋_GB2312" w:eastAsia="仿宋_GB2312" w:hAnsi="仿宋_GB2312" w:cs="仿宋_GB2312"/>
                <w:sz w:val="21"/>
                <w:szCs w:val="21"/>
                <w:u w:val="single"/>
              </w:rPr>
            </w:pPr>
            <w:r>
              <w:rPr>
                <w:rFonts w:ascii="仿宋_GB2312" w:eastAsia="仿宋_GB2312" w:hAnsi="仿宋_GB2312" w:cs="仿宋_GB2312" w:hint="eastAsia"/>
                <w:sz w:val="21"/>
                <w:szCs w:val="21"/>
                <w:u w:val="single"/>
              </w:rPr>
              <w:t>（一）从事危险货物运输的船舶，未编制危险货物事故应急预案或者未配备相应的应急救援设备和器材的；</w:t>
            </w:r>
          </w:p>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u w:val="single"/>
              </w:rPr>
              <w:t>（二）船舶载运危险货物进出港或者在港口外装卸、过驳危险货物未经海事管理机构同意的。”</w:t>
            </w:r>
          </w:p>
        </w:tc>
        <w:tc>
          <w:tcPr>
            <w:tcW w:w="638"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637"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5081"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623"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内乡县交通运输综合行政执法大队</w:t>
            </w:r>
          </w:p>
        </w:tc>
      </w:tr>
      <w:tr w:rsidR="0059130C">
        <w:trPr>
          <w:trHeight w:val="1075"/>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57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362"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63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3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508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623"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77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57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362"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63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3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508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623"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9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57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362"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63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3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508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623"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68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57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362"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63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3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508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623"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4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57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362"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63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3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508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623"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59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57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362"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63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3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508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623"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1506"/>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57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362"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638"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37"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5081"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623"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rPr>
          <w:trHeight w:val="311"/>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调整情况：</w:t>
            </w:r>
            <w:r w:rsidR="00E9165C">
              <w:rPr>
                <w:rFonts w:ascii="仿宋_GB2312" w:eastAsia="仿宋_GB2312" w:hAnsi="仿宋_GB2312" w:cs="仿宋_GB2312" w:hint="eastAsia"/>
                <w:color w:val="000000" w:themeColor="text1"/>
                <w:szCs w:val="21"/>
              </w:rPr>
              <w:t>调整</w:t>
            </w:r>
            <w:r>
              <w:rPr>
                <w:rFonts w:ascii="仿宋_GB2312" w:eastAsia="仿宋_GB2312" w:hAnsi="仿宋_GB2312" w:cs="仿宋_GB2312" w:hint="eastAsia"/>
                <w:color w:val="000000" w:themeColor="text1"/>
                <w:szCs w:val="21"/>
              </w:rPr>
              <w:t>实施依据</w:t>
            </w:r>
          </w:p>
        </w:tc>
      </w:tr>
      <w:tr w:rsidR="0059130C">
        <w:trPr>
          <w:trHeight w:val="543"/>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调整原因：根据《中华人民共和国内河海事行政处罚规定》（交通运输部令2022第28</w:t>
            </w:r>
            <w:r w:rsidR="00610F6B">
              <w:rPr>
                <w:rFonts w:ascii="仿宋_GB2312" w:eastAsia="仿宋_GB2312" w:hAnsi="仿宋_GB2312" w:cs="仿宋_GB2312" w:hint="eastAsia"/>
                <w:color w:val="000000" w:themeColor="text1"/>
                <w:szCs w:val="21"/>
              </w:rPr>
              <w:t>号），</w:t>
            </w:r>
            <w:r>
              <w:rPr>
                <w:rFonts w:ascii="仿宋_GB2312" w:eastAsia="仿宋_GB2312" w:hAnsi="仿宋_GB2312" w:cs="仿宋_GB2312" w:hint="eastAsia"/>
                <w:color w:val="000000" w:themeColor="text1"/>
                <w:szCs w:val="21"/>
              </w:rPr>
              <w:t>调整实施依据</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3523" w:type="dxa"/>
        <w:jc w:val="center"/>
        <w:tblLayout w:type="fixed"/>
        <w:tblCellMar>
          <w:left w:w="15" w:type="dxa"/>
          <w:right w:w="15" w:type="dxa"/>
        </w:tblCellMar>
        <w:tblLook w:val="04A0"/>
      </w:tblPr>
      <w:tblGrid>
        <w:gridCol w:w="608"/>
        <w:gridCol w:w="1005"/>
        <w:gridCol w:w="4398"/>
        <w:gridCol w:w="774"/>
        <w:gridCol w:w="591"/>
        <w:gridCol w:w="5618"/>
        <w:gridCol w:w="529"/>
      </w:tblGrid>
      <w:tr w:rsidR="0059130C">
        <w:trPr>
          <w:trHeight w:val="536"/>
          <w:jc w:val="center"/>
        </w:trPr>
        <w:tc>
          <w:tcPr>
            <w:tcW w:w="608"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lastRenderedPageBreak/>
              <w:t>序号</w:t>
            </w:r>
          </w:p>
        </w:tc>
        <w:tc>
          <w:tcPr>
            <w:tcW w:w="1005"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项目名称</w:t>
            </w:r>
          </w:p>
        </w:tc>
        <w:tc>
          <w:tcPr>
            <w:tcW w:w="4398"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实施依据</w:t>
            </w:r>
          </w:p>
        </w:tc>
        <w:tc>
          <w:tcPr>
            <w:tcW w:w="774"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类别</w:t>
            </w:r>
          </w:p>
        </w:tc>
        <w:tc>
          <w:tcPr>
            <w:tcW w:w="591"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环节</w:t>
            </w:r>
          </w:p>
        </w:tc>
        <w:tc>
          <w:tcPr>
            <w:tcW w:w="5618"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责任事项</w:t>
            </w:r>
          </w:p>
        </w:tc>
        <w:tc>
          <w:tcPr>
            <w:tcW w:w="529"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964"/>
          <w:jc w:val="center"/>
        </w:trPr>
        <w:tc>
          <w:tcPr>
            <w:tcW w:w="608"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27</w:t>
            </w:r>
          </w:p>
        </w:tc>
        <w:tc>
          <w:tcPr>
            <w:tcW w:w="100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对从事危险化学品人员违法行为的处罚</w:t>
            </w:r>
          </w:p>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调整为：</w:t>
            </w:r>
            <w:r>
              <w:rPr>
                <w:rFonts w:ascii="仿宋_GB2312" w:eastAsia="仿宋_GB2312" w:hAnsi="仿宋_GB2312" w:cs="仿宋_GB2312" w:hint="eastAsia"/>
                <w:sz w:val="21"/>
                <w:szCs w:val="21"/>
                <w:u w:val="single"/>
              </w:rPr>
              <w:t>对从事危险化学品运输人员违法行为的处罚</w:t>
            </w:r>
          </w:p>
        </w:tc>
        <w:tc>
          <w:tcPr>
            <w:tcW w:w="4398"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 xml:space="preserve">《中华人民共和国内河海事行政处罚规定》（ 2021年8月11日交通运输部2021第20号令）第二十二条 违反《危险化学品安全管理条例》第四十四条的规定，有下列情形之一的，依照《危险化学品安全管理条例》第八十六条的规定，由海事管理机构责令改正，处以 5 万元以上 10 万元以下的罚款；拒不改正的，责令停航、停业整顿。 </w:t>
            </w:r>
          </w:p>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 xml:space="preserve">（一）从事危险化学品运输的船员未取得相应的船员适任证书和培训合格证明； </w:t>
            </w:r>
          </w:p>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（二）危险化学品运输申报人员、集装箱装箱现场检查员未取得从业资格。</w:t>
            </w:r>
          </w:p>
          <w:p w:rsidR="0059130C" w:rsidRDefault="002E22CA">
            <w:pPr>
              <w:pStyle w:val="a6"/>
              <w:spacing w:beforeAutospacing="0" w:afterAutospacing="0" w:line="240" w:lineRule="exact"/>
              <w:rPr>
                <w:rFonts w:ascii="仿宋_GB2312" w:eastAsia="仿宋_GB2312" w:hAnsi="仿宋_GB2312" w:cs="仿宋_GB2312"/>
                <w:sz w:val="21"/>
                <w:szCs w:val="21"/>
                <w:u w:val="single"/>
              </w:rPr>
            </w:pPr>
            <w:r>
              <w:rPr>
                <w:rFonts w:ascii="仿宋_GB2312" w:eastAsia="仿宋_GB2312" w:hAnsi="仿宋_GB2312" w:cs="仿宋_GB2312" w:hint="eastAsia"/>
                <w:sz w:val="21"/>
                <w:szCs w:val="21"/>
              </w:rPr>
              <w:t>调整为：</w:t>
            </w:r>
            <w:r>
              <w:rPr>
                <w:rFonts w:ascii="仿宋_GB2312" w:eastAsia="仿宋_GB2312" w:hAnsi="仿宋_GB2312" w:cs="仿宋_GB2312" w:hint="eastAsia"/>
                <w:sz w:val="21"/>
                <w:szCs w:val="21"/>
                <w:u w:val="single"/>
              </w:rPr>
              <w:t>《中华人民共和国内河海事行政处罚规定》（交通运输部令2022第28号）第二十二条：“违反《危险化学品安全管理条例》第四十四条的规定，有下列情形之一的，依照《危险化学品安全管理条例》第八十六条的规定，由海事管理机构责令改正，处以5万元以上10万元以下的罚款；拒不改正的，责令停航、停业整顿。</w:t>
            </w:r>
          </w:p>
          <w:p w:rsidR="0059130C" w:rsidRDefault="002E22CA">
            <w:pPr>
              <w:pStyle w:val="a6"/>
              <w:spacing w:beforeAutospacing="0" w:afterAutospacing="0" w:line="240" w:lineRule="exact"/>
              <w:rPr>
                <w:rFonts w:ascii="仿宋_GB2312" w:eastAsia="仿宋_GB2312" w:hAnsi="仿宋_GB2312" w:cs="仿宋_GB2312"/>
                <w:sz w:val="21"/>
                <w:szCs w:val="21"/>
                <w:u w:val="single"/>
              </w:rPr>
            </w:pPr>
            <w:r>
              <w:rPr>
                <w:rFonts w:ascii="仿宋_GB2312" w:eastAsia="仿宋_GB2312" w:hAnsi="仿宋_GB2312" w:cs="仿宋_GB2312" w:hint="eastAsia"/>
                <w:sz w:val="21"/>
                <w:szCs w:val="21"/>
                <w:u w:val="single"/>
              </w:rPr>
              <w:t>（一）从事危险化学品运输的船员未取得相应的船员适任证书和培训合格证明；</w:t>
            </w:r>
          </w:p>
          <w:p w:rsidR="0059130C" w:rsidRDefault="002E22CA">
            <w:pPr>
              <w:pStyle w:val="a6"/>
              <w:spacing w:beforeAutospacing="0" w:afterAutospacing="0" w:line="240" w:lineRule="exact"/>
              <w:rPr>
                <w:rFonts w:ascii="仿宋_GB2312" w:eastAsia="仿宋_GB2312" w:hAnsi="仿宋_GB2312" w:cs="仿宋_GB2312"/>
                <w:sz w:val="21"/>
                <w:szCs w:val="21"/>
                <w:u w:val="single"/>
              </w:rPr>
            </w:pPr>
            <w:r>
              <w:rPr>
                <w:rFonts w:ascii="仿宋_GB2312" w:eastAsia="仿宋_GB2312" w:hAnsi="仿宋_GB2312" w:cs="仿宋_GB2312" w:hint="eastAsia"/>
                <w:sz w:val="21"/>
                <w:szCs w:val="21"/>
                <w:u w:val="single"/>
              </w:rPr>
              <w:t>（二）危险化学品运输申报人员、集装箱装箱现场检查员未取得从业资格。”</w:t>
            </w:r>
          </w:p>
          <w:p w:rsidR="0059130C" w:rsidRDefault="0059130C">
            <w:pPr>
              <w:pStyle w:val="a6"/>
              <w:spacing w:beforeAutospacing="0" w:afterAutospacing="0" w:line="240" w:lineRule="exact"/>
              <w:rPr>
                <w:rFonts w:ascii="仿宋_GB2312" w:eastAsia="仿宋_GB2312" w:hAnsi="仿宋_GB2312" w:cs="仿宋_GB2312"/>
                <w:sz w:val="21"/>
                <w:szCs w:val="21"/>
              </w:rPr>
            </w:pPr>
          </w:p>
        </w:tc>
        <w:tc>
          <w:tcPr>
            <w:tcW w:w="774"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591"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5618"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52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内乡县交通运输综合行政执法大队</w:t>
            </w:r>
          </w:p>
        </w:tc>
      </w:tr>
      <w:tr w:rsidR="0059130C">
        <w:trPr>
          <w:trHeight w:val="964"/>
          <w:jc w:val="center"/>
        </w:trPr>
        <w:tc>
          <w:tcPr>
            <w:tcW w:w="608"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00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398"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561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529"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64"/>
          <w:jc w:val="center"/>
        </w:trPr>
        <w:tc>
          <w:tcPr>
            <w:tcW w:w="608"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00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398"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561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529"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64"/>
          <w:jc w:val="center"/>
        </w:trPr>
        <w:tc>
          <w:tcPr>
            <w:tcW w:w="608"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00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398"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561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529"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64"/>
          <w:jc w:val="center"/>
        </w:trPr>
        <w:tc>
          <w:tcPr>
            <w:tcW w:w="608"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00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398"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561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529"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64"/>
          <w:jc w:val="center"/>
        </w:trPr>
        <w:tc>
          <w:tcPr>
            <w:tcW w:w="608"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00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398"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561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529"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64"/>
          <w:jc w:val="center"/>
        </w:trPr>
        <w:tc>
          <w:tcPr>
            <w:tcW w:w="608"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00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398"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561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529"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64"/>
          <w:jc w:val="center"/>
        </w:trPr>
        <w:tc>
          <w:tcPr>
            <w:tcW w:w="608"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00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398"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5618"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529"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rPr>
          <w:trHeight w:val="311"/>
          <w:jc w:val="center"/>
        </w:trPr>
        <w:tc>
          <w:tcPr>
            <w:tcW w:w="608"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调整情况：</w:t>
            </w:r>
            <w:r w:rsidR="00E9165C">
              <w:rPr>
                <w:rFonts w:ascii="仿宋_GB2312" w:eastAsia="仿宋_GB2312" w:hAnsi="仿宋_GB2312" w:cs="仿宋_GB2312" w:hint="eastAsia"/>
                <w:color w:val="000000" w:themeColor="text1"/>
                <w:szCs w:val="21"/>
              </w:rPr>
              <w:t>调整</w:t>
            </w:r>
            <w:r>
              <w:rPr>
                <w:rFonts w:ascii="仿宋_GB2312" w:eastAsia="仿宋_GB2312" w:hAnsi="仿宋_GB2312" w:cs="仿宋_GB2312" w:hint="eastAsia"/>
                <w:color w:val="000000" w:themeColor="text1"/>
                <w:szCs w:val="21"/>
              </w:rPr>
              <w:t>项目名称、实施依据</w:t>
            </w:r>
          </w:p>
        </w:tc>
      </w:tr>
      <w:tr w:rsidR="0059130C">
        <w:trPr>
          <w:trHeight w:val="543"/>
          <w:jc w:val="center"/>
        </w:trPr>
        <w:tc>
          <w:tcPr>
            <w:tcW w:w="608"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调整原因：根据《中华人民共和国内河海事行政处罚规定》（交通运输部令2022第28</w:t>
            </w:r>
            <w:r w:rsidR="00610F6B">
              <w:rPr>
                <w:rFonts w:ascii="仿宋_GB2312" w:eastAsia="仿宋_GB2312" w:hAnsi="仿宋_GB2312" w:cs="仿宋_GB2312" w:hint="eastAsia"/>
                <w:color w:val="000000" w:themeColor="text1"/>
                <w:szCs w:val="21"/>
              </w:rPr>
              <w:t>号），</w:t>
            </w:r>
            <w:r>
              <w:rPr>
                <w:rFonts w:ascii="仿宋_GB2312" w:eastAsia="仿宋_GB2312" w:hAnsi="仿宋_GB2312" w:cs="仿宋_GB2312" w:hint="eastAsia"/>
                <w:color w:val="000000" w:themeColor="text1"/>
                <w:szCs w:val="21"/>
              </w:rPr>
              <w:t>调整项目名称、实施依据</w:t>
            </w:r>
          </w:p>
        </w:tc>
      </w:tr>
    </w:tbl>
    <w:p w:rsidR="0059130C" w:rsidRDefault="0059130C">
      <w:pPr>
        <w:spacing w:line="240" w:lineRule="exact"/>
        <w:rPr>
          <w:rFonts w:ascii="仿宋_GB2312" w:eastAsia="仿宋_GB2312" w:hAnsi="仿宋_GB2312" w:cs="仿宋_GB2312"/>
          <w:szCs w:val="21"/>
        </w:rPr>
      </w:pPr>
    </w:p>
    <w:tbl>
      <w:tblPr>
        <w:tblW w:w="13632" w:type="dxa"/>
        <w:jc w:val="center"/>
        <w:tblLayout w:type="fixed"/>
        <w:tblCellMar>
          <w:left w:w="15" w:type="dxa"/>
          <w:right w:w="15" w:type="dxa"/>
        </w:tblCellMar>
        <w:tblLook w:val="04A0"/>
      </w:tblPr>
      <w:tblGrid>
        <w:gridCol w:w="717"/>
        <w:gridCol w:w="1603"/>
        <w:gridCol w:w="3800"/>
        <w:gridCol w:w="774"/>
        <w:gridCol w:w="591"/>
        <w:gridCol w:w="5581"/>
        <w:gridCol w:w="566"/>
      </w:tblGrid>
      <w:tr w:rsidR="0059130C">
        <w:trPr>
          <w:trHeight w:val="536"/>
          <w:jc w:val="center"/>
        </w:trPr>
        <w:tc>
          <w:tcPr>
            <w:tcW w:w="717"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序号</w:t>
            </w:r>
          </w:p>
        </w:tc>
        <w:tc>
          <w:tcPr>
            <w:tcW w:w="1603"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项目名称</w:t>
            </w:r>
          </w:p>
        </w:tc>
        <w:tc>
          <w:tcPr>
            <w:tcW w:w="3800"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实施依据</w:t>
            </w:r>
          </w:p>
        </w:tc>
        <w:tc>
          <w:tcPr>
            <w:tcW w:w="774"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autoSpaceDN w:val="0"/>
              <w:spacing w:line="240" w:lineRule="exact"/>
              <w:jc w:val="center"/>
              <w:textAlignment w:val="center"/>
              <w:rPr>
                <w:rFonts w:ascii="黑体" w:eastAsia="黑体" w:hAnsi="黑体" w:cs="黑体"/>
                <w:color w:val="000000" w:themeColor="text1"/>
                <w:kern w:val="0"/>
                <w:szCs w:val="21"/>
                <w:lang/>
              </w:rPr>
            </w:pPr>
            <w:r>
              <w:rPr>
                <w:rFonts w:ascii="黑体" w:eastAsia="黑体" w:hAnsi="黑体" w:cs="黑体" w:hint="eastAsia"/>
                <w:color w:val="000000" w:themeColor="text1"/>
                <w:szCs w:val="21"/>
              </w:rPr>
              <w:t>类别</w:t>
            </w:r>
          </w:p>
        </w:tc>
        <w:tc>
          <w:tcPr>
            <w:tcW w:w="591"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环节</w:t>
            </w:r>
          </w:p>
        </w:tc>
        <w:tc>
          <w:tcPr>
            <w:tcW w:w="5581"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责任事项</w:t>
            </w:r>
          </w:p>
        </w:tc>
        <w:tc>
          <w:tcPr>
            <w:tcW w:w="566"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536"/>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28</w:t>
            </w:r>
          </w:p>
        </w:tc>
        <w:tc>
          <w:tcPr>
            <w:tcW w:w="1603"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对运输危险化学品的船舶及其配载的容器未经检验合格而投入使用的处罚</w:t>
            </w:r>
          </w:p>
        </w:tc>
        <w:tc>
          <w:tcPr>
            <w:tcW w:w="380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《中华人民共和国内河海事行政处罚规定》（ 2021年8月11日交通运输部2021第20号令）第二十三条 违反《内河交通安全管理条例》第三十一条、《危险化学品安全管理条例》第十八条的规定，运输危险化学品的船舶及其配载的容器未经检验合格而投入使用 的，依照《危险化学品安全管理条例》第七十九条的规定，责令改正，对船舶所有人或者经营人处以 10 万元以上 20 万元以下的罚款，有违法所得的，没收违法所得；拒不改正的，责令停航整顿。</w:t>
            </w:r>
          </w:p>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调整为：</w:t>
            </w:r>
            <w:r>
              <w:rPr>
                <w:rFonts w:ascii="仿宋_GB2312" w:eastAsia="仿宋_GB2312" w:hAnsi="仿宋_GB2312" w:cs="仿宋_GB2312" w:hint="eastAsia"/>
                <w:sz w:val="21"/>
                <w:szCs w:val="21"/>
                <w:u w:val="single"/>
              </w:rPr>
              <w:t>《中华人民共和国内河海事行政处罚规定》（交通运输部令2022第28号）第二十三条：“违反《内河交通安全管理条例》第三十一条《危险化学品安全管理条例》第十八条的规定，运输危险化学品的船舶及其配载的容器未经检验合格而投入使用的，依照《危险化学品安全管理条例》第七十九条的规定，责令改正，对船舶所有人或者经营人处以10万元以上20万元以下的罚款，有违法所得的，没收违法所得；拒不改正的，责令停航整顿。”</w:t>
            </w:r>
          </w:p>
          <w:p w:rsidR="0059130C" w:rsidRDefault="0059130C">
            <w:pPr>
              <w:pStyle w:val="a6"/>
              <w:spacing w:beforeAutospacing="0" w:afterAutospacing="0" w:line="240" w:lineRule="exact"/>
              <w:rPr>
                <w:rFonts w:ascii="仿宋_GB2312" w:eastAsia="仿宋_GB2312" w:hAnsi="仿宋_GB2312" w:cs="仿宋_GB2312"/>
                <w:sz w:val="21"/>
                <w:szCs w:val="21"/>
              </w:rPr>
            </w:pPr>
          </w:p>
        </w:tc>
        <w:tc>
          <w:tcPr>
            <w:tcW w:w="774"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591"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5581"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566"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内乡县交通运输综合行政执法大队</w:t>
            </w:r>
          </w:p>
        </w:tc>
      </w:tr>
      <w:tr w:rsidR="0059130C">
        <w:trPr>
          <w:trHeight w:val="102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380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558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566"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102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380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558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566"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102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380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558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566"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102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380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558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566"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102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380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558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566"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102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380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558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566"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73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380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5581"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566"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rPr>
          <w:trHeight w:val="311"/>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610F6B">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调整情况：</w:t>
            </w:r>
            <w:r w:rsidR="002E22CA">
              <w:rPr>
                <w:rFonts w:ascii="仿宋_GB2312" w:eastAsia="仿宋_GB2312" w:hAnsi="仿宋_GB2312" w:cs="仿宋_GB2312" w:hint="eastAsia"/>
                <w:color w:val="000000" w:themeColor="text1"/>
                <w:szCs w:val="21"/>
              </w:rPr>
              <w:t>调整实施依据</w:t>
            </w:r>
          </w:p>
        </w:tc>
      </w:tr>
      <w:tr w:rsidR="0059130C">
        <w:trPr>
          <w:trHeight w:val="543"/>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调整原因：根据《中华人民共和国内河海事行政处罚规定》（交通运输部令2022第28</w:t>
            </w:r>
            <w:r w:rsidR="00610F6B">
              <w:rPr>
                <w:rFonts w:ascii="仿宋_GB2312" w:eastAsia="仿宋_GB2312" w:hAnsi="仿宋_GB2312" w:cs="仿宋_GB2312" w:hint="eastAsia"/>
                <w:color w:val="000000" w:themeColor="text1"/>
                <w:szCs w:val="21"/>
              </w:rPr>
              <w:t>号），</w:t>
            </w:r>
            <w:r>
              <w:rPr>
                <w:rFonts w:ascii="仿宋_GB2312" w:eastAsia="仿宋_GB2312" w:hAnsi="仿宋_GB2312" w:cs="仿宋_GB2312" w:hint="eastAsia"/>
                <w:color w:val="000000" w:themeColor="text1"/>
                <w:szCs w:val="21"/>
              </w:rPr>
              <w:t>调整实施依据</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659" w:type="dxa"/>
        <w:tblLayout w:type="fixed"/>
        <w:tblCellMar>
          <w:left w:w="15" w:type="dxa"/>
          <w:right w:w="15" w:type="dxa"/>
        </w:tblCellMar>
        <w:tblLook w:val="04A0"/>
      </w:tblPr>
      <w:tblGrid>
        <w:gridCol w:w="525"/>
        <w:gridCol w:w="1035"/>
        <w:gridCol w:w="7662"/>
        <w:gridCol w:w="637"/>
        <w:gridCol w:w="657"/>
        <w:gridCol w:w="3637"/>
        <w:gridCol w:w="506"/>
      </w:tblGrid>
      <w:tr w:rsidR="0059130C">
        <w:trPr>
          <w:trHeight w:val="536"/>
          <w:tblHeader/>
        </w:trPr>
        <w:tc>
          <w:tcPr>
            <w:tcW w:w="525" w:type="dxa"/>
            <w:tcBorders>
              <w:top w:val="single" w:sz="4" w:space="0" w:color="000000"/>
              <w:left w:val="single" w:sz="4" w:space="0" w:color="000000"/>
              <w:bottom w:val="single" w:sz="4" w:space="0" w:color="auto"/>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lastRenderedPageBreak/>
              <w:t>序号</w:t>
            </w:r>
          </w:p>
        </w:tc>
        <w:tc>
          <w:tcPr>
            <w:tcW w:w="1035"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项目名称</w:t>
            </w:r>
          </w:p>
        </w:tc>
        <w:tc>
          <w:tcPr>
            <w:tcW w:w="7662"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实施依据</w:t>
            </w:r>
          </w:p>
        </w:tc>
        <w:tc>
          <w:tcPr>
            <w:tcW w:w="637"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autoSpaceDN w:val="0"/>
              <w:spacing w:line="240" w:lineRule="exact"/>
              <w:jc w:val="center"/>
              <w:textAlignment w:val="center"/>
              <w:rPr>
                <w:rFonts w:ascii="黑体" w:eastAsia="黑体" w:hAnsi="黑体" w:cs="黑体"/>
                <w:color w:val="000000" w:themeColor="text1"/>
                <w:kern w:val="0"/>
                <w:szCs w:val="21"/>
                <w:lang/>
              </w:rPr>
            </w:pPr>
            <w:r>
              <w:rPr>
                <w:rFonts w:ascii="黑体" w:eastAsia="黑体" w:hAnsi="黑体" w:cs="黑体" w:hint="eastAsia"/>
                <w:color w:val="000000" w:themeColor="text1"/>
                <w:szCs w:val="21"/>
              </w:rPr>
              <w:t>类别</w:t>
            </w:r>
          </w:p>
        </w:tc>
        <w:tc>
          <w:tcPr>
            <w:tcW w:w="657"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环节</w:t>
            </w:r>
          </w:p>
        </w:tc>
        <w:tc>
          <w:tcPr>
            <w:tcW w:w="3637"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责任事项</w:t>
            </w:r>
          </w:p>
        </w:tc>
        <w:tc>
          <w:tcPr>
            <w:tcW w:w="506"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536"/>
        </w:trPr>
        <w:tc>
          <w:tcPr>
            <w:tcW w:w="525" w:type="dxa"/>
            <w:vMerge w:val="restart"/>
            <w:tcBorders>
              <w:top w:val="single" w:sz="4" w:space="0" w:color="auto"/>
              <w:left w:val="single" w:sz="4" w:space="0" w:color="auto"/>
              <w:bottom w:val="single" w:sz="4" w:space="0" w:color="auto"/>
              <w:right w:val="single" w:sz="4" w:space="0" w:color="auto"/>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29</w:t>
            </w:r>
          </w:p>
        </w:tc>
        <w:tc>
          <w:tcPr>
            <w:tcW w:w="1035" w:type="dxa"/>
            <w:vMerge w:val="restart"/>
            <w:tcBorders>
              <w:top w:val="single" w:sz="4" w:space="0" w:color="auto"/>
              <w:left w:val="single" w:sz="4" w:space="0" w:color="auto"/>
              <w:bottom w:val="single" w:sz="4" w:space="0" w:color="auto"/>
              <w:right w:val="single" w:sz="4" w:space="0" w:color="auto"/>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对船舶配载和运输危险货物不符合国家有关法律、法规、规章的规定和国家标准，或者未按照危险化学品的特性采取必要安全防护措施的处罚</w:t>
            </w:r>
          </w:p>
        </w:tc>
        <w:tc>
          <w:tcPr>
            <w:tcW w:w="7662" w:type="dxa"/>
            <w:vMerge w:val="restart"/>
            <w:tcBorders>
              <w:top w:val="single" w:sz="4" w:space="0" w:color="auto"/>
              <w:left w:val="single" w:sz="4" w:space="0" w:color="auto"/>
              <w:bottom w:val="single" w:sz="4" w:space="0" w:color="auto"/>
              <w:right w:val="single" w:sz="4" w:space="0" w:color="auto"/>
            </w:tcBorders>
            <w:vAlign w:val="center"/>
          </w:tcPr>
          <w:p w:rsidR="0059130C" w:rsidRDefault="002E22CA">
            <w:pPr>
              <w:pStyle w:val="a6"/>
              <w:spacing w:beforeAutospacing="0" w:afterAutospacing="0" w:line="280" w:lineRule="exact"/>
              <w:jc w:val="both"/>
              <w:rPr>
                <w:rFonts w:ascii="仿宋_GB2312" w:eastAsia="仿宋_GB2312" w:hAnsi="仿宋_GB2312" w:cs="仿宋_GB2312"/>
                <w:sz w:val="21"/>
                <w:szCs w:val="21"/>
              </w:rPr>
            </w:pPr>
            <w:r>
              <w:rPr>
                <w:rFonts w:ascii="仿宋_GB2312" w:eastAsia="仿宋_GB2312" w:hAnsi="仿宋_GB2312" w:cs="仿宋_GB2312" w:hint="eastAsia"/>
                <w:sz w:val="21"/>
                <w:szCs w:val="21"/>
              </w:rPr>
              <w:t>《中华人民共和国内河海事行政处罚规定》（ 2021年8月11日交通运输部2021第20号令）第二十四条 违反《内河交通安全管理条例》和《危险化学品安全管理条例》第四十五条的规定，船舶配载和运输危险货物不符合国家有关法律、法规、规章的规定和国家标准，或者未按照危险化学品的特性采取必要安全防护措施的，依照《危险化学品安全管理条例》第八十六条的规定，责令改正，对船舶所有人或者经营人处以 5 万元以上10万元以下的罚款；拒不改正的，责令停航整顿。 本条前款所称不符合国家有关法律、法规、规章的规定 和国家标准，并按照危险化学品的特性采取必要安全防护措施的，包括下列情形： （一）船舶未按照规定进行</w:t>
            </w:r>
            <w:proofErr w:type="gramStart"/>
            <w:r>
              <w:rPr>
                <w:rFonts w:ascii="仿宋_GB2312" w:eastAsia="仿宋_GB2312" w:hAnsi="仿宋_GB2312" w:cs="仿宋_GB2312" w:hint="eastAsia"/>
                <w:sz w:val="21"/>
                <w:szCs w:val="21"/>
              </w:rPr>
              <w:t>积载和隔离</w:t>
            </w:r>
            <w:proofErr w:type="gramEnd"/>
            <w:r>
              <w:rPr>
                <w:rFonts w:ascii="仿宋_GB2312" w:eastAsia="仿宋_GB2312" w:hAnsi="仿宋_GB2312" w:cs="仿宋_GB2312" w:hint="eastAsia"/>
                <w:sz w:val="21"/>
                <w:szCs w:val="21"/>
              </w:rPr>
              <w:t>；（二）船舶载运不符合规定的集装箱危险货物； （三）装载危险货物的集装箱进出口或者中转未持有《集装箱装箱证明书》或者等效的证明文件； （四）船舶装载危险货物违反限量、衬垫、紧固规定； （五）船舶擅自装运未经评估核定危害性的新化学品；（六）使用不符合要求的船舶装卸设备、机具装卸危险货物，或者违反安全操作规程进行作业，或者影响装卸作业安全的设备出现故障、存在缺陷，不及时纠正而继续进行装卸作业；（七）船舶装卸危险货物时，未经批准，在装卸作业现场进行明火作业； （八）船舶在装卸爆炸品、闪点 23°C 以下的易燃液体，或者散化、液化气体船在装卸易燃易爆货物过程中，检修或者使用雷达、无线电发射机和易产生火花的工（机）具拷铲， 或者进行加油、允许他船并靠加水作业；（九）装载易燃液体、挥发性易燃易爆散装化学品和液化气体的船舶在修理前不按照规定通风测爆；（十）液货船未按照规定进行驱气或者洗舱作业；（十一）液货船在装卸作业时不按照规定采取安全</w:t>
            </w:r>
            <w:proofErr w:type="gramStart"/>
            <w:r>
              <w:rPr>
                <w:rFonts w:ascii="仿宋_GB2312" w:eastAsia="仿宋_GB2312" w:hAnsi="仿宋_GB2312" w:cs="仿宋_GB2312" w:hint="eastAsia"/>
                <w:sz w:val="21"/>
                <w:szCs w:val="21"/>
              </w:rPr>
              <w:t>措</w:t>
            </w:r>
            <w:proofErr w:type="gramEnd"/>
            <w:r>
              <w:rPr>
                <w:rFonts w:ascii="仿宋_GB2312" w:eastAsia="仿宋_GB2312" w:hAnsi="仿宋_GB2312" w:cs="仿宋_GB2312" w:hint="eastAsia"/>
                <w:sz w:val="21"/>
                <w:szCs w:val="21"/>
              </w:rPr>
              <w:t xml:space="preserve">—施；（十二）在液货船上随身携带易燃物品或者在甲板上放置、使用聚焦物品；（十三）在禁止吸烟、明火的船舶处所吸烟或者使用明火；（十四）在装卸、载运易燃易爆货物或者空舱内仍有可燃气体的船舶作业现场穿带钉的鞋靴或者穿着、更换化纤服装；（十五）在海事管理机构公布的水域以外擅自从事过驳作业；（十六）在进行液货船水上过驳作业时违反安全与防污 </w:t>
            </w:r>
          </w:p>
          <w:p w:rsidR="0059130C" w:rsidRDefault="002E22CA">
            <w:pPr>
              <w:pStyle w:val="a6"/>
              <w:spacing w:beforeAutospacing="0" w:afterAutospacing="0" w:line="280" w:lineRule="exact"/>
              <w:jc w:val="both"/>
              <w:rPr>
                <w:rFonts w:ascii="仿宋_GB2312" w:eastAsia="仿宋_GB2312" w:hAnsi="仿宋_GB2312" w:cs="仿宋_GB2312"/>
                <w:sz w:val="21"/>
                <w:szCs w:val="21"/>
              </w:rPr>
            </w:pPr>
            <w:proofErr w:type="gramStart"/>
            <w:r>
              <w:rPr>
                <w:rFonts w:ascii="仿宋_GB2312" w:eastAsia="仿宋_GB2312" w:hAnsi="仿宋_GB2312" w:cs="仿宋_GB2312" w:hint="eastAsia"/>
                <w:sz w:val="21"/>
                <w:szCs w:val="21"/>
              </w:rPr>
              <w:t>染管理</w:t>
            </w:r>
            <w:proofErr w:type="gramEnd"/>
            <w:r>
              <w:rPr>
                <w:rFonts w:ascii="仿宋_GB2312" w:eastAsia="仿宋_GB2312" w:hAnsi="仿宋_GB2312" w:cs="仿宋_GB2312" w:hint="eastAsia"/>
                <w:sz w:val="21"/>
                <w:szCs w:val="21"/>
              </w:rPr>
              <w:t xml:space="preserve">规定，或者违反安全操作规程；（十七）船舶进行供油作业时，不按照规定填写《供受油作业安全检查表》，或者不按照《供受油作业安全检查表》采取安全和防污染措施；（十八）船舶载运危险货物，向海事管理机构申报时隐瞒、谎报危险货物性质或者提交涂改、伪造、变造的危险货物单证； </w:t>
            </w:r>
          </w:p>
          <w:p w:rsidR="0059130C" w:rsidRDefault="002E22CA">
            <w:pPr>
              <w:pStyle w:val="a6"/>
              <w:numPr>
                <w:ilvl w:val="0"/>
                <w:numId w:val="1"/>
              </w:numPr>
              <w:spacing w:beforeAutospacing="0" w:afterAutospacing="0" w:line="280" w:lineRule="exact"/>
              <w:jc w:val="both"/>
              <w:rPr>
                <w:rFonts w:ascii="仿宋_GB2312" w:eastAsia="仿宋_GB2312" w:hAnsi="仿宋_GB2312" w:cs="仿宋_GB2312"/>
                <w:sz w:val="21"/>
                <w:szCs w:val="21"/>
              </w:rPr>
            </w:pPr>
            <w:r>
              <w:rPr>
                <w:rFonts w:ascii="仿宋_GB2312" w:eastAsia="仿宋_GB2312" w:hAnsi="仿宋_GB2312" w:cs="仿宋_GB2312" w:hint="eastAsia"/>
                <w:sz w:val="21"/>
                <w:szCs w:val="21"/>
              </w:rPr>
              <w:t>在航行、装卸或者停泊时，未按照规定显示信号。</w:t>
            </w:r>
          </w:p>
          <w:p w:rsidR="0059130C" w:rsidRDefault="00E9165C">
            <w:pPr>
              <w:pStyle w:val="a6"/>
              <w:spacing w:beforeAutospacing="0" w:afterAutospacing="0" w:line="280" w:lineRule="exact"/>
              <w:jc w:val="both"/>
              <w:rPr>
                <w:rFonts w:ascii="仿宋_GB2312" w:eastAsia="仿宋_GB2312" w:hAnsi="仿宋_GB2312" w:cs="仿宋_GB2312"/>
                <w:sz w:val="21"/>
                <w:szCs w:val="21"/>
              </w:rPr>
            </w:pPr>
            <w:r>
              <w:rPr>
                <w:rFonts w:ascii="仿宋_GB2312" w:eastAsia="仿宋_GB2312" w:hAnsi="仿宋_GB2312" w:cs="仿宋_GB2312" w:hint="eastAsia"/>
                <w:sz w:val="21"/>
                <w:szCs w:val="21"/>
              </w:rPr>
              <w:t>调整</w:t>
            </w:r>
            <w:r w:rsidR="002E22CA">
              <w:rPr>
                <w:rFonts w:ascii="仿宋_GB2312" w:eastAsia="仿宋_GB2312" w:hAnsi="仿宋_GB2312" w:cs="仿宋_GB2312" w:hint="eastAsia"/>
                <w:sz w:val="21"/>
                <w:szCs w:val="21"/>
              </w:rPr>
              <w:t>为：</w:t>
            </w:r>
            <w:r w:rsidR="002E22CA">
              <w:rPr>
                <w:rFonts w:ascii="仿宋_GB2312" w:eastAsia="仿宋_GB2312" w:hAnsi="仿宋_GB2312" w:cs="仿宋_GB2312" w:hint="eastAsia"/>
                <w:sz w:val="21"/>
                <w:szCs w:val="21"/>
                <w:u w:val="single"/>
              </w:rPr>
              <w:t>《中华人民共和国内河海事行政处罚规定》（交通运输部令2022第28号）第二十四条：“违反《内河交通安全管理条例》和《危险化学品安全管理条例》第</w:t>
            </w:r>
            <w:r w:rsidR="002E22CA">
              <w:rPr>
                <w:rFonts w:ascii="仿宋_GB2312" w:eastAsia="仿宋_GB2312" w:hAnsi="仿宋_GB2312" w:cs="仿宋_GB2312" w:hint="eastAsia"/>
                <w:sz w:val="21"/>
                <w:szCs w:val="21"/>
                <w:u w:val="single"/>
              </w:rPr>
              <w:lastRenderedPageBreak/>
              <w:t>四十五条的规定，船舶配载和运输危险货物不符合国家有关法律、法规、规章的规定和国家标准，或者未按照危险化学品的特性采取必要安全防护措施的，依照《危险化学品安全管理条例》第八十六条的规定，责令改正，对船舶所有人或者经营人处以5万元以上10万元以下的罚款；拒不改正的，责令停航整顿。本条前款所称不符合国家有关法律、法规、规章的规定和国家标准，并按照危险化学品的特性采取必要安全防护措施的，包括下列情形：（一）船舶未按照规定进行</w:t>
            </w:r>
            <w:proofErr w:type="gramStart"/>
            <w:r w:rsidR="002E22CA">
              <w:rPr>
                <w:rFonts w:ascii="仿宋_GB2312" w:eastAsia="仿宋_GB2312" w:hAnsi="仿宋_GB2312" w:cs="仿宋_GB2312" w:hint="eastAsia"/>
                <w:sz w:val="21"/>
                <w:szCs w:val="21"/>
                <w:u w:val="single"/>
              </w:rPr>
              <w:t>积载和隔离</w:t>
            </w:r>
            <w:proofErr w:type="gramEnd"/>
            <w:r w:rsidR="002E22CA">
              <w:rPr>
                <w:rFonts w:ascii="仿宋_GB2312" w:eastAsia="仿宋_GB2312" w:hAnsi="仿宋_GB2312" w:cs="仿宋_GB2312" w:hint="eastAsia"/>
                <w:sz w:val="21"/>
                <w:szCs w:val="21"/>
                <w:u w:val="single"/>
              </w:rPr>
              <w:t>；（二）船舶载运不符合规定的集装箱危险货物；（三）装载危险货物的集装箱进出口或者中转未持有《集装箱装箱证明书》或者等效的证明文件；（四）船舶装载危险货物违反限量、衬垫、紧固规定；（五）船舶擅自装运未经评估核定危害性的新化学品；（六）使用不符合要求的船舶装卸设备、机具装卸危险货物，或者违反安全操作规程进行作业，或者影响装卸作业安全的设备出现故障、存在缺陷，不及时纠正而继续进行装卸作业；（七）船舶装卸危险货物时，未经批准，在装卸作业现场进行明火作业；（八）船舶在装卸爆炸品、闪点23℃以下的易燃液体，或者散化、液化气体船在装卸易燃易爆货物过程中，检修或者使用雷达、无线电发射机和易产生火花的工（机）具拷铲，或者进行加油、允许他船并靠加水作业；（九）装载易燃液体、挥发性易燃易爆散装化学品和液化气体的船舶在修理前不按照规定通风测爆；（十）液货船未按照规定进行驱气或者洗舱作业；（十一）液货船在装卸作业时不按照规定采取安全措施；（十二）在液货船上随身携带易燃物品或者在甲板上放置、使用聚焦物品；（十三）在禁止吸烟、明火的船舶处所吸烟或者使用明火；（十四）在装卸、载运易燃易爆货物或者空舱内仍有可燃气体的船舶作业现场穿带钉的鞋靴或者穿着、更换化纤服装；（十五）在海事管理机构公布的水域以外擅自从事过驳作业；（十六）在进行液货船水上过驳作业时违反安全与防污染管理规定，或者违反安全操作规程；（十七）船舶进行供油作业时，不按照规定填写《供受油作业安全检查表》，或者不按照《供受油作业安全检查表》采取安全和防污染措施；（十八）船舶载运危险货物，向海事管理机构申报时隐瞒、谎报危险货物性质或者提交涂改、伪造、变造的危险货物单证；（十九）在航行、装卸或者停泊时，未按照规定显示信号。”</w:t>
            </w:r>
          </w:p>
        </w:tc>
        <w:tc>
          <w:tcPr>
            <w:tcW w:w="637" w:type="dxa"/>
            <w:vMerge w:val="restart"/>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lastRenderedPageBreak/>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657" w:type="dxa"/>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3637" w:type="dxa"/>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506" w:type="dxa"/>
            <w:vMerge w:val="restart"/>
            <w:tcBorders>
              <w:top w:val="single" w:sz="4" w:space="0" w:color="auto"/>
              <w:left w:val="single" w:sz="4" w:space="0" w:color="auto"/>
              <w:bottom w:val="single" w:sz="4" w:space="0" w:color="auto"/>
              <w:right w:val="single" w:sz="4" w:space="0" w:color="auto"/>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内乡县交通运输综合行政执法大队</w:t>
            </w:r>
          </w:p>
        </w:tc>
      </w:tr>
      <w:tr w:rsidR="0059130C">
        <w:trPr>
          <w:trHeight w:val="1075"/>
        </w:trPr>
        <w:tc>
          <w:tcPr>
            <w:tcW w:w="525" w:type="dxa"/>
            <w:vMerge/>
            <w:tcBorders>
              <w:top w:val="single" w:sz="4" w:space="0" w:color="auto"/>
              <w:left w:val="single" w:sz="4" w:space="0" w:color="auto"/>
              <w:bottom w:val="single" w:sz="4" w:space="0" w:color="auto"/>
              <w:right w:val="single" w:sz="4" w:space="0" w:color="auto"/>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035"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7662"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637"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57" w:type="dxa"/>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3637" w:type="dxa"/>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506"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770"/>
        </w:trPr>
        <w:tc>
          <w:tcPr>
            <w:tcW w:w="525" w:type="dxa"/>
            <w:vMerge/>
            <w:tcBorders>
              <w:top w:val="single" w:sz="4" w:space="0" w:color="auto"/>
              <w:left w:val="single" w:sz="4" w:space="0" w:color="auto"/>
              <w:bottom w:val="single" w:sz="4" w:space="0" w:color="auto"/>
              <w:right w:val="single" w:sz="4" w:space="0" w:color="auto"/>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035"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7662"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637"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57" w:type="dxa"/>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3637" w:type="dxa"/>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506"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90"/>
        </w:trPr>
        <w:tc>
          <w:tcPr>
            <w:tcW w:w="525" w:type="dxa"/>
            <w:vMerge/>
            <w:tcBorders>
              <w:top w:val="single" w:sz="4" w:space="0" w:color="auto"/>
              <w:left w:val="single" w:sz="4" w:space="0" w:color="auto"/>
              <w:bottom w:val="single" w:sz="4" w:space="0" w:color="auto"/>
              <w:right w:val="single" w:sz="4" w:space="0" w:color="auto"/>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035"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7662"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637"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57" w:type="dxa"/>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3637" w:type="dxa"/>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506"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680"/>
        </w:trPr>
        <w:tc>
          <w:tcPr>
            <w:tcW w:w="525" w:type="dxa"/>
            <w:vMerge/>
            <w:tcBorders>
              <w:top w:val="single" w:sz="4" w:space="0" w:color="auto"/>
              <w:left w:val="single" w:sz="4" w:space="0" w:color="auto"/>
              <w:bottom w:val="single" w:sz="4" w:space="0" w:color="auto"/>
              <w:right w:val="single" w:sz="4" w:space="0" w:color="auto"/>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035"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7662"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637"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57" w:type="dxa"/>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3637" w:type="dxa"/>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506"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40"/>
        </w:trPr>
        <w:tc>
          <w:tcPr>
            <w:tcW w:w="525" w:type="dxa"/>
            <w:vMerge/>
            <w:tcBorders>
              <w:top w:val="single" w:sz="4" w:space="0" w:color="auto"/>
              <w:left w:val="single" w:sz="4" w:space="0" w:color="auto"/>
              <w:bottom w:val="single" w:sz="4" w:space="0" w:color="auto"/>
              <w:right w:val="single" w:sz="4" w:space="0" w:color="auto"/>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035"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7662"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637"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57" w:type="dxa"/>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3637" w:type="dxa"/>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506"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590"/>
        </w:trPr>
        <w:tc>
          <w:tcPr>
            <w:tcW w:w="525" w:type="dxa"/>
            <w:vMerge/>
            <w:tcBorders>
              <w:top w:val="single" w:sz="4" w:space="0" w:color="auto"/>
              <w:left w:val="single" w:sz="4" w:space="0" w:color="auto"/>
              <w:bottom w:val="single" w:sz="4" w:space="0" w:color="auto"/>
              <w:right w:val="single" w:sz="4" w:space="0" w:color="auto"/>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035"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7662"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637"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57" w:type="dxa"/>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3637" w:type="dxa"/>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506"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1367"/>
        </w:trPr>
        <w:tc>
          <w:tcPr>
            <w:tcW w:w="525" w:type="dxa"/>
            <w:vMerge/>
            <w:tcBorders>
              <w:top w:val="single" w:sz="4" w:space="0" w:color="auto"/>
              <w:left w:val="single" w:sz="4" w:space="0" w:color="auto"/>
              <w:bottom w:val="single" w:sz="4" w:space="0" w:color="auto"/>
              <w:right w:val="single" w:sz="4" w:space="0" w:color="auto"/>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035"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7662"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637"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57" w:type="dxa"/>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3637" w:type="dxa"/>
            <w:tcBorders>
              <w:top w:val="single" w:sz="4" w:space="0" w:color="auto"/>
              <w:left w:val="single" w:sz="4" w:space="0" w:color="auto"/>
              <w:bottom w:val="single" w:sz="4" w:space="0" w:color="auto"/>
              <w:right w:val="single" w:sz="4" w:space="0" w:color="auto"/>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506" w:type="dxa"/>
            <w:vMerge/>
            <w:tcBorders>
              <w:top w:val="single" w:sz="4" w:space="0" w:color="auto"/>
              <w:left w:val="single" w:sz="4" w:space="0" w:color="auto"/>
              <w:bottom w:val="single" w:sz="4" w:space="0" w:color="auto"/>
              <w:right w:val="single" w:sz="4" w:space="0" w:color="auto"/>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rPr>
          <w:trHeight w:val="311"/>
        </w:trPr>
        <w:tc>
          <w:tcPr>
            <w:tcW w:w="525" w:type="dxa"/>
            <w:vMerge/>
            <w:tcBorders>
              <w:top w:val="single" w:sz="4" w:space="0" w:color="auto"/>
              <w:left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4134" w:type="dxa"/>
            <w:gridSpan w:val="6"/>
            <w:tcBorders>
              <w:top w:val="single" w:sz="4" w:space="0" w:color="auto"/>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情况：</w:t>
            </w: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实施依据</w:t>
            </w:r>
          </w:p>
        </w:tc>
      </w:tr>
      <w:tr w:rsidR="0059130C">
        <w:trPr>
          <w:trHeight w:val="543"/>
        </w:trPr>
        <w:tc>
          <w:tcPr>
            <w:tcW w:w="525" w:type="dxa"/>
            <w:vMerge/>
            <w:tcBorders>
              <w:left w:val="single" w:sz="4" w:space="0" w:color="auto"/>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4134"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原因：根据《中华人民共和国内河海事行政处罚规定》（交通运输部令2022第28号），</w:t>
            </w: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实施依据</w:t>
            </w:r>
          </w:p>
        </w:tc>
      </w:tr>
    </w:tbl>
    <w:p w:rsidR="0059130C" w:rsidRDefault="002E22CA">
      <w:pPr>
        <w:spacing w:line="240" w:lineRule="exact"/>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br w:type="page"/>
      </w:r>
    </w:p>
    <w:tbl>
      <w:tblPr>
        <w:tblW w:w="13632" w:type="dxa"/>
        <w:jc w:val="center"/>
        <w:tblLayout w:type="fixed"/>
        <w:tblCellMar>
          <w:left w:w="15" w:type="dxa"/>
          <w:right w:w="15" w:type="dxa"/>
        </w:tblCellMar>
        <w:tblLook w:val="04A0"/>
      </w:tblPr>
      <w:tblGrid>
        <w:gridCol w:w="717"/>
        <w:gridCol w:w="1316"/>
        <w:gridCol w:w="4087"/>
        <w:gridCol w:w="774"/>
        <w:gridCol w:w="591"/>
        <w:gridCol w:w="4557"/>
        <w:gridCol w:w="1590"/>
      </w:tblGrid>
      <w:tr w:rsidR="0059130C">
        <w:trPr>
          <w:trHeight w:val="536"/>
          <w:jc w:val="center"/>
        </w:trPr>
        <w:tc>
          <w:tcPr>
            <w:tcW w:w="717"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lastRenderedPageBreak/>
              <w:t>序号</w:t>
            </w:r>
          </w:p>
        </w:tc>
        <w:tc>
          <w:tcPr>
            <w:tcW w:w="1316"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项目名称</w:t>
            </w:r>
          </w:p>
        </w:tc>
        <w:tc>
          <w:tcPr>
            <w:tcW w:w="4087"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实施依据</w:t>
            </w:r>
          </w:p>
        </w:tc>
        <w:tc>
          <w:tcPr>
            <w:tcW w:w="774"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类别</w:t>
            </w:r>
          </w:p>
        </w:tc>
        <w:tc>
          <w:tcPr>
            <w:tcW w:w="591"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环节</w:t>
            </w:r>
          </w:p>
        </w:tc>
        <w:tc>
          <w:tcPr>
            <w:tcW w:w="4557"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责任事项</w:t>
            </w:r>
          </w:p>
        </w:tc>
        <w:tc>
          <w:tcPr>
            <w:tcW w:w="1590"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536"/>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30</w:t>
            </w:r>
          </w:p>
        </w:tc>
        <w:tc>
          <w:tcPr>
            <w:tcW w:w="131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不按规定通过船舶载运危险化学品的处罚</w:t>
            </w:r>
          </w:p>
        </w:tc>
        <w:tc>
          <w:tcPr>
            <w:tcW w:w="4087"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《中华人民共和国内河海事行政处罚规定》（ 2021年8月11日交通运输部2021第20号令）第二十五条 违反《危险化学品安全管理条例》第六十三条的规定，通过船舶载运危险化学品，托运人不向承运人说明所托运的危险化学品的种类、数量、危险特性以及发生危险情况的应急处置措施，或者未按照国家有关规定对所托运的危险化学品妥善包装并在外包装上设置相应标志的，依照《危险化学品安全管理条例》第八十六条的规定，由海事管理机构责令改正，对托运人处以 5 万元以上 10 万元以下的罚款；拒不改正的，责令停航整顿。</w:t>
            </w:r>
          </w:p>
          <w:p w:rsidR="0059130C" w:rsidRDefault="00E9165C">
            <w:pPr>
              <w:overflowPunct w:val="0"/>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为：</w:t>
            </w:r>
            <w:r w:rsidR="002E22CA">
              <w:rPr>
                <w:rFonts w:ascii="仿宋_GB2312" w:eastAsia="仿宋_GB2312" w:hAnsi="仿宋_GB2312" w:cs="仿宋_GB2312" w:hint="eastAsia"/>
                <w:szCs w:val="21"/>
                <w:u w:val="single"/>
              </w:rPr>
              <w:t>《中华人民共和国内河海事行政处罚规定》（交通运输部令2022第28号）第二十五条：“违反《危险化学品安全管理条例》第六十三条的规定，通过船舶载运危险化学品，托运人不向承运人说明所托运的危险化学品的种类、数量、危险特性以及发生危险情况的应急处置措施，或者未按照国家有关规定对所托运的危险化学品妥善包装并在外包装上设置相应标志的，依照《危险化学品安全管理条例》第八十六条的规定，由海事管理机构责令改正，对托运人处以5万元以上10万元以下的罚款；拒不改正的，责令停航整顿。”</w:t>
            </w:r>
          </w:p>
        </w:tc>
        <w:tc>
          <w:tcPr>
            <w:tcW w:w="774"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591"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557"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内乡县交通运输综合行政执法大队</w:t>
            </w:r>
          </w:p>
        </w:tc>
      </w:tr>
      <w:tr w:rsidR="0059130C">
        <w:trPr>
          <w:trHeight w:val="1075"/>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77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9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68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4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59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1651"/>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557"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rPr>
          <w:trHeight w:val="311"/>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情况：</w:t>
            </w: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实施依据</w:t>
            </w:r>
          </w:p>
        </w:tc>
      </w:tr>
      <w:tr w:rsidR="0059130C">
        <w:trPr>
          <w:trHeight w:val="543"/>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原因：根据《中华人民共和国内河海事行政处罚规定》（交通运输部令2022第28号），</w:t>
            </w: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实施依据</w:t>
            </w:r>
          </w:p>
        </w:tc>
      </w:tr>
    </w:tbl>
    <w:p w:rsidR="0059130C" w:rsidRDefault="002E22CA">
      <w:pPr>
        <w:spacing w:line="240" w:lineRule="exact"/>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br w:type="page"/>
      </w:r>
    </w:p>
    <w:tbl>
      <w:tblPr>
        <w:tblW w:w="13632" w:type="dxa"/>
        <w:jc w:val="center"/>
        <w:tblLayout w:type="fixed"/>
        <w:tblCellMar>
          <w:left w:w="15" w:type="dxa"/>
          <w:right w:w="15" w:type="dxa"/>
        </w:tblCellMar>
        <w:tblLook w:val="04A0"/>
      </w:tblPr>
      <w:tblGrid>
        <w:gridCol w:w="717"/>
        <w:gridCol w:w="1316"/>
        <w:gridCol w:w="4087"/>
        <w:gridCol w:w="774"/>
        <w:gridCol w:w="591"/>
        <w:gridCol w:w="4557"/>
        <w:gridCol w:w="1590"/>
      </w:tblGrid>
      <w:tr w:rsidR="0059130C">
        <w:trPr>
          <w:trHeight w:val="536"/>
          <w:jc w:val="center"/>
        </w:trPr>
        <w:tc>
          <w:tcPr>
            <w:tcW w:w="717"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lastRenderedPageBreak/>
              <w:t>序号</w:t>
            </w:r>
          </w:p>
        </w:tc>
        <w:tc>
          <w:tcPr>
            <w:tcW w:w="1316"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项目名称</w:t>
            </w:r>
          </w:p>
        </w:tc>
        <w:tc>
          <w:tcPr>
            <w:tcW w:w="4087"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实施依据</w:t>
            </w:r>
          </w:p>
        </w:tc>
        <w:tc>
          <w:tcPr>
            <w:tcW w:w="774"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autoSpaceDN w:val="0"/>
              <w:spacing w:line="240" w:lineRule="exact"/>
              <w:jc w:val="center"/>
              <w:textAlignment w:val="center"/>
              <w:rPr>
                <w:rFonts w:ascii="黑体" w:eastAsia="黑体" w:hAnsi="黑体" w:cs="黑体"/>
                <w:color w:val="000000" w:themeColor="text1"/>
                <w:kern w:val="0"/>
                <w:szCs w:val="21"/>
                <w:lang/>
              </w:rPr>
            </w:pPr>
            <w:r>
              <w:rPr>
                <w:rFonts w:ascii="黑体" w:eastAsia="黑体" w:hAnsi="黑体" w:cs="黑体" w:hint="eastAsia"/>
                <w:color w:val="000000" w:themeColor="text1"/>
                <w:szCs w:val="21"/>
              </w:rPr>
              <w:t>类别</w:t>
            </w:r>
          </w:p>
        </w:tc>
        <w:tc>
          <w:tcPr>
            <w:tcW w:w="591"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环节</w:t>
            </w:r>
          </w:p>
        </w:tc>
        <w:tc>
          <w:tcPr>
            <w:tcW w:w="4557"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责任事项</w:t>
            </w:r>
          </w:p>
        </w:tc>
        <w:tc>
          <w:tcPr>
            <w:tcW w:w="1590"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536"/>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31</w:t>
            </w:r>
          </w:p>
        </w:tc>
        <w:tc>
          <w:tcPr>
            <w:tcW w:w="131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对通过船舶运载危险化学品夹带普通货物的处罚</w:t>
            </w:r>
          </w:p>
        </w:tc>
        <w:tc>
          <w:tcPr>
            <w:tcW w:w="4087"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《中华人民共和国内河海事行政处罚规定》（ 2021年8月11日交通运输部2021第20号令）第二十六条 违反《危险化学品安全管理条例》第六十四条的规定，通过船舶载运危险化学品，在托运的普通货物中夹带危险化学品，或者将危险化学品谎报或者匿报为普通货物托运的，依照《危险化学品安全管理条例》第八十七条的规定，由海事管理机构责令改正，对托运人处以 10 万元以上 20 万元以下的罚款，有违法所得的，没收违法所得；拒不改正的，责令停航整顿。</w:t>
            </w:r>
          </w:p>
          <w:p w:rsidR="0059130C" w:rsidRDefault="00E9165C">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调整</w:t>
            </w:r>
            <w:r w:rsidR="002E22CA">
              <w:rPr>
                <w:rFonts w:ascii="仿宋_GB2312" w:eastAsia="仿宋_GB2312" w:hAnsi="仿宋_GB2312" w:cs="仿宋_GB2312" w:hint="eastAsia"/>
                <w:sz w:val="21"/>
                <w:szCs w:val="21"/>
              </w:rPr>
              <w:t>为：</w:t>
            </w:r>
            <w:r w:rsidR="002E22CA">
              <w:rPr>
                <w:rFonts w:ascii="仿宋_GB2312" w:eastAsia="仿宋_GB2312" w:hAnsi="仿宋_GB2312" w:cs="仿宋_GB2312" w:hint="eastAsia"/>
                <w:sz w:val="21"/>
                <w:szCs w:val="21"/>
                <w:u w:val="single"/>
                <w:lang/>
              </w:rPr>
              <w:t>《中华人民共和国内河海事行政处罚规定》（交通运输部令2022第28号）第二十六条：“违反《危险化学品安全管理条例》第六十四条的规定，通过船舶载运危险化学品，在托运的普通货物中夹带危险化学品，或者将危险化学品谎报或者匿报为普通货物托运的，依照《危险化学品安全管理条例》第八十七条的规定，由海事管理机构责令改正，对托运人处以10万元以上20万元以下的罚款，有违法所得的，没收违法所得；拒不改正的，责令停航整顿。”</w:t>
            </w:r>
          </w:p>
        </w:tc>
        <w:tc>
          <w:tcPr>
            <w:tcW w:w="774"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591"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557"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内乡县交通运输综合行政执法大队</w:t>
            </w:r>
          </w:p>
        </w:tc>
      </w:tr>
      <w:tr w:rsidR="0059130C">
        <w:trPr>
          <w:trHeight w:val="1075"/>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77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9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68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4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59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1651"/>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557"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rPr>
          <w:trHeight w:val="311"/>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情况：</w:t>
            </w: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实施依据</w:t>
            </w:r>
          </w:p>
        </w:tc>
      </w:tr>
      <w:tr w:rsidR="0059130C">
        <w:trPr>
          <w:trHeight w:val="543"/>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原因：根据《中华人民共和国内河海事行政处罚规定》（交通运输部令2022第28号），</w:t>
            </w: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实施依据</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3632" w:type="dxa"/>
        <w:jc w:val="center"/>
        <w:tblLayout w:type="fixed"/>
        <w:tblCellMar>
          <w:left w:w="15" w:type="dxa"/>
          <w:right w:w="15" w:type="dxa"/>
        </w:tblCellMar>
        <w:tblLook w:val="04A0"/>
      </w:tblPr>
      <w:tblGrid>
        <w:gridCol w:w="597"/>
        <w:gridCol w:w="619"/>
        <w:gridCol w:w="5737"/>
        <w:gridCol w:w="563"/>
        <w:gridCol w:w="618"/>
        <w:gridCol w:w="4950"/>
        <w:gridCol w:w="548"/>
      </w:tblGrid>
      <w:tr w:rsidR="0059130C">
        <w:trPr>
          <w:trHeight w:val="23"/>
          <w:jc w:val="center"/>
        </w:trPr>
        <w:tc>
          <w:tcPr>
            <w:tcW w:w="597"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lastRenderedPageBreak/>
              <w:t>序号</w:t>
            </w:r>
          </w:p>
        </w:tc>
        <w:tc>
          <w:tcPr>
            <w:tcW w:w="619"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项目名称</w:t>
            </w:r>
          </w:p>
        </w:tc>
        <w:tc>
          <w:tcPr>
            <w:tcW w:w="5737"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u w:val="single"/>
              </w:rPr>
            </w:pPr>
            <w:r>
              <w:rPr>
                <w:rFonts w:ascii="黑体" w:eastAsia="黑体" w:hAnsi="黑体" w:cs="黑体" w:hint="eastAsia"/>
                <w:color w:val="000000" w:themeColor="text1"/>
                <w:szCs w:val="21"/>
              </w:rPr>
              <w:t>实施依据</w:t>
            </w:r>
          </w:p>
        </w:tc>
        <w:tc>
          <w:tcPr>
            <w:tcW w:w="563"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autoSpaceDN w:val="0"/>
              <w:spacing w:line="240" w:lineRule="exact"/>
              <w:jc w:val="center"/>
              <w:textAlignment w:val="center"/>
              <w:rPr>
                <w:rFonts w:ascii="黑体" w:eastAsia="黑体" w:hAnsi="黑体" w:cs="黑体"/>
                <w:color w:val="000000" w:themeColor="text1"/>
                <w:kern w:val="0"/>
                <w:szCs w:val="21"/>
                <w:lang/>
              </w:rPr>
            </w:pPr>
            <w:r>
              <w:rPr>
                <w:rFonts w:ascii="黑体" w:eastAsia="黑体" w:hAnsi="黑体" w:cs="黑体" w:hint="eastAsia"/>
                <w:color w:val="000000" w:themeColor="text1"/>
                <w:szCs w:val="21"/>
              </w:rPr>
              <w:t>类别</w:t>
            </w:r>
          </w:p>
        </w:tc>
        <w:tc>
          <w:tcPr>
            <w:tcW w:w="618"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环节</w:t>
            </w:r>
          </w:p>
        </w:tc>
        <w:tc>
          <w:tcPr>
            <w:tcW w:w="4950"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责任事项</w:t>
            </w:r>
          </w:p>
        </w:tc>
        <w:tc>
          <w:tcPr>
            <w:tcW w:w="548"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1077"/>
          <w:jc w:val="center"/>
        </w:trPr>
        <w:tc>
          <w:tcPr>
            <w:tcW w:w="59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32</w:t>
            </w:r>
          </w:p>
        </w:tc>
        <w:tc>
          <w:tcPr>
            <w:tcW w:w="619"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对向水体倾倒油污、废水及不按规定进行船舶拆解的处罚</w:t>
            </w:r>
          </w:p>
        </w:tc>
        <w:tc>
          <w:tcPr>
            <w:tcW w:w="5737"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 xml:space="preserve">《中华人民共和国内河海事行政处罚规定》（ 2021年8月11日交通运输部2021第20号令）第三十四条 违反《水污染防治法》规定，有下列行为之一的，依照《水污染防治法》第九十条的规定进行处罚： </w:t>
            </w:r>
          </w:p>
          <w:p w:rsidR="0059130C" w:rsidRDefault="002E22CA">
            <w:pPr>
              <w:overflowPunct w:val="0"/>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 xml:space="preserve">（一）向水体倾倒船舶垃圾或者排放船舶的残油、废油的； </w:t>
            </w:r>
          </w:p>
          <w:p w:rsidR="0059130C" w:rsidRDefault="002E22CA">
            <w:pPr>
              <w:overflowPunct w:val="0"/>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 xml:space="preserve">（二）未经作业地海事管理机构批准，船舶进行散装液体污染危害性货物的过驳作业的； </w:t>
            </w:r>
          </w:p>
          <w:p w:rsidR="0059130C" w:rsidRDefault="002E22CA">
            <w:pPr>
              <w:overflowPunct w:val="0"/>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 xml:space="preserve">（三）船舶及有关作业单位从事有污染风险的作业活动，未按照规定采取污染防治措施的； </w:t>
            </w:r>
          </w:p>
          <w:p w:rsidR="0059130C" w:rsidRDefault="002E22CA">
            <w:pPr>
              <w:overflowPunct w:val="0"/>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（四）以冲</w:t>
            </w:r>
            <w:proofErr w:type="gramStart"/>
            <w:r>
              <w:rPr>
                <w:rFonts w:ascii="仿宋_GB2312" w:eastAsia="仿宋_GB2312" w:hAnsi="仿宋_GB2312" w:cs="仿宋_GB2312" w:hint="eastAsia"/>
                <w:szCs w:val="21"/>
              </w:rPr>
              <w:t>滩方式</w:t>
            </w:r>
            <w:proofErr w:type="gramEnd"/>
            <w:r>
              <w:rPr>
                <w:rFonts w:ascii="仿宋_GB2312" w:eastAsia="仿宋_GB2312" w:hAnsi="仿宋_GB2312" w:cs="仿宋_GB2312" w:hint="eastAsia"/>
                <w:szCs w:val="21"/>
              </w:rPr>
              <w:t xml:space="preserve">进行船舶拆解的； </w:t>
            </w:r>
          </w:p>
          <w:p w:rsidR="0059130C" w:rsidRDefault="002E22CA">
            <w:pPr>
              <w:overflowPunct w:val="0"/>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（五）进入中华人民共和国内河的国际航线船舶，排放 不符合规定的船舶压载水的。</w:t>
            </w:r>
          </w:p>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 xml:space="preserve"> 违反《水污染防治法》的规定，船舶造成水污染事故的， 依照《水污染防治法》第九十四条的规定，造成一般或者较大水污染事故的，处以直接损失的 20％的罚款；造成重大或 者特大水污染事故的，处以直接损失的 30％的罚款。</w:t>
            </w:r>
          </w:p>
          <w:p w:rsidR="0059130C" w:rsidRDefault="00E9165C">
            <w:pPr>
              <w:pStyle w:val="a6"/>
              <w:spacing w:beforeAutospacing="0" w:afterAutospacing="0" w:line="240" w:lineRule="exact"/>
              <w:rPr>
                <w:rFonts w:ascii="仿宋_GB2312" w:eastAsia="仿宋_GB2312" w:hAnsi="仿宋_GB2312" w:cs="仿宋_GB2312"/>
                <w:sz w:val="21"/>
                <w:szCs w:val="21"/>
                <w:u w:val="single"/>
              </w:rPr>
            </w:pPr>
            <w:r>
              <w:rPr>
                <w:rFonts w:ascii="仿宋_GB2312" w:eastAsia="仿宋_GB2312" w:hAnsi="仿宋_GB2312" w:cs="仿宋_GB2312" w:hint="eastAsia"/>
                <w:sz w:val="21"/>
                <w:szCs w:val="21"/>
              </w:rPr>
              <w:t>调整</w:t>
            </w:r>
            <w:r w:rsidR="002E22CA">
              <w:rPr>
                <w:rFonts w:ascii="仿宋_GB2312" w:eastAsia="仿宋_GB2312" w:hAnsi="仿宋_GB2312" w:cs="仿宋_GB2312" w:hint="eastAsia"/>
                <w:sz w:val="21"/>
                <w:szCs w:val="21"/>
              </w:rPr>
              <w:t>为：</w:t>
            </w:r>
            <w:r w:rsidR="002E22CA">
              <w:rPr>
                <w:rFonts w:ascii="仿宋_GB2312" w:eastAsia="仿宋_GB2312" w:hAnsi="仿宋_GB2312" w:cs="仿宋_GB2312" w:hint="eastAsia"/>
                <w:sz w:val="21"/>
                <w:szCs w:val="21"/>
                <w:u w:val="single"/>
              </w:rPr>
              <w:t>《中华人民共和国内河海事行政处罚规定》（交通运输部令2022第28号）第三十四条：“违反《水污染防治法》规定，有下列行为之一的，依照《水污染防治法》第九十条的规定进行处罚：（一）向水体倾倒船舶垃圾或者排放船舶的残油、废油的；（二）未经作业地海事管理机构批准，船舶进行散装液体污染危害性货物的过驳作业的；</w:t>
            </w:r>
          </w:p>
          <w:p w:rsidR="0059130C" w:rsidRDefault="002E22CA">
            <w:pPr>
              <w:pStyle w:val="a6"/>
              <w:spacing w:beforeAutospacing="0" w:afterAutospacing="0" w:line="240" w:lineRule="exact"/>
              <w:rPr>
                <w:rFonts w:ascii="仿宋_GB2312" w:eastAsia="仿宋_GB2312" w:hAnsi="仿宋_GB2312" w:cs="仿宋_GB2312"/>
                <w:sz w:val="21"/>
                <w:szCs w:val="21"/>
                <w:u w:val="single"/>
              </w:rPr>
            </w:pPr>
            <w:r>
              <w:rPr>
                <w:rFonts w:ascii="仿宋_GB2312" w:eastAsia="仿宋_GB2312" w:hAnsi="仿宋_GB2312" w:cs="仿宋_GB2312" w:hint="eastAsia"/>
                <w:sz w:val="21"/>
                <w:szCs w:val="21"/>
                <w:u w:val="single"/>
              </w:rPr>
              <w:t>（三）船舶及有关作业单位从事有污染风险的作业活动，未按照规定采取污染防治措施的；（四）以冲</w:t>
            </w:r>
            <w:proofErr w:type="gramStart"/>
            <w:r>
              <w:rPr>
                <w:rFonts w:ascii="仿宋_GB2312" w:eastAsia="仿宋_GB2312" w:hAnsi="仿宋_GB2312" w:cs="仿宋_GB2312" w:hint="eastAsia"/>
                <w:sz w:val="21"/>
                <w:szCs w:val="21"/>
                <w:u w:val="single"/>
              </w:rPr>
              <w:t>滩方式</w:t>
            </w:r>
            <w:proofErr w:type="gramEnd"/>
            <w:r>
              <w:rPr>
                <w:rFonts w:ascii="仿宋_GB2312" w:eastAsia="仿宋_GB2312" w:hAnsi="仿宋_GB2312" w:cs="仿宋_GB2312" w:hint="eastAsia"/>
                <w:sz w:val="21"/>
                <w:szCs w:val="21"/>
                <w:u w:val="single"/>
              </w:rPr>
              <w:t>进行船舶拆解的；（五）进入中华人民共和国内河的国际航线船舶，排放不符合规定的船舶压载水的。</w:t>
            </w:r>
          </w:p>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u w:val="single"/>
              </w:rPr>
              <w:t>违反《水污染防治法》的规定，船舶造成水污染事故的，依照《水污染防治法》第九十四条的规定，造成一般或者较大水污染事故的，处以直接损失的20％的罚款；造成重大或者特大水污染事故的，处以直接损失的30％的罚款。”</w:t>
            </w:r>
            <w:r>
              <w:rPr>
                <w:rFonts w:ascii="仿宋_GB2312" w:eastAsia="仿宋_GB2312" w:hAnsi="仿宋_GB2312" w:cs="仿宋_GB2312" w:hint="eastAsia"/>
                <w:sz w:val="21"/>
                <w:szCs w:val="21"/>
              </w:rPr>
              <w:t>。</w:t>
            </w:r>
          </w:p>
        </w:tc>
        <w:tc>
          <w:tcPr>
            <w:tcW w:w="563"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618"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95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548"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内乡县交通运输综合行政执法大队</w:t>
            </w:r>
          </w:p>
        </w:tc>
      </w:tr>
      <w:tr w:rsidR="0059130C">
        <w:trPr>
          <w:trHeight w:val="1077"/>
          <w:jc w:val="center"/>
        </w:trPr>
        <w:tc>
          <w:tcPr>
            <w:tcW w:w="59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619"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73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6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1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95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548"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1077"/>
          <w:jc w:val="center"/>
        </w:trPr>
        <w:tc>
          <w:tcPr>
            <w:tcW w:w="59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619"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73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6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1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95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548"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1077"/>
          <w:jc w:val="center"/>
        </w:trPr>
        <w:tc>
          <w:tcPr>
            <w:tcW w:w="59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619"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73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6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1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95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548"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1077"/>
          <w:jc w:val="center"/>
        </w:trPr>
        <w:tc>
          <w:tcPr>
            <w:tcW w:w="59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619"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73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6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1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95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548"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562"/>
          <w:jc w:val="center"/>
        </w:trPr>
        <w:tc>
          <w:tcPr>
            <w:tcW w:w="59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619"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73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6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1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95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548"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1077"/>
          <w:jc w:val="center"/>
        </w:trPr>
        <w:tc>
          <w:tcPr>
            <w:tcW w:w="59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619"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73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6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1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95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548"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618"/>
          <w:jc w:val="center"/>
        </w:trPr>
        <w:tc>
          <w:tcPr>
            <w:tcW w:w="59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619"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73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6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18"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950"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548"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rPr>
          <w:trHeight w:val="311"/>
          <w:jc w:val="center"/>
        </w:trPr>
        <w:tc>
          <w:tcPr>
            <w:tcW w:w="59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03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情况：</w:t>
            </w: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实施依据</w:t>
            </w:r>
          </w:p>
        </w:tc>
      </w:tr>
      <w:tr w:rsidR="0059130C">
        <w:trPr>
          <w:trHeight w:val="543"/>
          <w:jc w:val="center"/>
        </w:trPr>
        <w:tc>
          <w:tcPr>
            <w:tcW w:w="59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03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原因：根据《中华人民共和国内河海事行政处罚规定》（交通运输部令2022第28号），</w:t>
            </w: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实施依据</w:t>
            </w:r>
          </w:p>
        </w:tc>
      </w:tr>
    </w:tbl>
    <w:p w:rsidR="0059130C" w:rsidRDefault="0059130C">
      <w:pPr>
        <w:spacing w:line="240" w:lineRule="exact"/>
        <w:rPr>
          <w:rFonts w:ascii="仿宋_GB2312" w:eastAsia="仿宋_GB2312" w:hAnsi="仿宋_GB2312" w:cs="仿宋_GB2312"/>
          <w:color w:val="000000" w:themeColor="text1"/>
          <w:szCs w:val="21"/>
        </w:rPr>
      </w:pPr>
    </w:p>
    <w:tbl>
      <w:tblPr>
        <w:tblW w:w="13632" w:type="dxa"/>
        <w:jc w:val="center"/>
        <w:tblLayout w:type="fixed"/>
        <w:tblCellMar>
          <w:left w:w="15" w:type="dxa"/>
          <w:right w:w="15" w:type="dxa"/>
        </w:tblCellMar>
        <w:tblLook w:val="04A0"/>
      </w:tblPr>
      <w:tblGrid>
        <w:gridCol w:w="717"/>
        <w:gridCol w:w="1316"/>
        <w:gridCol w:w="4087"/>
        <w:gridCol w:w="774"/>
        <w:gridCol w:w="591"/>
        <w:gridCol w:w="4557"/>
        <w:gridCol w:w="1590"/>
      </w:tblGrid>
      <w:tr w:rsidR="0059130C">
        <w:trPr>
          <w:trHeight w:val="536"/>
          <w:jc w:val="center"/>
        </w:trPr>
        <w:tc>
          <w:tcPr>
            <w:tcW w:w="717"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序号</w:t>
            </w:r>
          </w:p>
        </w:tc>
        <w:tc>
          <w:tcPr>
            <w:tcW w:w="1316"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项目名称</w:t>
            </w:r>
          </w:p>
        </w:tc>
        <w:tc>
          <w:tcPr>
            <w:tcW w:w="4087"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实施依据</w:t>
            </w:r>
          </w:p>
        </w:tc>
        <w:tc>
          <w:tcPr>
            <w:tcW w:w="774"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autoSpaceDN w:val="0"/>
              <w:spacing w:line="240" w:lineRule="exact"/>
              <w:jc w:val="center"/>
              <w:textAlignment w:val="center"/>
              <w:rPr>
                <w:rFonts w:ascii="黑体" w:eastAsia="黑体" w:hAnsi="黑体" w:cs="黑体"/>
                <w:color w:val="000000" w:themeColor="text1"/>
                <w:kern w:val="0"/>
                <w:szCs w:val="21"/>
                <w:lang/>
              </w:rPr>
            </w:pPr>
            <w:r>
              <w:rPr>
                <w:rFonts w:ascii="黑体" w:eastAsia="黑体" w:hAnsi="黑体" w:cs="黑体" w:hint="eastAsia"/>
                <w:color w:val="000000" w:themeColor="text1"/>
                <w:szCs w:val="21"/>
              </w:rPr>
              <w:t>类别</w:t>
            </w:r>
          </w:p>
        </w:tc>
        <w:tc>
          <w:tcPr>
            <w:tcW w:w="591"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环节</w:t>
            </w:r>
          </w:p>
        </w:tc>
        <w:tc>
          <w:tcPr>
            <w:tcW w:w="4557"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责任事项</w:t>
            </w:r>
          </w:p>
        </w:tc>
        <w:tc>
          <w:tcPr>
            <w:tcW w:w="1590"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536"/>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33</w:t>
            </w:r>
          </w:p>
        </w:tc>
        <w:tc>
          <w:tcPr>
            <w:tcW w:w="131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拒绝海事管理机构现场检查，或者弄虚作假违法行为的处罚</w:t>
            </w:r>
          </w:p>
        </w:tc>
        <w:tc>
          <w:tcPr>
            <w:tcW w:w="4087"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《中华人民共和国内河海事行政处罚规定》（ 2021年8月11日交通运输部2021第20号令）第三十五条 违反《水污染防治法》第三十条的规定，拒绝海事管理机构现场检查，或者弄虚作假的，依照《水污染防治法》第八十一条的规定进行处罚。</w:t>
            </w:r>
          </w:p>
          <w:p w:rsidR="0059130C" w:rsidRDefault="00E9165C">
            <w:pPr>
              <w:overflowPunct w:val="0"/>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为：</w:t>
            </w:r>
            <w:r w:rsidR="002E22CA">
              <w:rPr>
                <w:rFonts w:ascii="仿宋_GB2312" w:eastAsia="仿宋_GB2312" w:hAnsi="仿宋_GB2312" w:cs="仿宋_GB2312" w:hint="eastAsia"/>
                <w:szCs w:val="21"/>
                <w:u w:val="single"/>
              </w:rPr>
              <w:t>《中华人民共和国内河海事行政处罚规定》（交通运输部令2022第28号）第三十五条：“违反《水污染防治法》第三十条的规定，拒绝海事管理机构现场检查，或者弄虚作假的，依照《水污染防治法》第八十一条的规定进行处罚。”</w:t>
            </w:r>
          </w:p>
        </w:tc>
        <w:tc>
          <w:tcPr>
            <w:tcW w:w="774"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591"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557"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内乡县交通运输综合行政执法大队</w:t>
            </w:r>
          </w:p>
        </w:tc>
      </w:tr>
      <w:tr w:rsidR="0059130C">
        <w:trPr>
          <w:trHeight w:val="1075"/>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77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9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68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4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59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1651"/>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557"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rPr>
          <w:trHeight w:val="311"/>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情况：</w:t>
            </w: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实施依据</w:t>
            </w:r>
          </w:p>
        </w:tc>
      </w:tr>
      <w:tr w:rsidR="0059130C">
        <w:trPr>
          <w:trHeight w:val="543"/>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原因：根据《中华人民共和国内河海事行政处罚规定》（交通运输部令2022第28号），</w:t>
            </w: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实施依据</w:t>
            </w:r>
          </w:p>
        </w:tc>
      </w:tr>
    </w:tbl>
    <w:p w:rsidR="0059130C" w:rsidRDefault="0059130C">
      <w:pPr>
        <w:spacing w:line="240" w:lineRule="exact"/>
        <w:rPr>
          <w:rFonts w:ascii="仿宋_GB2312" w:eastAsia="仿宋_GB2312" w:hAnsi="仿宋_GB2312" w:cs="仿宋_GB2312"/>
          <w:color w:val="000000" w:themeColor="text1"/>
          <w:szCs w:val="21"/>
        </w:rPr>
      </w:pPr>
    </w:p>
    <w:tbl>
      <w:tblPr>
        <w:tblW w:w="13632" w:type="dxa"/>
        <w:jc w:val="center"/>
        <w:tblLayout w:type="fixed"/>
        <w:tblCellMar>
          <w:left w:w="15" w:type="dxa"/>
          <w:right w:w="15" w:type="dxa"/>
        </w:tblCellMar>
        <w:tblLook w:val="04A0"/>
      </w:tblPr>
      <w:tblGrid>
        <w:gridCol w:w="717"/>
        <w:gridCol w:w="949"/>
        <w:gridCol w:w="4454"/>
        <w:gridCol w:w="774"/>
        <w:gridCol w:w="591"/>
        <w:gridCol w:w="4557"/>
        <w:gridCol w:w="1590"/>
      </w:tblGrid>
      <w:tr w:rsidR="0059130C">
        <w:trPr>
          <w:trHeight w:val="536"/>
          <w:jc w:val="center"/>
        </w:trPr>
        <w:tc>
          <w:tcPr>
            <w:tcW w:w="717"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序号</w:t>
            </w:r>
          </w:p>
        </w:tc>
        <w:tc>
          <w:tcPr>
            <w:tcW w:w="949"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项目名称</w:t>
            </w:r>
          </w:p>
        </w:tc>
        <w:tc>
          <w:tcPr>
            <w:tcW w:w="4454"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pacing w:val="-3"/>
                <w:szCs w:val="21"/>
                <w:u w:val="single"/>
              </w:rPr>
            </w:pPr>
            <w:r>
              <w:rPr>
                <w:rFonts w:ascii="黑体" w:eastAsia="黑体" w:hAnsi="黑体" w:cs="黑体" w:hint="eastAsia"/>
                <w:color w:val="000000" w:themeColor="text1"/>
                <w:szCs w:val="21"/>
              </w:rPr>
              <w:t>实施依据</w:t>
            </w:r>
          </w:p>
        </w:tc>
        <w:tc>
          <w:tcPr>
            <w:tcW w:w="774"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autoSpaceDN w:val="0"/>
              <w:spacing w:line="240" w:lineRule="exact"/>
              <w:jc w:val="center"/>
              <w:textAlignment w:val="center"/>
              <w:rPr>
                <w:rFonts w:ascii="黑体" w:eastAsia="黑体" w:hAnsi="黑体" w:cs="黑体"/>
                <w:color w:val="000000" w:themeColor="text1"/>
                <w:kern w:val="0"/>
                <w:szCs w:val="21"/>
                <w:lang/>
              </w:rPr>
            </w:pPr>
            <w:r>
              <w:rPr>
                <w:rFonts w:ascii="黑体" w:eastAsia="黑体" w:hAnsi="黑体" w:cs="黑体" w:hint="eastAsia"/>
                <w:color w:val="000000" w:themeColor="text1"/>
                <w:szCs w:val="21"/>
              </w:rPr>
              <w:t>类别</w:t>
            </w:r>
          </w:p>
        </w:tc>
        <w:tc>
          <w:tcPr>
            <w:tcW w:w="591"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环节</w:t>
            </w:r>
          </w:p>
        </w:tc>
        <w:tc>
          <w:tcPr>
            <w:tcW w:w="4557"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责任事项</w:t>
            </w:r>
          </w:p>
        </w:tc>
        <w:tc>
          <w:tcPr>
            <w:tcW w:w="1590"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536"/>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34</w:t>
            </w:r>
          </w:p>
        </w:tc>
        <w:tc>
          <w:tcPr>
            <w:tcW w:w="949"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对有关不按规定进行船舶拆解的处罚</w:t>
            </w:r>
          </w:p>
        </w:tc>
        <w:tc>
          <w:tcPr>
            <w:tcW w:w="4454"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中华人民共和国内河海事行政处罚规定》（交通运输部令2019年第11号）第三十八条：“拆船单位违反《防止拆船污染环境管理条例》的规定，有下列情形之一的，依照《防止拆船污染环境管理条例》第十七条的规定，除责令限期纠正外，还可以根据不同情节，处以1万元以上10万元以下的罚款：</w:t>
            </w:r>
          </w:p>
          <w:p w:rsidR="0059130C" w:rsidRDefault="002E22CA">
            <w:pPr>
              <w:overflowPunct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（一）未持有经批准的环境影响报告书（表），擅自设置拆船厂进行拆船的；</w:t>
            </w:r>
          </w:p>
          <w:p w:rsidR="0059130C" w:rsidRDefault="002E22CA">
            <w:pPr>
              <w:overflowPunct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 xml:space="preserve">（二）发生污染损害事故，不向监督拆船污染的海事管理机构报告，也不采取消除或者控制污染措施的；  </w:t>
            </w:r>
          </w:p>
          <w:p w:rsidR="0059130C" w:rsidRDefault="002E22CA">
            <w:pPr>
              <w:overflowPunct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（三）废油船未经洗舱、排污、清舱和测爆即进行拆解的；</w:t>
            </w:r>
          </w:p>
          <w:p w:rsidR="0059130C" w:rsidRDefault="002E22CA">
            <w:pPr>
              <w:overflowPunct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（四）任意排放或者丢弃污染物造成严重污染的。”</w:t>
            </w:r>
          </w:p>
          <w:p w:rsidR="0059130C" w:rsidRDefault="00E9165C">
            <w:pPr>
              <w:overflowPunct w:val="0"/>
              <w:snapToGrid w:val="0"/>
              <w:spacing w:line="240" w:lineRule="exact"/>
              <w:rPr>
                <w:rFonts w:ascii="仿宋_GB2312" w:eastAsia="仿宋_GB2312" w:hAnsi="仿宋_GB2312" w:cs="仿宋_GB2312"/>
                <w:spacing w:val="-3"/>
                <w:szCs w:val="21"/>
                <w:u w:val="single"/>
              </w:rPr>
            </w:pPr>
            <w:r>
              <w:rPr>
                <w:rFonts w:ascii="仿宋_GB2312" w:eastAsia="仿宋_GB2312" w:hAnsi="仿宋_GB2312" w:cs="仿宋_GB2312" w:hint="eastAsia"/>
                <w:spacing w:val="-3"/>
                <w:szCs w:val="21"/>
              </w:rPr>
              <w:t>调整</w:t>
            </w:r>
            <w:r w:rsidR="002E22CA">
              <w:rPr>
                <w:rFonts w:ascii="仿宋_GB2312" w:eastAsia="仿宋_GB2312" w:hAnsi="仿宋_GB2312" w:cs="仿宋_GB2312" w:hint="eastAsia"/>
                <w:spacing w:val="-3"/>
                <w:szCs w:val="21"/>
              </w:rPr>
              <w:t>为：</w:t>
            </w:r>
            <w:r w:rsidR="002E22CA">
              <w:rPr>
                <w:rFonts w:ascii="仿宋_GB2312" w:eastAsia="仿宋_GB2312" w:hAnsi="仿宋_GB2312" w:cs="仿宋_GB2312" w:hint="eastAsia"/>
                <w:spacing w:val="-3"/>
                <w:szCs w:val="21"/>
                <w:u w:val="single"/>
              </w:rPr>
              <w:t>《中华人民共和国内河海事行政处罚规定》（交通运输部令2022第28号）第三十六条：“拆船单位违反《防止拆船污染环境管理条例》的规定，有下列情形之一的，依照《防止拆船污染环境管理条例》第十七条的规定，除责令限期纠正外，还可以根据不同情节，处以1万元以上10万元以下的罚款：</w:t>
            </w:r>
          </w:p>
          <w:p w:rsidR="0059130C" w:rsidRDefault="002E22CA">
            <w:pPr>
              <w:overflowPunct w:val="0"/>
              <w:snapToGrid w:val="0"/>
              <w:spacing w:line="240" w:lineRule="exact"/>
              <w:rPr>
                <w:rFonts w:ascii="仿宋_GB2312" w:eastAsia="仿宋_GB2312" w:hAnsi="仿宋_GB2312" w:cs="仿宋_GB2312"/>
                <w:spacing w:val="-3"/>
                <w:szCs w:val="21"/>
                <w:u w:val="single"/>
              </w:rPr>
            </w:pPr>
            <w:r>
              <w:rPr>
                <w:rFonts w:ascii="仿宋_GB2312" w:eastAsia="仿宋_GB2312" w:hAnsi="仿宋_GB2312" w:cs="仿宋_GB2312" w:hint="eastAsia"/>
                <w:spacing w:val="-3"/>
                <w:szCs w:val="21"/>
                <w:u w:val="single"/>
              </w:rPr>
              <w:t>（一）未持有经批准的环境影响报告书（表），擅自设置拆船厂进行拆船的；</w:t>
            </w:r>
          </w:p>
          <w:p w:rsidR="0059130C" w:rsidRDefault="002E22CA">
            <w:pPr>
              <w:overflowPunct w:val="0"/>
              <w:snapToGrid w:val="0"/>
              <w:spacing w:line="240" w:lineRule="exact"/>
              <w:rPr>
                <w:rFonts w:ascii="仿宋_GB2312" w:eastAsia="仿宋_GB2312" w:hAnsi="仿宋_GB2312" w:cs="仿宋_GB2312"/>
                <w:spacing w:val="-3"/>
                <w:szCs w:val="21"/>
                <w:u w:val="single"/>
              </w:rPr>
            </w:pPr>
            <w:r>
              <w:rPr>
                <w:rFonts w:ascii="仿宋_GB2312" w:eastAsia="仿宋_GB2312" w:hAnsi="仿宋_GB2312" w:cs="仿宋_GB2312" w:hint="eastAsia"/>
                <w:spacing w:val="-3"/>
                <w:szCs w:val="21"/>
                <w:u w:val="single"/>
              </w:rPr>
              <w:t>（二）发生污染损害事故，不向监督拆船污染的海事管理机构报告，也不采取消除或者控制污染措施的；</w:t>
            </w:r>
          </w:p>
          <w:p w:rsidR="0059130C" w:rsidRDefault="002E22CA">
            <w:pPr>
              <w:overflowPunct w:val="0"/>
              <w:snapToGrid w:val="0"/>
              <w:spacing w:line="240" w:lineRule="exact"/>
              <w:rPr>
                <w:rFonts w:ascii="仿宋_GB2312" w:eastAsia="仿宋_GB2312" w:hAnsi="仿宋_GB2312" w:cs="仿宋_GB2312"/>
                <w:szCs w:val="21"/>
              </w:rPr>
            </w:pPr>
            <w:r>
              <w:rPr>
                <w:rFonts w:ascii="仿宋_GB2312" w:eastAsia="仿宋_GB2312" w:hAnsi="仿宋_GB2312" w:cs="仿宋_GB2312" w:hint="eastAsia"/>
                <w:spacing w:val="-3"/>
                <w:szCs w:val="21"/>
                <w:u w:val="single"/>
              </w:rPr>
              <w:t>（三）废油船未经洗舱、排污、清舱和测爆即进行拆解的；（四）任意排放或者丢弃污染物造成严重污染的。”</w:t>
            </w:r>
          </w:p>
        </w:tc>
        <w:tc>
          <w:tcPr>
            <w:tcW w:w="774"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591"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557"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内乡县交通运输综合行政执法大队</w:t>
            </w:r>
          </w:p>
        </w:tc>
      </w:tr>
      <w:tr w:rsidR="0059130C">
        <w:trPr>
          <w:trHeight w:val="1075"/>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949"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454"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77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949"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454"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9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949"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454"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68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949"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454"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4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949"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454"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59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949"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454"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95"/>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949"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454"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557"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rPr>
          <w:trHeight w:val="311"/>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情况：</w:t>
            </w: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实施依据</w:t>
            </w:r>
          </w:p>
        </w:tc>
      </w:tr>
      <w:tr w:rsidR="0059130C">
        <w:trPr>
          <w:trHeight w:val="543"/>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原因：根据《中华人民共和国内河海事行政处罚规定》（交通运输部令2022第28号），</w:t>
            </w: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实施依据</w:t>
            </w:r>
          </w:p>
        </w:tc>
      </w:tr>
    </w:tbl>
    <w:p w:rsidR="0059130C" w:rsidRDefault="0059130C">
      <w:pPr>
        <w:spacing w:line="240" w:lineRule="exact"/>
        <w:rPr>
          <w:rFonts w:ascii="仿宋_GB2312" w:eastAsia="仿宋_GB2312" w:hAnsi="仿宋_GB2312" w:cs="仿宋_GB2312"/>
          <w:color w:val="000000" w:themeColor="text1"/>
          <w:szCs w:val="21"/>
        </w:rPr>
      </w:pPr>
    </w:p>
    <w:tbl>
      <w:tblPr>
        <w:tblW w:w="13632" w:type="dxa"/>
        <w:jc w:val="center"/>
        <w:tblLayout w:type="fixed"/>
        <w:tblCellMar>
          <w:left w:w="15" w:type="dxa"/>
          <w:right w:w="15" w:type="dxa"/>
        </w:tblCellMar>
        <w:tblLook w:val="04A0"/>
      </w:tblPr>
      <w:tblGrid>
        <w:gridCol w:w="717"/>
        <w:gridCol w:w="1042"/>
        <w:gridCol w:w="4361"/>
        <w:gridCol w:w="774"/>
        <w:gridCol w:w="591"/>
        <w:gridCol w:w="4557"/>
        <w:gridCol w:w="1590"/>
      </w:tblGrid>
      <w:tr w:rsidR="0059130C">
        <w:trPr>
          <w:trHeight w:val="536"/>
          <w:jc w:val="center"/>
        </w:trPr>
        <w:tc>
          <w:tcPr>
            <w:tcW w:w="717"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序号</w:t>
            </w:r>
          </w:p>
        </w:tc>
        <w:tc>
          <w:tcPr>
            <w:tcW w:w="1042"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项目名称</w:t>
            </w:r>
          </w:p>
        </w:tc>
        <w:tc>
          <w:tcPr>
            <w:tcW w:w="4361"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pacing w:val="-3"/>
                <w:szCs w:val="21"/>
                <w:u w:val="single"/>
              </w:rPr>
            </w:pPr>
            <w:r>
              <w:rPr>
                <w:rFonts w:ascii="黑体" w:eastAsia="黑体" w:hAnsi="黑体" w:cs="黑体" w:hint="eastAsia"/>
                <w:color w:val="000000" w:themeColor="text1"/>
                <w:szCs w:val="21"/>
              </w:rPr>
              <w:t>实施依据</w:t>
            </w:r>
          </w:p>
        </w:tc>
        <w:tc>
          <w:tcPr>
            <w:tcW w:w="774"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autoSpaceDN w:val="0"/>
              <w:spacing w:line="240" w:lineRule="exact"/>
              <w:jc w:val="center"/>
              <w:textAlignment w:val="center"/>
              <w:rPr>
                <w:rFonts w:ascii="黑体" w:eastAsia="黑体" w:hAnsi="黑体" w:cs="黑体"/>
                <w:color w:val="000000" w:themeColor="text1"/>
                <w:kern w:val="0"/>
                <w:szCs w:val="21"/>
                <w:lang/>
              </w:rPr>
            </w:pPr>
            <w:r>
              <w:rPr>
                <w:rFonts w:ascii="黑体" w:eastAsia="黑体" w:hAnsi="黑体" w:cs="黑体" w:hint="eastAsia"/>
                <w:color w:val="000000" w:themeColor="text1"/>
                <w:szCs w:val="21"/>
              </w:rPr>
              <w:t>类别</w:t>
            </w:r>
          </w:p>
        </w:tc>
        <w:tc>
          <w:tcPr>
            <w:tcW w:w="591"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环节</w:t>
            </w:r>
          </w:p>
        </w:tc>
        <w:tc>
          <w:tcPr>
            <w:tcW w:w="4557"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责任事项</w:t>
            </w:r>
          </w:p>
        </w:tc>
        <w:tc>
          <w:tcPr>
            <w:tcW w:w="1590"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536"/>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35</w:t>
            </w:r>
          </w:p>
        </w:tc>
        <w:tc>
          <w:tcPr>
            <w:tcW w:w="1042"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对船舶拆解弄虚作假的处罚</w:t>
            </w:r>
          </w:p>
        </w:tc>
        <w:tc>
          <w:tcPr>
            <w:tcW w:w="4361"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中华人民共和国内河海事行政处罚规定》（交通运输部令2019年第11号）第三十九条：“拆船单位违反《防止拆船污染环境管理条例》第七条、第十条、第十五条、第十六条的规定，有下列行为之一的，依照《防止拆船污染环境管理条例》第十八条的规定，除责令其限期纠正外，还可以根据不同情节，处以警告或者处以1万元以下的罚款：</w:t>
            </w:r>
          </w:p>
          <w:p w:rsidR="0059130C" w:rsidRDefault="002E22CA">
            <w:pPr>
              <w:overflowPunct w:val="0"/>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（一）拒绝或者阻挠海事管理机构进行拆船现场检查或者在被检查时弄虚作假的；</w:t>
            </w:r>
          </w:p>
          <w:p w:rsidR="0059130C" w:rsidRDefault="002E22CA">
            <w:pPr>
              <w:overflowPunct w:val="0"/>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（二）未按照规定要求配备和使用防污设施、设备和器材，造成水域污染的；</w:t>
            </w:r>
          </w:p>
          <w:p w:rsidR="0059130C" w:rsidRDefault="002E22CA">
            <w:pPr>
              <w:overflowPunct w:val="0"/>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（三）发生污染事故，虽采取消除或者控制污染措施，但不向海事管理机构报告的；</w:t>
            </w:r>
          </w:p>
          <w:p w:rsidR="0059130C" w:rsidRDefault="002E22CA">
            <w:pPr>
              <w:overflowPunct w:val="0"/>
              <w:snapToGrid w:val="0"/>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（四）拆船单位关闭、搬迁后，原厂址的现场清理不合格的。”</w:t>
            </w:r>
          </w:p>
          <w:p w:rsidR="0059130C" w:rsidRDefault="00E9165C">
            <w:pPr>
              <w:overflowPunct w:val="0"/>
              <w:snapToGrid w:val="0"/>
              <w:spacing w:line="240" w:lineRule="exact"/>
              <w:rPr>
                <w:rFonts w:ascii="仿宋_GB2312" w:eastAsia="仿宋_GB2312" w:hAnsi="仿宋_GB2312" w:cs="仿宋_GB2312"/>
                <w:spacing w:val="-3"/>
                <w:szCs w:val="21"/>
                <w:u w:val="single"/>
              </w:rPr>
            </w:pPr>
            <w:r>
              <w:rPr>
                <w:rFonts w:ascii="仿宋_GB2312" w:eastAsia="仿宋_GB2312" w:hAnsi="仿宋_GB2312" w:cs="仿宋_GB2312" w:hint="eastAsia"/>
                <w:spacing w:val="-3"/>
                <w:szCs w:val="21"/>
              </w:rPr>
              <w:t>调整</w:t>
            </w:r>
            <w:r w:rsidR="002E22CA">
              <w:rPr>
                <w:rFonts w:ascii="仿宋_GB2312" w:eastAsia="仿宋_GB2312" w:hAnsi="仿宋_GB2312" w:cs="仿宋_GB2312" w:hint="eastAsia"/>
                <w:spacing w:val="-3"/>
                <w:szCs w:val="21"/>
              </w:rPr>
              <w:t>为：</w:t>
            </w:r>
            <w:r w:rsidR="002E22CA">
              <w:rPr>
                <w:rFonts w:ascii="仿宋_GB2312" w:eastAsia="仿宋_GB2312" w:hAnsi="仿宋_GB2312" w:cs="仿宋_GB2312" w:hint="eastAsia"/>
                <w:spacing w:val="-3"/>
                <w:szCs w:val="21"/>
                <w:u w:val="single"/>
              </w:rPr>
              <w:t>《中华人民共和国内河海事行政处罚规定》（交通运输部令2022第28号）第三十七条：“拆船单位违反《防止拆船污染环境管理条例》的规定，有下列情形之一的，依照《防止拆船污染环境管理条例》第十七条的规定，除责令限期纠正外，还可以根据不同情节，处以1万元以上10万元以下的罚款：</w:t>
            </w:r>
          </w:p>
          <w:p w:rsidR="0059130C" w:rsidRDefault="002E22CA">
            <w:pPr>
              <w:overflowPunct w:val="0"/>
              <w:snapToGrid w:val="0"/>
              <w:spacing w:line="240" w:lineRule="exact"/>
              <w:rPr>
                <w:rFonts w:ascii="仿宋_GB2312" w:eastAsia="仿宋_GB2312" w:hAnsi="仿宋_GB2312" w:cs="仿宋_GB2312"/>
                <w:spacing w:val="-3"/>
                <w:szCs w:val="21"/>
                <w:u w:val="single"/>
              </w:rPr>
            </w:pPr>
            <w:r>
              <w:rPr>
                <w:rFonts w:ascii="仿宋_GB2312" w:eastAsia="仿宋_GB2312" w:hAnsi="仿宋_GB2312" w:cs="仿宋_GB2312" w:hint="eastAsia"/>
                <w:spacing w:val="-3"/>
                <w:szCs w:val="21"/>
                <w:u w:val="single"/>
              </w:rPr>
              <w:t>（一）未持有经批准的环境影响报告书（表），擅自设置拆船厂进行拆船的；</w:t>
            </w:r>
          </w:p>
          <w:p w:rsidR="0059130C" w:rsidRDefault="002E22CA">
            <w:pPr>
              <w:overflowPunct w:val="0"/>
              <w:snapToGrid w:val="0"/>
              <w:spacing w:line="240" w:lineRule="exact"/>
              <w:rPr>
                <w:rFonts w:ascii="仿宋_GB2312" w:eastAsia="仿宋_GB2312" w:hAnsi="仿宋_GB2312" w:cs="仿宋_GB2312"/>
                <w:spacing w:val="-3"/>
                <w:szCs w:val="21"/>
                <w:u w:val="single"/>
              </w:rPr>
            </w:pPr>
            <w:r>
              <w:rPr>
                <w:rFonts w:ascii="仿宋_GB2312" w:eastAsia="仿宋_GB2312" w:hAnsi="仿宋_GB2312" w:cs="仿宋_GB2312" w:hint="eastAsia"/>
                <w:spacing w:val="-3"/>
                <w:szCs w:val="21"/>
                <w:u w:val="single"/>
              </w:rPr>
              <w:t>（二）发生污染损害事故，不向监督拆船污染的海事管理机构报告，也不采取消除或者控制污染措施的；</w:t>
            </w:r>
          </w:p>
          <w:p w:rsidR="0059130C" w:rsidRDefault="002E22CA">
            <w:pPr>
              <w:overflowPunct w:val="0"/>
              <w:snapToGrid w:val="0"/>
              <w:spacing w:line="240" w:lineRule="exact"/>
              <w:rPr>
                <w:rFonts w:ascii="仿宋_GB2312" w:eastAsia="仿宋_GB2312" w:hAnsi="仿宋_GB2312" w:cs="仿宋_GB2312"/>
                <w:szCs w:val="21"/>
              </w:rPr>
            </w:pPr>
            <w:r>
              <w:rPr>
                <w:rFonts w:ascii="仿宋_GB2312" w:eastAsia="仿宋_GB2312" w:hAnsi="仿宋_GB2312" w:cs="仿宋_GB2312" w:hint="eastAsia"/>
                <w:spacing w:val="-3"/>
                <w:szCs w:val="21"/>
                <w:u w:val="single"/>
              </w:rPr>
              <w:t>（三）废油船未经洗舱、排污、清舱和测爆即进行拆解的；（四）任意排放或者丢弃污染物造成严重污染的。”</w:t>
            </w:r>
          </w:p>
        </w:tc>
        <w:tc>
          <w:tcPr>
            <w:tcW w:w="774"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591"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557"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内乡县交通运输综合行政执法大队</w:t>
            </w:r>
          </w:p>
        </w:tc>
      </w:tr>
      <w:tr w:rsidR="0059130C">
        <w:trPr>
          <w:trHeight w:val="1075"/>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042"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361"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77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042"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361"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9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042"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361"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68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042"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361"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4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042"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361"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59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042"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361"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1651"/>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042"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361"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557"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rPr>
          <w:trHeight w:val="311"/>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情况：</w:t>
            </w: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实施依据</w:t>
            </w:r>
          </w:p>
        </w:tc>
      </w:tr>
      <w:tr w:rsidR="0059130C">
        <w:trPr>
          <w:trHeight w:val="493"/>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原因：根据《中华人民共和国内河海事行政处罚规定》（交通运输部令2022第28号），</w:t>
            </w: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实施依据</w:t>
            </w:r>
          </w:p>
        </w:tc>
      </w:tr>
    </w:tbl>
    <w:p w:rsidR="0059130C" w:rsidRDefault="0059130C">
      <w:pPr>
        <w:spacing w:line="240" w:lineRule="exact"/>
        <w:rPr>
          <w:rFonts w:ascii="仿宋_GB2312" w:eastAsia="仿宋_GB2312" w:hAnsi="仿宋_GB2312" w:cs="仿宋_GB2312"/>
          <w:szCs w:val="21"/>
        </w:rPr>
      </w:pPr>
    </w:p>
    <w:tbl>
      <w:tblPr>
        <w:tblW w:w="13632" w:type="dxa"/>
        <w:jc w:val="center"/>
        <w:tblLayout w:type="fixed"/>
        <w:tblCellMar>
          <w:left w:w="15" w:type="dxa"/>
          <w:right w:w="15" w:type="dxa"/>
        </w:tblCellMar>
        <w:tblLook w:val="04A0"/>
      </w:tblPr>
      <w:tblGrid>
        <w:gridCol w:w="717"/>
        <w:gridCol w:w="1316"/>
        <w:gridCol w:w="4087"/>
        <w:gridCol w:w="774"/>
        <w:gridCol w:w="591"/>
        <w:gridCol w:w="4557"/>
        <w:gridCol w:w="1590"/>
      </w:tblGrid>
      <w:tr w:rsidR="0059130C">
        <w:trPr>
          <w:trHeight w:val="536"/>
          <w:jc w:val="center"/>
        </w:trPr>
        <w:tc>
          <w:tcPr>
            <w:tcW w:w="717"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序号</w:t>
            </w:r>
          </w:p>
        </w:tc>
        <w:tc>
          <w:tcPr>
            <w:tcW w:w="1316"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项目名称</w:t>
            </w:r>
          </w:p>
        </w:tc>
        <w:tc>
          <w:tcPr>
            <w:tcW w:w="4087"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kern w:val="0"/>
                <w:szCs w:val="21"/>
              </w:rPr>
            </w:pPr>
            <w:r>
              <w:rPr>
                <w:rFonts w:ascii="黑体" w:eastAsia="黑体" w:hAnsi="黑体" w:cs="黑体" w:hint="eastAsia"/>
                <w:color w:val="000000" w:themeColor="text1"/>
                <w:szCs w:val="21"/>
              </w:rPr>
              <w:t>实施依据</w:t>
            </w:r>
          </w:p>
        </w:tc>
        <w:tc>
          <w:tcPr>
            <w:tcW w:w="774"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autoSpaceDN w:val="0"/>
              <w:spacing w:line="240" w:lineRule="exact"/>
              <w:jc w:val="center"/>
              <w:textAlignment w:val="center"/>
              <w:rPr>
                <w:rFonts w:ascii="黑体" w:eastAsia="黑体" w:hAnsi="黑体" w:cs="黑体"/>
                <w:color w:val="000000" w:themeColor="text1"/>
                <w:kern w:val="0"/>
                <w:szCs w:val="21"/>
                <w:lang/>
              </w:rPr>
            </w:pPr>
            <w:r>
              <w:rPr>
                <w:rFonts w:ascii="黑体" w:eastAsia="黑体" w:hAnsi="黑体" w:cs="黑体" w:hint="eastAsia"/>
                <w:color w:val="000000" w:themeColor="text1"/>
                <w:szCs w:val="21"/>
              </w:rPr>
              <w:t>类别</w:t>
            </w:r>
          </w:p>
        </w:tc>
        <w:tc>
          <w:tcPr>
            <w:tcW w:w="591"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环节</w:t>
            </w:r>
          </w:p>
        </w:tc>
        <w:tc>
          <w:tcPr>
            <w:tcW w:w="4557"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责任事项</w:t>
            </w:r>
          </w:p>
        </w:tc>
        <w:tc>
          <w:tcPr>
            <w:tcW w:w="1590"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536"/>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36</w:t>
            </w:r>
          </w:p>
        </w:tc>
        <w:tc>
          <w:tcPr>
            <w:tcW w:w="131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开展定制客运未按照规定备案的处罚</w:t>
            </w:r>
          </w:p>
        </w:tc>
        <w:tc>
          <w:tcPr>
            <w:tcW w:w="4087" w:type="dxa"/>
            <w:vMerge w:val="restart"/>
            <w:tcBorders>
              <w:top w:val="single" w:sz="4" w:space="0" w:color="000000"/>
              <w:left w:val="single" w:sz="4" w:space="0" w:color="000000"/>
              <w:right w:val="single" w:sz="4" w:space="0" w:color="000000"/>
            </w:tcBorders>
            <w:vAlign w:val="center"/>
          </w:tcPr>
          <w:p w:rsidR="0059130C" w:rsidRDefault="002E22CA">
            <w:pPr>
              <w:overflowPunct w:val="0"/>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道路旅客运输及客运站管理规定》（交通运输部令2020年第17号）第一百条：“违反本规定，客运经营者有下列情形之一的，由县级以上道路运输管理机构责令改正，处1000元以上3000元以下的罚款：……（八）开展定制客运未按照规定备案的；……。”</w:t>
            </w:r>
          </w:p>
          <w:p w:rsidR="0059130C" w:rsidRDefault="00E9165C">
            <w:pPr>
              <w:pStyle w:val="a0"/>
              <w:spacing w:after="0" w:line="240" w:lineRule="exact"/>
              <w:rPr>
                <w:rFonts w:ascii="仿宋_GB2312" w:eastAsia="仿宋_GB2312" w:hAnsi="仿宋_GB2312" w:cs="仿宋_GB2312"/>
                <w:szCs w:val="21"/>
              </w:rPr>
            </w:pPr>
            <w:r>
              <w:rPr>
                <w:rFonts w:ascii="仿宋_GB2312" w:eastAsia="仿宋_GB2312" w:hAnsi="仿宋_GB2312" w:cs="仿宋_GB2312" w:hint="eastAsia"/>
                <w:kern w:val="0"/>
                <w:szCs w:val="21"/>
              </w:rPr>
              <w:t>调整</w:t>
            </w:r>
            <w:r w:rsidR="002E22CA">
              <w:rPr>
                <w:rFonts w:ascii="仿宋_GB2312" w:eastAsia="仿宋_GB2312" w:hAnsi="仿宋_GB2312" w:cs="仿宋_GB2312" w:hint="eastAsia"/>
                <w:kern w:val="0"/>
                <w:szCs w:val="21"/>
              </w:rPr>
              <w:t>为：</w:t>
            </w:r>
            <w:r w:rsidR="002E22CA">
              <w:rPr>
                <w:rFonts w:ascii="仿宋_GB2312" w:eastAsia="仿宋_GB2312" w:hAnsi="仿宋_GB2312" w:cs="仿宋_GB2312" w:hint="eastAsia"/>
                <w:kern w:val="0"/>
                <w:szCs w:val="21"/>
                <w:u w:val="single"/>
              </w:rPr>
              <w:t>《道路旅客运输及客运站管理规定》（交通运输部令2022年第33号）第九十九条第一款：“违反本规定，客运经营者有下列情形之一的，由交通运输主管部门责令改正，处1000元以上3000元以下的罚款：……（八）开展定制客运未按照规定备案的；……。”</w:t>
            </w:r>
          </w:p>
        </w:tc>
        <w:tc>
          <w:tcPr>
            <w:tcW w:w="774"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591"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557"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内乡县交通运输综合行政执法大队</w:t>
            </w:r>
          </w:p>
        </w:tc>
      </w:tr>
      <w:tr w:rsidR="0059130C">
        <w:trPr>
          <w:trHeight w:val="1075"/>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77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9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68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4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59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1651"/>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557"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rPr>
          <w:trHeight w:val="311"/>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情况：</w:t>
            </w: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实施依据</w:t>
            </w:r>
          </w:p>
        </w:tc>
      </w:tr>
      <w:tr w:rsidR="0059130C">
        <w:trPr>
          <w:trHeight w:val="543"/>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原因：根据《道路旅客运输及客运站管理规定》（交通运输部令2022年第33号），</w:t>
            </w: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实施依据</w:t>
            </w:r>
          </w:p>
        </w:tc>
      </w:tr>
    </w:tbl>
    <w:p w:rsidR="0059130C" w:rsidRDefault="0059130C">
      <w:pPr>
        <w:spacing w:line="240" w:lineRule="exact"/>
        <w:rPr>
          <w:rFonts w:ascii="仿宋_GB2312" w:eastAsia="仿宋_GB2312" w:hAnsi="仿宋_GB2312" w:cs="仿宋_GB2312"/>
          <w:szCs w:val="21"/>
        </w:rPr>
      </w:pPr>
    </w:p>
    <w:tbl>
      <w:tblPr>
        <w:tblW w:w="13632" w:type="dxa"/>
        <w:jc w:val="center"/>
        <w:tblLayout w:type="fixed"/>
        <w:tblCellMar>
          <w:left w:w="15" w:type="dxa"/>
          <w:right w:w="15" w:type="dxa"/>
        </w:tblCellMar>
        <w:tblLook w:val="04A0"/>
      </w:tblPr>
      <w:tblGrid>
        <w:gridCol w:w="717"/>
        <w:gridCol w:w="1316"/>
        <w:gridCol w:w="4087"/>
        <w:gridCol w:w="774"/>
        <w:gridCol w:w="591"/>
        <w:gridCol w:w="4557"/>
        <w:gridCol w:w="1590"/>
      </w:tblGrid>
      <w:tr w:rsidR="0059130C">
        <w:trPr>
          <w:trHeight w:val="536"/>
          <w:jc w:val="center"/>
        </w:trPr>
        <w:tc>
          <w:tcPr>
            <w:tcW w:w="717"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序号</w:t>
            </w:r>
          </w:p>
        </w:tc>
        <w:tc>
          <w:tcPr>
            <w:tcW w:w="1316"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项目名称</w:t>
            </w:r>
          </w:p>
        </w:tc>
        <w:tc>
          <w:tcPr>
            <w:tcW w:w="4087"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实施依据</w:t>
            </w:r>
          </w:p>
        </w:tc>
        <w:tc>
          <w:tcPr>
            <w:tcW w:w="774"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autoSpaceDN w:val="0"/>
              <w:spacing w:line="240" w:lineRule="exact"/>
              <w:jc w:val="center"/>
              <w:textAlignment w:val="center"/>
              <w:rPr>
                <w:rFonts w:ascii="黑体" w:eastAsia="黑体" w:hAnsi="黑体" w:cs="黑体"/>
                <w:color w:val="000000" w:themeColor="text1"/>
                <w:kern w:val="0"/>
                <w:szCs w:val="21"/>
                <w:lang/>
              </w:rPr>
            </w:pPr>
            <w:r>
              <w:rPr>
                <w:rFonts w:ascii="黑体" w:eastAsia="黑体" w:hAnsi="黑体" w:cs="黑体" w:hint="eastAsia"/>
                <w:color w:val="000000" w:themeColor="text1"/>
                <w:szCs w:val="21"/>
              </w:rPr>
              <w:t>类别</w:t>
            </w:r>
          </w:p>
        </w:tc>
        <w:tc>
          <w:tcPr>
            <w:tcW w:w="591"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环节</w:t>
            </w:r>
          </w:p>
        </w:tc>
        <w:tc>
          <w:tcPr>
            <w:tcW w:w="4557"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责任事项</w:t>
            </w:r>
          </w:p>
        </w:tc>
        <w:tc>
          <w:tcPr>
            <w:tcW w:w="1590"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536"/>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37</w:t>
            </w:r>
          </w:p>
        </w:tc>
        <w:tc>
          <w:tcPr>
            <w:tcW w:w="131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设立的客运停靠点未按照规定备案的处罚</w:t>
            </w:r>
          </w:p>
        </w:tc>
        <w:tc>
          <w:tcPr>
            <w:tcW w:w="4087"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《道路旅客运输及客运站管理规定》（交通运输部令2020年第17号）第一百零二条：“违反本规定，客运站经营者有下列情形之一的，由县级以上道路运输管理机构责令改正，处1万元以上3万元以下的罚款：</w:t>
            </w:r>
          </w:p>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（五）设立的停靠点未按照规定备案的。</w:t>
            </w:r>
          </w:p>
          <w:p w:rsidR="0059130C" w:rsidRDefault="00E9165C">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为：</w:t>
            </w:r>
            <w:r w:rsidR="002E22CA">
              <w:rPr>
                <w:rFonts w:ascii="仿宋_GB2312" w:eastAsia="仿宋_GB2312" w:hAnsi="仿宋_GB2312" w:cs="仿宋_GB2312" w:hint="eastAsia"/>
                <w:szCs w:val="21"/>
                <w:u w:val="single"/>
              </w:rPr>
              <w:t>《道路旅客运输及客运站管理规定》（交通运输部令2022年第33号）第一百零一条：“　违反本规定，客运站经营者有下列情形之一的，由交通运输主管部门责令改正，处1万元以上3万元以下的罚款：......（五）设立的停靠点未按照规定备案的。”</w:t>
            </w:r>
          </w:p>
          <w:p w:rsidR="0059130C" w:rsidRDefault="0059130C">
            <w:pPr>
              <w:pStyle w:val="a0"/>
              <w:spacing w:after="0" w:line="240" w:lineRule="exact"/>
              <w:rPr>
                <w:rFonts w:ascii="仿宋_GB2312" w:eastAsia="仿宋_GB2312" w:hAnsi="仿宋_GB2312" w:cs="仿宋_GB2312"/>
                <w:szCs w:val="21"/>
              </w:rPr>
            </w:pPr>
          </w:p>
        </w:tc>
        <w:tc>
          <w:tcPr>
            <w:tcW w:w="774"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591"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557"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内乡县交通运输综合行政执法大队</w:t>
            </w:r>
          </w:p>
        </w:tc>
      </w:tr>
      <w:tr w:rsidR="0059130C">
        <w:trPr>
          <w:trHeight w:val="1075"/>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77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9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68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4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59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1651"/>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557"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rPr>
          <w:trHeight w:val="311"/>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情况：</w:t>
            </w: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实施依据</w:t>
            </w:r>
          </w:p>
        </w:tc>
      </w:tr>
      <w:tr w:rsidR="0059130C">
        <w:trPr>
          <w:trHeight w:val="543"/>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原因：根据《道路旅客运输及客运站管理规定》（交通运输部令2022年第33号），</w:t>
            </w: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实施依据</w:t>
            </w:r>
          </w:p>
        </w:tc>
      </w:tr>
    </w:tbl>
    <w:p w:rsidR="0059130C" w:rsidRDefault="0059130C">
      <w:pPr>
        <w:spacing w:line="240" w:lineRule="exact"/>
        <w:rPr>
          <w:rFonts w:ascii="仿宋_GB2312" w:eastAsia="仿宋_GB2312" w:hAnsi="仿宋_GB2312" w:cs="仿宋_GB2312"/>
          <w:color w:val="000000" w:themeColor="text1"/>
          <w:szCs w:val="21"/>
        </w:rPr>
      </w:pPr>
    </w:p>
    <w:tbl>
      <w:tblPr>
        <w:tblW w:w="13632" w:type="dxa"/>
        <w:jc w:val="center"/>
        <w:tblLayout w:type="fixed"/>
        <w:tblCellMar>
          <w:left w:w="15" w:type="dxa"/>
          <w:right w:w="15" w:type="dxa"/>
        </w:tblCellMar>
        <w:tblLook w:val="04A0"/>
      </w:tblPr>
      <w:tblGrid>
        <w:gridCol w:w="717"/>
        <w:gridCol w:w="1316"/>
        <w:gridCol w:w="4087"/>
        <w:gridCol w:w="774"/>
        <w:gridCol w:w="591"/>
        <w:gridCol w:w="4557"/>
        <w:gridCol w:w="1590"/>
      </w:tblGrid>
      <w:tr w:rsidR="0059130C">
        <w:trPr>
          <w:trHeight w:val="536"/>
          <w:jc w:val="center"/>
        </w:trPr>
        <w:tc>
          <w:tcPr>
            <w:tcW w:w="717"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序号</w:t>
            </w:r>
          </w:p>
        </w:tc>
        <w:tc>
          <w:tcPr>
            <w:tcW w:w="1316"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项目名称</w:t>
            </w:r>
          </w:p>
        </w:tc>
        <w:tc>
          <w:tcPr>
            <w:tcW w:w="4087"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实施依据</w:t>
            </w:r>
          </w:p>
        </w:tc>
        <w:tc>
          <w:tcPr>
            <w:tcW w:w="774"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autoSpaceDN w:val="0"/>
              <w:spacing w:line="240" w:lineRule="exact"/>
              <w:jc w:val="center"/>
              <w:textAlignment w:val="center"/>
              <w:rPr>
                <w:rFonts w:ascii="黑体" w:eastAsia="黑体" w:hAnsi="黑体" w:cs="黑体"/>
                <w:color w:val="000000" w:themeColor="text1"/>
                <w:kern w:val="0"/>
                <w:szCs w:val="21"/>
                <w:lang/>
              </w:rPr>
            </w:pPr>
            <w:r>
              <w:rPr>
                <w:rFonts w:ascii="黑体" w:eastAsia="黑体" w:hAnsi="黑体" w:cs="黑体" w:hint="eastAsia"/>
                <w:color w:val="000000" w:themeColor="text1"/>
                <w:szCs w:val="21"/>
              </w:rPr>
              <w:t>类别</w:t>
            </w:r>
          </w:p>
        </w:tc>
        <w:tc>
          <w:tcPr>
            <w:tcW w:w="591"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环节</w:t>
            </w:r>
          </w:p>
        </w:tc>
        <w:tc>
          <w:tcPr>
            <w:tcW w:w="4557"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责任事项</w:t>
            </w:r>
          </w:p>
        </w:tc>
        <w:tc>
          <w:tcPr>
            <w:tcW w:w="1590"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536"/>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38</w:t>
            </w:r>
          </w:p>
        </w:tc>
        <w:tc>
          <w:tcPr>
            <w:tcW w:w="1316" w:type="dxa"/>
            <w:vMerge w:val="restart"/>
            <w:tcBorders>
              <w:top w:val="single" w:sz="4" w:space="0" w:color="000000"/>
              <w:left w:val="single" w:sz="4" w:space="0" w:color="000000"/>
              <w:right w:val="single" w:sz="4" w:space="0" w:color="000000"/>
            </w:tcBorders>
            <w:vAlign w:val="center"/>
          </w:tcPr>
          <w:p w:rsidR="0059130C" w:rsidRDefault="002E22CA">
            <w:pPr>
              <w:overflowPunct w:val="0"/>
              <w:snapToGrid w:val="0"/>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网络平台发布的提供服务班车客运经营者与实际提供服务班车客运经营者不一致的；发布的提供服务车辆与实际提供服务车辆不一致的；发布的提供服务驾驶员与实际提供服务驾驶员不一致的；超出班车客运经营者许可范围开展定制客运的处罚</w:t>
            </w:r>
          </w:p>
          <w:p w:rsidR="0059130C" w:rsidRDefault="0059130C">
            <w:pPr>
              <w:pStyle w:val="a6"/>
              <w:spacing w:beforeAutospacing="0" w:afterAutospacing="0" w:line="240" w:lineRule="exact"/>
              <w:rPr>
                <w:rFonts w:ascii="仿宋_GB2312" w:eastAsia="仿宋_GB2312" w:hAnsi="仿宋_GB2312" w:cs="仿宋_GB2312"/>
                <w:sz w:val="21"/>
                <w:szCs w:val="21"/>
              </w:rPr>
            </w:pPr>
          </w:p>
        </w:tc>
        <w:tc>
          <w:tcPr>
            <w:tcW w:w="4087" w:type="dxa"/>
            <w:vMerge w:val="restart"/>
            <w:tcBorders>
              <w:top w:val="single" w:sz="4" w:space="0" w:color="000000"/>
              <w:left w:val="single" w:sz="4" w:space="0" w:color="000000"/>
              <w:right w:val="single" w:sz="4" w:space="0" w:color="000000"/>
            </w:tcBorders>
            <w:vAlign w:val="center"/>
          </w:tcPr>
          <w:p w:rsidR="0059130C" w:rsidRDefault="002E22CA">
            <w:pPr>
              <w:overflowPunct w:val="0"/>
              <w:snapToGrid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《道路旅客运输及客运站管理规定》（交通运输部令2020年第17号）第一百零四条：“违反本规定，网络平台有下列情形之一的，由县级以上道路运输管理机构责令改正，处3000元以上1万元以下的罚款：”</w:t>
            </w:r>
          </w:p>
          <w:p w:rsidR="0059130C" w:rsidRDefault="002E22CA">
            <w:pPr>
              <w:overflowPunct w:val="0"/>
              <w:snapToGrid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（一）发布的提供服务班车客运经营者与实际提供服务班车客运经营者不一致的；</w:t>
            </w:r>
          </w:p>
          <w:p w:rsidR="0059130C" w:rsidRDefault="002E22CA">
            <w:pPr>
              <w:overflowPunct w:val="0"/>
              <w:snapToGrid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（二）发布的提供服务车辆与实际提供服务车辆不一致的；</w:t>
            </w:r>
          </w:p>
          <w:p w:rsidR="0059130C" w:rsidRDefault="002E22CA">
            <w:pPr>
              <w:overflowPunct w:val="0"/>
              <w:snapToGrid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（三）发布的提供服务驾驶员与实际提供服务驾驶员不一致的；</w:t>
            </w:r>
          </w:p>
          <w:p w:rsidR="0059130C" w:rsidRDefault="002E22CA">
            <w:pPr>
              <w:overflowPunct w:val="0"/>
              <w:snapToGrid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（四）超出班车客运经营者许可范围开展定制客运的。</w:t>
            </w:r>
          </w:p>
          <w:p w:rsidR="0059130C" w:rsidRDefault="00E9165C">
            <w:pPr>
              <w:overflowPunct w:val="0"/>
              <w:snapToGrid w:val="0"/>
              <w:spacing w:line="240" w:lineRule="exact"/>
              <w:rPr>
                <w:rFonts w:ascii="仿宋_GB2312" w:eastAsia="仿宋_GB2312" w:hAnsi="仿宋_GB2312" w:cs="仿宋_GB2312"/>
                <w:kern w:val="0"/>
                <w:szCs w:val="21"/>
                <w:u w:val="single"/>
                <w:lang/>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为：</w:t>
            </w:r>
            <w:r w:rsidR="002E22CA">
              <w:rPr>
                <w:rFonts w:ascii="仿宋_GB2312" w:eastAsia="仿宋_GB2312" w:hAnsi="仿宋_GB2312" w:cs="仿宋_GB2312" w:hint="eastAsia"/>
                <w:kern w:val="0"/>
                <w:szCs w:val="21"/>
                <w:u w:val="single"/>
                <w:lang/>
              </w:rPr>
              <w:t>《道路旅客运输及客运站管理规定》（交通运输部令2022年第33号）第一百零三条第一款：“违反本规定，网络平台有下列情形之一的，由交通运输主管部门责令改正，处3000元以上1万元以下的罚款：</w:t>
            </w:r>
          </w:p>
          <w:p w:rsidR="0059130C" w:rsidRDefault="002E22CA">
            <w:pPr>
              <w:overflowPunct w:val="0"/>
              <w:snapToGrid w:val="0"/>
              <w:spacing w:line="240" w:lineRule="exact"/>
              <w:rPr>
                <w:rFonts w:ascii="仿宋_GB2312" w:eastAsia="仿宋_GB2312" w:hAnsi="仿宋_GB2312" w:cs="仿宋_GB2312"/>
                <w:kern w:val="0"/>
                <w:szCs w:val="21"/>
                <w:u w:val="single"/>
                <w:lang/>
              </w:rPr>
            </w:pPr>
            <w:r>
              <w:rPr>
                <w:rFonts w:ascii="仿宋_GB2312" w:eastAsia="仿宋_GB2312" w:hAnsi="仿宋_GB2312" w:cs="仿宋_GB2312" w:hint="eastAsia"/>
                <w:kern w:val="0"/>
                <w:szCs w:val="21"/>
                <w:u w:val="single"/>
                <w:lang/>
              </w:rPr>
              <w:t>（一）发布的提供服务班车客运经营者与实际提供服务班车客运经营者不一致的；</w:t>
            </w:r>
          </w:p>
          <w:p w:rsidR="0059130C" w:rsidRDefault="002E22CA">
            <w:pPr>
              <w:overflowPunct w:val="0"/>
              <w:snapToGrid w:val="0"/>
              <w:spacing w:line="240" w:lineRule="exact"/>
              <w:rPr>
                <w:rFonts w:ascii="仿宋_GB2312" w:eastAsia="仿宋_GB2312" w:hAnsi="仿宋_GB2312" w:cs="仿宋_GB2312"/>
                <w:kern w:val="0"/>
                <w:szCs w:val="21"/>
                <w:u w:val="single"/>
                <w:lang/>
              </w:rPr>
            </w:pPr>
            <w:r>
              <w:rPr>
                <w:rFonts w:ascii="仿宋_GB2312" w:eastAsia="仿宋_GB2312" w:hAnsi="仿宋_GB2312" w:cs="仿宋_GB2312" w:hint="eastAsia"/>
                <w:kern w:val="0"/>
                <w:szCs w:val="21"/>
                <w:u w:val="single"/>
                <w:lang/>
              </w:rPr>
              <w:t>（二）发布的提供服务车辆与实际提供服务车辆不一致的；</w:t>
            </w:r>
          </w:p>
          <w:p w:rsidR="0059130C" w:rsidRDefault="002E22CA">
            <w:pPr>
              <w:overflowPunct w:val="0"/>
              <w:snapToGrid w:val="0"/>
              <w:spacing w:line="240" w:lineRule="exact"/>
              <w:rPr>
                <w:rFonts w:ascii="仿宋_GB2312" w:eastAsia="仿宋_GB2312" w:hAnsi="仿宋_GB2312" w:cs="仿宋_GB2312"/>
                <w:kern w:val="0"/>
                <w:szCs w:val="21"/>
                <w:u w:val="single"/>
                <w:lang/>
              </w:rPr>
            </w:pPr>
            <w:r>
              <w:rPr>
                <w:rFonts w:ascii="仿宋_GB2312" w:eastAsia="仿宋_GB2312" w:hAnsi="仿宋_GB2312" w:cs="仿宋_GB2312" w:hint="eastAsia"/>
                <w:kern w:val="0"/>
                <w:szCs w:val="21"/>
                <w:u w:val="single"/>
                <w:lang/>
              </w:rPr>
              <w:t>（三）发布的提供服务驾驶员与实际提供服务驾驶员不一致的；</w:t>
            </w:r>
          </w:p>
          <w:p w:rsidR="0059130C" w:rsidRDefault="002E22CA">
            <w:pPr>
              <w:overflowPunct w:val="0"/>
              <w:snapToGrid w:val="0"/>
              <w:spacing w:line="240" w:lineRule="exact"/>
              <w:rPr>
                <w:rFonts w:ascii="仿宋_GB2312" w:eastAsia="仿宋_GB2312" w:hAnsi="仿宋_GB2312" w:cs="仿宋_GB2312"/>
                <w:kern w:val="0"/>
                <w:szCs w:val="21"/>
                <w:u w:val="single"/>
                <w:lang/>
              </w:rPr>
            </w:pPr>
            <w:r>
              <w:rPr>
                <w:rFonts w:ascii="仿宋_GB2312" w:eastAsia="仿宋_GB2312" w:hAnsi="仿宋_GB2312" w:cs="仿宋_GB2312" w:hint="eastAsia"/>
                <w:kern w:val="0"/>
                <w:szCs w:val="21"/>
                <w:u w:val="single"/>
                <w:lang/>
              </w:rPr>
              <w:t>（四）超出班车客运经营者许可范围开展定制客运的。”</w:t>
            </w:r>
          </w:p>
          <w:p w:rsidR="0059130C" w:rsidRDefault="0059130C">
            <w:pPr>
              <w:pStyle w:val="a0"/>
              <w:spacing w:after="0" w:line="240" w:lineRule="exact"/>
              <w:rPr>
                <w:rFonts w:ascii="仿宋_GB2312" w:eastAsia="仿宋_GB2312" w:hAnsi="仿宋_GB2312" w:cs="仿宋_GB2312"/>
                <w:szCs w:val="21"/>
              </w:rPr>
            </w:pPr>
          </w:p>
        </w:tc>
        <w:tc>
          <w:tcPr>
            <w:tcW w:w="774"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591"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557"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内乡县交通运输综合行政执法大队</w:t>
            </w:r>
          </w:p>
        </w:tc>
      </w:tr>
      <w:tr w:rsidR="0059130C">
        <w:trPr>
          <w:trHeight w:val="1075"/>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77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9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68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4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59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1651"/>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557"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rPr>
          <w:trHeight w:val="311"/>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情况：</w:t>
            </w: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实施依据</w:t>
            </w:r>
          </w:p>
        </w:tc>
      </w:tr>
      <w:tr w:rsidR="0059130C">
        <w:trPr>
          <w:trHeight w:val="543"/>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原因：根据《道路旅客运输及客运站管理规定》（交通运输部令2022年第33号），</w:t>
            </w: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实施依据</w:t>
            </w:r>
          </w:p>
        </w:tc>
      </w:tr>
    </w:tbl>
    <w:p w:rsidR="0059130C" w:rsidRDefault="0059130C">
      <w:pPr>
        <w:spacing w:line="240" w:lineRule="exact"/>
        <w:rPr>
          <w:rFonts w:ascii="仿宋_GB2312" w:eastAsia="仿宋_GB2312" w:hAnsi="仿宋_GB2312" w:cs="仿宋_GB2312"/>
          <w:color w:val="000000" w:themeColor="text1"/>
          <w:szCs w:val="21"/>
        </w:rPr>
      </w:pPr>
    </w:p>
    <w:tbl>
      <w:tblPr>
        <w:tblW w:w="13632" w:type="dxa"/>
        <w:jc w:val="center"/>
        <w:tblLayout w:type="fixed"/>
        <w:tblCellMar>
          <w:left w:w="15" w:type="dxa"/>
          <w:right w:w="15" w:type="dxa"/>
        </w:tblCellMar>
        <w:tblLook w:val="04A0"/>
      </w:tblPr>
      <w:tblGrid>
        <w:gridCol w:w="717"/>
        <w:gridCol w:w="1316"/>
        <w:gridCol w:w="4087"/>
        <w:gridCol w:w="774"/>
        <w:gridCol w:w="591"/>
        <w:gridCol w:w="4557"/>
        <w:gridCol w:w="1590"/>
      </w:tblGrid>
      <w:tr w:rsidR="0059130C">
        <w:trPr>
          <w:trHeight w:val="536"/>
          <w:jc w:val="center"/>
        </w:trPr>
        <w:tc>
          <w:tcPr>
            <w:tcW w:w="717"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序号</w:t>
            </w:r>
          </w:p>
        </w:tc>
        <w:tc>
          <w:tcPr>
            <w:tcW w:w="1316"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项目名称</w:t>
            </w:r>
          </w:p>
        </w:tc>
        <w:tc>
          <w:tcPr>
            <w:tcW w:w="4087"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实施依据</w:t>
            </w:r>
          </w:p>
        </w:tc>
        <w:tc>
          <w:tcPr>
            <w:tcW w:w="774"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autoSpaceDN w:val="0"/>
              <w:spacing w:line="240" w:lineRule="exact"/>
              <w:jc w:val="center"/>
              <w:textAlignment w:val="center"/>
              <w:rPr>
                <w:rFonts w:ascii="黑体" w:eastAsia="黑体" w:hAnsi="黑体" w:cs="黑体"/>
                <w:color w:val="000000" w:themeColor="text1"/>
                <w:kern w:val="0"/>
                <w:szCs w:val="21"/>
                <w:lang/>
              </w:rPr>
            </w:pPr>
            <w:r>
              <w:rPr>
                <w:rFonts w:ascii="黑体" w:eastAsia="黑体" w:hAnsi="黑体" w:cs="黑体" w:hint="eastAsia"/>
                <w:color w:val="000000" w:themeColor="text1"/>
                <w:szCs w:val="21"/>
              </w:rPr>
              <w:t>类别</w:t>
            </w:r>
          </w:p>
        </w:tc>
        <w:tc>
          <w:tcPr>
            <w:tcW w:w="591"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环节</w:t>
            </w:r>
          </w:p>
        </w:tc>
        <w:tc>
          <w:tcPr>
            <w:tcW w:w="4557"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责任事项</w:t>
            </w:r>
          </w:p>
        </w:tc>
        <w:tc>
          <w:tcPr>
            <w:tcW w:w="1590"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907"/>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39</w:t>
            </w:r>
          </w:p>
        </w:tc>
        <w:tc>
          <w:tcPr>
            <w:tcW w:w="131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网络平台接入或者使用不符合规定的班车客运经营者、车辆或者驾驶员开展定制客运的</w:t>
            </w:r>
          </w:p>
        </w:tc>
        <w:tc>
          <w:tcPr>
            <w:tcW w:w="4087" w:type="dxa"/>
            <w:vMerge w:val="restart"/>
            <w:tcBorders>
              <w:top w:val="single" w:sz="4" w:space="0" w:color="000000"/>
              <w:left w:val="single" w:sz="4" w:space="0" w:color="000000"/>
              <w:right w:val="single" w:sz="4" w:space="0" w:color="000000"/>
            </w:tcBorders>
            <w:vAlign w:val="center"/>
          </w:tcPr>
          <w:p w:rsidR="0059130C" w:rsidRDefault="002E22CA">
            <w:pPr>
              <w:pStyle w:val="a0"/>
              <w:spacing w:after="0"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道路旅客运输及客运站管理规定》（交通运输部令2020年第17号）第一百零四条第二款：“网络平台接入或者使用不符合规定的班车客运经营者、车辆或者驾驶员开展定制客运的，由县级以上道路运输管理机构责令改正，处1万元以上3万元以下的罚款。”</w:t>
            </w:r>
          </w:p>
          <w:p w:rsidR="0059130C" w:rsidRDefault="00E9165C">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为：</w:t>
            </w:r>
            <w:r w:rsidR="002E22CA">
              <w:rPr>
                <w:rFonts w:ascii="仿宋_GB2312" w:eastAsia="仿宋_GB2312" w:hAnsi="仿宋_GB2312" w:cs="仿宋_GB2312" w:hint="eastAsia"/>
                <w:szCs w:val="21"/>
                <w:u w:val="single"/>
              </w:rPr>
              <w:t>《道路旅客运输及客运站管理规定》（交通运输部令2022年第33号）第一百零三条第二款：“网络平台接入或者使用不符合规定的班车客运经营者、车辆或者驾驶员开展定制客运的，由交通运输主管部门责令改正，处1万元以上3万元以下的罚款。”</w:t>
            </w:r>
          </w:p>
        </w:tc>
        <w:tc>
          <w:tcPr>
            <w:tcW w:w="774"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591"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557"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内乡县交通运输综合行政执法大队</w:t>
            </w:r>
          </w:p>
        </w:tc>
      </w:tr>
      <w:tr w:rsidR="0059130C">
        <w:trPr>
          <w:trHeight w:val="907"/>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557"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rPr>
          <w:trHeight w:val="311"/>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情况：</w:t>
            </w: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实施依据</w:t>
            </w:r>
          </w:p>
        </w:tc>
      </w:tr>
      <w:tr w:rsidR="0059130C">
        <w:trPr>
          <w:trHeight w:val="543"/>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原因：根据《道路旅客运输及客运站管理规定》（交通运输部令2022年第33号），</w:t>
            </w: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实施依据</w:t>
            </w:r>
          </w:p>
        </w:tc>
      </w:tr>
    </w:tbl>
    <w:p w:rsidR="0059130C" w:rsidRDefault="002E22CA">
      <w:pPr>
        <w:spacing w:line="240" w:lineRule="exact"/>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br w:type="page"/>
      </w:r>
    </w:p>
    <w:tbl>
      <w:tblPr>
        <w:tblW w:w="13632" w:type="dxa"/>
        <w:jc w:val="center"/>
        <w:tblLayout w:type="fixed"/>
        <w:tblCellMar>
          <w:left w:w="15" w:type="dxa"/>
          <w:right w:w="15" w:type="dxa"/>
        </w:tblCellMar>
        <w:tblLook w:val="04A0"/>
      </w:tblPr>
      <w:tblGrid>
        <w:gridCol w:w="717"/>
        <w:gridCol w:w="1211"/>
        <w:gridCol w:w="4950"/>
        <w:gridCol w:w="525"/>
        <w:gridCol w:w="581"/>
        <w:gridCol w:w="4058"/>
        <w:gridCol w:w="1590"/>
      </w:tblGrid>
      <w:tr w:rsidR="0059130C">
        <w:trPr>
          <w:trHeight w:val="536"/>
          <w:jc w:val="center"/>
        </w:trPr>
        <w:tc>
          <w:tcPr>
            <w:tcW w:w="717"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lastRenderedPageBreak/>
              <w:t>序号</w:t>
            </w:r>
          </w:p>
        </w:tc>
        <w:tc>
          <w:tcPr>
            <w:tcW w:w="1211"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项目名称</w:t>
            </w:r>
          </w:p>
        </w:tc>
        <w:tc>
          <w:tcPr>
            <w:tcW w:w="4950"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u w:val="single"/>
              </w:rPr>
            </w:pPr>
            <w:r>
              <w:rPr>
                <w:rFonts w:ascii="黑体" w:eastAsia="黑体" w:hAnsi="黑体" w:cs="黑体" w:hint="eastAsia"/>
                <w:color w:val="000000" w:themeColor="text1"/>
                <w:szCs w:val="21"/>
              </w:rPr>
              <w:t>实施依据</w:t>
            </w:r>
          </w:p>
        </w:tc>
        <w:tc>
          <w:tcPr>
            <w:tcW w:w="525"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autoSpaceDN w:val="0"/>
              <w:spacing w:line="240" w:lineRule="exact"/>
              <w:jc w:val="center"/>
              <w:textAlignment w:val="center"/>
              <w:rPr>
                <w:rFonts w:ascii="黑体" w:eastAsia="黑体" w:hAnsi="黑体" w:cs="黑体"/>
                <w:color w:val="000000" w:themeColor="text1"/>
                <w:kern w:val="0"/>
                <w:szCs w:val="21"/>
                <w:lang/>
              </w:rPr>
            </w:pPr>
            <w:r>
              <w:rPr>
                <w:rFonts w:ascii="黑体" w:eastAsia="黑体" w:hAnsi="黑体" w:cs="黑体" w:hint="eastAsia"/>
                <w:color w:val="000000" w:themeColor="text1"/>
                <w:szCs w:val="21"/>
              </w:rPr>
              <w:t>类别</w:t>
            </w:r>
          </w:p>
        </w:tc>
        <w:tc>
          <w:tcPr>
            <w:tcW w:w="581"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环节</w:t>
            </w:r>
          </w:p>
        </w:tc>
        <w:tc>
          <w:tcPr>
            <w:tcW w:w="4058"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责任事项</w:t>
            </w:r>
          </w:p>
        </w:tc>
        <w:tc>
          <w:tcPr>
            <w:tcW w:w="1590"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536"/>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40</w:t>
            </w:r>
          </w:p>
        </w:tc>
        <w:tc>
          <w:tcPr>
            <w:tcW w:w="1211"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道路货物运输经营者强行招揽货物的或没有采取必要措施防止货物脱落、扬撒的处罚</w:t>
            </w:r>
          </w:p>
          <w:p w:rsidR="0059130C" w:rsidRDefault="00E9165C">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调整</w:t>
            </w:r>
            <w:r w:rsidR="002E22CA">
              <w:rPr>
                <w:rFonts w:ascii="仿宋_GB2312" w:eastAsia="仿宋_GB2312" w:hAnsi="仿宋_GB2312" w:cs="仿宋_GB2312" w:hint="eastAsia"/>
                <w:sz w:val="21"/>
                <w:szCs w:val="21"/>
              </w:rPr>
              <w:t>为：</w:t>
            </w:r>
            <w:r w:rsidR="002E22CA">
              <w:rPr>
                <w:rFonts w:ascii="仿宋_GB2312" w:eastAsia="仿宋_GB2312" w:hAnsi="仿宋_GB2312" w:cs="仿宋_GB2312" w:hint="eastAsia"/>
                <w:sz w:val="21"/>
                <w:szCs w:val="21"/>
                <w:u w:val="single"/>
              </w:rPr>
              <w:t>客运经营者强行招揽旅客，货运经营者强行招揽货物或者没有采取必要措施防止货物脱落、扬撒的处罚</w:t>
            </w:r>
          </w:p>
        </w:tc>
        <w:tc>
          <w:tcPr>
            <w:tcW w:w="4950"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中华人民共和国道路运输条例》（国务院令第752号）第六十九条：“违反本条例的规定，客运经营者、货运经营者有下列情形之一的，由县级以上地方人民政府交通运输主管部门责令改正，处1000元以上3000元以下的罚款；情节严重的，由原许可机关吊销道路运输经营许可证：……（二）强行招揽旅客、货物的；……（五）没有采取必要措施防止货物脱落、扬撒等的。”</w:t>
            </w:r>
          </w:p>
          <w:p w:rsidR="0059130C" w:rsidRDefault="002E22CA">
            <w:pPr>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道路货物运输及站场管理规定》（交通运输部令2019年第17号）第六十一条：“违反本规定，道路货物运输经营者有下列情形之一的，由县级以上道路运输管理机构责令改正，处1000元以上3000元以下的罚款；情节严重的，由原许可机关吊销道路运输经营许可证或者吊销其相应的经营范围：</w:t>
            </w:r>
          </w:p>
          <w:p w:rsidR="0059130C" w:rsidRDefault="002E22CA">
            <w:pPr>
              <w:numPr>
                <w:ilvl w:val="0"/>
                <w:numId w:val="2"/>
              </w:numPr>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强行招揽货物的；</w:t>
            </w:r>
          </w:p>
          <w:p w:rsidR="0059130C" w:rsidRDefault="00E9165C">
            <w:pPr>
              <w:overflowPunct w:val="0"/>
              <w:snapToGrid w:val="0"/>
              <w:spacing w:line="240" w:lineRule="exact"/>
              <w:rPr>
                <w:rFonts w:ascii="仿宋_GB2312" w:eastAsia="仿宋_GB2312" w:hAnsi="仿宋_GB2312" w:cs="仿宋_GB2312"/>
                <w:szCs w:val="21"/>
                <w:u w:val="single"/>
              </w:rPr>
            </w:pPr>
            <w:r>
              <w:rPr>
                <w:rFonts w:ascii="仿宋_GB2312" w:eastAsia="仿宋_GB2312" w:hAnsi="仿宋_GB2312" w:cs="仿宋_GB2312" w:hint="eastAsia"/>
                <w:kern w:val="0"/>
                <w:szCs w:val="21"/>
              </w:rPr>
              <w:t>调整</w:t>
            </w:r>
            <w:r w:rsidR="002E22CA">
              <w:rPr>
                <w:rFonts w:ascii="仿宋_GB2312" w:eastAsia="仿宋_GB2312" w:hAnsi="仿宋_GB2312" w:cs="仿宋_GB2312" w:hint="eastAsia"/>
                <w:kern w:val="0"/>
                <w:szCs w:val="21"/>
              </w:rPr>
              <w:t>为：</w:t>
            </w:r>
            <w:r w:rsidR="002E22CA">
              <w:rPr>
                <w:rFonts w:ascii="仿宋_GB2312" w:eastAsia="仿宋_GB2312" w:hAnsi="仿宋_GB2312" w:cs="仿宋_GB2312" w:hint="eastAsia"/>
                <w:szCs w:val="21"/>
                <w:u w:val="single"/>
              </w:rPr>
              <w:t>《中华人民共和国道路运输条例》（国务院令第764号）第六十八条第二款：“客运经营者强行招揽旅客，货运经营者强行招揽货物或者没有采取必要措施防止货物脱落、扬撒等的，由县级以上地方人民政府交通运输主管部门责令改正，处1000元以上3000元以下的罚款；情节严重的，由原许可机关吊销道路运输经营许可证。”</w:t>
            </w:r>
          </w:p>
          <w:p w:rsidR="0059130C" w:rsidRDefault="002E22CA">
            <w:pPr>
              <w:overflowPunct w:val="0"/>
              <w:snapToGrid w:val="0"/>
              <w:spacing w:line="240" w:lineRule="exact"/>
              <w:rPr>
                <w:rFonts w:ascii="仿宋_GB2312" w:eastAsia="仿宋_GB2312" w:hAnsi="仿宋_GB2312" w:cs="仿宋_GB2312"/>
                <w:szCs w:val="21"/>
                <w:u w:val="single"/>
              </w:rPr>
            </w:pPr>
            <w:r>
              <w:rPr>
                <w:rFonts w:ascii="仿宋_GB2312" w:eastAsia="仿宋_GB2312" w:hAnsi="仿宋_GB2312" w:cs="仿宋_GB2312" w:hint="eastAsia"/>
                <w:szCs w:val="21"/>
                <w:u w:val="single"/>
              </w:rPr>
              <w:t>《道路货物运输及站场管理规定》（（交通运输部令2022年第30号）第六十四条：“违反本规定，道路货物运输经营者有下列情形之一的，由县级以上道路运输管理机构责令改正，处1000元以上3000元以下的罚款；情节严重的，由原许可机关吊销道路运输经营许可证或者吊销其相应的经营范围：</w:t>
            </w:r>
          </w:p>
          <w:p w:rsidR="0059130C" w:rsidRDefault="002E22CA">
            <w:pPr>
              <w:numPr>
                <w:ilvl w:val="0"/>
                <w:numId w:val="3"/>
              </w:numPr>
              <w:overflowPunct w:val="0"/>
              <w:snapToGrid w:val="0"/>
              <w:spacing w:line="240" w:lineRule="exact"/>
              <w:rPr>
                <w:rFonts w:ascii="仿宋_GB2312" w:eastAsia="仿宋_GB2312" w:hAnsi="仿宋_GB2312" w:cs="仿宋_GB2312"/>
                <w:szCs w:val="21"/>
                <w:u w:val="single"/>
              </w:rPr>
            </w:pPr>
            <w:r>
              <w:rPr>
                <w:rFonts w:ascii="仿宋_GB2312" w:eastAsia="仿宋_GB2312" w:hAnsi="仿宋_GB2312" w:cs="仿宋_GB2312" w:hint="eastAsia"/>
                <w:szCs w:val="21"/>
                <w:u w:val="single"/>
              </w:rPr>
              <w:t>强行招揽货物的；</w:t>
            </w:r>
          </w:p>
          <w:p w:rsidR="0059130C" w:rsidRDefault="002E22CA">
            <w:pPr>
              <w:pStyle w:val="a0"/>
              <w:spacing w:after="0" w:line="240" w:lineRule="exact"/>
              <w:rPr>
                <w:rFonts w:ascii="仿宋_GB2312" w:eastAsia="仿宋_GB2312" w:hAnsi="仿宋_GB2312" w:cs="仿宋_GB2312"/>
                <w:szCs w:val="21"/>
              </w:rPr>
            </w:pPr>
            <w:r>
              <w:rPr>
                <w:rFonts w:ascii="仿宋_GB2312" w:eastAsia="仿宋_GB2312" w:hAnsi="仿宋_GB2312" w:cs="仿宋_GB2312" w:hint="eastAsia"/>
                <w:szCs w:val="21"/>
                <w:u w:val="single"/>
              </w:rPr>
              <w:t>（二）没有采取必要措施防止货物脱落、扬撒的。</w:t>
            </w:r>
          </w:p>
        </w:tc>
        <w:tc>
          <w:tcPr>
            <w:tcW w:w="52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581"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058"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内乡县交通运输综合行政执法大队</w:t>
            </w:r>
          </w:p>
        </w:tc>
      </w:tr>
      <w:tr w:rsidR="0059130C">
        <w:trPr>
          <w:trHeight w:val="1075"/>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11"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95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2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8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05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77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11"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95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2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8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05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9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11"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95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2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8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05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68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11"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95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2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8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05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4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11"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95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2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8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05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59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11"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95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2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8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05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798"/>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11"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95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2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81"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058"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rPr>
          <w:trHeight w:val="311"/>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情况：</w:t>
            </w: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项目名称、实施依据</w:t>
            </w:r>
          </w:p>
        </w:tc>
      </w:tr>
      <w:tr w:rsidR="0059130C">
        <w:trPr>
          <w:trHeight w:val="543"/>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原因：根据《中华人民共和国道路运输条例》（国务院令第764号），</w:t>
            </w: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项目名称、实施依据</w:t>
            </w:r>
          </w:p>
        </w:tc>
      </w:tr>
    </w:tbl>
    <w:p w:rsidR="0059130C" w:rsidRDefault="002E22CA">
      <w:pPr>
        <w:spacing w:line="240" w:lineRule="exact"/>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br w:type="page"/>
      </w:r>
    </w:p>
    <w:tbl>
      <w:tblPr>
        <w:tblW w:w="13632" w:type="dxa"/>
        <w:jc w:val="center"/>
        <w:tblLayout w:type="fixed"/>
        <w:tblCellMar>
          <w:left w:w="15" w:type="dxa"/>
          <w:right w:w="15" w:type="dxa"/>
        </w:tblCellMar>
        <w:tblLook w:val="04A0"/>
      </w:tblPr>
      <w:tblGrid>
        <w:gridCol w:w="717"/>
        <w:gridCol w:w="1249"/>
        <w:gridCol w:w="4154"/>
        <w:gridCol w:w="774"/>
        <w:gridCol w:w="591"/>
        <w:gridCol w:w="4557"/>
        <w:gridCol w:w="1590"/>
      </w:tblGrid>
      <w:tr w:rsidR="0059130C">
        <w:trPr>
          <w:trHeight w:val="536"/>
          <w:jc w:val="center"/>
        </w:trPr>
        <w:tc>
          <w:tcPr>
            <w:tcW w:w="717"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lastRenderedPageBreak/>
              <w:t>序号</w:t>
            </w:r>
          </w:p>
        </w:tc>
        <w:tc>
          <w:tcPr>
            <w:tcW w:w="1249"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项目名称</w:t>
            </w:r>
          </w:p>
        </w:tc>
        <w:tc>
          <w:tcPr>
            <w:tcW w:w="4154"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实施依据</w:t>
            </w:r>
          </w:p>
        </w:tc>
        <w:tc>
          <w:tcPr>
            <w:tcW w:w="774"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类别</w:t>
            </w:r>
          </w:p>
        </w:tc>
        <w:tc>
          <w:tcPr>
            <w:tcW w:w="591" w:type="dxa"/>
            <w:tcBorders>
              <w:top w:val="single" w:sz="4" w:space="0" w:color="000000"/>
              <w:left w:val="single" w:sz="4" w:space="0" w:color="000000"/>
              <w:bottom w:val="single" w:sz="4" w:space="0" w:color="auto"/>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环节</w:t>
            </w:r>
          </w:p>
        </w:tc>
        <w:tc>
          <w:tcPr>
            <w:tcW w:w="4557" w:type="dxa"/>
            <w:tcBorders>
              <w:top w:val="single" w:sz="4" w:space="0" w:color="000000"/>
              <w:left w:val="single" w:sz="4" w:space="0" w:color="000000"/>
              <w:bottom w:val="single" w:sz="4" w:space="0" w:color="auto"/>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责任事项</w:t>
            </w:r>
          </w:p>
        </w:tc>
        <w:tc>
          <w:tcPr>
            <w:tcW w:w="1590"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536"/>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41</w:t>
            </w:r>
          </w:p>
        </w:tc>
        <w:tc>
          <w:tcPr>
            <w:tcW w:w="1249"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未进行备案从事机动车维修经营业务的处罚、备案时提供虚假材料情节严重的处罚</w:t>
            </w:r>
          </w:p>
        </w:tc>
        <w:tc>
          <w:tcPr>
            <w:tcW w:w="4154"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中华人民共和国道路运输条例》（国务院令第752号）第六十五条第三款：“从事道路货物运输站（场）经营、机动车维修经营和机动车驾驶员培训业务，未按规定进行备案的，由县级以上地方人民政府交通运输主管部门责令改正；拒不改正的，处5000元以上2万元以下的罚款。备案时提供虚假材料情节严重的，其直接负责的主管人员和其他直接责任人员5年内不得从事原备案的业务。”</w:t>
            </w:r>
          </w:p>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《机动车维修管理规定》（交通运输部令2021 年第 18 号）第四十九条“违反本规定，从事机动车维修经营业务，未按规定进行备案的，由县级以上道路运输管理机构责令改正；拒不改正的，处 5000 元以上 2 万元以下的罚款。”</w:t>
            </w:r>
          </w:p>
          <w:p w:rsidR="0059130C" w:rsidRDefault="00E9165C">
            <w:pPr>
              <w:pStyle w:val="a6"/>
              <w:spacing w:beforeAutospacing="0" w:afterAutospacing="0" w:line="240" w:lineRule="exact"/>
              <w:rPr>
                <w:rFonts w:ascii="仿宋_GB2312" w:eastAsia="仿宋_GB2312" w:hAnsi="仿宋_GB2312" w:cs="仿宋_GB2312"/>
                <w:sz w:val="21"/>
                <w:szCs w:val="21"/>
                <w:u w:val="single"/>
                <w:lang/>
              </w:rPr>
            </w:pPr>
            <w:r>
              <w:rPr>
                <w:rFonts w:ascii="仿宋_GB2312" w:eastAsia="仿宋_GB2312" w:hAnsi="仿宋_GB2312" w:cs="仿宋_GB2312" w:hint="eastAsia"/>
                <w:sz w:val="21"/>
                <w:szCs w:val="21"/>
              </w:rPr>
              <w:t>调整</w:t>
            </w:r>
            <w:r w:rsidR="002E22CA">
              <w:rPr>
                <w:rFonts w:ascii="仿宋_GB2312" w:eastAsia="仿宋_GB2312" w:hAnsi="仿宋_GB2312" w:cs="仿宋_GB2312" w:hint="eastAsia"/>
                <w:sz w:val="21"/>
                <w:szCs w:val="21"/>
              </w:rPr>
              <w:t>为：</w:t>
            </w:r>
            <w:r w:rsidR="002E22CA">
              <w:rPr>
                <w:rFonts w:ascii="仿宋_GB2312" w:eastAsia="仿宋_GB2312" w:hAnsi="仿宋_GB2312" w:cs="仿宋_GB2312" w:hint="eastAsia"/>
                <w:sz w:val="21"/>
                <w:szCs w:val="21"/>
                <w:u w:val="single"/>
                <w:lang/>
              </w:rPr>
              <w:t>《中华人民共和国道路运输条例》（国务院令第764号）第六十五条第四款：“从事机动车维修经营业务，未按规定进行备案的，由县级以上地方人民政府交通运输主管部门责令改正；拒不改正的，处3000元以上1万元以下的罚款。”</w:t>
            </w:r>
          </w:p>
          <w:p w:rsidR="0059130C" w:rsidRDefault="002E22CA">
            <w:pPr>
              <w:overflowPunct w:val="0"/>
              <w:snapToGrid w:val="0"/>
              <w:spacing w:line="240" w:lineRule="exact"/>
              <w:rPr>
                <w:rFonts w:ascii="仿宋_GB2312" w:eastAsia="仿宋_GB2312" w:hAnsi="仿宋_GB2312" w:cs="仿宋_GB2312"/>
                <w:kern w:val="0"/>
                <w:szCs w:val="21"/>
                <w:u w:val="single"/>
                <w:lang/>
              </w:rPr>
            </w:pPr>
            <w:r>
              <w:rPr>
                <w:rFonts w:ascii="仿宋_GB2312" w:eastAsia="仿宋_GB2312" w:hAnsi="仿宋_GB2312" w:cs="仿宋_GB2312" w:hint="eastAsia"/>
                <w:kern w:val="0"/>
                <w:szCs w:val="21"/>
                <w:u w:val="single"/>
                <w:lang/>
              </w:rPr>
              <w:t>《中华人民共和国道路运输条例》（国务院令第764号）第六十五条第五款：“备案时提供虚假材料情节严重的，其直接负责的主管人员和其他直接责任人员5年内不得从事原备案的业务。”</w:t>
            </w:r>
          </w:p>
          <w:p w:rsidR="0059130C" w:rsidRDefault="002E22CA">
            <w:pPr>
              <w:overflowPunct w:val="0"/>
              <w:snapToGrid w:val="0"/>
              <w:spacing w:line="240" w:lineRule="exact"/>
              <w:rPr>
                <w:rFonts w:ascii="仿宋_GB2312" w:eastAsia="仿宋_GB2312" w:hAnsi="仿宋_GB2312" w:cs="仿宋_GB2312"/>
                <w:szCs w:val="21"/>
              </w:rPr>
            </w:pPr>
            <w:r>
              <w:rPr>
                <w:rFonts w:ascii="仿宋_GB2312" w:eastAsia="仿宋_GB2312" w:hAnsi="仿宋_GB2312" w:cs="仿宋_GB2312" w:hint="eastAsia"/>
                <w:kern w:val="0"/>
                <w:szCs w:val="21"/>
                <w:u w:val="single"/>
                <w:lang/>
              </w:rPr>
              <w:t>《机动车维修管理规定》（交通运输部令2021 年第 18 号）第四十九条“违反本规定，从事机动车维修经营业务，未按规定进行备案的，由县级以上道路运输管理机构责令改正；拒不改正的，处 5000 元以上 2 万元以下的罚款。”</w:t>
            </w:r>
          </w:p>
        </w:tc>
        <w:tc>
          <w:tcPr>
            <w:tcW w:w="774"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591"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557"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内乡县交通运输综合行政执法大队</w:t>
            </w:r>
          </w:p>
        </w:tc>
      </w:tr>
      <w:tr w:rsidR="0059130C">
        <w:trPr>
          <w:trHeight w:val="1075"/>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49"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154"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77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49"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154"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9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49"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154"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68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49"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154"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4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49"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154"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59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49"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154"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1651"/>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49"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154"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557"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rPr>
          <w:trHeight w:val="311"/>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情况：</w:t>
            </w: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实施依据</w:t>
            </w:r>
          </w:p>
        </w:tc>
      </w:tr>
      <w:tr w:rsidR="0059130C">
        <w:trPr>
          <w:trHeight w:val="543"/>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原因：根据《中华人民共和国道路运输条例》（国务院令第764号），</w:t>
            </w: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实施依据</w:t>
            </w:r>
          </w:p>
        </w:tc>
      </w:tr>
    </w:tbl>
    <w:p w:rsidR="0059130C" w:rsidRDefault="0059130C">
      <w:pPr>
        <w:spacing w:line="240" w:lineRule="exact"/>
        <w:rPr>
          <w:rFonts w:ascii="仿宋_GB2312" w:eastAsia="仿宋_GB2312" w:hAnsi="仿宋_GB2312" w:cs="仿宋_GB2312"/>
          <w:color w:val="000000" w:themeColor="text1"/>
          <w:szCs w:val="21"/>
        </w:rPr>
      </w:pPr>
    </w:p>
    <w:tbl>
      <w:tblPr>
        <w:tblW w:w="13632" w:type="dxa"/>
        <w:jc w:val="center"/>
        <w:tblLayout w:type="fixed"/>
        <w:tblCellMar>
          <w:left w:w="15" w:type="dxa"/>
          <w:right w:w="15" w:type="dxa"/>
        </w:tblCellMar>
        <w:tblLook w:val="04A0"/>
      </w:tblPr>
      <w:tblGrid>
        <w:gridCol w:w="717"/>
        <w:gridCol w:w="1316"/>
        <w:gridCol w:w="4087"/>
        <w:gridCol w:w="774"/>
        <w:gridCol w:w="591"/>
        <w:gridCol w:w="4557"/>
        <w:gridCol w:w="1590"/>
      </w:tblGrid>
      <w:tr w:rsidR="0059130C">
        <w:trPr>
          <w:trHeight w:val="536"/>
          <w:jc w:val="center"/>
        </w:trPr>
        <w:tc>
          <w:tcPr>
            <w:tcW w:w="717"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序号</w:t>
            </w:r>
          </w:p>
        </w:tc>
        <w:tc>
          <w:tcPr>
            <w:tcW w:w="1316"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项目名称</w:t>
            </w:r>
          </w:p>
        </w:tc>
        <w:tc>
          <w:tcPr>
            <w:tcW w:w="4087"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kern w:val="0"/>
                <w:szCs w:val="21"/>
                <w:u w:val="single"/>
              </w:rPr>
            </w:pPr>
            <w:r>
              <w:rPr>
                <w:rFonts w:ascii="黑体" w:eastAsia="黑体" w:hAnsi="黑体" w:cs="黑体" w:hint="eastAsia"/>
                <w:color w:val="000000" w:themeColor="text1"/>
                <w:szCs w:val="21"/>
              </w:rPr>
              <w:t>实施依据</w:t>
            </w:r>
          </w:p>
        </w:tc>
        <w:tc>
          <w:tcPr>
            <w:tcW w:w="774"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autoSpaceDN w:val="0"/>
              <w:spacing w:line="240" w:lineRule="exact"/>
              <w:jc w:val="center"/>
              <w:textAlignment w:val="center"/>
              <w:rPr>
                <w:rFonts w:ascii="黑体" w:eastAsia="黑体" w:hAnsi="黑体" w:cs="黑体"/>
                <w:color w:val="000000" w:themeColor="text1"/>
                <w:kern w:val="0"/>
                <w:szCs w:val="21"/>
                <w:lang/>
              </w:rPr>
            </w:pPr>
            <w:r>
              <w:rPr>
                <w:rFonts w:ascii="黑体" w:eastAsia="黑体" w:hAnsi="黑体" w:cs="黑体" w:hint="eastAsia"/>
                <w:color w:val="000000" w:themeColor="text1"/>
                <w:szCs w:val="21"/>
              </w:rPr>
              <w:t>类别</w:t>
            </w:r>
          </w:p>
        </w:tc>
        <w:tc>
          <w:tcPr>
            <w:tcW w:w="591"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环节</w:t>
            </w:r>
          </w:p>
        </w:tc>
        <w:tc>
          <w:tcPr>
            <w:tcW w:w="4557"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责任事项</w:t>
            </w:r>
          </w:p>
        </w:tc>
        <w:tc>
          <w:tcPr>
            <w:tcW w:w="1590"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536"/>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42</w:t>
            </w:r>
          </w:p>
        </w:tc>
        <w:tc>
          <w:tcPr>
            <w:tcW w:w="131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未按照国务院交通运输主管部门制定的机动车维修经营业务标准的从事机动车维修经营业务的处罚</w:t>
            </w:r>
          </w:p>
        </w:tc>
        <w:tc>
          <w:tcPr>
            <w:tcW w:w="4087"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中华人民共和国道路运输条例》（国务院令第752号）第六十五条第二款：“从事机动车维修经营业务不符合国务院交通运输主管部门制定的机动车维修经营业务标准的，由县级以上地方人民政府交通运输主管部门责令改正；情节严重的，由县级以上地方人民政府交通运输主管部门责令停业整顿。”</w:t>
            </w:r>
          </w:p>
          <w:p w:rsidR="0059130C" w:rsidRDefault="002E22CA">
            <w:pPr>
              <w:overflowPunct w:val="0"/>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《机动车维修管理规定》（交通运输部令2021 年第 18 号）第五十条“违反本规定，从事机动车维修经营业务不符合国务院交通运输主管部门制定的机动车维修经营业务标准的，由县级以上道路运输管理机构责令改正；情节严重的，由县级以上道路运输管理机构责令停业整顿。”</w:t>
            </w:r>
          </w:p>
          <w:p w:rsidR="0059130C" w:rsidRDefault="00E9165C">
            <w:pPr>
              <w:pStyle w:val="a0"/>
              <w:spacing w:after="0" w:line="240" w:lineRule="exact"/>
              <w:rPr>
                <w:rFonts w:ascii="仿宋_GB2312" w:eastAsia="仿宋_GB2312" w:hAnsi="仿宋_GB2312" w:cs="仿宋_GB2312"/>
                <w:kern w:val="0"/>
                <w:szCs w:val="21"/>
                <w:u w:val="single"/>
              </w:rPr>
            </w:pPr>
            <w:r>
              <w:rPr>
                <w:rFonts w:ascii="仿宋_GB2312" w:eastAsia="仿宋_GB2312" w:hAnsi="仿宋_GB2312" w:cs="仿宋_GB2312" w:hint="eastAsia"/>
                <w:kern w:val="0"/>
                <w:szCs w:val="21"/>
              </w:rPr>
              <w:t>调整</w:t>
            </w:r>
            <w:r w:rsidR="002E22CA">
              <w:rPr>
                <w:rFonts w:ascii="仿宋_GB2312" w:eastAsia="仿宋_GB2312" w:hAnsi="仿宋_GB2312" w:cs="仿宋_GB2312" w:hint="eastAsia"/>
                <w:kern w:val="0"/>
                <w:szCs w:val="21"/>
              </w:rPr>
              <w:t>为：</w:t>
            </w:r>
            <w:r w:rsidR="002E22CA">
              <w:rPr>
                <w:rFonts w:ascii="仿宋_GB2312" w:eastAsia="仿宋_GB2312" w:hAnsi="仿宋_GB2312" w:cs="仿宋_GB2312" w:hint="eastAsia"/>
                <w:kern w:val="0"/>
                <w:szCs w:val="21"/>
                <w:u w:val="single"/>
              </w:rPr>
              <w:t>《中华人民共和国道路运输条例》（国务院令第764号）第六十五条第二款：“从事机动车维修经营业务不符合国务院交通运输主管部门制定的机动车维修经营业务标准的，由县级以上地方人民政府交通运输主管部门责令改正；情节严重的，由县级以上地方人民政府交通运输主管部门责令停业整顿。”</w:t>
            </w:r>
          </w:p>
          <w:p w:rsidR="0059130C" w:rsidRDefault="002E22CA">
            <w:pPr>
              <w:pStyle w:val="a0"/>
              <w:spacing w:after="0" w:line="240" w:lineRule="exact"/>
              <w:rPr>
                <w:rFonts w:ascii="仿宋_GB2312" w:eastAsia="仿宋_GB2312" w:hAnsi="仿宋_GB2312" w:cs="仿宋_GB2312"/>
                <w:szCs w:val="21"/>
              </w:rPr>
            </w:pPr>
            <w:r>
              <w:rPr>
                <w:rFonts w:ascii="仿宋_GB2312" w:eastAsia="仿宋_GB2312" w:hAnsi="仿宋_GB2312" w:cs="仿宋_GB2312" w:hint="eastAsia"/>
                <w:kern w:val="0"/>
                <w:szCs w:val="21"/>
                <w:u w:val="single"/>
              </w:rPr>
              <w:t>《机动车维修管理规定》（交通运输部令2021 年第 18 号）第五十条“违反本规定，从事机动车维修经营业务不符合国务院交通运输主管部门制定的机动车维修经营业务标准的，由县级以上道路运输管理机构责令改正；情节严重的，由县级以上道路运输管理机构责令停业整顿。”</w:t>
            </w:r>
          </w:p>
        </w:tc>
        <w:tc>
          <w:tcPr>
            <w:tcW w:w="774"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591"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557"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内乡县交通运输综合行政执法大队</w:t>
            </w:r>
          </w:p>
        </w:tc>
      </w:tr>
      <w:tr w:rsidR="0059130C">
        <w:trPr>
          <w:trHeight w:val="1075"/>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77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9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68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4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59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1651"/>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557"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rPr>
          <w:trHeight w:val="311"/>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情况：</w:t>
            </w: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实施依据</w:t>
            </w:r>
          </w:p>
        </w:tc>
      </w:tr>
      <w:tr w:rsidR="0059130C">
        <w:trPr>
          <w:trHeight w:val="543"/>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原因：根据《中华人民共和国道路运输条例》（国务院令第764号）</w:t>
            </w: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实施依据</w:t>
            </w:r>
          </w:p>
        </w:tc>
      </w:tr>
    </w:tbl>
    <w:p w:rsidR="0059130C" w:rsidRDefault="0059130C">
      <w:pPr>
        <w:spacing w:line="240" w:lineRule="exact"/>
        <w:rPr>
          <w:rFonts w:ascii="仿宋_GB2312" w:eastAsia="仿宋_GB2312" w:hAnsi="仿宋_GB2312" w:cs="仿宋_GB2312"/>
          <w:color w:val="000000" w:themeColor="text1"/>
          <w:szCs w:val="21"/>
        </w:rPr>
      </w:pPr>
    </w:p>
    <w:tbl>
      <w:tblPr>
        <w:tblW w:w="13632" w:type="dxa"/>
        <w:jc w:val="center"/>
        <w:tblLayout w:type="fixed"/>
        <w:tblCellMar>
          <w:left w:w="15" w:type="dxa"/>
          <w:right w:w="15" w:type="dxa"/>
        </w:tblCellMar>
        <w:tblLook w:val="04A0"/>
      </w:tblPr>
      <w:tblGrid>
        <w:gridCol w:w="717"/>
        <w:gridCol w:w="1316"/>
        <w:gridCol w:w="4087"/>
        <w:gridCol w:w="774"/>
        <w:gridCol w:w="591"/>
        <w:gridCol w:w="4557"/>
        <w:gridCol w:w="1590"/>
      </w:tblGrid>
      <w:tr w:rsidR="0059130C">
        <w:trPr>
          <w:trHeight w:val="536"/>
          <w:jc w:val="center"/>
        </w:trPr>
        <w:tc>
          <w:tcPr>
            <w:tcW w:w="717"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序号</w:t>
            </w:r>
          </w:p>
        </w:tc>
        <w:tc>
          <w:tcPr>
            <w:tcW w:w="1316"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项目名称</w:t>
            </w:r>
          </w:p>
        </w:tc>
        <w:tc>
          <w:tcPr>
            <w:tcW w:w="4087"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kern w:val="0"/>
                <w:szCs w:val="21"/>
                <w:u w:val="single"/>
              </w:rPr>
            </w:pPr>
            <w:r>
              <w:rPr>
                <w:rFonts w:ascii="黑体" w:eastAsia="黑体" w:hAnsi="黑体" w:cs="黑体" w:hint="eastAsia"/>
                <w:color w:val="000000" w:themeColor="text1"/>
                <w:szCs w:val="21"/>
              </w:rPr>
              <w:t>实施依据</w:t>
            </w:r>
          </w:p>
        </w:tc>
        <w:tc>
          <w:tcPr>
            <w:tcW w:w="774"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autoSpaceDN w:val="0"/>
              <w:spacing w:line="240" w:lineRule="exact"/>
              <w:jc w:val="center"/>
              <w:textAlignment w:val="center"/>
              <w:rPr>
                <w:rFonts w:ascii="黑体" w:eastAsia="黑体" w:hAnsi="黑体" w:cs="黑体"/>
                <w:color w:val="000000" w:themeColor="text1"/>
                <w:kern w:val="0"/>
                <w:szCs w:val="21"/>
                <w:lang/>
              </w:rPr>
            </w:pPr>
            <w:r>
              <w:rPr>
                <w:rFonts w:ascii="黑体" w:eastAsia="黑体" w:hAnsi="黑体" w:cs="黑体" w:hint="eastAsia"/>
                <w:color w:val="000000" w:themeColor="text1"/>
                <w:szCs w:val="21"/>
              </w:rPr>
              <w:t>类别</w:t>
            </w:r>
          </w:p>
        </w:tc>
        <w:tc>
          <w:tcPr>
            <w:tcW w:w="591"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环节</w:t>
            </w:r>
          </w:p>
        </w:tc>
        <w:tc>
          <w:tcPr>
            <w:tcW w:w="4557"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责任事项</w:t>
            </w:r>
          </w:p>
        </w:tc>
        <w:tc>
          <w:tcPr>
            <w:tcW w:w="1590"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536"/>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43</w:t>
            </w:r>
          </w:p>
        </w:tc>
        <w:tc>
          <w:tcPr>
            <w:tcW w:w="131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起讫点均不在许可的经营区域</w:t>
            </w:r>
            <w:proofErr w:type="gramStart"/>
            <w:r>
              <w:rPr>
                <w:rFonts w:ascii="仿宋_GB2312" w:eastAsia="仿宋_GB2312" w:hAnsi="仿宋_GB2312" w:cs="仿宋_GB2312" w:hint="eastAsia"/>
                <w:sz w:val="21"/>
                <w:szCs w:val="21"/>
              </w:rPr>
              <w:t>从事网约车</w:t>
            </w:r>
            <w:proofErr w:type="gramEnd"/>
            <w:r>
              <w:rPr>
                <w:rFonts w:ascii="仿宋_GB2312" w:eastAsia="仿宋_GB2312" w:hAnsi="仿宋_GB2312" w:cs="仿宋_GB2312" w:hint="eastAsia"/>
                <w:sz w:val="21"/>
                <w:szCs w:val="21"/>
              </w:rPr>
              <w:t>经营活动的；未按照规定将提供服务的车辆、驾驶员相关信息向服务所在地出租汽车行政主管部门报备的处罚</w:t>
            </w:r>
          </w:p>
        </w:tc>
        <w:tc>
          <w:tcPr>
            <w:tcW w:w="4087"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w:t>
            </w:r>
            <w:hyperlink r:id="rId18" w:tgtFrame="https://www.waizi.org.cn/doc/_blank" w:tooltip="《网络预约出租汽车经营服务管理暂行办法》（2019年修订版全文）交通运输部令2019年第46号" w:history="1"/>
            <w:hyperlink r:id="rId19" w:tgtFrame="https://www.waizi.org.cn/doc/_blank" w:tooltip="《网络预约出租汽车经营服务管理暂行办法》（2019年修订版全文）交通运输部令2019年第46号" w:history="1">
              <w:r>
                <w:rPr>
                  <w:rFonts w:ascii="仿宋_GB2312" w:eastAsia="仿宋_GB2312" w:hAnsi="仿宋_GB2312" w:cs="仿宋_GB2312" w:hint="eastAsia"/>
                  <w:kern w:val="0"/>
                  <w:szCs w:val="21"/>
                </w:rPr>
                <w:t>网络预约出租汽车经营服务管理暂行办法</w:t>
              </w:r>
            </w:hyperlink>
            <w:r>
              <w:rPr>
                <w:rFonts w:ascii="仿宋_GB2312" w:eastAsia="仿宋_GB2312" w:hAnsi="仿宋_GB2312" w:cs="仿宋_GB2312" w:hint="eastAsia"/>
                <w:kern w:val="0"/>
                <w:szCs w:val="21"/>
              </w:rPr>
              <w:t>》（</w:t>
            </w:r>
            <w:hyperlink r:id="rId20" w:tgtFrame="https://www.waizi.org.cn/doc/_blank" w:tooltip="《网络预约出租汽车经营服务管理暂行办法》（2019年修订版全文）交通运输部令2019年第46号" w:history="1">
              <w:r>
                <w:rPr>
                  <w:rFonts w:ascii="仿宋_GB2312" w:eastAsia="仿宋_GB2312" w:hAnsi="仿宋_GB2312" w:cs="仿宋_GB2312" w:hint="eastAsia"/>
                  <w:kern w:val="0"/>
                  <w:szCs w:val="21"/>
                </w:rPr>
                <w:t>交通运输部令2019年第46号</w:t>
              </w:r>
            </w:hyperlink>
            <w:r>
              <w:rPr>
                <w:rFonts w:ascii="仿宋_GB2312" w:eastAsia="仿宋_GB2312" w:hAnsi="仿宋_GB2312" w:cs="仿宋_GB2312" w:hint="eastAsia"/>
                <w:kern w:val="0"/>
                <w:szCs w:val="21"/>
              </w:rPr>
              <w:t>）第三十五条第一款：“网约车平台公司违反本规定，有下列行为之一的，由县级以上出租汽车行政主管部门和价格主管部门按照职责责令改正，对每次违法行为处以5000元以上10000元以下罚款；情节严重的，处以10000元以上30000元以下罚款：</w:t>
            </w:r>
          </w:p>
          <w:p w:rsidR="0059130C" w:rsidRDefault="002E22CA">
            <w:pPr>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……（四）起讫点均不在许可的经营区域</w:t>
            </w:r>
            <w:proofErr w:type="gramStart"/>
            <w:r>
              <w:rPr>
                <w:rFonts w:ascii="仿宋_GB2312" w:eastAsia="仿宋_GB2312" w:hAnsi="仿宋_GB2312" w:cs="仿宋_GB2312" w:hint="eastAsia"/>
                <w:kern w:val="0"/>
                <w:szCs w:val="21"/>
              </w:rPr>
              <w:t>从事网约车</w:t>
            </w:r>
            <w:proofErr w:type="gramEnd"/>
            <w:r>
              <w:rPr>
                <w:rFonts w:ascii="仿宋_GB2312" w:eastAsia="仿宋_GB2312" w:hAnsi="仿宋_GB2312" w:cs="仿宋_GB2312" w:hint="eastAsia"/>
                <w:kern w:val="0"/>
                <w:szCs w:val="21"/>
              </w:rPr>
              <w:t>经营活动的；</w:t>
            </w:r>
          </w:p>
          <w:p w:rsidR="0059130C" w:rsidRDefault="002E22CA">
            <w:pPr>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（五）未按照规定将提供服务的车辆、驾驶员相关信息向服务所在地出租汽车行政主管部门报备的；”</w:t>
            </w:r>
          </w:p>
          <w:p w:rsidR="0059130C" w:rsidRDefault="00E9165C">
            <w:pPr>
              <w:spacing w:line="240" w:lineRule="exact"/>
              <w:rPr>
                <w:rFonts w:ascii="仿宋_GB2312" w:eastAsia="仿宋_GB2312" w:hAnsi="仿宋_GB2312" w:cs="仿宋_GB2312"/>
                <w:kern w:val="0"/>
                <w:szCs w:val="21"/>
                <w:u w:val="single"/>
              </w:rPr>
            </w:pPr>
            <w:r>
              <w:rPr>
                <w:rFonts w:ascii="仿宋_GB2312" w:eastAsia="仿宋_GB2312" w:hAnsi="仿宋_GB2312" w:cs="仿宋_GB2312" w:hint="eastAsia"/>
                <w:kern w:val="0"/>
                <w:szCs w:val="21"/>
              </w:rPr>
              <w:t>调整</w:t>
            </w:r>
            <w:r w:rsidR="002E22CA">
              <w:rPr>
                <w:rFonts w:ascii="仿宋_GB2312" w:eastAsia="仿宋_GB2312" w:hAnsi="仿宋_GB2312" w:cs="仿宋_GB2312" w:hint="eastAsia"/>
                <w:kern w:val="0"/>
                <w:szCs w:val="21"/>
              </w:rPr>
              <w:t>为：</w:t>
            </w:r>
            <w:r w:rsidR="002E22CA">
              <w:rPr>
                <w:rFonts w:ascii="仿宋_GB2312" w:eastAsia="仿宋_GB2312" w:hAnsi="仿宋_GB2312" w:cs="仿宋_GB2312" w:hint="eastAsia"/>
                <w:kern w:val="0"/>
                <w:szCs w:val="21"/>
                <w:u w:val="single"/>
              </w:rPr>
              <w:t>《</w:t>
            </w:r>
            <w:hyperlink r:id="rId21" w:tgtFrame="https://www.waizi.org.cn/doc/_blank" w:tooltip="《网络预约出租汽车经营服务管理暂行办法》（2019年修订版全文）交通运输部令2019年第46号" w:history="1"/>
            <w:hyperlink r:id="rId22" w:tgtFrame="https://www.waizi.org.cn/doc/_blank" w:tooltip="《网络预约出租汽车经营服务管理暂行办法》（2019年修订版全文）交通运输部令2019年第46号" w:history="1">
              <w:r w:rsidR="002E22CA">
                <w:rPr>
                  <w:rFonts w:ascii="仿宋_GB2312" w:eastAsia="仿宋_GB2312" w:hAnsi="仿宋_GB2312" w:cs="仿宋_GB2312" w:hint="eastAsia"/>
                  <w:kern w:val="0"/>
                  <w:szCs w:val="21"/>
                  <w:u w:val="single"/>
                </w:rPr>
                <w:t>网络预约出租汽车经营服务管理暂行办法</w:t>
              </w:r>
            </w:hyperlink>
            <w:r w:rsidR="002E22CA">
              <w:rPr>
                <w:rFonts w:ascii="仿宋_GB2312" w:eastAsia="仿宋_GB2312" w:hAnsi="仿宋_GB2312" w:cs="仿宋_GB2312" w:hint="eastAsia"/>
                <w:kern w:val="0"/>
                <w:szCs w:val="21"/>
                <w:u w:val="single"/>
              </w:rPr>
              <w:t>》（</w:t>
            </w:r>
            <w:hyperlink r:id="rId23" w:tgtFrame="https://www.waizi.org.cn/doc/_blank" w:tooltip="《网络预约出租汽车经营服务管理暂行办法》（2019年修订版全文）交通运输部令2019年第46号" w:history="1">
              <w:r w:rsidR="002E22CA">
                <w:rPr>
                  <w:rFonts w:ascii="仿宋_GB2312" w:eastAsia="仿宋_GB2312" w:hAnsi="仿宋_GB2312" w:cs="仿宋_GB2312" w:hint="eastAsia"/>
                  <w:kern w:val="0"/>
                  <w:szCs w:val="21"/>
                  <w:u w:val="single"/>
                </w:rPr>
                <w:t>交通运输部令2022年第42号</w:t>
              </w:r>
            </w:hyperlink>
            <w:r w:rsidR="002E22CA">
              <w:rPr>
                <w:rFonts w:ascii="仿宋_GB2312" w:eastAsia="仿宋_GB2312" w:hAnsi="仿宋_GB2312" w:cs="仿宋_GB2312" w:hint="eastAsia"/>
                <w:kern w:val="0"/>
                <w:szCs w:val="21"/>
                <w:u w:val="single"/>
              </w:rPr>
              <w:t>）第三十五条第一款：“网约车平台公司违反本规定，有下列行为之一的，由县级以上出租汽车行政主管部门和价格主管部门按照职责责令改正，对每次违法行为处以5000元以上10000元以下罚款；情节严重的，处以10000元以上30000元以下罚款：……（四）起讫点均不在许可的经营区域</w:t>
            </w:r>
            <w:proofErr w:type="gramStart"/>
            <w:r w:rsidR="002E22CA">
              <w:rPr>
                <w:rFonts w:ascii="仿宋_GB2312" w:eastAsia="仿宋_GB2312" w:hAnsi="仿宋_GB2312" w:cs="仿宋_GB2312" w:hint="eastAsia"/>
                <w:kern w:val="0"/>
                <w:szCs w:val="21"/>
                <w:u w:val="single"/>
              </w:rPr>
              <w:t>从事网约车</w:t>
            </w:r>
            <w:proofErr w:type="gramEnd"/>
            <w:r w:rsidR="002E22CA">
              <w:rPr>
                <w:rFonts w:ascii="仿宋_GB2312" w:eastAsia="仿宋_GB2312" w:hAnsi="仿宋_GB2312" w:cs="仿宋_GB2312" w:hint="eastAsia"/>
                <w:kern w:val="0"/>
                <w:szCs w:val="21"/>
                <w:u w:val="single"/>
              </w:rPr>
              <w:t>经营活动的；</w:t>
            </w:r>
          </w:p>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kern w:val="0"/>
                <w:szCs w:val="21"/>
                <w:u w:val="single"/>
              </w:rPr>
              <w:t>（五）未按照规定将提供服务的车辆、驾驶员相关信息向服务所在地出租汽车行政主管部门报备的；......。”</w:t>
            </w:r>
          </w:p>
        </w:tc>
        <w:tc>
          <w:tcPr>
            <w:tcW w:w="774"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591"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557"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内乡县交通运输综合行政执法大队</w:t>
            </w:r>
          </w:p>
        </w:tc>
      </w:tr>
      <w:tr w:rsidR="0059130C">
        <w:trPr>
          <w:trHeight w:val="1075"/>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77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9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68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4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59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170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557"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rPr>
          <w:trHeight w:val="311"/>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情况：</w:t>
            </w: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实施依据</w:t>
            </w:r>
          </w:p>
        </w:tc>
      </w:tr>
      <w:tr w:rsidR="0059130C">
        <w:trPr>
          <w:trHeight w:val="543"/>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原因：根据《</w:t>
            </w:r>
            <w:hyperlink r:id="rId24" w:tgtFrame="https://www.waizi.org.cn/doc/_blank" w:tooltip="《网络预约出租汽车经营服务管理暂行办法》（2019年修订版全文）交通运输部令2019年第46号" w:history="1"/>
            <w:hyperlink r:id="rId25" w:tgtFrame="https://www.waizi.org.cn/doc/_blank" w:tooltip="《网络预约出租汽车经营服务管理暂行办法》（2019年修订版全文）交通运输部令2019年第46号" w:history="1">
              <w:r w:rsidR="002E22CA">
                <w:rPr>
                  <w:rFonts w:ascii="仿宋_GB2312" w:eastAsia="仿宋_GB2312" w:hAnsi="仿宋_GB2312" w:cs="仿宋_GB2312" w:hint="eastAsia"/>
                  <w:color w:val="000000" w:themeColor="text1"/>
                  <w:szCs w:val="21"/>
                </w:rPr>
                <w:t>网络预约出租汽车经营服务管理暂行办法</w:t>
              </w:r>
            </w:hyperlink>
            <w:r w:rsidR="002E22CA">
              <w:rPr>
                <w:rFonts w:ascii="仿宋_GB2312" w:eastAsia="仿宋_GB2312" w:hAnsi="仿宋_GB2312" w:cs="仿宋_GB2312" w:hint="eastAsia"/>
                <w:color w:val="000000" w:themeColor="text1"/>
                <w:szCs w:val="21"/>
              </w:rPr>
              <w:t>》（</w:t>
            </w:r>
            <w:hyperlink r:id="rId26" w:tgtFrame="https://www.waizi.org.cn/doc/_blank" w:tooltip="《网络预约出租汽车经营服务管理暂行办法》（2019年修订版全文）交通运输部令2019年第46号" w:history="1">
              <w:r w:rsidR="002E22CA">
                <w:rPr>
                  <w:rFonts w:ascii="仿宋_GB2312" w:eastAsia="仿宋_GB2312" w:hAnsi="仿宋_GB2312" w:cs="仿宋_GB2312" w:hint="eastAsia"/>
                  <w:color w:val="000000" w:themeColor="text1"/>
                  <w:szCs w:val="21"/>
                </w:rPr>
                <w:t>交通运输部令2022年第42号</w:t>
              </w:r>
            </w:hyperlink>
            <w:r w:rsidR="002E22CA">
              <w:rPr>
                <w:rFonts w:ascii="仿宋_GB2312" w:eastAsia="仿宋_GB2312" w:hAnsi="仿宋_GB2312" w:cs="仿宋_GB2312" w:hint="eastAsia"/>
                <w:color w:val="000000" w:themeColor="text1"/>
                <w:szCs w:val="21"/>
              </w:rPr>
              <w:t>），</w:t>
            </w: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实施依据</w:t>
            </w:r>
          </w:p>
        </w:tc>
      </w:tr>
    </w:tbl>
    <w:p w:rsidR="0059130C" w:rsidRDefault="0059130C">
      <w:pPr>
        <w:spacing w:line="240" w:lineRule="exact"/>
        <w:rPr>
          <w:rFonts w:ascii="仿宋_GB2312" w:eastAsia="仿宋_GB2312" w:hAnsi="仿宋_GB2312" w:cs="仿宋_GB2312"/>
          <w:color w:val="000000" w:themeColor="text1"/>
          <w:szCs w:val="21"/>
        </w:rPr>
      </w:pPr>
    </w:p>
    <w:tbl>
      <w:tblPr>
        <w:tblW w:w="13632" w:type="dxa"/>
        <w:jc w:val="center"/>
        <w:tblLayout w:type="fixed"/>
        <w:tblCellMar>
          <w:left w:w="15" w:type="dxa"/>
          <w:right w:w="15" w:type="dxa"/>
        </w:tblCellMar>
        <w:tblLook w:val="04A0"/>
      </w:tblPr>
      <w:tblGrid>
        <w:gridCol w:w="717"/>
        <w:gridCol w:w="1316"/>
        <w:gridCol w:w="5276"/>
        <w:gridCol w:w="582"/>
        <w:gridCol w:w="637"/>
        <w:gridCol w:w="4463"/>
        <w:gridCol w:w="641"/>
      </w:tblGrid>
      <w:tr w:rsidR="0059130C">
        <w:trPr>
          <w:trHeight w:val="536"/>
          <w:jc w:val="center"/>
        </w:trPr>
        <w:tc>
          <w:tcPr>
            <w:tcW w:w="717"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序号</w:t>
            </w:r>
          </w:p>
        </w:tc>
        <w:tc>
          <w:tcPr>
            <w:tcW w:w="1316"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项目名称</w:t>
            </w:r>
          </w:p>
        </w:tc>
        <w:tc>
          <w:tcPr>
            <w:tcW w:w="5276"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kern w:val="0"/>
                <w:szCs w:val="21"/>
                <w:u w:val="single"/>
              </w:rPr>
            </w:pPr>
            <w:r>
              <w:rPr>
                <w:rFonts w:ascii="黑体" w:eastAsia="黑体" w:hAnsi="黑体" w:cs="黑体" w:hint="eastAsia"/>
                <w:color w:val="000000" w:themeColor="text1"/>
                <w:szCs w:val="21"/>
              </w:rPr>
              <w:t>实施依据</w:t>
            </w:r>
          </w:p>
        </w:tc>
        <w:tc>
          <w:tcPr>
            <w:tcW w:w="582"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autoSpaceDN w:val="0"/>
              <w:spacing w:line="240" w:lineRule="exact"/>
              <w:jc w:val="center"/>
              <w:textAlignment w:val="center"/>
              <w:rPr>
                <w:rFonts w:ascii="黑体" w:eastAsia="黑体" w:hAnsi="黑体" w:cs="黑体"/>
                <w:color w:val="000000" w:themeColor="text1"/>
                <w:kern w:val="0"/>
                <w:szCs w:val="21"/>
                <w:lang/>
              </w:rPr>
            </w:pPr>
            <w:r>
              <w:rPr>
                <w:rFonts w:ascii="黑体" w:eastAsia="黑体" w:hAnsi="黑体" w:cs="黑体" w:hint="eastAsia"/>
                <w:color w:val="000000" w:themeColor="text1"/>
                <w:szCs w:val="21"/>
              </w:rPr>
              <w:t>类别</w:t>
            </w:r>
          </w:p>
        </w:tc>
        <w:tc>
          <w:tcPr>
            <w:tcW w:w="637"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环节</w:t>
            </w:r>
          </w:p>
        </w:tc>
        <w:tc>
          <w:tcPr>
            <w:tcW w:w="4463" w:type="dxa"/>
            <w:tcBorders>
              <w:top w:val="single" w:sz="4" w:space="0" w:color="000000"/>
              <w:left w:val="single" w:sz="4" w:space="0" w:color="000000"/>
              <w:bottom w:val="single" w:sz="4" w:space="0" w:color="auto"/>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color w:val="000000" w:themeColor="text1"/>
                <w:szCs w:val="21"/>
              </w:rPr>
              <w:t>责任事项</w:t>
            </w:r>
          </w:p>
        </w:tc>
        <w:tc>
          <w:tcPr>
            <w:tcW w:w="641" w:type="dxa"/>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536"/>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44</w:t>
            </w:r>
          </w:p>
        </w:tc>
        <w:tc>
          <w:tcPr>
            <w:tcW w:w="131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rPr>
            </w:pPr>
            <w:proofErr w:type="gramStart"/>
            <w:r>
              <w:rPr>
                <w:rFonts w:ascii="仿宋_GB2312" w:eastAsia="仿宋_GB2312" w:hAnsi="仿宋_GB2312" w:cs="仿宋_GB2312" w:hint="eastAsia"/>
                <w:sz w:val="21"/>
                <w:szCs w:val="21"/>
              </w:rPr>
              <w:t>网约车平台</w:t>
            </w:r>
            <w:proofErr w:type="gramEnd"/>
            <w:r>
              <w:rPr>
                <w:rFonts w:ascii="仿宋_GB2312" w:eastAsia="仿宋_GB2312" w:hAnsi="仿宋_GB2312" w:cs="仿宋_GB2312" w:hint="eastAsia"/>
                <w:sz w:val="21"/>
                <w:szCs w:val="21"/>
              </w:rPr>
              <w:t>公司未按照规定保证车辆技术状况良好的；未按照规定制定服务质量标准、建立并落实投诉举报制度的；未按照规定提供共享信息，或者不配合出租汽车行政主管部门调取查阅相关数据信息的；未履行管理责任，出现甩客、故意绕道、违规收费等严重违反国家相关运营服务标准行为的处罚</w:t>
            </w:r>
          </w:p>
        </w:tc>
        <w:tc>
          <w:tcPr>
            <w:tcW w:w="5276"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w:t>
            </w:r>
            <w:hyperlink r:id="rId27" w:tgtFrame="https://www.waizi.org.cn/doc/_blank" w:tooltip="《网络预约出租汽车经营服务管理暂行办法》（2019年修订版全文）交通运输部令2019年第46号" w:history="1"/>
            <w:hyperlink r:id="rId28" w:tgtFrame="https://www.waizi.org.cn/doc/_blank" w:tooltip="《网络预约出租汽车经营服务管理暂行办法》（2019年修订版全文）交通运输部令2019年第46号" w:history="1">
              <w:r>
                <w:rPr>
                  <w:rFonts w:ascii="仿宋_GB2312" w:eastAsia="仿宋_GB2312" w:hAnsi="仿宋_GB2312" w:cs="仿宋_GB2312" w:hint="eastAsia"/>
                  <w:kern w:val="0"/>
                  <w:szCs w:val="21"/>
                </w:rPr>
                <w:t>网络预约出租汽车经营服务管理暂行办法</w:t>
              </w:r>
            </w:hyperlink>
            <w:r>
              <w:rPr>
                <w:rFonts w:ascii="仿宋_GB2312" w:eastAsia="仿宋_GB2312" w:hAnsi="仿宋_GB2312" w:cs="仿宋_GB2312" w:hint="eastAsia"/>
                <w:kern w:val="0"/>
                <w:szCs w:val="21"/>
              </w:rPr>
              <w:t>》（</w:t>
            </w:r>
            <w:hyperlink r:id="rId29" w:tgtFrame="https://www.waizi.org.cn/doc/_blank" w:tooltip="《网络预约出租汽车经营服务管理暂行办法》（2019年修订版全文）交通运输部令2019年第46号" w:history="1">
              <w:r>
                <w:rPr>
                  <w:rFonts w:ascii="仿宋_GB2312" w:eastAsia="仿宋_GB2312" w:hAnsi="仿宋_GB2312" w:cs="仿宋_GB2312" w:hint="eastAsia"/>
                  <w:kern w:val="0"/>
                  <w:szCs w:val="21"/>
                </w:rPr>
                <w:t>交通运输部令2019年第46号</w:t>
              </w:r>
            </w:hyperlink>
            <w:r>
              <w:rPr>
                <w:rFonts w:ascii="仿宋_GB2312" w:eastAsia="仿宋_GB2312" w:hAnsi="仿宋_GB2312" w:cs="仿宋_GB2312" w:hint="eastAsia"/>
                <w:kern w:val="0"/>
                <w:szCs w:val="21"/>
              </w:rPr>
              <w:t>）第三十五条：“网约车平台公司违反本规定，有下列行为之一的，由县级以上出租汽车行政主管部门和价格主管部门按照职责责令改正，对每次违法行为处以5000元以上10000元以下罚款；情节严重的，处以10000元以上30000元以下罚款：……（三）未按照规定保证车辆技术状况良好的；……</w:t>
            </w:r>
          </w:p>
          <w:p w:rsidR="0059130C" w:rsidRDefault="002E22CA">
            <w:pPr>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（六）未按照规定制定服务质量标准、建立并落实投诉举报制度的；</w:t>
            </w:r>
          </w:p>
          <w:p w:rsidR="0059130C" w:rsidRDefault="002E22CA">
            <w:pPr>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（七）未按照规定提供共享信息，或者不配合出租汽车行政主管部门调取查阅相关数据信息的；</w:t>
            </w:r>
          </w:p>
          <w:p w:rsidR="0059130C" w:rsidRDefault="002E22CA">
            <w:pPr>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（八）未履行管理责任，出现甩客、故意绕道、违规收费等严重违反国家相关运营服务标准行为的。</w:t>
            </w:r>
          </w:p>
          <w:p w:rsidR="0059130C" w:rsidRDefault="002E22CA">
            <w:pPr>
              <w:spacing w:line="240" w:lineRule="exact"/>
              <w:rPr>
                <w:rFonts w:ascii="仿宋_GB2312" w:eastAsia="仿宋_GB2312" w:hAnsi="仿宋_GB2312" w:cs="仿宋_GB2312"/>
                <w:kern w:val="0"/>
                <w:szCs w:val="21"/>
              </w:rPr>
            </w:pPr>
            <w:proofErr w:type="gramStart"/>
            <w:r>
              <w:rPr>
                <w:rFonts w:ascii="仿宋_GB2312" w:eastAsia="仿宋_GB2312" w:hAnsi="仿宋_GB2312" w:cs="仿宋_GB2312" w:hint="eastAsia"/>
                <w:kern w:val="0"/>
                <w:szCs w:val="21"/>
              </w:rPr>
              <w:t>网约车平台</w:t>
            </w:r>
            <w:proofErr w:type="gramEnd"/>
            <w:r>
              <w:rPr>
                <w:rFonts w:ascii="仿宋_GB2312" w:eastAsia="仿宋_GB2312" w:hAnsi="仿宋_GB2312" w:cs="仿宋_GB2312" w:hint="eastAsia"/>
                <w:kern w:val="0"/>
                <w:szCs w:val="21"/>
              </w:rPr>
              <w:t>公司不再具备线上线下服务能力或者有严重违法行为的，由县级以上出租汽车行政主管部门依据相关法律法规的有关规定责令停业整顿、吊销相关许可证件。</w:t>
            </w:r>
          </w:p>
          <w:p w:rsidR="0059130C" w:rsidRDefault="00E9165C">
            <w:pPr>
              <w:pStyle w:val="a0"/>
              <w:spacing w:after="0" w:line="240" w:lineRule="exact"/>
              <w:rPr>
                <w:rFonts w:ascii="仿宋_GB2312" w:eastAsia="仿宋_GB2312" w:hAnsi="仿宋_GB2312" w:cs="仿宋_GB2312"/>
                <w:kern w:val="0"/>
                <w:szCs w:val="21"/>
                <w:u w:val="single"/>
              </w:rPr>
            </w:pPr>
            <w:r>
              <w:rPr>
                <w:rFonts w:ascii="仿宋_GB2312" w:eastAsia="仿宋_GB2312" w:hAnsi="仿宋_GB2312" w:cs="仿宋_GB2312" w:hint="eastAsia"/>
                <w:kern w:val="0"/>
                <w:szCs w:val="21"/>
              </w:rPr>
              <w:t>调整</w:t>
            </w:r>
            <w:r w:rsidR="002E22CA">
              <w:rPr>
                <w:rFonts w:ascii="仿宋_GB2312" w:eastAsia="仿宋_GB2312" w:hAnsi="仿宋_GB2312" w:cs="仿宋_GB2312" w:hint="eastAsia"/>
                <w:kern w:val="0"/>
                <w:szCs w:val="21"/>
              </w:rPr>
              <w:t>为：</w:t>
            </w:r>
            <w:r w:rsidR="002E22CA">
              <w:rPr>
                <w:rFonts w:ascii="仿宋_GB2312" w:eastAsia="仿宋_GB2312" w:hAnsi="仿宋_GB2312" w:cs="仿宋_GB2312" w:hint="eastAsia"/>
                <w:kern w:val="0"/>
                <w:szCs w:val="21"/>
                <w:u w:val="single"/>
              </w:rPr>
              <w:t>《</w:t>
            </w:r>
            <w:hyperlink r:id="rId30" w:tgtFrame="https://www.waizi.org.cn/doc/_blank" w:tooltip="《网络预约出租汽车经营服务管理暂行办法》（2019年修订版全文）交通运输部令2019年第46号" w:history="1"/>
            <w:hyperlink r:id="rId31" w:tgtFrame="https://www.waizi.org.cn/doc/_blank" w:tooltip="《网络预约出租汽车经营服务管理暂行办法》（2019年修订版全文）交通运输部令2019年第46号" w:history="1">
              <w:r w:rsidR="002E22CA">
                <w:rPr>
                  <w:rFonts w:ascii="仿宋_GB2312" w:eastAsia="仿宋_GB2312" w:hAnsi="仿宋_GB2312" w:cs="仿宋_GB2312" w:hint="eastAsia"/>
                  <w:kern w:val="0"/>
                  <w:szCs w:val="21"/>
                  <w:u w:val="single"/>
                </w:rPr>
                <w:t>网络预约出租汽车经营服务管理暂行办法</w:t>
              </w:r>
            </w:hyperlink>
            <w:r w:rsidR="002E22CA">
              <w:rPr>
                <w:rFonts w:ascii="仿宋_GB2312" w:eastAsia="仿宋_GB2312" w:hAnsi="仿宋_GB2312" w:cs="仿宋_GB2312" w:hint="eastAsia"/>
                <w:kern w:val="0"/>
                <w:szCs w:val="21"/>
                <w:u w:val="single"/>
              </w:rPr>
              <w:t>》（</w:t>
            </w:r>
            <w:hyperlink r:id="rId32" w:tgtFrame="https://www.waizi.org.cn/doc/_blank" w:tooltip="《网络预约出租汽车经营服务管理暂行办法》（2019年修订版全文）交通运输部令2019年第46号" w:history="1">
              <w:r w:rsidR="002E22CA">
                <w:rPr>
                  <w:rFonts w:ascii="仿宋_GB2312" w:eastAsia="仿宋_GB2312" w:hAnsi="仿宋_GB2312" w:cs="仿宋_GB2312" w:hint="eastAsia"/>
                  <w:kern w:val="0"/>
                  <w:szCs w:val="21"/>
                  <w:u w:val="single"/>
                </w:rPr>
                <w:t>交通运输部令2022年第42号</w:t>
              </w:r>
            </w:hyperlink>
            <w:r w:rsidR="002E22CA">
              <w:rPr>
                <w:rFonts w:ascii="仿宋_GB2312" w:eastAsia="仿宋_GB2312" w:hAnsi="仿宋_GB2312" w:cs="仿宋_GB2312" w:hint="eastAsia"/>
                <w:kern w:val="0"/>
                <w:szCs w:val="21"/>
                <w:u w:val="single"/>
              </w:rPr>
              <w:t>）第三十五条：“网约车平台公司违反本规定，有下列行为之一的，由县级以上出租汽车行政主管部门和价格主管部门按照职责责令改正，对每次违法行为处以5000元以上10000元以下罚款；情节严重的，处以10000元以上30000元以下罚款：……（三）未按照规定保证车辆技术状况良好的；……（六）未按照规定制定服务质量标准、建立并落实投诉举报制度的；（七）未按照规定提供共享信息，或者不配合出租汽车行政主管部门调取查阅相关数据信息的；（八）未履行管理责任，出现甩客、故意绕道、违规收费等严重违反国家相关运营服务标准行为的。</w:t>
            </w:r>
          </w:p>
          <w:p w:rsidR="0059130C" w:rsidRDefault="002E22CA">
            <w:pPr>
              <w:pStyle w:val="a0"/>
              <w:spacing w:after="0" w:line="240" w:lineRule="exact"/>
              <w:rPr>
                <w:rFonts w:ascii="仿宋_GB2312" w:eastAsia="仿宋_GB2312" w:hAnsi="仿宋_GB2312" w:cs="仿宋_GB2312"/>
                <w:szCs w:val="21"/>
              </w:rPr>
            </w:pPr>
            <w:proofErr w:type="gramStart"/>
            <w:r>
              <w:rPr>
                <w:rFonts w:ascii="仿宋_GB2312" w:eastAsia="仿宋_GB2312" w:hAnsi="仿宋_GB2312" w:cs="仿宋_GB2312" w:hint="eastAsia"/>
                <w:kern w:val="0"/>
                <w:szCs w:val="21"/>
                <w:u w:val="single"/>
              </w:rPr>
              <w:t>网约车平台</w:t>
            </w:r>
            <w:proofErr w:type="gramEnd"/>
            <w:r>
              <w:rPr>
                <w:rFonts w:ascii="仿宋_GB2312" w:eastAsia="仿宋_GB2312" w:hAnsi="仿宋_GB2312" w:cs="仿宋_GB2312" w:hint="eastAsia"/>
                <w:kern w:val="0"/>
                <w:szCs w:val="21"/>
                <w:u w:val="single"/>
              </w:rPr>
              <w:t>公司不再具备线上线下服务能力或者有严重违法行为的，由县级以上出租汽车行政主管部门依据相关法律法规的有关规定责令停业整顿、吊销相关许可证件。”</w:t>
            </w:r>
          </w:p>
        </w:tc>
        <w:tc>
          <w:tcPr>
            <w:tcW w:w="582"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637"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463"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64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内乡县交通运输综合行政执法大队</w:t>
            </w:r>
          </w:p>
        </w:tc>
      </w:tr>
      <w:tr w:rsidR="0059130C">
        <w:trPr>
          <w:trHeight w:val="1075"/>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276"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8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3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46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641"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77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276"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8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3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46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641"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9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276"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8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3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46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641"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68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276"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8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3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46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641"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4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276"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8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3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46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641"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59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276"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8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3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46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641"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1307"/>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276"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82"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37"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463"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641"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rPr>
          <w:trHeight w:val="311"/>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情况：</w:t>
            </w: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实施依据</w:t>
            </w:r>
          </w:p>
        </w:tc>
      </w:tr>
      <w:tr w:rsidR="0059130C">
        <w:trPr>
          <w:trHeight w:val="455"/>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原因：根据《</w:t>
            </w:r>
            <w:hyperlink r:id="rId33" w:tgtFrame="https://www.waizi.org.cn/doc/_blank" w:tooltip="《网络预约出租汽车经营服务管理暂行办法》（2019年修订版全文）交通运输部令2019年第46号" w:history="1"/>
            <w:hyperlink r:id="rId34" w:tgtFrame="https://www.waizi.org.cn/doc/_blank" w:tooltip="《网络预约出租汽车经营服务管理暂行办法》（2019年修订版全文）交通运输部令2019年第46号" w:history="1">
              <w:r w:rsidR="002E22CA">
                <w:rPr>
                  <w:rFonts w:ascii="仿宋_GB2312" w:eastAsia="仿宋_GB2312" w:hAnsi="仿宋_GB2312" w:cs="仿宋_GB2312" w:hint="eastAsia"/>
                  <w:color w:val="000000" w:themeColor="text1"/>
                  <w:szCs w:val="21"/>
                </w:rPr>
                <w:t>网络预约出租汽车经营服务管理暂行办法</w:t>
              </w:r>
            </w:hyperlink>
            <w:r w:rsidR="002E22CA">
              <w:rPr>
                <w:rFonts w:ascii="仿宋_GB2312" w:eastAsia="仿宋_GB2312" w:hAnsi="仿宋_GB2312" w:cs="仿宋_GB2312" w:hint="eastAsia"/>
                <w:color w:val="000000" w:themeColor="text1"/>
                <w:szCs w:val="21"/>
              </w:rPr>
              <w:t>》（</w:t>
            </w:r>
            <w:hyperlink r:id="rId35" w:tgtFrame="https://www.waizi.org.cn/doc/_blank" w:tooltip="《网络预约出租汽车经营服务管理暂行办法》（2019年修订版全文）交通运输部令2019年第46号" w:history="1">
              <w:r w:rsidR="002E22CA">
                <w:rPr>
                  <w:rFonts w:ascii="仿宋_GB2312" w:eastAsia="仿宋_GB2312" w:hAnsi="仿宋_GB2312" w:cs="仿宋_GB2312" w:hint="eastAsia"/>
                  <w:color w:val="000000" w:themeColor="text1"/>
                  <w:szCs w:val="21"/>
                </w:rPr>
                <w:t>交通运输部令2022年第42号</w:t>
              </w:r>
            </w:hyperlink>
            <w:r w:rsidR="002E22CA">
              <w:rPr>
                <w:rFonts w:ascii="仿宋_GB2312" w:eastAsia="仿宋_GB2312" w:hAnsi="仿宋_GB2312" w:cs="仿宋_GB2312" w:hint="eastAsia"/>
                <w:color w:val="000000" w:themeColor="text1"/>
                <w:szCs w:val="21"/>
              </w:rPr>
              <w:t>），</w:t>
            </w: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实施依据</w:t>
            </w:r>
          </w:p>
        </w:tc>
      </w:tr>
    </w:tbl>
    <w:p w:rsidR="0059130C" w:rsidRDefault="002E22CA">
      <w:pPr>
        <w:spacing w:line="240" w:lineRule="exact"/>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br w:type="page"/>
      </w:r>
    </w:p>
    <w:tbl>
      <w:tblPr>
        <w:tblW w:w="13632" w:type="dxa"/>
        <w:jc w:val="center"/>
        <w:tblLayout w:type="fixed"/>
        <w:tblCellMar>
          <w:left w:w="15" w:type="dxa"/>
          <w:right w:w="15" w:type="dxa"/>
        </w:tblCellMar>
        <w:tblLook w:val="04A0"/>
      </w:tblPr>
      <w:tblGrid>
        <w:gridCol w:w="717"/>
        <w:gridCol w:w="1316"/>
        <w:gridCol w:w="4087"/>
        <w:gridCol w:w="774"/>
        <w:gridCol w:w="591"/>
        <w:gridCol w:w="4557"/>
        <w:gridCol w:w="1590"/>
      </w:tblGrid>
      <w:tr w:rsidR="0059130C">
        <w:trPr>
          <w:trHeight w:val="536"/>
          <w:jc w:val="center"/>
        </w:trPr>
        <w:tc>
          <w:tcPr>
            <w:tcW w:w="717"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lastRenderedPageBreak/>
              <w:t>序号</w:t>
            </w:r>
          </w:p>
        </w:tc>
        <w:tc>
          <w:tcPr>
            <w:tcW w:w="1316"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项目名称</w:t>
            </w:r>
          </w:p>
        </w:tc>
        <w:tc>
          <w:tcPr>
            <w:tcW w:w="4087"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实施依据</w:t>
            </w:r>
          </w:p>
        </w:tc>
        <w:tc>
          <w:tcPr>
            <w:tcW w:w="774"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类别</w:t>
            </w:r>
          </w:p>
        </w:tc>
        <w:tc>
          <w:tcPr>
            <w:tcW w:w="591" w:type="dxa"/>
            <w:tcBorders>
              <w:top w:val="single" w:sz="4" w:space="0" w:color="000000"/>
              <w:left w:val="single" w:sz="4" w:space="0" w:color="000000"/>
              <w:bottom w:val="single" w:sz="4" w:space="0" w:color="auto"/>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环节</w:t>
            </w:r>
          </w:p>
        </w:tc>
        <w:tc>
          <w:tcPr>
            <w:tcW w:w="4557" w:type="dxa"/>
            <w:tcBorders>
              <w:top w:val="single" w:sz="4" w:space="0" w:color="000000"/>
              <w:left w:val="single" w:sz="4" w:space="0" w:color="000000"/>
              <w:bottom w:val="single" w:sz="4" w:space="0" w:color="auto"/>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责任事项</w:t>
            </w:r>
          </w:p>
        </w:tc>
        <w:tc>
          <w:tcPr>
            <w:tcW w:w="1590"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536"/>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45</w:t>
            </w:r>
          </w:p>
        </w:tc>
        <w:tc>
          <w:tcPr>
            <w:tcW w:w="131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kern w:val="2"/>
                <w:sz w:val="21"/>
                <w:szCs w:val="21"/>
              </w:rPr>
            </w:pPr>
            <w:r>
              <w:rPr>
                <w:rFonts w:ascii="仿宋_GB2312" w:eastAsia="仿宋_GB2312" w:hAnsi="仿宋_GB2312" w:cs="仿宋_GB2312" w:hint="eastAsia"/>
                <w:kern w:val="2"/>
                <w:sz w:val="21"/>
                <w:szCs w:val="21"/>
              </w:rPr>
              <w:t>在船在岗期间饮酒，体内酒精含量超过规定标准；在船在岗期间，服用国家管制的麻醉药品或者精神药品的处罚</w:t>
            </w:r>
          </w:p>
        </w:tc>
        <w:tc>
          <w:tcPr>
            <w:tcW w:w="4087"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 xml:space="preserve">《中华人民共和国内河海事行政处罚规定》（ 2021年8月11日交通运输部2021第20号令）第十一条 违反《船员条例》第十六条的规定，船员有下列情形之一的，依照《船员条例》第五十二条的规定，处以 1000 元以上 1 万元以下罚款；情节严重的，并给予扣留船员适任证书 6 </w:t>
            </w:r>
            <w:proofErr w:type="gramStart"/>
            <w:r>
              <w:rPr>
                <w:rFonts w:ascii="仿宋_GB2312" w:eastAsia="仿宋_GB2312" w:hAnsi="仿宋_GB2312" w:cs="仿宋_GB2312" w:hint="eastAsia"/>
                <w:szCs w:val="21"/>
              </w:rPr>
              <w:t>个</w:t>
            </w:r>
            <w:proofErr w:type="gramEnd"/>
            <w:r>
              <w:rPr>
                <w:rFonts w:ascii="仿宋_GB2312" w:eastAsia="仿宋_GB2312" w:hAnsi="仿宋_GB2312" w:cs="仿宋_GB2312" w:hint="eastAsia"/>
                <w:szCs w:val="21"/>
              </w:rPr>
              <w:t xml:space="preserve">月至 24 </w:t>
            </w:r>
            <w:proofErr w:type="gramStart"/>
            <w:r>
              <w:rPr>
                <w:rFonts w:ascii="仿宋_GB2312" w:eastAsia="仿宋_GB2312" w:hAnsi="仿宋_GB2312" w:cs="仿宋_GB2312" w:hint="eastAsia"/>
                <w:szCs w:val="21"/>
              </w:rPr>
              <w:t>个</w:t>
            </w:r>
            <w:proofErr w:type="gramEnd"/>
            <w:r>
              <w:rPr>
                <w:rFonts w:ascii="仿宋_GB2312" w:eastAsia="仿宋_GB2312" w:hAnsi="仿宋_GB2312" w:cs="仿宋_GB2312" w:hint="eastAsia"/>
                <w:szCs w:val="21"/>
              </w:rPr>
              <w:t xml:space="preserve">月直至吊销船员适任证书的处罚： </w:t>
            </w:r>
          </w:p>
          <w:p w:rsidR="0059130C" w:rsidRDefault="002E22CA">
            <w:pPr>
              <w:overflowPunct w:val="0"/>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 xml:space="preserve">（一）在船在岗期间饮酒，体内酒精含量超过规定标准； </w:t>
            </w:r>
          </w:p>
          <w:p w:rsidR="0059130C" w:rsidRDefault="002E22CA">
            <w:pPr>
              <w:pStyle w:val="a0"/>
              <w:spacing w:after="0" w:line="240" w:lineRule="exact"/>
              <w:rPr>
                <w:rFonts w:ascii="仿宋_GB2312" w:eastAsia="仿宋_GB2312" w:hAnsi="仿宋_GB2312" w:cs="仿宋_GB2312"/>
                <w:szCs w:val="21"/>
              </w:rPr>
            </w:pPr>
            <w:r>
              <w:rPr>
                <w:rFonts w:ascii="仿宋_GB2312" w:eastAsia="仿宋_GB2312" w:hAnsi="仿宋_GB2312" w:cs="仿宋_GB2312" w:hint="eastAsia"/>
                <w:szCs w:val="21"/>
              </w:rPr>
              <w:t>（二）在船在岗期间，服用国家管制的麻醉药品或者精神药品</w:t>
            </w:r>
          </w:p>
          <w:p w:rsidR="0059130C" w:rsidRDefault="00E9165C">
            <w:pPr>
              <w:spacing w:line="240" w:lineRule="exact"/>
              <w:rPr>
                <w:rFonts w:ascii="仿宋_GB2312" w:eastAsia="仿宋_GB2312" w:hAnsi="仿宋_GB2312" w:cs="仿宋_GB2312"/>
                <w:szCs w:val="21"/>
                <w:u w:val="single"/>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为：</w:t>
            </w:r>
            <w:r w:rsidR="002E22CA">
              <w:rPr>
                <w:rFonts w:ascii="仿宋_GB2312" w:eastAsia="仿宋_GB2312" w:hAnsi="仿宋_GB2312" w:cs="仿宋_GB2312" w:hint="eastAsia"/>
                <w:szCs w:val="21"/>
                <w:u w:val="single"/>
              </w:rPr>
              <w:t>《中华人民共和国内河海事行政处罚规定》（交通运输部令2022第28号）第十一条　违反《船员条例》第十六条的规定，船员有下列情形之一的，依照《船员条例》第五十二条的规定，处以1000元以上1万元以下罚款；情节严重的，并给予扣留船员适任证书6个月至24个月直至吊销船员适任证书的处罚：</w:t>
            </w:r>
          </w:p>
          <w:p w:rsidR="0059130C" w:rsidRDefault="002E22CA">
            <w:pPr>
              <w:spacing w:line="240" w:lineRule="exact"/>
              <w:rPr>
                <w:rFonts w:ascii="仿宋_GB2312" w:eastAsia="仿宋_GB2312" w:hAnsi="仿宋_GB2312" w:cs="仿宋_GB2312"/>
                <w:szCs w:val="21"/>
                <w:u w:val="single"/>
              </w:rPr>
            </w:pPr>
            <w:r>
              <w:rPr>
                <w:rFonts w:ascii="仿宋_GB2312" w:eastAsia="仿宋_GB2312" w:hAnsi="仿宋_GB2312" w:cs="仿宋_GB2312" w:hint="eastAsia"/>
                <w:szCs w:val="21"/>
                <w:u w:val="single"/>
              </w:rPr>
              <w:t xml:space="preserve">　　（一）在船在岗期间饮酒，体内酒精含量超过规定标准；</w:t>
            </w:r>
          </w:p>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u w:val="single"/>
              </w:rPr>
              <w:t xml:space="preserve">　　（二）在船在岗期间，服用国家管制的麻醉药品或者精神药品。</w:t>
            </w:r>
          </w:p>
        </w:tc>
        <w:tc>
          <w:tcPr>
            <w:tcW w:w="774"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591"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557"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内乡县交通运输综合行政执法大队</w:t>
            </w:r>
          </w:p>
        </w:tc>
      </w:tr>
      <w:tr w:rsidR="0059130C">
        <w:trPr>
          <w:trHeight w:val="1075"/>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77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9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68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4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59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1622"/>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557"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rPr>
          <w:trHeight w:val="311"/>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情况：</w:t>
            </w: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实施依据</w:t>
            </w:r>
          </w:p>
        </w:tc>
      </w:tr>
      <w:tr w:rsidR="0059130C">
        <w:trPr>
          <w:trHeight w:val="455"/>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原因：根据《中华人民共和国内河海事行政处罚规定》（交通运输部令2022第28号），</w:t>
            </w: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实施依据</w:t>
            </w:r>
          </w:p>
        </w:tc>
      </w:tr>
    </w:tbl>
    <w:p w:rsidR="0059130C" w:rsidRDefault="002E22CA">
      <w:pPr>
        <w:spacing w:line="240" w:lineRule="exact"/>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br w:type="page"/>
      </w:r>
    </w:p>
    <w:tbl>
      <w:tblPr>
        <w:tblW w:w="13632" w:type="dxa"/>
        <w:jc w:val="center"/>
        <w:tblLayout w:type="fixed"/>
        <w:tblCellMar>
          <w:left w:w="15" w:type="dxa"/>
          <w:right w:w="15" w:type="dxa"/>
        </w:tblCellMar>
        <w:tblLook w:val="04A0"/>
      </w:tblPr>
      <w:tblGrid>
        <w:gridCol w:w="717"/>
        <w:gridCol w:w="1316"/>
        <w:gridCol w:w="4087"/>
        <w:gridCol w:w="774"/>
        <w:gridCol w:w="591"/>
        <w:gridCol w:w="4557"/>
        <w:gridCol w:w="1590"/>
      </w:tblGrid>
      <w:tr w:rsidR="0059130C">
        <w:trPr>
          <w:trHeight w:val="536"/>
          <w:jc w:val="center"/>
        </w:trPr>
        <w:tc>
          <w:tcPr>
            <w:tcW w:w="717"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lastRenderedPageBreak/>
              <w:t>序号</w:t>
            </w:r>
          </w:p>
        </w:tc>
        <w:tc>
          <w:tcPr>
            <w:tcW w:w="1316"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项目名称</w:t>
            </w:r>
          </w:p>
        </w:tc>
        <w:tc>
          <w:tcPr>
            <w:tcW w:w="4087"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实施依据</w:t>
            </w:r>
          </w:p>
        </w:tc>
        <w:tc>
          <w:tcPr>
            <w:tcW w:w="774"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类别</w:t>
            </w:r>
          </w:p>
        </w:tc>
        <w:tc>
          <w:tcPr>
            <w:tcW w:w="591" w:type="dxa"/>
            <w:tcBorders>
              <w:top w:val="single" w:sz="4" w:space="0" w:color="000000"/>
              <w:left w:val="single" w:sz="4" w:space="0" w:color="000000"/>
              <w:bottom w:val="single" w:sz="4" w:space="0" w:color="auto"/>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环节</w:t>
            </w:r>
          </w:p>
        </w:tc>
        <w:tc>
          <w:tcPr>
            <w:tcW w:w="4557" w:type="dxa"/>
            <w:tcBorders>
              <w:top w:val="single" w:sz="4" w:space="0" w:color="000000"/>
              <w:left w:val="single" w:sz="4" w:space="0" w:color="000000"/>
              <w:bottom w:val="single" w:sz="4" w:space="0" w:color="auto"/>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责任事项</w:t>
            </w:r>
          </w:p>
        </w:tc>
        <w:tc>
          <w:tcPr>
            <w:tcW w:w="1590"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536"/>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jc w:val="center"/>
              <w:rPr>
                <w:rFonts w:ascii="仿宋_GB2312" w:eastAsia="仿宋_GB2312" w:hAnsi="仿宋_GB2312" w:cs="仿宋_GB2312"/>
                <w:szCs w:val="21"/>
              </w:rPr>
            </w:pPr>
            <w:r>
              <w:rPr>
                <w:rFonts w:ascii="仿宋_GB2312" w:eastAsia="仿宋_GB2312" w:hAnsi="仿宋_GB2312" w:cs="仿宋_GB2312" w:hint="eastAsia"/>
                <w:szCs w:val="21"/>
              </w:rPr>
              <w:t>46</w:t>
            </w:r>
          </w:p>
        </w:tc>
        <w:tc>
          <w:tcPr>
            <w:tcW w:w="1316"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jc w:val="center"/>
              <w:rPr>
                <w:rFonts w:ascii="仿宋_GB2312" w:eastAsia="仿宋_GB2312" w:hAnsi="仿宋_GB2312" w:cs="仿宋_GB2312"/>
                <w:szCs w:val="21"/>
              </w:rPr>
            </w:pPr>
            <w:r>
              <w:rPr>
                <w:rFonts w:ascii="仿宋_GB2312" w:eastAsia="仿宋_GB2312" w:hAnsi="仿宋_GB2312" w:cs="仿宋_GB2312" w:hint="eastAsia"/>
                <w:szCs w:val="21"/>
              </w:rPr>
              <w:t>未依照法律、行政法规和国家其他规定取得就业许可；未持有合格的且</w:t>
            </w:r>
            <w:proofErr w:type="gramStart"/>
            <w:r>
              <w:rPr>
                <w:rFonts w:ascii="仿宋_GB2312" w:eastAsia="仿宋_GB2312" w:hAnsi="仿宋_GB2312" w:cs="仿宋_GB2312" w:hint="eastAsia"/>
                <w:szCs w:val="21"/>
              </w:rPr>
              <w:t>签发国</w:t>
            </w:r>
            <w:proofErr w:type="gramEnd"/>
            <w:r>
              <w:rPr>
                <w:rFonts w:ascii="仿宋_GB2312" w:eastAsia="仿宋_GB2312" w:hAnsi="仿宋_GB2312" w:cs="仿宋_GB2312" w:hint="eastAsia"/>
                <w:szCs w:val="21"/>
              </w:rPr>
              <w:t>与我国签订了船员证书认可协议的船员证书的处罚</w:t>
            </w:r>
          </w:p>
        </w:tc>
        <w:tc>
          <w:tcPr>
            <w:tcW w:w="4087"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《中华人民共和国内河海事行政处罚规定》（ 2021年8月11日交通运输部2021第20号令）第十二条违反《船员条例》第十五条的规定，船员用人单位、船舶所有人有下列未按照规定招用外国籍船员在国籍船舶上任职情形的，依照《船员条例》第五十五条的</w:t>
            </w:r>
            <w:proofErr w:type="gramStart"/>
            <w:r>
              <w:rPr>
                <w:rFonts w:ascii="仿宋_GB2312" w:eastAsia="仿宋_GB2312" w:hAnsi="仿宋_GB2312" w:cs="仿宋_GB2312" w:hint="eastAsia"/>
                <w:szCs w:val="21"/>
              </w:rPr>
              <w:t>规</w:t>
            </w:r>
            <w:proofErr w:type="gramEnd"/>
          </w:p>
          <w:p w:rsidR="0059130C" w:rsidRDefault="002E22CA">
            <w:pPr>
              <w:overflowPunct w:val="0"/>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定，责令改正，处以3万元以上15万元以下罚款：</w:t>
            </w:r>
          </w:p>
          <w:p w:rsidR="0059130C" w:rsidRDefault="002E22CA">
            <w:pPr>
              <w:overflowPunct w:val="0"/>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（一）未依照法律、行政法规和国家其他规定取得就业许可；</w:t>
            </w:r>
          </w:p>
          <w:p w:rsidR="0059130C" w:rsidRDefault="002E22CA">
            <w:pPr>
              <w:overflowPunct w:val="0"/>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（二）未持有合格的且</w:t>
            </w:r>
            <w:proofErr w:type="gramStart"/>
            <w:r>
              <w:rPr>
                <w:rFonts w:ascii="仿宋_GB2312" w:eastAsia="仿宋_GB2312" w:hAnsi="仿宋_GB2312" w:cs="仿宋_GB2312" w:hint="eastAsia"/>
                <w:szCs w:val="21"/>
              </w:rPr>
              <w:t>签发国</w:t>
            </w:r>
            <w:proofErr w:type="gramEnd"/>
            <w:r>
              <w:rPr>
                <w:rFonts w:ascii="仿宋_GB2312" w:eastAsia="仿宋_GB2312" w:hAnsi="仿宋_GB2312" w:cs="仿宋_GB2312" w:hint="eastAsia"/>
                <w:szCs w:val="21"/>
              </w:rPr>
              <w:t>与我国签订了船员证书认可协议的船员证书。</w:t>
            </w:r>
          </w:p>
          <w:p w:rsidR="0059130C" w:rsidRDefault="00E9165C">
            <w:pPr>
              <w:overflowPunct w:val="0"/>
              <w:spacing w:line="240" w:lineRule="exact"/>
              <w:rPr>
                <w:rFonts w:ascii="仿宋_GB2312" w:eastAsia="仿宋_GB2312" w:hAnsi="仿宋_GB2312" w:cs="仿宋_GB2312"/>
                <w:szCs w:val="21"/>
                <w:u w:val="single"/>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为：</w:t>
            </w:r>
            <w:r w:rsidR="002E22CA">
              <w:rPr>
                <w:rFonts w:ascii="仿宋_GB2312" w:eastAsia="仿宋_GB2312" w:hAnsi="仿宋_GB2312" w:cs="仿宋_GB2312" w:hint="eastAsia"/>
                <w:szCs w:val="21"/>
                <w:u w:val="single"/>
              </w:rPr>
              <w:t>《中华人民共和国内河海事行政处罚规定》（交通运输部令2022第28号）第十二条　违反《船员条例》第十五条的规定，船员用人单位、船舶所有人有下列未按照规定招用外国籍船员在中国籍船舶上任职情形的，依照《船员条例》第五十五条的规定，责令改正，处以3万元以上15万元以下罚款：</w:t>
            </w:r>
          </w:p>
          <w:p w:rsidR="0059130C" w:rsidRDefault="002E22CA">
            <w:pPr>
              <w:overflowPunct w:val="0"/>
              <w:spacing w:line="240" w:lineRule="exact"/>
              <w:rPr>
                <w:rFonts w:ascii="仿宋_GB2312" w:eastAsia="仿宋_GB2312" w:hAnsi="仿宋_GB2312" w:cs="仿宋_GB2312"/>
                <w:szCs w:val="21"/>
                <w:u w:val="single"/>
              </w:rPr>
            </w:pPr>
            <w:r>
              <w:rPr>
                <w:rFonts w:ascii="仿宋_GB2312" w:eastAsia="仿宋_GB2312" w:hAnsi="仿宋_GB2312" w:cs="仿宋_GB2312" w:hint="eastAsia"/>
                <w:szCs w:val="21"/>
                <w:u w:val="single"/>
              </w:rPr>
              <w:t>（一）未依照法律、行政法规和国家其他规定取得就业许可；</w:t>
            </w:r>
          </w:p>
          <w:p w:rsidR="0059130C" w:rsidRDefault="002E22CA">
            <w:pPr>
              <w:overflowPunct w:val="0"/>
              <w:spacing w:line="240" w:lineRule="exact"/>
              <w:rPr>
                <w:rFonts w:ascii="仿宋_GB2312" w:eastAsia="仿宋_GB2312" w:hAnsi="仿宋_GB2312" w:cs="仿宋_GB2312"/>
                <w:szCs w:val="21"/>
              </w:rPr>
            </w:pPr>
            <w:r>
              <w:rPr>
                <w:rFonts w:ascii="仿宋_GB2312" w:eastAsia="仿宋_GB2312" w:hAnsi="仿宋_GB2312" w:cs="仿宋_GB2312" w:hint="eastAsia"/>
                <w:szCs w:val="21"/>
                <w:u w:val="single"/>
              </w:rPr>
              <w:t>（二）未持有合格的且</w:t>
            </w:r>
            <w:proofErr w:type="gramStart"/>
            <w:r>
              <w:rPr>
                <w:rFonts w:ascii="仿宋_GB2312" w:eastAsia="仿宋_GB2312" w:hAnsi="仿宋_GB2312" w:cs="仿宋_GB2312" w:hint="eastAsia"/>
                <w:szCs w:val="21"/>
                <w:u w:val="single"/>
              </w:rPr>
              <w:t>签发国</w:t>
            </w:r>
            <w:proofErr w:type="gramEnd"/>
            <w:r>
              <w:rPr>
                <w:rFonts w:ascii="仿宋_GB2312" w:eastAsia="仿宋_GB2312" w:hAnsi="仿宋_GB2312" w:cs="仿宋_GB2312" w:hint="eastAsia"/>
                <w:szCs w:val="21"/>
                <w:u w:val="single"/>
              </w:rPr>
              <w:t>与我国签订了船员证书认可协议的船员证书。</w:t>
            </w:r>
          </w:p>
        </w:tc>
        <w:tc>
          <w:tcPr>
            <w:tcW w:w="774"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591"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557"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内乡县交通运输综合行政执法大队</w:t>
            </w:r>
          </w:p>
        </w:tc>
      </w:tr>
      <w:tr w:rsidR="0059130C">
        <w:trPr>
          <w:trHeight w:val="1075"/>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r>
      <w:tr w:rsidR="0059130C">
        <w:trPr>
          <w:trHeight w:val="77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r>
      <w:tr w:rsidR="0059130C">
        <w:trPr>
          <w:trHeight w:val="49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r>
      <w:tr w:rsidR="0059130C">
        <w:trPr>
          <w:trHeight w:val="68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r>
      <w:tr w:rsidR="0059130C">
        <w:trPr>
          <w:trHeight w:val="44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r>
      <w:tr w:rsidR="0059130C">
        <w:trPr>
          <w:trHeight w:val="59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r>
      <w:tr w:rsidR="0059130C">
        <w:trPr>
          <w:trHeight w:val="1782"/>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c>
          <w:tcPr>
            <w:tcW w:w="77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557"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r>
      <w:tr w:rsidR="0059130C">
        <w:trPr>
          <w:trHeight w:val="311"/>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情况：</w:t>
            </w: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实施依据</w:t>
            </w:r>
          </w:p>
        </w:tc>
      </w:tr>
      <w:tr w:rsidR="0059130C">
        <w:trPr>
          <w:trHeight w:val="455"/>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原因：根</w:t>
            </w:r>
            <w:r w:rsidR="002E22CA">
              <w:rPr>
                <w:rFonts w:ascii="仿宋_GB2312" w:eastAsia="仿宋_GB2312" w:hAnsi="仿宋_GB2312" w:cs="仿宋_GB2312" w:hint="eastAsia"/>
                <w:color w:val="000000" w:themeColor="text1"/>
                <w:spacing w:val="-11"/>
                <w:szCs w:val="21"/>
              </w:rPr>
              <w:t>据《中华人民共和国内河海事行政处罚规定》（交通运输部令2022第28号），</w:t>
            </w:r>
            <w:r>
              <w:rPr>
                <w:rFonts w:ascii="仿宋_GB2312" w:eastAsia="仿宋_GB2312" w:hAnsi="仿宋_GB2312" w:cs="仿宋_GB2312" w:hint="eastAsia"/>
                <w:color w:val="000000" w:themeColor="text1"/>
                <w:spacing w:val="-11"/>
                <w:szCs w:val="21"/>
              </w:rPr>
              <w:t>调整</w:t>
            </w:r>
            <w:r w:rsidR="002E22CA">
              <w:rPr>
                <w:rFonts w:ascii="仿宋_GB2312" w:eastAsia="仿宋_GB2312" w:hAnsi="仿宋_GB2312" w:cs="仿宋_GB2312" w:hint="eastAsia"/>
                <w:color w:val="000000" w:themeColor="text1"/>
                <w:spacing w:val="-11"/>
                <w:szCs w:val="21"/>
              </w:rPr>
              <w:t>实施依据</w:t>
            </w:r>
          </w:p>
        </w:tc>
      </w:tr>
    </w:tbl>
    <w:p w:rsidR="0059130C" w:rsidRDefault="002E22CA">
      <w:pPr>
        <w:spacing w:line="240" w:lineRule="exact"/>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br w:type="page"/>
      </w:r>
    </w:p>
    <w:tbl>
      <w:tblPr>
        <w:tblW w:w="13632" w:type="dxa"/>
        <w:jc w:val="center"/>
        <w:tblLayout w:type="fixed"/>
        <w:tblCellMar>
          <w:left w:w="15" w:type="dxa"/>
          <w:right w:w="15" w:type="dxa"/>
        </w:tblCellMar>
        <w:tblLook w:val="04A0"/>
      </w:tblPr>
      <w:tblGrid>
        <w:gridCol w:w="717"/>
        <w:gridCol w:w="1316"/>
        <w:gridCol w:w="4087"/>
        <w:gridCol w:w="774"/>
        <w:gridCol w:w="591"/>
        <w:gridCol w:w="4557"/>
        <w:gridCol w:w="1590"/>
      </w:tblGrid>
      <w:tr w:rsidR="0059130C">
        <w:trPr>
          <w:trHeight w:val="536"/>
          <w:jc w:val="center"/>
        </w:trPr>
        <w:tc>
          <w:tcPr>
            <w:tcW w:w="717"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lastRenderedPageBreak/>
              <w:t>序号</w:t>
            </w:r>
          </w:p>
        </w:tc>
        <w:tc>
          <w:tcPr>
            <w:tcW w:w="1316"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项目名称</w:t>
            </w:r>
          </w:p>
        </w:tc>
        <w:tc>
          <w:tcPr>
            <w:tcW w:w="4087"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实施依据</w:t>
            </w:r>
          </w:p>
        </w:tc>
        <w:tc>
          <w:tcPr>
            <w:tcW w:w="774"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类别</w:t>
            </w:r>
          </w:p>
        </w:tc>
        <w:tc>
          <w:tcPr>
            <w:tcW w:w="591" w:type="dxa"/>
            <w:tcBorders>
              <w:top w:val="single" w:sz="4" w:space="0" w:color="000000"/>
              <w:left w:val="single" w:sz="4" w:space="0" w:color="000000"/>
              <w:bottom w:val="single" w:sz="4" w:space="0" w:color="auto"/>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环节</w:t>
            </w:r>
          </w:p>
        </w:tc>
        <w:tc>
          <w:tcPr>
            <w:tcW w:w="4557" w:type="dxa"/>
            <w:tcBorders>
              <w:top w:val="single" w:sz="4" w:space="0" w:color="000000"/>
              <w:left w:val="single" w:sz="4" w:space="0" w:color="000000"/>
              <w:bottom w:val="single" w:sz="4" w:space="0" w:color="auto"/>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责任事项</w:t>
            </w:r>
          </w:p>
        </w:tc>
        <w:tc>
          <w:tcPr>
            <w:tcW w:w="1590"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536"/>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jc w:val="center"/>
              <w:rPr>
                <w:rFonts w:ascii="仿宋_GB2312" w:eastAsia="仿宋_GB2312" w:hAnsi="仿宋_GB2312" w:cs="仿宋_GB2312"/>
                <w:szCs w:val="21"/>
              </w:rPr>
            </w:pPr>
            <w:r>
              <w:rPr>
                <w:rFonts w:ascii="仿宋_GB2312" w:eastAsia="仿宋_GB2312" w:hAnsi="仿宋_GB2312" w:cs="仿宋_GB2312" w:hint="eastAsia"/>
                <w:szCs w:val="21"/>
              </w:rPr>
              <w:t>47</w:t>
            </w:r>
          </w:p>
        </w:tc>
        <w:tc>
          <w:tcPr>
            <w:tcW w:w="1316"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jc w:val="center"/>
              <w:rPr>
                <w:rFonts w:ascii="仿宋_GB2312" w:eastAsia="仿宋_GB2312" w:hAnsi="仿宋_GB2312" w:cs="仿宋_GB2312"/>
                <w:szCs w:val="21"/>
              </w:rPr>
            </w:pPr>
            <w:r>
              <w:rPr>
                <w:rFonts w:ascii="仿宋_GB2312" w:eastAsia="仿宋_GB2312" w:hAnsi="仿宋_GB2312" w:cs="仿宋_GB2312" w:hint="eastAsia"/>
                <w:szCs w:val="21"/>
              </w:rPr>
              <w:t>未组织项目交工验收或验收不合格擅自交付使用的处罚</w:t>
            </w:r>
          </w:p>
        </w:tc>
        <w:tc>
          <w:tcPr>
            <w:tcW w:w="4087"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《公路建设监督管理办法》（交通运输部令2021年第11号）第四十条“ 违反本办法第十五条规定，未组织项目交工验收或验收不合格擅自交付使用的，责令改正并停止使用，处工程合同价款 2％以上 4％以下的罚款；对收费公路项目应当停止收费。”</w:t>
            </w:r>
          </w:p>
          <w:p w:rsidR="0059130C" w:rsidRDefault="00E9165C">
            <w:pPr>
              <w:overflowPunct w:val="0"/>
              <w:spacing w:line="240" w:lineRule="exact"/>
              <w:rPr>
                <w:rFonts w:ascii="仿宋_GB2312" w:eastAsia="仿宋_GB2312" w:hAnsi="仿宋_GB2312" w:cs="仿宋_GB2312"/>
                <w:szCs w:val="21"/>
                <w:u w:val="single"/>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为：《</w:t>
            </w:r>
            <w:r w:rsidR="002E22CA">
              <w:rPr>
                <w:rFonts w:ascii="仿宋_GB2312" w:eastAsia="仿宋_GB2312" w:hAnsi="仿宋_GB2312" w:cs="仿宋_GB2312" w:hint="eastAsia"/>
                <w:szCs w:val="21"/>
                <w:u w:val="single"/>
              </w:rPr>
              <w:t>公路建设监督管理办法》（交通运输部令2021年第11号）第四十条“ 违反本办法第十五条规定，未组织项目交工验收或验收不合格擅自交付使用的，责令改正并停止使用，处工程合同价款 2％以上 4％以下的罚款；对收费公路项目应当停止收费。”</w:t>
            </w:r>
          </w:p>
          <w:p w:rsidR="0059130C" w:rsidRDefault="002E22CA">
            <w:pPr>
              <w:overflowPunct w:val="0"/>
              <w:spacing w:line="240" w:lineRule="exact"/>
              <w:rPr>
                <w:rFonts w:ascii="仿宋_GB2312" w:eastAsia="仿宋_GB2312" w:hAnsi="仿宋_GB2312" w:cs="仿宋_GB2312"/>
                <w:szCs w:val="21"/>
                <w:u w:val="single"/>
              </w:rPr>
            </w:pPr>
            <w:r>
              <w:rPr>
                <w:rFonts w:ascii="仿宋_GB2312" w:eastAsia="仿宋_GB2312" w:hAnsi="仿宋_GB2312" w:cs="仿宋_GB2312" w:hint="eastAsia"/>
                <w:szCs w:val="21"/>
                <w:u w:val="single"/>
              </w:rPr>
              <w:t>《公路建设监督管理办法》（交通运输部令2021年第11号）第十五条：“公路建设项目验收分为交工验收和竣工验收两个阶段。项目法人负责组织对</w:t>
            </w:r>
            <w:proofErr w:type="gramStart"/>
            <w:r>
              <w:rPr>
                <w:rFonts w:ascii="仿宋_GB2312" w:eastAsia="仿宋_GB2312" w:hAnsi="仿宋_GB2312" w:cs="仿宋_GB2312" w:hint="eastAsia"/>
                <w:szCs w:val="21"/>
                <w:u w:val="single"/>
              </w:rPr>
              <w:t>各合同</w:t>
            </w:r>
            <w:proofErr w:type="gramEnd"/>
            <w:r>
              <w:rPr>
                <w:rFonts w:ascii="仿宋_GB2312" w:eastAsia="仿宋_GB2312" w:hAnsi="仿宋_GB2312" w:cs="仿宋_GB2312" w:hint="eastAsia"/>
                <w:szCs w:val="21"/>
                <w:u w:val="single"/>
              </w:rPr>
              <w:t>段进行交工验收，并完成项目交工验收报告</w:t>
            </w:r>
            <w:proofErr w:type="gramStart"/>
            <w:r>
              <w:rPr>
                <w:rFonts w:ascii="仿宋_GB2312" w:eastAsia="仿宋_GB2312" w:hAnsi="仿宋_GB2312" w:cs="仿宋_GB2312" w:hint="eastAsia"/>
                <w:szCs w:val="21"/>
                <w:u w:val="single"/>
              </w:rPr>
              <w:t>报交通</w:t>
            </w:r>
            <w:proofErr w:type="gramEnd"/>
            <w:r>
              <w:rPr>
                <w:rFonts w:ascii="仿宋_GB2312" w:eastAsia="仿宋_GB2312" w:hAnsi="仿宋_GB2312" w:cs="仿宋_GB2312" w:hint="eastAsia"/>
                <w:szCs w:val="21"/>
                <w:u w:val="single"/>
              </w:rPr>
              <w:t>主管部门备案。交通主管部门在15天内没有对备案项目的交工验收报告提出异议，项目法人可开放交通进入试运营期。试运营期不得超过3年。</w:t>
            </w:r>
          </w:p>
          <w:p w:rsidR="0059130C" w:rsidRDefault="002E22CA">
            <w:pPr>
              <w:overflowPunct w:val="0"/>
              <w:spacing w:line="240" w:lineRule="exact"/>
              <w:rPr>
                <w:rFonts w:ascii="仿宋_GB2312" w:eastAsia="仿宋_GB2312" w:hAnsi="仿宋_GB2312" w:cs="仿宋_GB2312"/>
                <w:szCs w:val="21"/>
                <w:u w:val="single"/>
              </w:rPr>
            </w:pPr>
            <w:r>
              <w:rPr>
                <w:rFonts w:ascii="仿宋_GB2312" w:eastAsia="仿宋_GB2312" w:hAnsi="仿宋_GB2312" w:cs="仿宋_GB2312" w:hint="eastAsia"/>
                <w:szCs w:val="21"/>
                <w:u w:val="single"/>
              </w:rPr>
              <w:t>通车试运营2年后，交通主管部门应组织竣工验收，经竣工验收合格的项目可转为正式运营。对未进行交工验收、交工验收不合格或没有备案的工程开放交通进行试运营的，由交通主管部门责令停止试运营。</w:t>
            </w:r>
          </w:p>
          <w:p w:rsidR="0059130C" w:rsidRDefault="002E22CA">
            <w:pPr>
              <w:overflowPunct w:val="0"/>
              <w:spacing w:line="240" w:lineRule="exact"/>
              <w:rPr>
                <w:rFonts w:ascii="仿宋_GB2312" w:eastAsia="仿宋_GB2312" w:hAnsi="仿宋_GB2312" w:cs="仿宋_GB2312"/>
                <w:szCs w:val="21"/>
              </w:rPr>
            </w:pPr>
            <w:r>
              <w:rPr>
                <w:rFonts w:ascii="仿宋_GB2312" w:eastAsia="仿宋_GB2312" w:hAnsi="仿宋_GB2312" w:cs="仿宋_GB2312" w:hint="eastAsia"/>
                <w:szCs w:val="21"/>
                <w:u w:val="single"/>
              </w:rPr>
              <w:t>公路建设项目验收工作应当符合交通部制定的《公路工程竣（交）工验收办法》的规定。”</w:t>
            </w:r>
          </w:p>
        </w:tc>
        <w:tc>
          <w:tcPr>
            <w:tcW w:w="774"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591"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557"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内乡县交通运输综合行政执法大队</w:t>
            </w:r>
          </w:p>
        </w:tc>
      </w:tr>
      <w:tr w:rsidR="0059130C">
        <w:trPr>
          <w:trHeight w:val="1075"/>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77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9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68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4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59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1907"/>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557"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rPr>
          <w:trHeight w:val="311"/>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情况：</w:t>
            </w: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实施依据</w:t>
            </w:r>
          </w:p>
        </w:tc>
      </w:tr>
      <w:tr w:rsidR="0059130C">
        <w:trPr>
          <w:trHeight w:val="455"/>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原因：根据《公路建设监督管理办法》（交通运输部令2021年第11号），增加了《公路建设监督管理办法》（交通运输部令2021年第11号）第十五条内容</w:t>
            </w:r>
          </w:p>
        </w:tc>
      </w:tr>
    </w:tbl>
    <w:p w:rsidR="0059130C" w:rsidRDefault="0059130C">
      <w:pPr>
        <w:spacing w:line="240" w:lineRule="exact"/>
        <w:rPr>
          <w:rFonts w:ascii="仿宋_GB2312" w:eastAsia="仿宋_GB2312" w:hAnsi="仿宋_GB2312" w:cs="仿宋_GB2312"/>
          <w:color w:val="000000" w:themeColor="text1"/>
          <w:szCs w:val="21"/>
        </w:rPr>
      </w:pPr>
    </w:p>
    <w:tbl>
      <w:tblPr>
        <w:tblW w:w="13632" w:type="dxa"/>
        <w:jc w:val="center"/>
        <w:tblLayout w:type="fixed"/>
        <w:tblCellMar>
          <w:left w:w="15" w:type="dxa"/>
          <w:right w:w="15" w:type="dxa"/>
        </w:tblCellMar>
        <w:tblLook w:val="04A0"/>
      </w:tblPr>
      <w:tblGrid>
        <w:gridCol w:w="717"/>
        <w:gridCol w:w="1316"/>
        <w:gridCol w:w="4087"/>
        <w:gridCol w:w="774"/>
        <w:gridCol w:w="591"/>
        <w:gridCol w:w="4557"/>
        <w:gridCol w:w="1590"/>
      </w:tblGrid>
      <w:tr w:rsidR="0059130C">
        <w:trPr>
          <w:trHeight w:val="536"/>
          <w:jc w:val="center"/>
        </w:trPr>
        <w:tc>
          <w:tcPr>
            <w:tcW w:w="717"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序号</w:t>
            </w:r>
          </w:p>
        </w:tc>
        <w:tc>
          <w:tcPr>
            <w:tcW w:w="1316"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项目名称</w:t>
            </w:r>
          </w:p>
        </w:tc>
        <w:tc>
          <w:tcPr>
            <w:tcW w:w="4087"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实施依据</w:t>
            </w:r>
          </w:p>
        </w:tc>
        <w:tc>
          <w:tcPr>
            <w:tcW w:w="774"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类别</w:t>
            </w:r>
          </w:p>
        </w:tc>
        <w:tc>
          <w:tcPr>
            <w:tcW w:w="591" w:type="dxa"/>
            <w:tcBorders>
              <w:top w:val="single" w:sz="4" w:space="0" w:color="000000"/>
              <w:left w:val="single" w:sz="4" w:space="0" w:color="000000"/>
              <w:bottom w:val="single" w:sz="4" w:space="0" w:color="auto"/>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环节</w:t>
            </w:r>
          </w:p>
        </w:tc>
        <w:tc>
          <w:tcPr>
            <w:tcW w:w="4557" w:type="dxa"/>
            <w:tcBorders>
              <w:top w:val="single" w:sz="4" w:space="0" w:color="000000"/>
              <w:left w:val="single" w:sz="4" w:space="0" w:color="000000"/>
              <w:bottom w:val="single" w:sz="4" w:space="0" w:color="auto"/>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责任事项</w:t>
            </w:r>
          </w:p>
        </w:tc>
        <w:tc>
          <w:tcPr>
            <w:tcW w:w="1590"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536"/>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jc w:val="center"/>
              <w:rPr>
                <w:rFonts w:ascii="仿宋_GB2312" w:eastAsia="仿宋_GB2312" w:hAnsi="仿宋_GB2312" w:cs="仿宋_GB2312"/>
                <w:szCs w:val="21"/>
              </w:rPr>
            </w:pPr>
            <w:r>
              <w:rPr>
                <w:rFonts w:ascii="仿宋_GB2312" w:eastAsia="仿宋_GB2312" w:hAnsi="仿宋_GB2312" w:cs="仿宋_GB2312" w:hint="eastAsia"/>
                <w:szCs w:val="21"/>
              </w:rPr>
              <w:t>48</w:t>
            </w:r>
          </w:p>
        </w:tc>
        <w:tc>
          <w:tcPr>
            <w:tcW w:w="1316"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jc w:val="center"/>
              <w:rPr>
                <w:rFonts w:ascii="仿宋_GB2312" w:eastAsia="仿宋_GB2312" w:hAnsi="仿宋_GB2312" w:cs="仿宋_GB2312"/>
                <w:szCs w:val="21"/>
              </w:rPr>
            </w:pPr>
            <w:r>
              <w:rPr>
                <w:rFonts w:ascii="仿宋_GB2312" w:eastAsia="仿宋_GB2312" w:hAnsi="仿宋_GB2312" w:cs="仿宋_GB2312" w:hint="eastAsia"/>
                <w:szCs w:val="21"/>
              </w:rPr>
              <w:t>项目法人随意压缩工期，侵犯他人合法权益的处罚</w:t>
            </w:r>
          </w:p>
        </w:tc>
        <w:tc>
          <w:tcPr>
            <w:tcW w:w="4087"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《公路建设监督管理办法》（交通运输部令2021年第11号）第四十一条“违反本办法第十九条规定，项目法人随意压缩工期，侵犯他人合法权益的，责令限期改正，可处 20万元以上 50 万元以下的罚款；造成严重后果的，对全部或部分使用财政性资金的项目，可暂停项目执行或暂缓资金拨付。”</w:t>
            </w:r>
          </w:p>
          <w:p w:rsidR="0059130C" w:rsidRDefault="00E9165C">
            <w:pPr>
              <w:pStyle w:val="a0"/>
              <w:spacing w:after="0" w:line="240" w:lineRule="exact"/>
              <w:rPr>
                <w:rFonts w:ascii="仿宋_GB2312" w:eastAsia="仿宋_GB2312" w:hAnsi="仿宋_GB2312" w:cs="仿宋_GB2312"/>
                <w:szCs w:val="21"/>
                <w:u w:val="single"/>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为：</w:t>
            </w:r>
            <w:r w:rsidR="002E22CA">
              <w:rPr>
                <w:rFonts w:ascii="仿宋_GB2312" w:eastAsia="仿宋_GB2312" w:hAnsi="仿宋_GB2312" w:cs="仿宋_GB2312" w:hint="eastAsia"/>
                <w:szCs w:val="21"/>
                <w:u w:val="single"/>
              </w:rPr>
              <w:t>《公路建设监督管理办法》（交通运输部令2021年第11号）第四十一条“违反本办法第十九条规定，项目法人随意压缩工期，侵犯他人合法权益的，责令限期改正，可处 20万元以上 50 万元以下的罚款；造成严重后果的，对全部或部分使用财政性资金的项目，可暂停项目执行或暂缓资金拨付。”</w:t>
            </w:r>
          </w:p>
          <w:p w:rsidR="0059130C" w:rsidRDefault="002E22CA">
            <w:pPr>
              <w:pStyle w:val="a0"/>
              <w:spacing w:after="0" w:line="240" w:lineRule="exact"/>
              <w:rPr>
                <w:rFonts w:ascii="仿宋_GB2312" w:eastAsia="仿宋_GB2312" w:hAnsi="仿宋_GB2312" w:cs="仿宋_GB2312"/>
                <w:szCs w:val="21"/>
                <w:u w:val="single"/>
              </w:rPr>
            </w:pPr>
            <w:r>
              <w:rPr>
                <w:rFonts w:ascii="仿宋_GB2312" w:eastAsia="仿宋_GB2312" w:hAnsi="仿宋_GB2312" w:cs="仿宋_GB2312" w:hint="eastAsia"/>
                <w:szCs w:val="21"/>
                <w:u w:val="single"/>
              </w:rPr>
              <w:t>《公路建设监督管理办法》（交通运输部令2021年第11号）第十九条：“公路建设项目法人应当承担公路建设相关责任和义务，对建设项目质量、投资和工期负责。</w:t>
            </w:r>
          </w:p>
          <w:p w:rsidR="0059130C" w:rsidRDefault="002E22CA">
            <w:pPr>
              <w:pStyle w:val="a0"/>
              <w:spacing w:after="0" w:line="240" w:lineRule="exact"/>
              <w:rPr>
                <w:rFonts w:ascii="仿宋_GB2312" w:eastAsia="仿宋_GB2312" w:hAnsi="仿宋_GB2312" w:cs="仿宋_GB2312"/>
                <w:szCs w:val="21"/>
                <w:u w:val="single"/>
              </w:rPr>
            </w:pPr>
            <w:r>
              <w:rPr>
                <w:rFonts w:ascii="仿宋_GB2312" w:eastAsia="仿宋_GB2312" w:hAnsi="仿宋_GB2312" w:cs="仿宋_GB2312" w:hint="eastAsia"/>
                <w:szCs w:val="21"/>
                <w:u w:val="single"/>
              </w:rPr>
              <w:t>公路建设项目法人必须依法开展招标活动，不得接受投标人低于成本价的投标，不得随意压缩建设工期，禁止指定分包和指定采购。”</w:t>
            </w:r>
          </w:p>
          <w:p w:rsidR="0059130C" w:rsidRDefault="0059130C">
            <w:pPr>
              <w:overflowPunct w:val="0"/>
              <w:spacing w:line="240" w:lineRule="exact"/>
              <w:jc w:val="center"/>
              <w:rPr>
                <w:rFonts w:ascii="仿宋_GB2312" w:eastAsia="仿宋_GB2312" w:hAnsi="仿宋_GB2312" w:cs="仿宋_GB2312"/>
                <w:szCs w:val="21"/>
              </w:rPr>
            </w:pPr>
          </w:p>
        </w:tc>
        <w:tc>
          <w:tcPr>
            <w:tcW w:w="774"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591"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557"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内乡县交通运输综合行政执法大队</w:t>
            </w:r>
          </w:p>
        </w:tc>
      </w:tr>
      <w:tr w:rsidR="0059130C">
        <w:trPr>
          <w:trHeight w:val="1075"/>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r>
      <w:tr w:rsidR="0059130C">
        <w:trPr>
          <w:trHeight w:val="77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r>
      <w:tr w:rsidR="0059130C">
        <w:trPr>
          <w:trHeight w:val="49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r>
      <w:tr w:rsidR="0059130C">
        <w:trPr>
          <w:trHeight w:val="68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r>
      <w:tr w:rsidR="0059130C">
        <w:trPr>
          <w:trHeight w:val="44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r>
      <w:tr w:rsidR="0059130C">
        <w:trPr>
          <w:trHeight w:val="59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r>
      <w:tr w:rsidR="0059130C">
        <w:trPr>
          <w:trHeight w:val="1372"/>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c>
          <w:tcPr>
            <w:tcW w:w="77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557"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r>
      <w:tr w:rsidR="0059130C">
        <w:trPr>
          <w:trHeight w:val="311"/>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情况：</w:t>
            </w: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实施依据</w:t>
            </w:r>
          </w:p>
        </w:tc>
      </w:tr>
      <w:tr w:rsidR="0059130C">
        <w:trPr>
          <w:trHeight w:val="455"/>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原因：根据《公路建设监督管理办法》（交通运输部令2021年第11号），增加了《公路建设监督管理办法》（交通运输部令2021年第11号）第十九条内容</w:t>
            </w:r>
          </w:p>
        </w:tc>
      </w:tr>
    </w:tbl>
    <w:p w:rsidR="0059130C" w:rsidRDefault="002E22CA">
      <w:pPr>
        <w:spacing w:line="240" w:lineRule="exact"/>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br w:type="page"/>
      </w:r>
    </w:p>
    <w:tbl>
      <w:tblPr>
        <w:tblW w:w="13632" w:type="dxa"/>
        <w:jc w:val="center"/>
        <w:tblLayout w:type="fixed"/>
        <w:tblCellMar>
          <w:left w:w="15" w:type="dxa"/>
          <w:right w:w="15" w:type="dxa"/>
        </w:tblCellMar>
        <w:tblLook w:val="04A0"/>
      </w:tblPr>
      <w:tblGrid>
        <w:gridCol w:w="717"/>
        <w:gridCol w:w="1316"/>
        <w:gridCol w:w="4087"/>
        <w:gridCol w:w="774"/>
        <w:gridCol w:w="591"/>
        <w:gridCol w:w="4557"/>
        <w:gridCol w:w="1590"/>
      </w:tblGrid>
      <w:tr w:rsidR="0059130C">
        <w:trPr>
          <w:trHeight w:val="536"/>
          <w:jc w:val="center"/>
        </w:trPr>
        <w:tc>
          <w:tcPr>
            <w:tcW w:w="717"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lastRenderedPageBreak/>
              <w:t>序号</w:t>
            </w:r>
          </w:p>
        </w:tc>
        <w:tc>
          <w:tcPr>
            <w:tcW w:w="1316"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项目名称</w:t>
            </w:r>
          </w:p>
        </w:tc>
        <w:tc>
          <w:tcPr>
            <w:tcW w:w="4087"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实施依据</w:t>
            </w:r>
          </w:p>
        </w:tc>
        <w:tc>
          <w:tcPr>
            <w:tcW w:w="774"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类别</w:t>
            </w:r>
          </w:p>
        </w:tc>
        <w:tc>
          <w:tcPr>
            <w:tcW w:w="591" w:type="dxa"/>
            <w:tcBorders>
              <w:top w:val="single" w:sz="4" w:space="0" w:color="000000"/>
              <w:left w:val="single" w:sz="4" w:space="0" w:color="000000"/>
              <w:bottom w:val="single" w:sz="4" w:space="0" w:color="auto"/>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环节</w:t>
            </w:r>
          </w:p>
        </w:tc>
        <w:tc>
          <w:tcPr>
            <w:tcW w:w="4557" w:type="dxa"/>
            <w:tcBorders>
              <w:top w:val="single" w:sz="4" w:space="0" w:color="000000"/>
              <w:left w:val="single" w:sz="4" w:space="0" w:color="000000"/>
              <w:bottom w:val="single" w:sz="4" w:space="0" w:color="auto"/>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责任事项</w:t>
            </w:r>
          </w:p>
        </w:tc>
        <w:tc>
          <w:tcPr>
            <w:tcW w:w="1590"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536"/>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jc w:val="center"/>
              <w:rPr>
                <w:rFonts w:ascii="仿宋_GB2312" w:eastAsia="仿宋_GB2312" w:hAnsi="仿宋_GB2312" w:cs="仿宋_GB2312"/>
                <w:szCs w:val="21"/>
              </w:rPr>
            </w:pPr>
            <w:r>
              <w:rPr>
                <w:rFonts w:ascii="仿宋_GB2312" w:eastAsia="仿宋_GB2312" w:hAnsi="仿宋_GB2312" w:cs="仿宋_GB2312" w:hint="eastAsia"/>
                <w:szCs w:val="21"/>
              </w:rPr>
              <w:t>49</w:t>
            </w:r>
          </w:p>
        </w:tc>
        <w:tc>
          <w:tcPr>
            <w:tcW w:w="1316"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jc w:val="center"/>
              <w:rPr>
                <w:rFonts w:ascii="仿宋_GB2312" w:eastAsia="仿宋_GB2312" w:hAnsi="仿宋_GB2312" w:cs="仿宋_GB2312"/>
                <w:szCs w:val="21"/>
              </w:rPr>
            </w:pPr>
            <w:r>
              <w:rPr>
                <w:rFonts w:ascii="仿宋_GB2312" w:eastAsia="仿宋_GB2312" w:hAnsi="仿宋_GB2312" w:cs="仿宋_GB2312" w:hint="eastAsia"/>
                <w:szCs w:val="21"/>
              </w:rPr>
              <w:t>监理单位将不合格的工程、建筑材料、构件和设备按合格予以签认的处罚</w:t>
            </w:r>
          </w:p>
          <w:p w:rsidR="0059130C" w:rsidRDefault="0059130C">
            <w:pPr>
              <w:overflowPunct w:val="0"/>
              <w:spacing w:line="240" w:lineRule="exact"/>
              <w:jc w:val="center"/>
              <w:rPr>
                <w:rFonts w:ascii="仿宋_GB2312" w:eastAsia="仿宋_GB2312" w:hAnsi="仿宋_GB2312" w:cs="仿宋_GB2312"/>
                <w:szCs w:val="21"/>
              </w:rPr>
            </w:pPr>
          </w:p>
        </w:tc>
        <w:tc>
          <w:tcPr>
            <w:tcW w:w="4087"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jc w:val="left"/>
              <w:rPr>
                <w:rFonts w:ascii="仿宋_GB2312" w:eastAsia="仿宋_GB2312" w:hAnsi="仿宋_GB2312" w:cs="仿宋_GB2312"/>
                <w:szCs w:val="21"/>
              </w:rPr>
            </w:pPr>
            <w:r>
              <w:rPr>
                <w:rFonts w:ascii="仿宋_GB2312" w:eastAsia="仿宋_GB2312" w:hAnsi="仿宋_GB2312" w:cs="仿宋_GB2312" w:hint="eastAsia"/>
                <w:szCs w:val="21"/>
              </w:rPr>
              <w:t>《公路建设监督管理办法》（交通运输部令2021年第11号）第四十四条“违反本办法第二十三条规定，监理单位将不合格的工程、建筑材料、构件和设备按合格予以签认的，责令改正，可给予警告处罚，情节严重的，处 50 万元以上100 万元以下的罚款；施工单位在工程上使用或安装未经监理签认的建筑材料、构件和设备的，责令改正，可给予警告处罚，情节严重的，处工程合同价款 2％以上 4％以下的罚款。”</w:t>
            </w:r>
          </w:p>
          <w:p w:rsidR="0059130C" w:rsidRDefault="00E9165C">
            <w:pPr>
              <w:pStyle w:val="a0"/>
              <w:spacing w:after="0" w:line="240" w:lineRule="exact"/>
              <w:jc w:val="left"/>
              <w:rPr>
                <w:rFonts w:ascii="仿宋_GB2312" w:eastAsia="仿宋_GB2312" w:hAnsi="仿宋_GB2312" w:cs="仿宋_GB2312"/>
                <w:szCs w:val="21"/>
                <w:u w:val="single"/>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为：</w:t>
            </w:r>
            <w:r w:rsidR="002E22CA">
              <w:rPr>
                <w:rFonts w:ascii="仿宋_GB2312" w:eastAsia="仿宋_GB2312" w:hAnsi="仿宋_GB2312" w:cs="仿宋_GB2312" w:hint="eastAsia"/>
                <w:szCs w:val="21"/>
                <w:u w:val="single"/>
              </w:rPr>
              <w:t>《公路建设监督管理办法》（交通运输部令2021年第11号）第四十四条“违反本办法第二十三条规定，监理单位将不合格的工程、建筑材料、构件和设备按合格予以签认的，责令改正，可给予警告处罚，情节严重的，处 50 万元以上100 万元以下的罚款；施工单位在工程上使用或安装未经监理签认的建筑材料、构件和设备的，责令改正，可给予警告处罚，情节严重的，处工程合同价款 2％以上 4％以下的罚款。”</w:t>
            </w:r>
          </w:p>
          <w:p w:rsidR="0059130C" w:rsidRDefault="002E22CA">
            <w:pPr>
              <w:pStyle w:val="a0"/>
              <w:spacing w:after="0" w:line="240" w:lineRule="exact"/>
              <w:jc w:val="left"/>
              <w:rPr>
                <w:rFonts w:ascii="仿宋_GB2312" w:eastAsia="仿宋_GB2312" w:hAnsi="仿宋_GB2312" w:cs="仿宋_GB2312"/>
                <w:szCs w:val="21"/>
                <w:u w:val="single"/>
              </w:rPr>
            </w:pPr>
            <w:r>
              <w:rPr>
                <w:rFonts w:ascii="仿宋_GB2312" w:eastAsia="仿宋_GB2312" w:hAnsi="仿宋_GB2312" w:cs="仿宋_GB2312" w:hint="eastAsia"/>
                <w:szCs w:val="21"/>
                <w:u w:val="single"/>
              </w:rPr>
              <w:t>《公路建设监督管理办法》（交通运输部令2021年第11号）第二十三条：“公路建设项目实施过程中，监理单位应当依照法律、法规、规章以及有关技术标准、设计文件、合同文件和监理规范的要求，采用旁站、巡视和平行检验形式对工程实施监理，对不符合工程质量与安全要求的工程应当责令施工单位返工。</w:t>
            </w:r>
          </w:p>
          <w:p w:rsidR="0059130C" w:rsidRDefault="002E22CA">
            <w:pPr>
              <w:pStyle w:val="a0"/>
              <w:spacing w:after="0" w:line="240" w:lineRule="exact"/>
              <w:jc w:val="left"/>
              <w:rPr>
                <w:rFonts w:ascii="仿宋_GB2312" w:eastAsia="仿宋_GB2312" w:hAnsi="仿宋_GB2312" w:cs="仿宋_GB2312"/>
                <w:szCs w:val="21"/>
              </w:rPr>
            </w:pPr>
            <w:r>
              <w:rPr>
                <w:rFonts w:ascii="仿宋_GB2312" w:eastAsia="仿宋_GB2312" w:hAnsi="仿宋_GB2312" w:cs="仿宋_GB2312" w:hint="eastAsia"/>
                <w:szCs w:val="21"/>
                <w:u w:val="single"/>
              </w:rPr>
              <w:t>未经监理工程师签认，施工单位不得将建筑材料、构件和设备在工程上使用或安装，不得进行下一道工序施工。”</w:t>
            </w:r>
          </w:p>
        </w:tc>
        <w:tc>
          <w:tcPr>
            <w:tcW w:w="774"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591"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557"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内乡县交通运输综合行政执法大队</w:t>
            </w:r>
          </w:p>
        </w:tc>
      </w:tr>
      <w:tr w:rsidR="0059130C">
        <w:trPr>
          <w:trHeight w:val="1075"/>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77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9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68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4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59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1809"/>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557"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rPr>
          <w:trHeight w:val="311"/>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情况：</w:t>
            </w: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实施依据</w:t>
            </w:r>
          </w:p>
        </w:tc>
      </w:tr>
      <w:tr w:rsidR="0059130C">
        <w:trPr>
          <w:trHeight w:val="455"/>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原因：根据《公路建设监督管理办法》（交通运输部令2021年第11号），增加了《公路建设监督管理办法》（交通运输部令2021年第11号）第二十三条内容</w:t>
            </w:r>
          </w:p>
        </w:tc>
      </w:tr>
    </w:tbl>
    <w:p w:rsidR="0059130C" w:rsidRDefault="0059130C">
      <w:pPr>
        <w:spacing w:line="240" w:lineRule="exact"/>
        <w:rPr>
          <w:rFonts w:ascii="仿宋_GB2312" w:eastAsia="仿宋_GB2312" w:hAnsi="仿宋_GB2312" w:cs="仿宋_GB2312"/>
          <w:color w:val="000000" w:themeColor="text1"/>
          <w:szCs w:val="21"/>
        </w:rPr>
      </w:pPr>
    </w:p>
    <w:tbl>
      <w:tblPr>
        <w:tblW w:w="13632" w:type="dxa"/>
        <w:jc w:val="center"/>
        <w:tblLayout w:type="fixed"/>
        <w:tblCellMar>
          <w:left w:w="15" w:type="dxa"/>
          <w:right w:w="15" w:type="dxa"/>
        </w:tblCellMar>
        <w:tblLook w:val="04A0"/>
      </w:tblPr>
      <w:tblGrid>
        <w:gridCol w:w="717"/>
        <w:gridCol w:w="1316"/>
        <w:gridCol w:w="4087"/>
        <w:gridCol w:w="774"/>
        <w:gridCol w:w="591"/>
        <w:gridCol w:w="4557"/>
        <w:gridCol w:w="1590"/>
      </w:tblGrid>
      <w:tr w:rsidR="0059130C">
        <w:trPr>
          <w:trHeight w:val="536"/>
          <w:jc w:val="center"/>
        </w:trPr>
        <w:tc>
          <w:tcPr>
            <w:tcW w:w="717"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序号</w:t>
            </w:r>
          </w:p>
        </w:tc>
        <w:tc>
          <w:tcPr>
            <w:tcW w:w="1316"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项目名称</w:t>
            </w:r>
          </w:p>
        </w:tc>
        <w:tc>
          <w:tcPr>
            <w:tcW w:w="4087"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实施依据</w:t>
            </w:r>
          </w:p>
        </w:tc>
        <w:tc>
          <w:tcPr>
            <w:tcW w:w="774"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类别</w:t>
            </w:r>
          </w:p>
        </w:tc>
        <w:tc>
          <w:tcPr>
            <w:tcW w:w="591" w:type="dxa"/>
            <w:tcBorders>
              <w:top w:val="single" w:sz="4" w:space="0" w:color="000000"/>
              <w:left w:val="single" w:sz="4" w:space="0" w:color="000000"/>
              <w:bottom w:val="single" w:sz="4" w:space="0" w:color="auto"/>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环节</w:t>
            </w:r>
          </w:p>
        </w:tc>
        <w:tc>
          <w:tcPr>
            <w:tcW w:w="4557" w:type="dxa"/>
            <w:tcBorders>
              <w:top w:val="single" w:sz="4" w:space="0" w:color="000000"/>
              <w:left w:val="single" w:sz="4" w:space="0" w:color="000000"/>
              <w:bottom w:val="single" w:sz="4" w:space="0" w:color="auto"/>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责任事项</w:t>
            </w:r>
          </w:p>
        </w:tc>
        <w:tc>
          <w:tcPr>
            <w:tcW w:w="1590"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536"/>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jc w:val="center"/>
              <w:rPr>
                <w:rFonts w:ascii="仿宋_GB2312" w:eastAsia="仿宋_GB2312" w:hAnsi="仿宋_GB2312" w:cs="仿宋_GB2312"/>
                <w:szCs w:val="21"/>
              </w:rPr>
            </w:pPr>
            <w:r>
              <w:rPr>
                <w:rFonts w:ascii="仿宋_GB2312" w:eastAsia="仿宋_GB2312" w:hAnsi="仿宋_GB2312" w:cs="仿宋_GB2312" w:hint="eastAsia"/>
                <w:szCs w:val="21"/>
              </w:rPr>
              <w:t>50</w:t>
            </w:r>
          </w:p>
        </w:tc>
        <w:tc>
          <w:tcPr>
            <w:tcW w:w="1316"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公路建设从业单位忽视工程质量和安全管理，造成质量或安全事故的处罚</w:t>
            </w:r>
          </w:p>
        </w:tc>
        <w:tc>
          <w:tcPr>
            <w:tcW w:w="4087" w:type="dxa"/>
            <w:vMerge w:val="restart"/>
            <w:tcBorders>
              <w:top w:val="single" w:sz="4" w:space="0" w:color="000000"/>
              <w:left w:val="single" w:sz="4" w:space="0" w:color="000000"/>
              <w:right w:val="single" w:sz="4" w:space="0" w:color="000000"/>
            </w:tcBorders>
            <w:vAlign w:val="center"/>
          </w:tcPr>
          <w:p w:rsidR="0059130C" w:rsidRDefault="002E22CA">
            <w:pPr>
              <w:pStyle w:val="a0"/>
              <w:spacing w:after="0" w:line="240" w:lineRule="exact"/>
              <w:rPr>
                <w:rFonts w:ascii="仿宋_GB2312" w:eastAsia="仿宋_GB2312" w:hAnsi="仿宋_GB2312" w:cs="仿宋_GB2312"/>
                <w:szCs w:val="21"/>
                <w:u w:val="single"/>
              </w:rPr>
            </w:pPr>
            <w:r>
              <w:rPr>
                <w:rFonts w:ascii="仿宋_GB2312" w:eastAsia="仿宋_GB2312" w:hAnsi="仿宋_GB2312" w:cs="仿宋_GB2312" w:hint="eastAsia"/>
                <w:szCs w:val="21"/>
              </w:rPr>
              <w:t>《公路建设监督管理办法》（交通运输部令2021年第11号）第四十五条 违反本办法第二十五条规定，公路建设从业单位忽视工程质量和安全管理，造成质量或安全事故的，对项目法人给予警告、限期整改，情节严重的，暂停资金拨付；对勘察、设计、施工和监理等单位给予警告；对情节严重的监理单位，还可给予责令停业整顿、降低资质等级和吊销资质证书的处罚。</w:t>
            </w:r>
          </w:p>
          <w:p w:rsidR="0059130C" w:rsidRDefault="00E9165C">
            <w:pPr>
              <w:overflowPunct w:val="0"/>
              <w:snapToGrid w:val="0"/>
              <w:spacing w:line="240" w:lineRule="exact"/>
              <w:rPr>
                <w:rFonts w:ascii="仿宋_GB2312" w:eastAsia="仿宋_GB2312" w:hAnsi="仿宋_GB2312" w:cs="仿宋_GB2312"/>
                <w:szCs w:val="21"/>
                <w:u w:val="single"/>
              </w:rPr>
            </w:pPr>
            <w:r>
              <w:rPr>
                <w:rFonts w:ascii="仿宋_GB2312" w:eastAsia="仿宋_GB2312" w:hAnsi="仿宋_GB2312" w:cs="仿宋_GB2312" w:hint="eastAsia"/>
                <w:szCs w:val="21"/>
                <w:u w:val="single"/>
              </w:rPr>
              <w:t>调整</w:t>
            </w:r>
            <w:r w:rsidR="002E22CA">
              <w:rPr>
                <w:rFonts w:ascii="仿宋_GB2312" w:eastAsia="仿宋_GB2312" w:hAnsi="仿宋_GB2312" w:cs="仿宋_GB2312" w:hint="eastAsia"/>
                <w:szCs w:val="21"/>
                <w:u w:val="single"/>
              </w:rPr>
              <w:t>为：《公路建设监督管理办法》（交通运输部令2021年第11号）第四十五条 违反本办法第二十五条规定，公路建设从业单位忽视工程质量和安全管理，造成质量或安全事故的，对项目法人给予警告、限期整改，情节严重的，暂停资金拨付；对勘察、设计、施工和监理等单位给予警告；对情节严重的监理单位，还可给予责令停业整顿、降低资质等级和吊销资质证书的处罚。</w:t>
            </w:r>
          </w:p>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u w:val="single"/>
              </w:rPr>
              <w:t>《公路建设监督管理办法》（交通运输部令2021年第11号）第二十五条 ：“公路建设从业单位应当对工程质量和安全负责。工程实施中应当加强对职工的教育与培训，按照国家有关规定建立健全质量和安全保证体系，落实质量和安全生产责任制，保证工程质量和工程安全。”</w:t>
            </w:r>
          </w:p>
        </w:tc>
        <w:tc>
          <w:tcPr>
            <w:tcW w:w="774"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591"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557"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内乡县交通运输综合行政执法大队</w:t>
            </w:r>
          </w:p>
        </w:tc>
      </w:tr>
      <w:tr w:rsidR="0059130C">
        <w:trPr>
          <w:trHeight w:val="1075"/>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77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9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68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4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59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1722"/>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557"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rPr>
          <w:trHeight w:val="311"/>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情况：</w:t>
            </w: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实施依据</w:t>
            </w:r>
          </w:p>
        </w:tc>
      </w:tr>
      <w:tr w:rsidR="0059130C">
        <w:trPr>
          <w:trHeight w:val="455"/>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原因：根据《公路建设监督管理办法》（交通运输部令2021年第11号），增加了《公路建设监督管理办法》（交通运输部令2021年第11号）第二十五条内容</w:t>
            </w:r>
          </w:p>
        </w:tc>
      </w:tr>
    </w:tbl>
    <w:p w:rsidR="0059130C" w:rsidRDefault="0059130C">
      <w:pPr>
        <w:spacing w:line="240" w:lineRule="exact"/>
        <w:rPr>
          <w:rFonts w:ascii="仿宋_GB2312" w:eastAsia="仿宋_GB2312" w:hAnsi="仿宋_GB2312" w:cs="仿宋_GB2312"/>
          <w:color w:val="000000" w:themeColor="text1"/>
          <w:szCs w:val="21"/>
        </w:rPr>
      </w:pPr>
    </w:p>
    <w:tbl>
      <w:tblPr>
        <w:tblW w:w="13632" w:type="dxa"/>
        <w:jc w:val="center"/>
        <w:tblLayout w:type="fixed"/>
        <w:tblCellMar>
          <w:left w:w="15" w:type="dxa"/>
          <w:right w:w="15" w:type="dxa"/>
        </w:tblCellMar>
        <w:tblLook w:val="04A0"/>
      </w:tblPr>
      <w:tblGrid>
        <w:gridCol w:w="717"/>
        <w:gridCol w:w="1316"/>
        <w:gridCol w:w="4087"/>
        <w:gridCol w:w="774"/>
        <w:gridCol w:w="591"/>
        <w:gridCol w:w="4557"/>
        <w:gridCol w:w="1590"/>
      </w:tblGrid>
      <w:tr w:rsidR="0059130C">
        <w:trPr>
          <w:trHeight w:val="536"/>
          <w:jc w:val="center"/>
        </w:trPr>
        <w:tc>
          <w:tcPr>
            <w:tcW w:w="717"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序号</w:t>
            </w:r>
          </w:p>
        </w:tc>
        <w:tc>
          <w:tcPr>
            <w:tcW w:w="1316"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项目名称</w:t>
            </w:r>
          </w:p>
        </w:tc>
        <w:tc>
          <w:tcPr>
            <w:tcW w:w="4087"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实施依据</w:t>
            </w:r>
          </w:p>
        </w:tc>
        <w:tc>
          <w:tcPr>
            <w:tcW w:w="774"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类别</w:t>
            </w:r>
          </w:p>
        </w:tc>
        <w:tc>
          <w:tcPr>
            <w:tcW w:w="591" w:type="dxa"/>
            <w:tcBorders>
              <w:top w:val="single" w:sz="4" w:space="0" w:color="000000"/>
              <w:left w:val="single" w:sz="4" w:space="0" w:color="000000"/>
              <w:bottom w:val="single" w:sz="4" w:space="0" w:color="auto"/>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环节</w:t>
            </w:r>
          </w:p>
        </w:tc>
        <w:tc>
          <w:tcPr>
            <w:tcW w:w="4557" w:type="dxa"/>
            <w:tcBorders>
              <w:top w:val="single" w:sz="4" w:space="0" w:color="000000"/>
              <w:left w:val="single" w:sz="4" w:space="0" w:color="000000"/>
              <w:bottom w:val="single" w:sz="4" w:space="0" w:color="auto"/>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责任事项</w:t>
            </w:r>
          </w:p>
        </w:tc>
        <w:tc>
          <w:tcPr>
            <w:tcW w:w="1590"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536"/>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jc w:val="center"/>
              <w:rPr>
                <w:rFonts w:ascii="仿宋_GB2312" w:eastAsia="仿宋_GB2312" w:hAnsi="仿宋_GB2312" w:cs="仿宋_GB2312"/>
                <w:szCs w:val="21"/>
              </w:rPr>
            </w:pPr>
            <w:r>
              <w:rPr>
                <w:rFonts w:ascii="仿宋_GB2312" w:eastAsia="仿宋_GB2312" w:hAnsi="仿宋_GB2312" w:cs="仿宋_GB2312" w:hint="eastAsia"/>
                <w:szCs w:val="21"/>
              </w:rPr>
              <w:t>51</w:t>
            </w:r>
          </w:p>
        </w:tc>
        <w:tc>
          <w:tcPr>
            <w:tcW w:w="1316"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项目法人对工程质量事故隐瞒不报、谎报或拖延报告期限的处罚</w:t>
            </w:r>
          </w:p>
        </w:tc>
        <w:tc>
          <w:tcPr>
            <w:tcW w:w="4087"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《公路建设监督管理办法》（交通运输部令2021年第11号）第四十六条 违反本办法第二十六条规定，项目法人对工程质量事故隐瞒不报、谎报或拖延报告期限的，给予警告处罚，对直接责任人依法给予行政处分。</w:t>
            </w:r>
          </w:p>
          <w:p w:rsidR="0059130C" w:rsidRDefault="00E9165C">
            <w:pPr>
              <w:overflowPunct w:val="0"/>
              <w:spacing w:line="240" w:lineRule="exact"/>
              <w:rPr>
                <w:rFonts w:ascii="仿宋_GB2312" w:eastAsia="仿宋_GB2312" w:hAnsi="仿宋_GB2312" w:cs="仿宋_GB2312"/>
                <w:szCs w:val="21"/>
                <w:u w:val="single"/>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为：</w:t>
            </w:r>
            <w:r w:rsidR="002E22CA">
              <w:rPr>
                <w:rFonts w:ascii="仿宋_GB2312" w:eastAsia="仿宋_GB2312" w:hAnsi="仿宋_GB2312" w:cs="仿宋_GB2312" w:hint="eastAsia"/>
                <w:szCs w:val="21"/>
                <w:u w:val="single"/>
              </w:rPr>
              <w:t>《公路建设监督管理办法》（交通运输部令2021年第11号）第四十六条 违反本办法第二十六条规定，项目法人对工程质量事故隐瞒不报、谎报或拖延报告期限的，给予警告处罚，对直接责任人依法给予行政处分。</w:t>
            </w:r>
          </w:p>
          <w:p w:rsidR="0059130C" w:rsidRDefault="002E22CA">
            <w:pPr>
              <w:overflowPunct w:val="0"/>
              <w:spacing w:line="240" w:lineRule="exact"/>
              <w:rPr>
                <w:rFonts w:ascii="仿宋_GB2312" w:eastAsia="仿宋_GB2312" w:hAnsi="仿宋_GB2312" w:cs="仿宋_GB2312"/>
                <w:szCs w:val="21"/>
                <w:u w:val="single"/>
              </w:rPr>
            </w:pPr>
            <w:r>
              <w:rPr>
                <w:rFonts w:ascii="仿宋_GB2312" w:eastAsia="仿宋_GB2312" w:hAnsi="仿宋_GB2312" w:cs="仿宋_GB2312" w:hint="eastAsia"/>
                <w:szCs w:val="21"/>
                <w:u w:val="single"/>
              </w:rPr>
              <w:t>《公路建设监督管理办法》（交通运输部令2021年第11号）第二十六条：“公路建设项目发生工程质量事故，项目法人应在24小时内按项目管理隶属关系向交通主管部门报告，工程质量事故同时报公路工程质量监督机构。</w:t>
            </w:r>
          </w:p>
          <w:p w:rsidR="0059130C" w:rsidRDefault="002E22CA">
            <w:pPr>
              <w:overflowPunct w:val="0"/>
              <w:spacing w:line="240" w:lineRule="exact"/>
              <w:rPr>
                <w:rFonts w:ascii="仿宋_GB2312" w:eastAsia="仿宋_GB2312" w:hAnsi="仿宋_GB2312" w:cs="仿宋_GB2312"/>
                <w:szCs w:val="21"/>
              </w:rPr>
            </w:pPr>
            <w:r>
              <w:rPr>
                <w:rFonts w:ascii="仿宋_GB2312" w:eastAsia="仿宋_GB2312" w:hAnsi="仿宋_GB2312" w:cs="仿宋_GB2312" w:hint="eastAsia"/>
                <w:szCs w:val="21"/>
                <w:u w:val="single"/>
              </w:rPr>
              <w:t>省级人民政府交通主管部门或受委托的公路工程质量监督机构负责调查处理一般工程质量事故；交通部会同省级人民政府交通主管部门负责调查处理重大工程质量事故；特别重大工程质量事故和安全事故的调查处理按照国家有关规定办理。”</w:t>
            </w:r>
          </w:p>
        </w:tc>
        <w:tc>
          <w:tcPr>
            <w:tcW w:w="774"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591"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557"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内乡县交通运输综合行政执法大队</w:t>
            </w:r>
          </w:p>
        </w:tc>
      </w:tr>
      <w:tr w:rsidR="0059130C">
        <w:trPr>
          <w:trHeight w:val="1075"/>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77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9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68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4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59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1885"/>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557"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rPr>
          <w:trHeight w:val="311"/>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情况：</w:t>
            </w: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实施依据</w:t>
            </w:r>
          </w:p>
        </w:tc>
      </w:tr>
      <w:tr w:rsidR="0059130C">
        <w:trPr>
          <w:trHeight w:val="455"/>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原因：根据《公路建设监督管理办法》（交通运输部令2021年第11号），增加了《公路建设监督管理办法》（交通运输部令2021年第11号）第二十六条内容</w:t>
            </w:r>
          </w:p>
        </w:tc>
      </w:tr>
    </w:tbl>
    <w:p w:rsidR="0059130C" w:rsidRDefault="002E22CA">
      <w:pPr>
        <w:spacing w:line="240" w:lineRule="exact"/>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br w:type="page"/>
      </w:r>
    </w:p>
    <w:tbl>
      <w:tblPr>
        <w:tblW w:w="13632" w:type="dxa"/>
        <w:jc w:val="center"/>
        <w:tblLayout w:type="fixed"/>
        <w:tblCellMar>
          <w:left w:w="15" w:type="dxa"/>
          <w:right w:w="15" w:type="dxa"/>
        </w:tblCellMar>
        <w:tblLook w:val="04A0"/>
      </w:tblPr>
      <w:tblGrid>
        <w:gridCol w:w="717"/>
        <w:gridCol w:w="1316"/>
        <w:gridCol w:w="4087"/>
        <w:gridCol w:w="774"/>
        <w:gridCol w:w="591"/>
        <w:gridCol w:w="4557"/>
        <w:gridCol w:w="1590"/>
      </w:tblGrid>
      <w:tr w:rsidR="0059130C">
        <w:trPr>
          <w:trHeight w:val="536"/>
          <w:jc w:val="center"/>
        </w:trPr>
        <w:tc>
          <w:tcPr>
            <w:tcW w:w="717"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lastRenderedPageBreak/>
              <w:t>序号</w:t>
            </w:r>
          </w:p>
        </w:tc>
        <w:tc>
          <w:tcPr>
            <w:tcW w:w="1316"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项目名称</w:t>
            </w:r>
          </w:p>
        </w:tc>
        <w:tc>
          <w:tcPr>
            <w:tcW w:w="4087"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实施依据</w:t>
            </w:r>
          </w:p>
        </w:tc>
        <w:tc>
          <w:tcPr>
            <w:tcW w:w="774"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类别</w:t>
            </w:r>
          </w:p>
        </w:tc>
        <w:tc>
          <w:tcPr>
            <w:tcW w:w="591" w:type="dxa"/>
            <w:tcBorders>
              <w:top w:val="single" w:sz="4" w:space="0" w:color="000000"/>
              <w:left w:val="single" w:sz="4" w:space="0" w:color="000000"/>
              <w:bottom w:val="single" w:sz="4" w:space="0" w:color="auto"/>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环节</w:t>
            </w:r>
          </w:p>
        </w:tc>
        <w:tc>
          <w:tcPr>
            <w:tcW w:w="4557" w:type="dxa"/>
            <w:tcBorders>
              <w:top w:val="single" w:sz="4" w:space="0" w:color="000000"/>
              <w:left w:val="single" w:sz="4" w:space="0" w:color="000000"/>
              <w:bottom w:val="single" w:sz="4" w:space="0" w:color="auto"/>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责任事项</w:t>
            </w:r>
          </w:p>
        </w:tc>
        <w:tc>
          <w:tcPr>
            <w:tcW w:w="1590"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536"/>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jc w:val="center"/>
              <w:rPr>
                <w:rFonts w:ascii="仿宋_GB2312" w:eastAsia="仿宋_GB2312" w:hAnsi="仿宋_GB2312" w:cs="仿宋_GB2312"/>
                <w:szCs w:val="21"/>
              </w:rPr>
            </w:pPr>
            <w:r>
              <w:rPr>
                <w:rFonts w:ascii="仿宋_GB2312" w:eastAsia="仿宋_GB2312" w:hAnsi="仿宋_GB2312" w:cs="仿宋_GB2312" w:hint="eastAsia"/>
                <w:szCs w:val="21"/>
              </w:rPr>
              <w:t>52</w:t>
            </w:r>
          </w:p>
        </w:tc>
        <w:tc>
          <w:tcPr>
            <w:tcW w:w="1316"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 xml:space="preserve"> 客运经营者不按规定维护、检测客运车辆及客运经营者擅自改装已取得车辆营运证件的车辆的处罚</w:t>
            </w:r>
          </w:p>
          <w:p w:rsidR="0059130C" w:rsidRDefault="00E9165C">
            <w:pPr>
              <w:overflowPunct w:val="0"/>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为：</w:t>
            </w:r>
            <w:r w:rsidR="002E22CA">
              <w:rPr>
                <w:rFonts w:ascii="仿宋_GB2312" w:eastAsia="仿宋_GB2312" w:hAnsi="仿宋_GB2312" w:cs="仿宋_GB2312" w:hint="eastAsia"/>
                <w:szCs w:val="21"/>
                <w:u w:val="single"/>
              </w:rPr>
              <w:t>客运经营者不按规定维护、检测运输车辆的处罚</w:t>
            </w:r>
          </w:p>
        </w:tc>
        <w:tc>
          <w:tcPr>
            <w:tcW w:w="4087"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中华人民共和国道路运输条例》（国务院令第752号）第七十条：“违反本条例的规定，客运经营者、货运经营者不按规定维护和检测运输车辆的，由县级以上地方人民政府交通运输主管部门责令改正，处1000元以上5000元以下的罚款。</w:t>
            </w:r>
          </w:p>
          <w:p w:rsidR="0059130C" w:rsidRDefault="002E22CA">
            <w:pPr>
              <w:overflowPunct w:val="0"/>
              <w:spacing w:line="240" w:lineRule="exact"/>
              <w:ind w:firstLine="420"/>
              <w:rPr>
                <w:rFonts w:ascii="仿宋_GB2312" w:eastAsia="仿宋_GB2312" w:hAnsi="仿宋_GB2312" w:cs="仿宋_GB2312"/>
                <w:szCs w:val="21"/>
              </w:rPr>
            </w:pPr>
            <w:r>
              <w:rPr>
                <w:rFonts w:ascii="仿宋_GB2312" w:eastAsia="仿宋_GB2312" w:hAnsi="仿宋_GB2312" w:cs="仿宋_GB2312" w:hint="eastAsia"/>
                <w:szCs w:val="21"/>
              </w:rPr>
              <w:t>违反本条例的规定，客运经营者、货运经营者擅自改装已取得车辆营运证的车辆的，由县级以上地方人民政府交通运输主管部门责令改正，处5000元以上2万元以下的罚款。”</w:t>
            </w:r>
          </w:p>
          <w:p w:rsidR="0059130C" w:rsidRDefault="00E9165C">
            <w:pPr>
              <w:pStyle w:val="a0"/>
              <w:spacing w:after="0" w:line="240" w:lineRule="exact"/>
              <w:ind w:firstLine="420"/>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为：</w:t>
            </w:r>
            <w:r w:rsidR="002E22CA">
              <w:rPr>
                <w:rFonts w:ascii="仿宋_GB2312" w:eastAsia="仿宋_GB2312" w:hAnsi="仿宋_GB2312" w:cs="仿宋_GB2312" w:hint="eastAsia"/>
                <w:szCs w:val="21"/>
                <w:u w:val="single"/>
              </w:rPr>
              <w:t>《中华人民共和国道路运输条例》（国务院令第764号）第六十九条第一款：“违反本条例的规定，客运经营者、货运经营者不按规定维护和检测运输车辆的，由县级以上地方人民政府交通运输主管部门责令改正，处1000元以上5000元以下的罚款。</w:t>
            </w:r>
          </w:p>
          <w:p w:rsidR="0059130C" w:rsidRDefault="0059130C">
            <w:pPr>
              <w:pStyle w:val="a0"/>
              <w:spacing w:after="0" w:line="240" w:lineRule="exact"/>
              <w:ind w:firstLine="420"/>
              <w:rPr>
                <w:rFonts w:ascii="仿宋_GB2312" w:eastAsia="仿宋_GB2312" w:hAnsi="仿宋_GB2312" w:cs="仿宋_GB2312"/>
                <w:szCs w:val="21"/>
              </w:rPr>
            </w:pPr>
          </w:p>
        </w:tc>
        <w:tc>
          <w:tcPr>
            <w:tcW w:w="774"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591"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557"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内乡县交通运输综合行政执法大队</w:t>
            </w:r>
          </w:p>
        </w:tc>
      </w:tr>
      <w:tr w:rsidR="0059130C">
        <w:trPr>
          <w:trHeight w:val="1075"/>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77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9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68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4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59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1765"/>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557"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rPr>
          <w:trHeight w:val="396"/>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情况：</w:t>
            </w: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项目名称、实施依据</w:t>
            </w:r>
          </w:p>
        </w:tc>
      </w:tr>
      <w:tr w:rsidR="0059130C">
        <w:trPr>
          <w:trHeight w:val="455"/>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原因：根据《中华人民共和国道路运输条例》（国务院令第764号）</w:t>
            </w: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项目名称、实施依据</w:t>
            </w:r>
          </w:p>
        </w:tc>
      </w:tr>
    </w:tbl>
    <w:p w:rsidR="0059130C" w:rsidRDefault="0059130C">
      <w:pPr>
        <w:spacing w:line="240" w:lineRule="exact"/>
        <w:rPr>
          <w:rFonts w:ascii="仿宋_GB2312" w:eastAsia="仿宋_GB2312" w:hAnsi="仿宋_GB2312" w:cs="仿宋_GB2312"/>
          <w:color w:val="000000" w:themeColor="text1"/>
          <w:szCs w:val="21"/>
        </w:rPr>
      </w:pPr>
    </w:p>
    <w:tbl>
      <w:tblPr>
        <w:tblW w:w="13632" w:type="dxa"/>
        <w:jc w:val="center"/>
        <w:tblLayout w:type="fixed"/>
        <w:tblCellMar>
          <w:left w:w="15" w:type="dxa"/>
          <w:right w:w="15" w:type="dxa"/>
        </w:tblCellMar>
        <w:tblLook w:val="04A0"/>
      </w:tblPr>
      <w:tblGrid>
        <w:gridCol w:w="717"/>
        <w:gridCol w:w="1316"/>
        <w:gridCol w:w="4087"/>
        <w:gridCol w:w="774"/>
        <w:gridCol w:w="591"/>
        <w:gridCol w:w="4557"/>
        <w:gridCol w:w="1590"/>
      </w:tblGrid>
      <w:tr w:rsidR="0059130C">
        <w:trPr>
          <w:trHeight w:val="536"/>
          <w:jc w:val="center"/>
        </w:trPr>
        <w:tc>
          <w:tcPr>
            <w:tcW w:w="717"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序号</w:t>
            </w:r>
          </w:p>
        </w:tc>
        <w:tc>
          <w:tcPr>
            <w:tcW w:w="1316"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项目名称</w:t>
            </w:r>
          </w:p>
        </w:tc>
        <w:tc>
          <w:tcPr>
            <w:tcW w:w="4087"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实施依据</w:t>
            </w:r>
          </w:p>
        </w:tc>
        <w:tc>
          <w:tcPr>
            <w:tcW w:w="774"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类别</w:t>
            </w:r>
          </w:p>
        </w:tc>
        <w:tc>
          <w:tcPr>
            <w:tcW w:w="591" w:type="dxa"/>
            <w:tcBorders>
              <w:top w:val="single" w:sz="4" w:space="0" w:color="000000"/>
              <w:left w:val="single" w:sz="4" w:space="0" w:color="000000"/>
              <w:bottom w:val="single" w:sz="4" w:space="0" w:color="auto"/>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环节</w:t>
            </w:r>
          </w:p>
        </w:tc>
        <w:tc>
          <w:tcPr>
            <w:tcW w:w="4557" w:type="dxa"/>
            <w:tcBorders>
              <w:top w:val="single" w:sz="4" w:space="0" w:color="000000"/>
              <w:left w:val="single" w:sz="4" w:space="0" w:color="000000"/>
              <w:bottom w:val="single" w:sz="4" w:space="0" w:color="auto"/>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责任事项</w:t>
            </w:r>
          </w:p>
        </w:tc>
        <w:tc>
          <w:tcPr>
            <w:tcW w:w="1590"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536"/>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jc w:val="center"/>
              <w:rPr>
                <w:rFonts w:ascii="仿宋_GB2312" w:eastAsia="仿宋_GB2312" w:hAnsi="仿宋_GB2312" w:cs="仿宋_GB2312"/>
                <w:szCs w:val="21"/>
              </w:rPr>
            </w:pPr>
            <w:r>
              <w:rPr>
                <w:rFonts w:ascii="仿宋_GB2312" w:eastAsia="仿宋_GB2312" w:hAnsi="仿宋_GB2312" w:cs="仿宋_GB2312" w:hint="eastAsia"/>
                <w:szCs w:val="21"/>
              </w:rPr>
              <w:t>53</w:t>
            </w:r>
          </w:p>
        </w:tc>
        <w:tc>
          <w:tcPr>
            <w:tcW w:w="1316"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未取得相应从业资格证件，从事道路危险货物运输活动；使用失效、伪造、变造的从业资格证，从事道路危险货物运输活动；超越从业资格证件核定范围从事道路危险货物运输活动的处罚</w:t>
            </w:r>
          </w:p>
          <w:p w:rsidR="0059130C" w:rsidRDefault="00E9165C">
            <w:pPr>
              <w:pStyle w:val="a0"/>
              <w:spacing w:after="0" w:line="240" w:lineRule="exact"/>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为：</w:t>
            </w:r>
            <w:r w:rsidR="002E22CA">
              <w:rPr>
                <w:rFonts w:ascii="仿宋_GB2312" w:eastAsia="仿宋_GB2312" w:hAnsi="仿宋_GB2312" w:cs="仿宋_GB2312" w:hint="eastAsia"/>
                <w:szCs w:val="21"/>
                <w:u w:val="single"/>
              </w:rPr>
              <w:t>未取得相应从业资格证件，从事道路危险货物运输活动；超越从业资格证件核定范围从事道路危险货物运输活动的处罚</w:t>
            </w:r>
          </w:p>
        </w:tc>
        <w:tc>
          <w:tcPr>
            <w:tcW w:w="4087"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《道路运输从业人员管理规定》（交通部令2019年第18号）第四十六条： “违反本规定，有下列行为之一的人员，由设区的市级人民政府交通主管部门处2万元以上10万元以下的罚款；构成犯罪的，依法追究刑事责任（一）未取得相应从业资格证件，从事道路危险货物运输活动的；（二）使用失效、伪造、变造的从业资格证件，从事道路危险货物运输活动的；（三）超越从业资格证件核定范围，从事道路危险货物运输活动的。</w:t>
            </w:r>
          </w:p>
          <w:p w:rsidR="0059130C" w:rsidRDefault="00E9165C">
            <w:pPr>
              <w:overflowPunct w:val="0"/>
              <w:spacing w:line="240" w:lineRule="exact"/>
              <w:rPr>
                <w:rFonts w:ascii="仿宋_GB2312" w:eastAsia="仿宋_GB2312" w:hAnsi="仿宋_GB2312" w:cs="仿宋_GB2312"/>
                <w:szCs w:val="21"/>
                <w:u w:val="single"/>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为：</w:t>
            </w:r>
            <w:r w:rsidR="002E22CA">
              <w:rPr>
                <w:rFonts w:ascii="仿宋_GB2312" w:eastAsia="仿宋_GB2312" w:hAnsi="仿宋_GB2312" w:cs="仿宋_GB2312" w:hint="eastAsia"/>
                <w:szCs w:val="21"/>
                <w:u w:val="single"/>
              </w:rPr>
              <w:t>《道路运输从业人员管理规定》（交通部令2022年第38号）第四十七条： “违反本规定，有下列行为之一的人员，由设区的市级交通运输主管部门处5万元以上10万元以下的罚款：</w:t>
            </w:r>
          </w:p>
          <w:p w:rsidR="0059130C" w:rsidRDefault="002E22CA">
            <w:pPr>
              <w:overflowPunct w:val="0"/>
              <w:spacing w:line="240" w:lineRule="exact"/>
              <w:rPr>
                <w:rFonts w:ascii="仿宋_GB2312" w:eastAsia="仿宋_GB2312" w:hAnsi="仿宋_GB2312" w:cs="仿宋_GB2312"/>
                <w:szCs w:val="21"/>
                <w:u w:val="single"/>
              </w:rPr>
            </w:pPr>
            <w:r>
              <w:rPr>
                <w:rFonts w:ascii="仿宋_GB2312" w:eastAsia="仿宋_GB2312" w:hAnsi="仿宋_GB2312" w:cs="仿宋_GB2312" w:hint="eastAsia"/>
                <w:szCs w:val="21"/>
                <w:u w:val="single"/>
              </w:rPr>
              <w:t>（一）未取得相应从业资格证件，从事道路危险货物运输活动的；</w:t>
            </w:r>
          </w:p>
          <w:p w:rsidR="0059130C" w:rsidRDefault="0059130C">
            <w:pPr>
              <w:overflowPunct w:val="0"/>
              <w:spacing w:line="240" w:lineRule="exact"/>
              <w:rPr>
                <w:rFonts w:ascii="仿宋_GB2312" w:eastAsia="仿宋_GB2312" w:hAnsi="仿宋_GB2312" w:cs="仿宋_GB2312"/>
                <w:szCs w:val="21"/>
                <w:u w:val="single"/>
              </w:rPr>
            </w:pPr>
          </w:p>
          <w:p w:rsidR="0059130C" w:rsidRDefault="002E22CA">
            <w:pPr>
              <w:overflowPunct w:val="0"/>
              <w:spacing w:line="240" w:lineRule="exact"/>
              <w:rPr>
                <w:rFonts w:ascii="仿宋_GB2312" w:eastAsia="仿宋_GB2312" w:hAnsi="仿宋_GB2312" w:cs="仿宋_GB2312"/>
                <w:szCs w:val="21"/>
              </w:rPr>
            </w:pPr>
            <w:r>
              <w:rPr>
                <w:rFonts w:ascii="仿宋_GB2312" w:eastAsia="仿宋_GB2312" w:hAnsi="仿宋_GB2312" w:cs="仿宋_GB2312" w:hint="eastAsia"/>
                <w:szCs w:val="21"/>
                <w:u w:val="single"/>
              </w:rPr>
              <w:t>（三）超越从业资格证件核定范围，从事道路危险货物运输活动的。”</w:t>
            </w:r>
          </w:p>
        </w:tc>
        <w:tc>
          <w:tcPr>
            <w:tcW w:w="774"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591"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557"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内乡县交通运输综合行政执法大队</w:t>
            </w:r>
          </w:p>
        </w:tc>
      </w:tr>
      <w:tr w:rsidR="0059130C">
        <w:trPr>
          <w:trHeight w:val="1075"/>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77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9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68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4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59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1907"/>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557"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rPr>
          <w:trHeight w:val="396"/>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情况：</w:t>
            </w: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项目名称、实施依据</w:t>
            </w:r>
          </w:p>
        </w:tc>
      </w:tr>
      <w:tr w:rsidR="0059130C">
        <w:trPr>
          <w:trHeight w:val="455"/>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原因：根据《道路运输从业人员管理规定》（交通部令2022年第38号）</w:t>
            </w: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项目名称、实施依据</w:t>
            </w:r>
          </w:p>
        </w:tc>
      </w:tr>
    </w:tbl>
    <w:p w:rsidR="0059130C" w:rsidRDefault="002E22CA">
      <w:pPr>
        <w:spacing w:line="240" w:lineRule="exact"/>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br w:type="page"/>
      </w:r>
    </w:p>
    <w:tbl>
      <w:tblPr>
        <w:tblW w:w="13632" w:type="dxa"/>
        <w:jc w:val="center"/>
        <w:tblLayout w:type="fixed"/>
        <w:tblCellMar>
          <w:left w:w="15" w:type="dxa"/>
          <w:right w:w="15" w:type="dxa"/>
        </w:tblCellMar>
        <w:tblLook w:val="04A0"/>
      </w:tblPr>
      <w:tblGrid>
        <w:gridCol w:w="717"/>
        <w:gridCol w:w="1316"/>
        <w:gridCol w:w="4087"/>
        <w:gridCol w:w="774"/>
        <w:gridCol w:w="591"/>
        <w:gridCol w:w="4557"/>
        <w:gridCol w:w="1590"/>
      </w:tblGrid>
      <w:tr w:rsidR="0059130C">
        <w:trPr>
          <w:trHeight w:val="536"/>
          <w:jc w:val="center"/>
        </w:trPr>
        <w:tc>
          <w:tcPr>
            <w:tcW w:w="717"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lastRenderedPageBreak/>
              <w:t>序号</w:t>
            </w:r>
          </w:p>
        </w:tc>
        <w:tc>
          <w:tcPr>
            <w:tcW w:w="1316"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项目名称</w:t>
            </w:r>
          </w:p>
        </w:tc>
        <w:tc>
          <w:tcPr>
            <w:tcW w:w="4087"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实施依据</w:t>
            </w:r>
          </w:p>
        </w:tc>
        <w:tc>
          <w:tcPr>
            <w:tcW w:w="774"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类别</w:t>
            </w:r>
          </w:p>
        </w:tc>
        <w:tc>
          <w:tcPr>
            <w:tcW w:w="591" w:type="dxa"/>
            <w:tcBorders>
              <w:top w:val="single" w:sz="4" w:space="0" w:color="000000"/>
              <w:left w:val="single" w:sz="4" w:space="0" w:color="000000"/>
              <w:bottom w:val="single" w:sz="4" w:space="0" w:color="auto"/>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环节</w:t>
            </w:r>
          </w:p>
        </w:tc>
        <w:tc>
          <w:tcPr>
            <w:tcW w:w="4557" w:type="dxa"/>
            <w:tcBorders>
              <w:top w:val="single" w:sz="4" w:space="0" w:color="000000"/>
              <w:left w:val="single" w:sz="4" w:space="0" w:color="000000"/>
              <w:bottom w:val="single" w:sz="4" w:space="0" w:color="auto"/>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责任事项</w:t>
            </w:r>
          </w:p>
        </w:tc>
        <w:tc>
          <w:tcPr>
            <w:tcW w:w="1590" w:type="dxa"/>
            <w:tcBorders>
              <w:top w:val="single" w:sz="4" w:space="0" w:color="000000"/>
              <w:left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536"/>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jc w:val="center"/>
              <w:rPr>
                <w:rFonts w:ascii="仿宋_GB2312" w:eastAsia="仿宋_GB2312" w:hAnsi="仿宋_GB2312" w:cs="仿宋_GB2312"/>
                <w:szCs w:val="21"/>
              </w:rPr>
            </w:pPr>
            <w:r>
              <w:rPr>
                <w:rFonts w:ascii="仿宋_GB2312" w:eastAsia="仿宋_GB2312" w:hAnsi="仿宋_GB2312" w:cs="仿宋_GB2312" w:hint="eastAsia"/>
                <w:szCs w:val="21"/>
              </w:rPr>
              <w:t>54</w:t>
            </w:r>
          </w:p>
        </w:tc>
        <w:tc>
          <w:tcPr>
            <w:tcW w:w="1316"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道路货物运输经营者不按规定维护、检测货运车辆检测货运车辆及货运经营者擅自改装已取得车辆营运证的车辆的处罚</w:t>
            </w:r>
          </w:p>
          <w:p w:rsidR="0059130C" w:rsidRDefault="00E9165C">
            <w:pPr>
              <w:overflowPunct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调整</w:t>
            </w:r>
            <w:r w:rsidR="002E22CA">
              <w:rPr>
                <w:rFonts w:ascii="仿宋_GB2312" w:eastAsia="仿宋_GB2312" w:hAnsi="仿宋_GB2312" w:cs="仿宋_GB2312" w:hint="eastAsia"/>
                <w:kern w:val="0"/>
                <w:szCs w:val="21"/>
                <w:lang/>
              </w:rPr>
              <w:t>为：</w:t>
            </w:r>
            <w:r w:rsidR="002E22CA">
              <w:rPr>
                <w:rFonts w:ascii="仿宋_GB2312" w:eastAsia="仿宋_GB2312" w:hAnsi="仿宋_GB2312" w:cs="仿宋_GB2312" w:hint="eastAsia"/>
                <w:kern w:val="0"/>
                <w:szCs w:val="21"/>
                <w:u w:val="single"/>
                <w:lang/>
              </w:rPr>
              <w:t>货运经营者不按规定维护和检测货运车辆的处罚</w:t>
            </w:r>
          </w:p>
        </w:tc>
        <w:tc>
          <w:tcPr>
            <w:tcW w:w="4087"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中华人民共和国道路运输条例》（国务院令第752号）第七十条：“违反本条例的规定，客运经营者、货运经营者不按规定维护和检测运输车辆的，由县级以上地方人民政府交通运输主管部门责令改正，处1000元以上5000元以下的罚款。”</w:t>
            </w:r>
          </w:p>
          <w:p w:rsidR="0059130C" w:rsidRDefault="002E22CA">
            <w:pPr>
              <w:overflowPunct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违反本条例的规定，客运经营者、货运经营者擅自改装已取得车辆营运证的车辆的，由县级以上地方人民政府交通运输主管部门责令改正，处5000元以上2万元以下的罚款。</w:t>
            </w:r>
          </w:p>
          <w:p w:rsidR="0059130C" w:rsidRDefault="00E9165C">
            <w:pPr>
              <w:overflowPunct w:val="0"/>
              <w:spacing w:line="240" w:lineRule="exact"/>
              <w:rPr>
                <w:rFonts w:ascii="仿宋_GB2312" w:eastAsia="仿宋_GB2312" w:hAnsi="仿宋_GB2312" w:cs="仿宋_GB2312"/>
                <w:kern w:val="0"/>
                <w:szCs w:val="21"/>
                <w:u w:val="single"/>
                <w:lang/>
              </w:rPr>
            </w:pPr>
            <w:r>
              <w:rPr>
                <w:rFonts w:ascii="仿宋_GB2312" w:eastAsia="仿宋_GB2312" w:hAnsi="仿宋_GB2312" w:cs="仿宋_GB2312" w:hint="eastAsia"/>
                <w:kern w:val="0"/>
                <w:szCs w:val="21"/>
                <w:lang/>
              </w:rPr>
              <w:t>调整</w:t>
            </w:r>
            <w:r w:rsidR="002E22CA">
              <w:rPr>
                <w:rFonts w:ascii="仿宋_GB2312" w:eastAsia="仿宋_GB2312" w:hAnsi="仿宋_GB2312" w:cs="仿宋_GB2312" w:hint="eastAsia"/>
                <w:kern w:val="0"/>
                <w:szCs w:val="21"/>
                <w:lang/>
              </w:rPr>
              <w:t>为：</w:t>
            </w:r>
            <w:r w:rsidR="002E22CA">
              <w:rPr>
                <w:rFonts w:ascii="仿宋_GB2312" w:eastAsia="仿宋_GB2312" w:hAnsi="仿宋_GB2312" w:cs="仿宋_GB2312" w:hint="eastAsia"/>
                <w:kern w:val="0"/>
                <w:szCs w:val="21"/>
                <w:u w:val="single"/>
                <w:lang/>
              </w:rPr>
              <w:t>《中华人民共和国道路运输条例》（国务院令第764号）第六十九条：“违反本条例的规定，客运经营者、货运经营者不按规定维护和检测运输车辆的，由县级以上地方人民政府交通运输主管部门责令改正，处1000元以上5000元以下的罚款。”</w:t>
            </w:r>
          </w:p>
          <w:p w:rsidR="0059130C" w:rsidRDefault="0059130C">
            <w:pPr>
              <w:overflowPunct w:val="0"/>
              <w:spacing w:line="240" w:lineRule="exact"/>
              <w:rPr>
                <w:rFonts w:ascii="仿宋_GB2312" w:eastAsia="仿宋_GB2312" w:hAnsi="仿宋_GB2312" w:cs="仿宋_GB2312"/>
                <w:kern w:val="0"/>
                <w:szCs w:val="21"/>
                <w:lang/>
              </w:rPr>
            </w:pPr>
          </w:p>
        </w:tc>
        <w:tc>
          <w:tcPr>
            <w:tcW w:w="774"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591"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557"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内乡县交通运输综合行政执法大队</w:t>
            </w:r>
          </w:p>
        </w:tc>
      </w:tr>
      <w:tr w:rsidR="0059130C">
        <w:trPr>
          <w:trHeight w:val="1075"/>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77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9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68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4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59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5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174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1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408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7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91"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557"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rPr>
          <w:trHeight w:val="396"/>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情况：</w:t>
            </w: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项目名称、实施依据</w:t>
            </w:r>
          </w:p>
        </w:tc>
      </w:tr>
      <w:tr w:rsidR="0059130C">
        <w:trPr>
          <w:trHeight w:val="455"/>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原因：根据《中华人民共和国道路运输条例》（国务院令第752号）</w:t>
            </w: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项目名称、实施依据</w:t>
            </w:r>
          </w:p>
        </w:tc>
      </w:tr>
    </w:tbl>
    <w:p w:rsidR="0059130C" w:rsidRDefault="0059130C">
      <w:pPr>
        <w:spacing w:line="240" w:lineRule="exact"/>
        <w:rPr>
          <w:rFonts w:ascii="仿宋_GB2312" w:eastAsia="仿宋_GB2312" w:hAnsi="仿宋_GB2312" w:cs="仿宋_GB2312"/>
          <w:color w:val="000000" w:themeColor="text1"/>
          <w:szCs w:val="21"/>
        </w:rPr>
      </w:pPr>
    </w:p>
    <w:tbl>
      <w:tblPr>
        <w:tblW w:w="14641" w:type="dxa"/>
        <w:jc w:val="center"/>
        <w:tblLayout w:type="fixed"/>
        <w:tblCellMar>
          <w:left w:w="15" w:type="dxa"/>
          <w:right w:w="15" w:type="dxa"/>
        </w:tblCellMar>
        <w:tblLook w:val="04A0"/>
      </w:tblPr>
      <w:tblGrid>
        <w:gridCol w:w="717"/>
        <w:gridCol w:w="1420"/>
        <w:gridCol w:w="6335"/>
        <w:gridCol w:w="508"/>
        <w:gridCol w:w="525"/>
        <w:gridCol w:w="4107"/>
        <w:gridCol w:w="1029"/>
      </w:tblGrid>
      <w:tr w:rsidR="0059130C">
        <w:trPr>
          <w:trHeight w:val="520"/>
          <w:jc w:val="center"/>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序号</w:t>
            </w:r>
          </w:p>
        </w:tc>
        <w:tc>
          <w:tcPr>
            <w:tcW w:w="1420"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项目名称</w:t>
            </w:r>
          </w:p>
        </w:tc>
        <w:tc>
          <w:tcPr>
            <w:tcW w:w="6335"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实施依据</w:t>
            </w:r>
          </w:p>
        </w:tc>
        <w:tc>
          <w:tcPr>
            <w:tcW w:w="508"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类别</w:t>
            </w:r>
          </w:p>
        </w:tc>
        <w:tc>
          <w:tcPr>
            <w:tcW w:w="525"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环节</w:t>
            </w:r>
          </w:p>
        </w:tc>
        <w:tc>
          <w:tcPr>
            <w:tcW w:w="410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责任事项</w:t>
            </w:r>
          </w:p>
        </w:tc>
        <w:tc>
          <w:tcPr>
            <w:tcW w:w="102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536"/>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55</w:t>
            </w:r>
          </w:p>
        </w:tc>
        <w:tc>
          <w:tcPr>
            <w:tcW w:w="142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color w:val="000000" w:themeColor="text1"/>
                <w:sz w:val="21"/>
                <w:szCs w:val="21"/>
              </w:rPr>
            </w:pPr>
            <w:r>
              <w:rPr>
                <w:rFonts w:ascii="仿宋_GB2312" w:eastAsia="仿宋_GB2312" w:hAnsi="仿宋_GB2312" w:cs="仿宋_GB2312" w:hint="eastAsia"/>
                <w:color w:val="000000" w:themeColor="text1"/>
                <w:sz w:val="21"/>
                <w:szCs w:val="21"/>
              </w:rPr>
              <w:t>未取得机动车驾驶员培训许可证，非法从事机动车驾驶员培训；使用无效仿造、变造、被注销的机动车驾驶员培训许可证，非法从事机动车驾驶培训；超越许可事项，非法从事机动车驾驶员培训业务的处罚</w:t>
            </w:r>
          </w:p>
          <w:p w:rsidR="0059130C" w:rsidRDefault="00E9165C">
            <w:pPr>
              <w:overflowPunct w:val="0"/>
              <w:snapToGrid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调整</w:t>
            </w:r>
            <w:r w:rsidR="002E22CA">
              <w:rPr>
                <w:rFonts w:ascii="仿宋_GB2312" w:eastAsia="仿宋_GB2312" w:hAnsi="仿宋_GB2312" w:cs="仿宋_GB2312" w:hint="eastAsia"/>
                <w:kern w:val="0"/>
                <w:szCs w:val="21"/>
                <w:lang/>
              </w:rPr>
              <w:t>为：</w:t>
            </w:r>
            <w:r w:rsidR="002E22CA">
              <w:rPr>
                <w:rFonts w:ascii="仿宋_GB2312" w:eastAsia="仿宋_GB2312" w:hAnsi="仿宋_GB2312" w:cs="仿宋_GB2312" w:hint="eastAsia"/>
                <w:kern w:val="0"/>
                <w:szCs w:val="21"/>
                <w:u w:val="single"/>
                <w:lang/>
              </w:rPr>
              <w:t>从事机动车维修经营业务，未按规定进行备案的；从事道路货物运输站（场）经营、机动车驾驶员培训业务的；从事机动车驾驶员培训业务未按规定办理备案的；未按规定办理备案变更的；提交虚假备案材料的处罚</w:t>
            </w:r>
          </w:p>
          <w:p w:rsidR="0059130C" w:rsidRDefault="0059130C">
            <w:pPr>
              <w:pStyle w:val="a6"/>
              <w:spacing w:beforeAutospacing="0" w:afterAutospacing="0" w:line="240" w:lineRule="exact"/>
              <w:rPr>
                <w:rFonts w:ascii="仿宋_GB2312" w:eastAsia="仿宋_GB2312" w:hAnsi="仿宋_GB2312" w:cs="仿宋_GB2312"/>
                <w:color w:val="000000" w:themeColor="text1"/>
                <w:sz w:val="21"/>
                <w:szCs w:val="21"/>
              </w:rPr>
            </w:pPr>
          </w:p>
        </w:tc>
        <w:tc>
          <w:tcPr>
            <w:tcW w:w="633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color w:val="000000" w:themeColor="text1"/>
                <w:sz w:val="21"/>
                <w:szCs w:val="21"/>
              </w:rPr>
            </w:pPr>
            <w:r>
              <w:rPr>
                <w:rFonts w:ascii="仿宋_GB2312" w:eastAsia="仿宋_GB2312" w:hAnsi="仿宋_GB2312" w:cs="仿宋_GB2312" w:hint="eastAsia"/>
                <w:color w:val="000000" w:themeColor="text1"/>
                <w:sz w:val="21"/>
                <w:szCs w:val="21"/>
              </w:rPr>
              <w:t>《中华人民共和国道路运输条例》（国务院令第752号）第六十五条第一款：“违反本条例的规定，未经许可擅自从事道路旅客运输站（场）经营的，由县级以上地方人民政府交通运输主管部门责令停止经营；有违法所得的，没收违法所得，处违法所得2倍以上10倍以下的罚款；没有违法所得或者违法所得不足1万元的，处2万元以上5万元以下的罚款；构成犯罪的，依法追究刑事责任。”</w:t>
            </w:r>
          </w:p>
          <w:p w:rsidR="0059130C" w:rsidRDefault="002E22CA">
            <w:pPr>
              <w:pStyle w:val="a6"/>
              <w:spacing w:beforeAutospacing="0" w:afterAutospacing="0" w:line="240" w:lineRule="exact"/>
              <w:rPr>
                <w:rFonts w:ascii="仿宋_GB2312" w:eastAsia="仿宋_GB2312" w:hAnsi="仿宋_GB2312" w:cs="仿宋_GB2312"/>
                <w:color w:val="000000" w:themeColor="text1"/>
                <w:sz w:val="21"/>
                <w:szCs w:val="21"/>
              </w:rPr>
            </w:pPr>
            <w:r>
              <w:rPr>
                <w:rFonts w:ascii="仿宋_GB2312" w:eastAsia="仿宋_GB2312" w:hAnsi="仿宋_GB2312" w:cs="仿宋_GB2312" w:hint="eastAsia"/>
                <w:color w:val="000000" w:themeColor="text1"/>
                <w:sz w:val="21"/>
                <w:szCs w:val="21"/>
              </w:rPr>
              <w:t>《机动车驾驶员培训管理规定》（交通部令2016年第51号）第四十七条：“违反本规定，未经许可擅自从事机动车驾驶员培训业务，有下列情形之一的，由县级以上道路运输管理机构责令停止经营；有违法所得的，没收违法所得，并处违法所得2倍以上10倍以下的罚款；没有违法所得或者违法所得不足1万元的。处2万元以上5万元以下的罚款；构成犯罪的，依法追究刑事责任：</w:t>
            </w:r>
          </w:p>
          <w:p w:rsidR="0059130C" w:rsidRDefault="002E22CA">
            <w:pPr>
              <w:pStyle w:val="a6"/>
              <w:numPr>
                <w:ilvl w:val="0"/>
                <w:numId w:val="4"/>
              </w:numPr>
              <w:spacing w:beforeAutospacing="0" w:afterAutospacing="0" w:line="240" w:lineRule="exact"/>
              <w:rPr>
                <w:rFonts w:ascii="仿宋_GB2312" w:eastAsia="仿宋_GB2312" w:hAnsi="仿宋_GB2312" w:cs="仿宋_GB2312"/>
                <w:color w:val="000000" w:themeColor="text1"/>
                <w:sz w:val="21"/>
                <w:szCs w:val="21"/>
              </w:rPr>
            </w:pPr>
            <w:r>
              <w:rPr>
                <w:rFonts w:ascii="仿宋_GB2312" w:eastAsia="仿宋_GB2312" w:hAnsi="仿宋_GB2312" w:cs="仿宋_GB2312" w:hint="eastAsia"/>
                <w:color w:val="000000" w:themeColor="text1"/>
                <w:sz w:val="21"/>
                <w:szCs w:val="21"/>
              </w:rPr>
              <w:t>未取得机动车驾驶员培训许可证件，非法从事机动车驾驶员培训业务的；二）使用无效、伪造、变造、被注销的机动车驾驶员培训许可证件，非法从事机动车驾驶员培训业务的；（三）超越许可事项，非法从事机动车驾驶员培训业务的。”</w:t>
            </w:r>
          </w:p>
          <w:p w:rsidR="0059130C" w:rsidRDefault="00E9165C">
            <w:pPr>
              <w:pStyle w:val="a6"/>
              <w:spacing w:beforeAutospacing="0" w:afterAutospacing="0" w:line="240" w:lineRule="exact"/>
              <w:rPr>
                <w:rFonts w:ascii="仿宋_GB2312" w:eastAsia="仿宋_GB2312" w:hAnsi="仿宋_GB2312" w:cs="仿宋_GB2312"/>
                <w:color w:val="000000" w:themeColor="text1"/>
                <w:sz w:val="21"/>
                <w:szCs w:val="21"/>
                <w:u w:val="single"/>
              </w:rPr>
            </w:pPr>
            <w:r>
              <w:rPr>
                <w:rFonts w:ascii="仿宋_GB2312" w:eastAsia="仿宋_GB2312" w:hAnsi="仿宋_GB2312" w:cs="仿宋_GB2312" w:hint="eastAsia"/>
                <w:color w:val="000000" w:themeColor="text1"/>
                <w:sz w:val="21"/>
                <w:szCs w:val="21"/>
                <w:u w:val="single"/>
              </w:rPr>
              <w:t>调整</w:t>
            </w:r>
            <w:r w:rsidR="002E22CA">
              <w:rPr>
                <w:rFonts w:ascii="仿宋_GB2312" w:eastAsia="仿宋_GB2312" w:hAnsi="仿宋_GB2312" w:cs="仿宋_GB2312" w:hint="eastAsia"/>
                <w:color w:val="000000" w:themeColor="text1"/>
                <w:sz w:val="21"/>
                <w:szCs w:val="21"/>
                <w:u w:val="single"/>
              </w:rPr>
              <w:t>为：《中华人民共和国道路运输条例》（国务院令第764号）第六十五条第三款：从事道路货物运输站（场）经营、机动车驾驶员培训业务，未按规定进行备案的，由县级以上地方人民政府交通运输主管部门责令改正；拒不改正的，处5000元以上2万元以下的罚款。</w:t>
            </w:r>
          </w:p>
          <w:p w:rsidR="0059130C" w:rsidRDefault="002E22CA">
            <w:pPr>
              <w:pStyle w:val="a6"/>
              <w:spacing w:beforeAutospacing="0" w:afterAutospacing="0" w:line="240" w:lineRule="exact"/>
              <w:rPr>
                <w:rFonts w:ascii="仿宋_GB2312" w:eastAsia="仿宋_GB2312" w:hAnsi="仿宋_GB2312" w:cs="仿宋_GB2312"/>
                <w:color w:val="000000" w:themeColor="text1"/>
                <w:sz w:val="21"/>
                <w:szCs w:val="21"/>
                <w:u w:val="single"/>
              </w:rPr>
            </w:pPr>
            <w:r>
              <w:rPr>
                <w:rFonts w:ascii="仿宋_GB2312" w:eastAsia="仿宋_GB2312" w:hAnsi="仿宋_GB2312" w:cs="仿宋_GB2312" w:hint="eastAsia"/>
                <w:color w:val="000000" w:themeColor="text1"/>
                <w:sz w:val="21"/>
                <w:szCs w:val="21"/>
                <w:u w:val="single"/>
              </w:rPr>
              <w:t>第四款：“从事机动车维修经营业务，未按规定进行备案的，由县级以上地方人民政府交通运输主管部门责令改正；拒不改正的，处3000元以上1万元以下的罚款。”</w:t>
            </w:r>
          </w:p>
          <w:p w:rsidR="0059130C" w:rsidRDefault="002E22CA">
            <w:pPr>
              <w:pStyle w:val="a6"/>
              <w:spacing w:beforeAutospacing="0" w:afterAutospacing="0" w:line="240" w:lineRule="exact"/>
              <w:rPr>
                <w:rFonts w:ascii="仿宋_GB2312" w:eastAsia="仿宋_GB2312" w:hAnsi="仿宋_GB2312" w:cs="仿宋_GB2312"/>
                <w:color w:val="000000" w:themeColor="text1"/>
                <w:sz w:val="21"/>
                <w:szCs w:val="21"/>
                <w:u w:val="single"/>
              </w:rPr>
            </w:pPr>
            <w:r>
              <w:rPr>
                <w:rFonts w:ascii="仿宋_GB2312" w:eastAsia="仿宋_GB2312" w:hAnsi="仿宋_GB2312" w:cs="仿宋_GB2312" w:hint="eastAsia"/>
                <w:color w:val="000000" w:themeColor="text1"/>
                <w:sz w:val="21"/>
                <w:szCs w:val="21"/>
                <w:u w:val="single"/>
              </w:rPr>
              <w:t>《机动车驾驶员培训管理规定》（交通部令2022年第32号）第四十八条：“违反本规定，从事机动车驾驶员培训业务，有下列情形之一的，由交通运输主管部门责令改正；拒不改正的，处5000元以上2万元以下的罚款：</w:t>
            </w:r>
          </w:p>
          <w:p w:rsidR="0059130C" w:rsidRDefault="002E22CA">
            <w:pPr>
              <w:pStyle w:val="a6"/>
              <w:spacing w:beforeAutospacing="0" w:afterAutospacing="0" w:line="240" w:lineRule="exact"/>
              <w:rPr>
                <w:rFonts w:ascii="仿宋_GB2312" w:eastAsia="仿宋_GB2312" w:hAnsi="仿宋_GB2312" w:cs="仿宋_GB2312"/>
                <w:color w:val="000000" w:themeColor="text1"/>
                <w:sz w:val="21"/>
                <w:szCs w:val="21"/>
                <w:u w:val="single"/>
              </w:rPr>
            </w:pPr>
            <w:r>
              <w:rPr>
                <w:rFonts w:ascii="仿宋_GB2312" w:eastAsia="仿宋_GB2312" w:hAnsi="仿宋_GB2312" w:cs="仿宋_GB2312" w:hint="eastAsia"/>
                <w:color w:val="000000" w:themeColor="text1"/>
                <w:sz w:val="21"/>
                <w:szCs w:val="21"/>
                <w:u w:val="single"/>
              </w:rPr>
              <w:t>（一）从事机动车驾驶员培训业务未按规定办理备案的；</w:t>
            </w:r>
          </w:p>
          <w:p w:rsidR="0059130C" w:rsidRDefault="002E22CA">
            <w:pPr>
              <w:pStyle w:val="a6"/>
              <w:spacing w:beforeAutospacing="0" w:afterAutospacing="0" w:line="240" w:lineRule="exact"/>
              <w:rPr>
                <w:rFonts w:ascii="仿宋_GB2312" w:eastAsia="仿宋_GB2312" w:hAnsi="仿宋_GB2312" w:cs="仿宋_GB2312"/>
                <w:color w:val="000000" w:themeColor="text1"/>
                <w:sz w:val="21"/>
                <w:szCs w:val="21"/>
                <w:u w:val="single"/>
              </w:rPr>
            </w:pPr>
            <w:r>
              <w:rPr>
                <w:rFonts w:ascii="仿宋_GB2312" w:eastAsia="仿宋_GB2312" w:hAnsi="仿宋_GB2312" w:cs="仿宋_GB2312" w:hint="eastAsia"/>
                <w:color w:val="000000" w:themeColor="text1"/>
                <w:sz w:val="21"/>
                <w:szCs w:val="21"/>
                <w:u w:val="single"/>
              </w:rPr>
              <w:t>（二）未按规定办理备案变更的；</w:t>
            </w:r>
          </w:p>
          <w:p w:rsidR="0059130C" w:rsidRDefault="002E22CA">
            <w:pPr>
              <w:pStyle w:val="a6"/>
              <w:spacing w:beforeAutospacing="0" w:afterAutospacing="0" w:line="240" w:lineRule="exact"/>
              <w:rPr>
                <w:rFonts w:ascii="仿宋_GB2312" w:eastAsia="仿宋_GB2312" w:hAnsi="仿宋_GB2312" w:cs="仿宋_GB2312"/>
                <w:color w:val="000000" w:themeColor="text1"/>
                <w:sz w:val="21"/>
                <w:szCs w:val="21"/>
                <w:u w:val="single"/>
              </w:rPr>
            </w:pPr>
            <w:r>
              <w:rPr>
                <w:rFonts w:ascii="仿宋_GB2312" w:eastAsia="仿宋_GB2312" w:hAnsi="仿宋_GB2312" w:cs="仿宋_GB2312" w:hint="eastAsia"/>
                <w:color w:val="000000" w:themeColor="text1"/>
                <w:sz w:val="21"/>
                <w:szCs w:val="21"/>
                <w:u w:val="single"/>
              </w:rPr>
              <w:t>（三）提交虚假备案材料的。</w:t>
            </w:r>
          </w:p>
          <w:p w:rsidR="0059130C" w:rsidRDefault="002E22CA">
            <w:pPr>
              <w:pStyle w:val="a6"/>
              <w:spacing w:beforeAutospacing="0" w:afterAutospacing="0" w:line="240" w:lineRule="exact"/>
              <w:rPr>
                <w:rFonts w:ascii="仿宋_GB2312" w:eastAsia="仿宋_GB2312" w:hAnsi="仿宋_GB2312" w:cs="仿宋_GB2312"/>
                <w:color w:val="000000" w:themeColor="text1"/>
                <w:sz w:val="21"/>
                <w:szCs w:val="21"/>
              </w:rPr>
            </w:pPr>
            <w:r>
              <w:rPr>
                <w:rFonts w:ascii="仿宋_GB2312" w:eastAsia="仿宋_GB2312" w:hAnsi="仿宋_GB2312" w:cs="仿宋_GB2312" w:hint="eastAsia"/>
                <w:color w:val="000000" w:themeColor="text1"/>
                <w:sz w:val="21"/>
                <w:szCs w:val="21"/>
                <w:u w:val="single"/>
              </w:rPr>
              <w:t>有前款第三项行为且情节严重的，其直接负责的主管人员和其他直接责任人员5年内不得从事原备案的机动车驾驶员培训业务。</w:t>
            </w:r>
          </w:p>
        </w:tc>
        <w:tc>
          <w:tcPr>
            <w:tcW w:w="508"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52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107"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02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内乡县交通运输综合行政执法大队</w:t>
            </w:r>
          </w:p>
        </w:tc>
      </w:tr>
      <w:tr w:rsidR="0059130C">
        <w:trPr>
          <w:trHeight w:val="1075"/>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42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6335"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0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10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029"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77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42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6335"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0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10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029"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9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42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6335"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0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10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029"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68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42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6335"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0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10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029"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4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42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6335"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0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10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029"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42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6335"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0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10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029"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881"/>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42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6335"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508"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25"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107"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029"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rPr>
          <w:trHeight w:val="334"/>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924"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情况：</w:t>
            </w: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项目名称、实施依据</w:t>
            </w:r>
          </w:p>
        </w:tc>
      </w:tr>
      <w:tr w:rsidR="0059130C">
        <w:trPr>
          <w:trHeight w:val="363"/>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924"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原因：根据《中华人民共和国道路运输条例》（国务院令第764号）《机动车驾驶员培训管理规定》（交通部令2022年第32号），</w:t>
            </w: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项目名称、实</w:t>
            </w:r>
            <w:r w:rsidR="002E22CA">
              <w:rPr>
                <w:rFonts w:ascii="仿宋_GB2312" w:eastAsia="仿宋_GB2312" w:hAnsi="仿宋_GB2312" w:cs="仿宋_GB2312" w:hint="eastAsia"/>
                <w:color w:val="000000" w:themeColor="text1"/>
                <w:szCs w:val="21"/>
              </w:rPr>
              <w:lastRenderedPageBreak/>
              <w:t>施依据</w:t>
            </w:r>
          </w:p>
        </w:tc>
      </w:tr>
    </w:tbl>
    <w:p w:rsidR="0059130C" w:rsidRDefault="002E22CA">
      <w:pPr>
        <w:spacing w:line="240" w:lineRule="exact"/>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lastRenderedPageBreak/>
        <w:br w:type="page"/>
      </w:r>
    </w:p>
    <w:tbl>
      <w:tblPr>
        <w:tblW w:w="14566" w:type="dxa"/>
        <w:tblLayout w:type="fixed"/>
        <w:tblCellMar>
          <w:left w:w="15" w:type="dxa"/>
          <w:right w:w="15" w:type="dxa"/>
        </w:tblCellMar>
        <w:tblLook w:val="04A0"/>
      </w:tblPr>
      <w:tblGrid>
        <w:gridCol w:w="717"/>
        <w:gridCol w:w="2224"/>
        <w:gridCol w:w="5025"/>
        <w:gridCol w:w="712"/>
        <w:gridCol w:w="600"/>
        <w:gridCol w:w="4294"/>
        <w:gridCol w:w="994"/>
      </w:tblGrid>
      <w:tr w:rsidR="0059130C">
        <w:trPr>
          <w:trHeight w:val="520"/>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lastRenderedPageBreak/>
              <w:t>序号</w:t>
            </w:r>
          </w:p>
        </w:tc>
        <w:tc>
          <w:tcPr>
            <w:tcW w:w="2224"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项目名称</w:t>
            </w:r>
          </w:p>
        </w:tc>
        <w:tc>
          <w:tcPr>
            <w:tcW w:w="502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实施依据</w:t>
            </w:r>
          </w:p>
        </w:tc>
        <w:tc>
          <w:tcPr>
            <w:tcW w:w="71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类别</w:t>
            </w:r>
          </w:p>
        </w:tc>
        <w:tc>
          <w:tcPr>
            <w:tcW w:w="60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环节</w:t>
            </w:r>
          </w:p>
        </w:tc>
        <w:tc>
          <w:tcPr>
            <w:tcW w:w="4294"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责任事项</w:t>
            </w:r>
          </w:p>
        </w:tc>
        <w:tc>
          <w:tcPr>
            <w:tcW w:w="994"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536"/>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56</w:t>
            </w:r>
          </w:p>
        </w:tc>
        <w:tc>
          <w:tcPr>
            <w:tcW w:w="2224"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擅自占用挖掘村道；从事爆破等危害村道安全作业；未经同意或者未按照公路工程技术标准的要求跨越、穿越村道修建桥梁、渡槽或者架设、埋设管线、电缆等设施；铁轮车、履带车和其他可能损害公路路面的机具或者车辆擅自在村道上行驶；超过限载、限高、限宽标准的车辆擅自在村道上行驶；损坏或者擅自移动、涂改村道附属设施和标志的等造成村道损害的处罚</w:t>
            </w:r>
          </w:p>
          <w:p w:rsidR="0059130C" w:rsidRDefault="00E9165C">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调整</w:t>
            </w:r>
            <w:r w:rsidR="002E22CA">
              <w:rPr>
                <w:rFonts w:ascii="仿宋_GB2312" w:eastAsia="仿宋_GB2312" w:hAnsi="仿宋_GB2312" w:cs="仿宋_GB2312" w:hint="eastAsia"/>
                <w:sz w:val="21"/>
                <w:szCs w:val="21"/>
              </w:rPr>
              <w:t>为：</w:t>
            </w:r>
            <w:r w:rsidR="002E22CA">
              <w:rPr>
                <w:rFonts w:ascii="仿宋_GB2312" w:eastAsia="仿宋_GB2312" w:hAnsi="仿宋_GB2312" w:cs="仿宋_GB2312" w:hint="eastAsia"/>
                <w:sz w:val="21"/>
                <w:szCs w:val="21"/>
                <w:u w:val="single"/>
              </w:rPr>
              <w:t>未经同意或者未按照公路工程技术标准的要求跨越、穿越村道修建桥梁、渡槽或者架设、埋设管线、电缆等设施；铁轮车、履带车和其他可能损害公路路面的机具或者车辆擅自在村道上行驶；超过限载、限高、限宽标准的车辆擅自在村道上行驶的处罚</w:t>
            </w:r>
          </w:p>
        </w:tc>
        <w:tc>
          <w:tcPr>
            <w:tcW w:w="502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《河南省农村公路条例》（2010年7月30日河南省第十一届人民代表大会常务委员会第十六次会议通过，公告第33号）第五十三条： 违反本条例规定，有下列行为之一的，由县级交通运输行政主管部门责令停止违法行为，处五百元以上五千元以下的罚款；造成村道损害的，应当限期修复或者予以赔偿：（一）擅自占用、挖掘村道的；（二）从事爆破等危害村道安全作业的；（三）未经同意或者未按照公路工程技术标准的要求跨越、穿越村道修建桥梁、渡槽或者架设、埋设管线、电缆等设施的；（四）铁轮车、履带车和其他可能损害公路路面的机具或者车辆擅自在村道上行驶的；（五）超过限载、限高、限</w:t>
            </w:r>
            <w:proofErr w:type="gramStart"/>
            <w:r>
              <w:rPr>
                <w:rFonts w:ascii="仿宋_GB2312" w:eastAsia="仿宋_GB2312" w:hAnsi="仿宋_GB2312" w:cs="仿宋_GB2312" w:hint="eastAsia"/>
                <w:sz w:val="21"/>
                <w:szCs w:val="21"/>
              </w:rPr>
              <w:t>款标准</w:t>
            </w:r>
            <w:proofErr w:type="gramEnd"/>
            <w:r>
              <w:rPr>
                <w:rFonts w:ascii="仿宋_GB2312" w:eastAsia="仿宋_GB2312" w:hAnsi="仿宋_GB2312" w:cs="仿宋_GB2312" w:hint="eastAsia"/>
                <w:sz w:val="21"/>
                <w:szCs w:val="21"/>
              </w:rPr>
              <w:t>的车辆擅自在村道上行驶的；（六）损害或者擅自移动、涂改村道附属设施和标志的。</w:t>
            </w:r>
          </w:p>
          <w:p w:rsidR="0059130C" w:rsidRDefault="00E9165C">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调整</w:t>
            </w:r>
            <w:r w:rsidR="002E22CA">
              <w:rPr>
                <w:rFonts w:ascii="仿宋_GB2312" w:eastAsia="仿宋_GB2312" w:hAnsi="仿宋_GB2312" w:cs="仿宋_GB2312" w:hint="eastAsia"/>
                <w:sz w:val="21"/>
                <w:szCs w:val="21"/>
              </w:rPr>
              <w:t>为：</w:t>
            </w:r>
            <w:r w:rsidR="002E22CA">
              <w:rPr>
                <w:rFonts w:ascii="仿宋_GB2312" w:eastAsia="仿宋_GB2312" w:hAnsi="仿宋_GB2312" w:cs="仿宋_GB2312" w:hint="eastAsia"/>
                <w:sz w:val="21"/>
                <w:szCs w:val="21"/>
                <w:u w:val="single"/>
              </w:rPr>
              <w:t>《河南省农村公路条例》（2010年7月30日河南省第十一届人民代表大会常务委员会第十六次会议通过，公告第33号）第五十三条： 违反本条例规定，有下列行为之一的，由县级交通运输行政主管部门责令停止违法行为，处五百元以上五千元以下的罚款；造成村道损害的，应当限期修复或者予以赔偿：（三）未经同意或者未按照公路工程技术标准的要求跨越、穿越村道修建桥梁、渡槽或者架设、埋设管线、电缆等设施的；（四）铁轮车、履带车和其他可能损害公路路面的机具或者车辆擅自在村道上行驶的；（五）超过限载、限高、限</w:t>
            </w:r>
            <w:proofErr w:type="gramStart"/>
            <w:r w:rsidR="002E22CA">
              <w:rPr>
                <w:rFonts w:ascii="仿宋_GB2312" w:eastAsia="仿宋_GB2312" w:hAnsi="仿宋_GB2312" w:cs="仿宋_GB2312" w:hint="eastAsia"/>
                <w:sz w:val="21"/>
                <w:szCs w:val="21"/>
                <w:u w:val="single"/>
              </w:rPr>
              <w:t>款标准</w:t>
            </w:r>
            <w:proofErr w:type="gramEnd"/>
            <w:r w:rsidR="002E22CA">
              <w:rPr>
                <w:rFonts w:ascii="仿宋_GB2312" w:eastAsia="仿宋_GB2312" w:hAnsi="仿宋_GB2312" w:cs="仿宋_GB2312" w:hint="eastAsia"/>
                <w:sz w:val="21"/>
                <w:szCs w:val="21"/>
                <w:u w:val="single"/>
              </w:rPr>
              <w:t>的车辆擅自在村道上行驶的。</w:t>
            </w:r>
          </w:p>
        </w:tc>
        <w:tc>
          <w:tcPr>
            <w:tcW w:w="712"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60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294"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994"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内乡县交通运输综合行政执法大队</w:t>
            </w:r>
          </w:p>
        </w:tc>
      </w:tr>
      <w:tr w:rsidR="0059130C">
        <w:trPr>
          <w:trHeight w:val="1075"/>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222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025"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1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0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29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994"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770"/>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222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025"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1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0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29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994"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90"/>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222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025"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1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0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29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994"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680"/>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222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025"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1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0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29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994"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440"/>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222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025"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1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0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29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994"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590"/>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222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025"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1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0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29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994"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1057"/>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222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5025"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712"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60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294"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994"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rPr>
          <w:trHeight w:val="334"/>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84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情况：</w:t>
            </w: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项目名称、实施依据</w:t>
            </w:r>
          </w:p>
        </w:tc>
      </w:tr>
      <w:tr w:rsidR="0059130C">
        <w:trPr>
          <w:trHeight w:val="363"/>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84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原因：根据《南阳市人民政府关于开展乡镇（街道）综合行政执法工作的通知》，将“擅自占用挖掘村道；从事爆破等危害村道安全作业；损坏或者擅自移动、涂改村道附属设施和标志的”行政处罚权下放乡镇，</w:t>
            </w: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项目名称、实施依据</w:t>
            </w:r>
          </w:p>
        </w:tc>
      </w:tr>
    </w:tbl>
    <w:p w:rsidR="0059130C" w:rsidRDefault="0059130C">
      <w:pPr>
        <w:spacing w:line="240" w:lineRule="exact"/>
        <w:rPr>
          <w:rFonts w:ascii="仿宋_GB2312" w:eastAsia="仿宋_GB2312" w:hAnsi="仿宋_GB2312" w:cs="仿宋_GB2312"/>
          <w:color w:val="000000" w:themeColor="text1"/>
          <w:szCs w:val="21"/>
        </w:rPr>
      </w:pPr>
    </w:p>
    <w:tbl>
      <w:tblPr>
        <w:tblW w:w="14128" w:type="dxa"/>
        <w:jc w:val="center"/>
        <w:tblLayout w:type="fixed"/>
        <w:tblCellMar>
          <w:left w:w="15" w:type="dxa"/>
          <w:right w:w="15" w:type="dxa"/>
        </w:tblCellMar>
        <w:tblLook w:val="04A0"/>
      </w:tblPr>
      <w:tblGrid>
        <w:gridCol w:w="653"/>
        <w:gridCol w:w="1313"/>
        <w:gridCol w:w="4556"/>
        <w:gridCol w:w="656"/>
        <w:gridCol w:w="675"/>
        <w:gridCol w:w="5194"/>
        <w:gridCol w:w="1081"/>
      </w:tblGrid>
      <w:tr w:rsidR="0059130C">
        <w:trPr>
          <w:trHeight w:val="640"/>
          <w:jc w:val="center"/>
        </w:trPr>
        <w:tc>
          <w:tcPr>
            <w:tcW w:w="653"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131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55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5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5194"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08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jc w:val="center"/>
        </w:trPr>
        <w:tc>
          <w:tcPr>
            <w:tcW w:w="653"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57</w:t>
            </w:r>
          </w:p>
        </w:tc>
        <w:tc>
          <w:tcPr>
            <w:tcW w:w="1313" w:type="dxa"/>
            <w:vMerge w:val="restart"/>
            <w:tcBorders>
              <w:top w:val="single" w:sz="4" w:space="0" w:color="000000"/>
              <w:left w:val="single" w:sz="4" w:space="0" w:color="000000"/>
              <w:right w:val="single" w:sz="4" w:space="0" w:color="000000"/>
            </w:tcBorders>
            <w:vAlign w:val="center"/>
          </w:tcPr>
          <w:p w:rsidR="0059130C" w:rsidRDefault="002E22CA">
            <w:pPr>
              <w:overflowPunct w:val="0"/>
              <w:snapToGrid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对港口理货业务经营人违规兼营货物装卸经营业务、仓储经营业务行为的行政处罚</w:t>
            </w:r>
          </w:p>
        </w:tc>
        <w:tc>
          <w:tcPr>
            <w:tcW w:w="4556" w:type="dxa"/>
            <w:vMerge w:val="restart"/>
            <w:tcBorders>
              <w:top w:val="single" w:sz="4" w:space="0" w:color="000000"/>
              <w:left w:val="single" w:sz="4" w:space="0" w:color="000000"/>
              <w:right w:val="single" w:sz="4" w:space="0" w:color="000000"/>
            </w:tcBorders>
            <w:vAlign w:val="center"/>
          </w:tcPr>
          <w:p w:rsidR="0059130C" w:rsidRDefault="002E22CA">
            <w:pPr>
              <w:overflowPunct w:val="0"/>
              <w:snapToGrid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中华人民共和国港口法》（2018年12月29日主席令第23号）四十九条：“未依法取得港口经营许可证从事港口经营，或者港口理货业务经营人兼营货物装卸经营业务、仓储经营业务的，由港口行政管理部门责令停止违法经营，没收违法所得；违法所得十万元以上的，并处违法所得二倍以上五倍以下罚款；违法所得不足十万元的，处五万元以上二十万元以下罚款。”</w:t>
            </w:r>
          </w:p>
          <w:p w:rsidR="0059130C" w:rsidRDefault="002E22CA">
            <w:pPr>
              <w:overflowPunct w:val="0"/>
              <w:snapToGrid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港口经营管理规定》（中华人民共和国交通运输部令2020年第21号）第四十一条第二项：“有下列行为之一的，由港口行政管理部门责令停止违法经营，没收违法所得；违法所得10万元以上的，并处违法所得2倍以上5倍以下罚款；违法所得不足10万元的，处5万元以上20万元以下罚款：（二）港口理货业务经营人兼营货物装卸经营业务、仓储经营业务的。”</w:t>
            </w:r>
          </w:p>
        </w:tc>
        <w:tc>
          <w:tcPr>
            <w:tcW w:w="656"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67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5194"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08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jc w:val="center"/>
        </w:trPr>
        <w:tc>
          <w:tcPr>
            <w:tcW w:w="653"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5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56"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7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519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08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653"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5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56"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7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519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08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653"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5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56"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7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519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08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653"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5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56"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7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519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08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653"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5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56"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7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519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08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653"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5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56"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7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519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08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212"/>
          <w:jc w:val="center"/>
        </w:trPr>
        <w:tc>
          <w:tcPr>
            <w:tcW w:w="653"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5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5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75"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5194"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08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90"/>
          <w:jc w:val="center"/>
        </w:trPr>
        <w:tc>
          <w:tcPr>
            <w:tcW w:w="653"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47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情况：调整职权类别</w:t>
            </w:r>
          </w:p>
        </w:tc>
      </w:tr>
      <w:tr w:rsidR="0059130C">
        <w:trPr>
          <w:trHeight w:val="90"/>
          <w:jc w:val="center"/>
        </w:trPr>
        <w:tc>
          <w:tcPr>
            <w:tcW w:w="653"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47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原因：将原事项“对港口理货业务经营人违规兼营货物装卸经营业务、仓储经营业务行为的行政检查、行政处罚”，分别调整为行政处罚一项、</w:t>
            </w:r>
            <w:r w:rsidR="002E22CA">
              <w:rPr>
                <w:rFonts w:ascii="仿宋_GB2312" w:eastAsia="仿宋_GB2312" w:hAnsi="仿宋_GB2312" w:cs="仿宋_GB2312" w:hint="eastAsia"/>
                <w:szCs w:val="21"/>
              </w:rPr>
              <w:lastRenderedPageBreak/>
              <w:t>行政检查一项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lastRenderedPageBreak/>
        <w:br w:type="page"/>
      </w:r>
    </w:p>
    <w:tbl>
      <w:tblPr>
        <w:tblW w:w="14128" w:type="dxa"/>
        <w:jc w:val="center"/>
        <w:tblLayout w:type="fixed"/>
        <w:tblCellMar>
          <w:left w:w="15" w:type="dxa"/>
          <w:right w:w="15" w:type="dxa"/>
        </w:tblCellMar>
        <w:tblLook w:val="04A0"/>
      </w:tblPr>
      <w:tblGrid>
        <w:gridCol w:w="634"/>
        <w:gridCol w:w="365"/>
        <w:gridCol w:w="1098"/>
        <w:gridCol w:w="878"/>
        <w:gridCol w:w="3847"/>
        <w:gridCol w:w="150"/>
        <w:gridCol w:w="562"/>
        <w:gridCol w:w="94"/>
        <w:gridCol w:w="656"/>
        <w:gridCol w:w="150"/>
        <w:gridCol w:w="4333"/>
        <w:gridCol w:w="280"/>
        <w:gridCol w:w="1081"/>
      </w:tblGrid>
      <w:tr w:rsidR="0059130C">
        <w:trPr>
          <w:trHeight w:val="518"/>
          <w:jc w:val="center"/>
        </w:trPr>
        <w:tc>
          <w:tcPr>
            <w:tcW w:w="634"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1463" w:type="dxa"/>
            <w:gridSpan w:val="2"/>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725" w:type="dxa"/>
            <w:gridSpan w:val="2"/>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712" w:type="dxa"/>
            <w:gridSpan w:val="2"/>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750" w:type="dxa"/>
            <w:gridSpan w:val="2"/>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763" w:type="dxa"/>
            <w:gridSpan w:val="3"/>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08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jc w:val="center"/>
        </w:trPr>
        <w:tc>
          <w:tcPr>
            <w:tcW w:w="634"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58</w:t>
            </w:r>
          </w:p>
        </w:tc>
        <w:tc>
          <w:tcPr>
            <w:tcW w:w="1463" w:type="dxa"/>
            <w:gridSpan w:val="2"/>
            <w:vMerge w:val="restart"/>
            <w:tcBorders>
              <w:top w:val="single" w:sz="4" w:space="0" w:color="000000"/>
              <w:left w:val="single" w:sz="4" w:space="0" w:color="000000"/>
              <w:right w:val="single" w:sz="4" w:space="0" w:color="000000"/>
            </w:tcBorders>
            <w:vAlign w:val="center"/>
          </w:tcPr>
          <w:p w:rsidR="0059130C" w:rsidRDefault="002E22CA">
            <w:pPr>
              <w:overflowPunct w:val="0"/>
              <w:snapToGrid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对外国籍船舶经营国内港口之间的海上运输和拖航的监管：对外国国际船舶运输经营者经营中国港口之间的船舶运输业务，或者利用租用的中国籍船舶和舱位以及用互换舱位等方式经营中国港口之间的船舶运输业务的处罚；对未经许可或者超越许可范围使用外国籍船舶经营水路运输业务，或者外国的企业、其他经济组织和个人经营或者以租用中国籍船舶或者舱位等方式变相经营水路运输业务行为的行政处罚</w:t>
            </w:r>
          </w:p>
        </w:tc>
        <w:tc>
          <w:tcPr>
            <w:tcW w:w="4725" w:type="dxa"/>
            <w:gridSpan w:val="2"/>
            <w:vMerge w:val="restart"/>
            <w:tcBorders>
              <w:top w:val="single" w:sz="4" w:space="0" w:color="000000"/>
              <w:left w:val="single" w:sz="4" w:space="0" w:color="000000"/>
              <w:right w:val="single" w:sz="4" w:space="0" w:color="000000"/>
            </w:tcBorders>
            <w:vAlign w:val="center"/>
          </w:tcPr>
          <w:p w:rsidR="0059130C" w:rsidRDefault="002E22CA">
            <w:pPr>
              <w:overflowPunct w:val="0"/>
              <w:snapToGrid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《国内水路运输管理条例》(2023) 第三十五条：“水路运输经营者未经国务院交通运输主管部门许可或者超越许可范围使用外国籍船舶经营水路运输业务，或者外国的企业、其他经济组织和个人经营或者以租用中国籍船舶或者舱位等方式变相经营水路运输业务的，由负责水路运输管理的部门责令停止经营，没收违法所得，并处违法所得1倍以上5倍以下的罚款；没有违法所得或者违法所得不足20万元的，处20万元以上100万元以下的罚款。”</w:t>
            </w:r>
          </w:p>
          <w:p w:rsidR="0059130C" w:rsidRDefault="002E22CA">
            <w:pPr>
              <w:overflowPunct w:val="0"/>
              <w:snapToGrid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中华人民共和国国际海运条例》（国务院令第709号）第三十七条：“外国国际船舶运输经营者经营中国港口之间的船舶运输业务，或者利用租用的中国籍船舶和舱位以及用互换舱位等方式经营中国港口之间的船舶运输业务的，由国务院交通主管部门或者其授权的地方人民政府交通主管部门责令停止经营；有违法所得的，没收违法所得；违法所得50万元以上的，处违法所得2倍以上5倍以下的罚款；没有违法所得或者违法所得不足50万元的，处20万元以上100万元以下的罚款。拒不停止经营的，拒绝进港；情节严重的，撤销其国际班轮运输经营资格。”</w:t>
            </w:r>
          </w:p>
          <w:p w:rsidR="0059130C" w:rsidRDefault="002E22CA">
            <w:pPr>
              <w:overflowPunct w:val="0"/>
              <w:snapToGrid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《国内水路运输管理条例》(2023)  第三十五条：“水路运输经营者未经国务院交通运输主管部门许可或者超越许可范围使用外国籍船舶经营水路运输业务，或者外国的企业、其他经济组织和个人经营或者以租用中国籍船舶或者舱位等方式变相经营水路运输业务的，由负责水路运输管理的部门责令停止经营，没收违法所得，并处违法所得1倍以上5倍以下的罚款；没有违法所得或者违法所得不足20万元的，处20万元以上100万元以下的罚款。</w:t>
            </w:r>
          </w:p>
        </w:tc>
        <w:tc>
          <w:tcPr>
            <w:tcW w:w="712" w:type="dxa"/>
            <w:gridSpan w:val="2"/>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750" w:type="dxa"/>
            <w:gridSpan w:val="2"/>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763" w:type="dxa"/>
            <w:gridSpan w:val="3"/>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08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jc w:val="center"/>
        </w:trPr>
        <w:tc>
          <w:tcPr>
            <w:tcW w:w="634"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463" w:type="dxa"/>
            <w:gridSpan w:val="2"/>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725" w:type="dxa"/>
            <w:gridSpan w:val="2"/>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12" w:type="dxa"/>
            <w:gridSpan w:val="2"/>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50" w:type="dxa"/>
            <w:gridSpan w:val="2"/>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763" w:type="dxa"/>
            <w:gridSpan w:val="3"/>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08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634"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463" w:type="dxa"/>
            <w:gridSpan w:val="2"/>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725" w:type="dxa"/>
            <w:gridSpan w:val="2"/>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12" w:type="dxa"/>
            <w:gridSpan w:val="2"/>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50" w:type="dxa"/>
            <w:gridSpan w:val="2"/>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763" w:type="dxa"/>
            <w:gridSpan w:val="3"/>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08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634"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463" w:type="dxa"/>
            <w:gridSpan w:val="2"/>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725" w:type="dxa"/>
            <w:gridSpan w:val="2"/>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12" w:type="dxa"/>
            <w:gridSpan w:val="2"/>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50" w:type="dxa"/>
            <w:gridSpan w:val="2"/>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763" w:type="dxa"/>
            <w:gridSpan w:val="3"/>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08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634"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463" w:type="dxa"/>
            <w:gridSpan w:val="2"/>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725" w:type="dxa"/>
            <w:gridSpan w:val="2"/>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12" w:type="dxa"/>
            <w:gridSpan w:val="2"/>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50" w:type="dxa"/>
            <w:gridSpan w:val="2"/>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763" w:type="dxa"/>
            <w:gridSpan w:val="3"/>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08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634"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463" w:type="dxa"/>
            <w:gridSpan w:val="2"/>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725" w:type="dxa"/>
            <w:gridSpan w:val="2"/>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12" w:type="dxa"/>
            <w:gridSpan w:val="2"/>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50" w:type="dxa"/>
            <w:gridSpan w:val="2"/>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763" w:type="dxa"/>
            <w:gridSpan w:val="3"/>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08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634"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463" w:type="dxa"/>
            <w:gridSpan w:val="2"/>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725" w:type="dxa"/>
            <w:gridSpan w:val="2"/>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12" w:type="dxa"/>
            <w:gridSpan w:val="2"/>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50" w:type="dxa"/>
            <w:gridSpan w:val="2"/>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763" w:type="dxa"/>
            <w:gridSpan w:val="3"/>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08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1597"/>
          <w:jc w:val="center"/>
        </w:trPr>
        <w:tc>
          <w:tcPr>
            <w:tcW w:w="634"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463" w:type="dxa"/>
            <w:gridSpan w:val="2"/>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725" w:type="dxa"/>
            <w:gridSpan w:val="2"/>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12" w:type="dxa"/>
            <w:gridSpan w:val="2"/>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50" w:type="dxa"/>
            <w:gridSpan w:val="2"/>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763" w:type="dxa"/>
            <w:gridSpan w:val="3"/>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08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90"/>
          <w:jc w:val="center"/>
        </w:trPr>
        <w:tc>
          <w:tcPr>
            <w:tcW w:w="634"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494" w:type="dxa"/>
            <w:gridSpan w:val="12"/>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情况：调整职权类别</w:t>
            </w:r>
          </w:p>
        </w:tc>
      </w:tr>
      <w:tr w:rsidR="0059130C">
        <w:trPr>
          <w:trHeight w:val="90"/>
          <w:jc w:val="center"/>
        </w:trPr>
        <w:tc>
          <w:tcPr>
            <w:tcW w:w="634"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494" w:type="dxa"/>
            <w:gridSpan w:val="12"/>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w:t>
            </w:r>
            <w:r w:rsidR="002E22CA">
              <w:rPr>
                <w:rFonts w:ascii="仿宋_GB2312" w:eastAsia="仿宋_GB2312" w:hAnsi="仿宋_GB2312" w:cs="仿宋_GB2312" w:hint="eastAsia"/>
                <w:kern w:val="0"/>
                <w:szCs w:val="21"/>
                <w:lang/>
              </w:rPr>
              <w:t>将原事项“对外国籍船舶经营国内港口之间的海上运输和拖航的监管：对外国国际船舶运输经营者经营中国港口之间的船舶运输业务，或者利用租用的中国籍船舶和舱位以及用互换舱位等方式经营中国港口之间的船舶运输业务的处罚；对未经许可或者超越许可范围使用外国籍船舶经营水路运输业务，或者外国的企业、其他经济组织和个人经营或者以租用中国籍船舶或者舱位等方式变相经营水路运输业务行为的行政处罚；对外国籍船舶经营国内港口之间的海上运输和拖航的行政检查”，分别调整为行政处罚一项、行政检查一项</w:t>
            </w:r>
          </w:p>
        </w:tc>
      </w:tr>
      <w:tr w:rsidR="0059130C">
        <w:trPr>
          <w:trHeight w:val="640"/>
          <w:jc w:val="center"/>
        </w:trPr>
        <w:tc>
          <w:tcPr>
            <w:tcW w:w="999" w:type="dxa"/>
            <w:gridSpan w:val="2"/>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1976" w:type="dxa"/>
            <w:gridSpan w:val="2"/>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3997" w:type="dxa"/>
            <w:gridSpan w:val="2"/>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56" w:type="dxa"/>
            <w:gridSpan w:val="2"/>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06" w:type="dxa"/>
            <w:gridSpan w:val="2"/>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33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gridSpan w:val="2"/>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jc w:val="center"/>
        </w:trPr>
        <w:tc>
          <w:tcPr>
            <w:tcW w:w="999" w:type="dxa"/>
            <w:gridSpan w:val="2"/>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59</w:t>
            </w:r>
          </w:p>
        </w:tc>
        <w:tc>
          <w:tcPr>
            <w:tcW w:w="1976" w:type="dxa"/>
            <w:gridSpan w:val="2"/>
            <w:vMerge w:val="restart"/>
            <w:tcBorders>
              <w:top w:val="single" w:sz="4" w:space="0" w:color="000000"/>
              <w:left w:val="single" w:sz="4" w:space="0" w:color="000000"/>
              <w:right w:val="single" w:sz="4" w:space="0" w:color="000000"/>
            </w:tcBorders>
            <w:vAlign w:val="center"/>
          </w:tcPr>
          <w:p w:rsidR="0059130C" w:rsidRDefault="002E22CA">
            <w:pPr>
              <w:overflowPunct w:val="0"/>
              <w:snapToGrid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pacing w:val="-6"/>
                <w:kern w:val="0"/>
                <w:szCs w:val="21"/>
              </w:rPr>
              <w:t>对从事国内水路运输业务的“三资”企业经营资质情况的监管：不满足从事国内水路运输业务的“三资”企业经营资质条件的行政处罚</w:t>
            </w:r>
          </w:p>
        </w:tc>
        <w:tc>
          <w:tcPr>
            <w:tcW w:w="3997" w:type="dxa"/>
            <w:gridSpan w:val="2"/>
            <w:vMerge w:val="restart"/>
            <w:tcBorders>
              <w:top w:val="single" w:sz="4" w:space="0" w:color="000000"/>
              <w:left w:val="single" w:sz="4" w:space="0" w:color="000000"/>
              <w:right w:val="single" w:sz="4" w:space="0" w:color="000000"/>
            </w:tcBorders>
            <w:vAlign w:val="center"/>
          </w:tcPr>
          <w:p w:rsidR="0059130C" w:rsidRDefault="002E22CA">
            <w:pPr>
              <w:overflowPunct w:val="0"/>
              <w:snapToGrid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pacing w:val="-6"/>
                <w:kern w:val="0"/>
                <w:szCs w:val="21"/>
              </w:rPr>
              <w:t>《国内水路运输管理规定》(2020年2月20日公布,中华人民共和国交通运输部令2020年第4号)第四十九条　水路运输经营者或其船舶在规定期限内，经整改仍不符合本规定要求的经营资质条件的，由其所在地县级以上人民政府水路运输管理部门报原许可机关撤销其经营许可或者船舶营运证件。</w:t>
            </w:r>
          </w:p>
        </w:tc>
        <w:tc>
          <w:tcPr>
            <w:tcW w:w="656" w:type="dxa"/>
            <w:gridSpan w:val="2"/>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806" w:type="dxa"/>
            <w:gridSpan w:val="2"/>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333"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gridSpan w:val="2"/>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jc w:val="center"/>
        </w:trPr>
        <w:tc>
          <w:tcPr>
            <w:tcW w:w="999" w:type="dxa"/>
            <w:gridSpan w:val="2"/>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gridSpan w:val="2"/>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997" w:type="dxa"/>
            <w:gridSpan w:val="2"/>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56" w:type="dxa"/>
            <w:gridSpan w:val="2"/>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06" w:type="dxa"/>
            <w:gridSpan w:val="2"/>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33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gridSpan w:val="2"/>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gridSpan w:val="2"/>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gridSpan w:val="2"/>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997" w:type="dxa"/>
            <w:gridSpan w:val="2"/>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56" w:type="dxa"/>
            <w:gridSpan w:val="2"/>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06" w:type="dxa"/>
            <w:gridSpan w:val="2"/>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33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gridSpan w:val="2"/>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gridSpan w:val="2"/>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gridSpan w:val="2"/>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997" w:type="dxa"/>
            <w:gridSpan w:val="2"/>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56" w:type="dxa"/>
            <w:gridSpan w:val="2"/>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06" w:type="dxa"/>
            <w:gridSpan w:val="2"/>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33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gridSpan w:val="2"/>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gridSpan w:val="2"/>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gridSpan w:val="2"/>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997" w:type="dxa"/>
            <w:gridSpan w:val="2"/>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56" w:type="dxa"/>
            <w:gridSpan w:val="2"/>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06" w:type="dxa"/>
            <w:gridSpan w:val="2"/>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33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gridSpan w:val="2"/>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gridSpan w:val="2"/>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gridSpan w:val="2"/>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997" w:type="dxa"/>
            <w:gridSpan w:val="2"/>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56" w:type="dxa"/>
            <w:gridSpan w:val="2"/>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06" w:type="dxa"/>
            <w:gridSpan w:val="2"/>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33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gridSpan w:val="2"/>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gridSpan w:val="2"/>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gridSpan w:val="2"/>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997" w:type="dxa"/>
            <w:gridSpan w:val="2"/>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56" w:type="dxa"/>
            <w:gridSpan w:val="2"/>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06" w:type="dxa"/>
            <w:gridSpan w:val="2"/>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33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gridSpan w:val="2"/>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703"/>
          <w:jc w:val="center"/>
        </w:trPr>
        <w:tc>
          <w:tcPr>
            <w:tcW w:w="999" w:type="dxa"/>
            <w:gridSpan w:val="2"/>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gridSpan w:val="2"/>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997" w:type="dxa"/>
            <w:gridSpan w:val="2"/>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56" w:type="dxa"/>
            <w:gridSpan w:val="2"/>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06" w:type="dxa"/>
            <w:gridSpan w:val="2"/>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333"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gridSpan w:val="2"/>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90"/>
          <w:jc w:val="center"/>
        </w:trPr>
        <w:tc>
          <w:tcPr>
            <w:tcW w:w="999" w:type="dxa"/>
            <w:gridSpan w:val="2"/>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11"/>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情况：调整职权类别</w:t>
            </w:r>
          </w:p>
        </w:tc>
      </w:tr>
      <w:tr w:rsidR="0059130C">
        <w:trPr>
          <w:trHeight w:val="90"/>
          <w:jc w:val="center"/>
        </w:trPr>
        <w:tc>
          <w:tcPr>
            <w:tcW w:w="999" w:type="dxa"/>
            <w:gridSpan w:val="2"/>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11"/>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原因：将原事项</w:t>
            </w:r>
            <w:proofErr w:type="gramStart"/>
            <w:r w:rsidR="002E22CA">
              <w:rPr>
                <w:rFonts w:ascii="仿宋_GB2312" w:eastAsia="仿宋_GB2312" w:hAnsi="仿宋_GB2312" w:cs="仿宋_GB2312" w:hint="eastAsia"/>
                <w:szCs w:val="21"/>
              </w:rPr>
              <w:t>“</w:t>
            </w:r>
            <w:proofErr w:type="gramEnd"/>
            <w:r w:rsidR="002E22CA">
              <w:rPr>
                <w:rFonts w:ascii="仿宋_GB2312" w:eastAsia="仿宋_GB2312" w:hAnsi="仿宋_GB2312" w:cs="仿宋_GB2312" w:hint="eastAsia"/>
                <w:szCs w:val="21"/>
              </w:rPr>
              <w:t>对从事国内水路运输业务的“三资”企业经营资质情况的监管：不满足从事国内水路运输业务的“三资”企业经营资质条件的行政检查、行政处罚</w:t>
            </w:r>
            <w:proofErr w:type="gramStart"/>
            <w:r w:rsidR="002E22CA">
              <w:rPr>
                <w:rFonts w:ascii="仿宋_GB2312" w:eastAsia="仿宋_GB2312" w:hAnsi="仿宋_GB2312" w:cs="仿宋_GB2312" w:hint="eastAsia"/>
                <w:szCs w:val="21"/>
              </w:rPr>
              <w:t>”</w:t>
            </w:r>
            <w:proofErr w:type="gramEnd"/>
            <w:r w:rsidR="002E22CA">
              <w:rPr>
                <w:rFonts w:ascii="仿宋_GB2312" w:eastAsia="仿宋_GB2312" w:hAnsi="仿宋_GB2312" w:cs="仿宋_GB2312" w:hint="eastAsia"/>
                <w:szCs w:val="21"/>
              </w:rPr>
              <w:t>，分别调整为行政处罚一项、行政检查一项</w:t>
            </w:r>
          </w:p>
        </w:tc>
      </w:tr>
    </w:tbl>
    <w:p w:rsidR="0059130C" w:rsidRDefault="002E22CA">
      <w:pPr>
        <w:spacing w:line="240" w:lineRule="exact"/>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br w:type="page"/>
      </w:r>
    </w:p>
    <w:tbl>
      <w:tblPr>
        <w:tblW w:w="14128" w:type="dxa"/>
        <w:jc w:val="center"/>
        <w:tblLayout w:type="fixed"/>
        <w:tblCellMar>
          <w:left w:w="15" w:type="dxa"/>
          <w:right w:w="15" w:type="dxa"/>
        </w:tblCellMar>
        <w:tblLook w:val="04A0"/>
      </w:tblPr>
      <w:tblGrid>
        <w:gridCol w:w="541"/>
        <w:gridCol w:w="1293"/>
        <w:gridCol w:w="3769"/>
        <w:gridCol w:w="731"/>
        <w:gridCol w:w="882"/>
        <w:gridCol w:w="5551"/>
        <w:gridCol w:w="1361"/>
      </w:tblGrid>
      <w:tr w:rsidR="0059130C">
        <w:trPr>
          <w:trHeight w:val="640"/>
          <w:jc w:val="center"/>
        </w:trPr>
        <w:tc>
          <w:tcPr>
            <w:tcW w:w="541"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129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3769"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73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8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555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jc w:val="center"/>
        </w:trPr>
        <w:tc>
          <w:tcPr>
            <w:tcW w:w="54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60</w:t>
            </w:r>
          </w:p>
        </w:tc>
        <w:tc>
          <w:tcPr>
            <w:tcW w:w="1293" w:type="dxa"/>
            <w:vMerge w:val="restart"/>
            <w:tcBorders>
              <w:top w:val="single" w:sz="4" w:space="0" w:color="000000"/>
              <w:left w:val="single" w:sz="4" w:space="0" w:color="000000"/>
              <w:right w:val="single" w:sz="4" w:space="0" w:color="000000"/>
            </w:tcBorders>
            <w:vAlign w:val="center"/>
          </w:tcPr>
          <w:p w:rsidR="0059130C" w:rsidRDefault="002E22CA">
            <w:pPr>
              <w:overflowPunct w:val="0"/>
              <w:snapToGrid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对经营港口理货业务备案的行政处罚</w:t>
            </w:r>
          </w:p>
        </w:tc>
        <w:tc>
          <w:tcPr>
            <w:tcW w:w="3769" w:type="dxa"/>
            <w:vMerge w:val="restart"/>
            <w:tcBorders>
              <w:top w:val="single" w:sz="4" w:space="0" w:color="000000"/>
              <w:left w:val="single" w:sz="4" w:space="0" w:color="000000"/>
              <w:right w:val="single" w:sz="4" w:space="0" w:color="000000"/>
            </w:tcBorders>
            <w:vAlign w:val="center"/>
          </w:tcPr>
          <w:p w:rsidR="0059130C" w:rsidRDefault="002E22CA">
            <w:pPr>
              <w:overflowPunct w:val="0"/>
              <w:snapToGrid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《中华人民共和国港口法》（2018年12月29日主席令第23号）第四十八条第二项：“ 有下列行为之一的，由港口行政管理部门责令停止违法经营，没收违法所得；违法所得十万元以上的，并处违法所得二倍以上五倍以下罚款；违法所得不足十万元的，处五万元以上二十万元以下罚款：……（二）未经依法许可，经营港口理货业务的。”</w:t>
            </w:r>
          </w:p>
          <w:p w:rsidR="0059130C" w:rsidRDefault="0059130C">
            <w:pPr>
              <w:overflowPunct w:val="0"/>
              <w:snapToGrid w:val="0"/>
              <w:spacing w:line="240" w:lineRule="exact"/>
              <w:rPr>
                <w:rFonts w:ascii="仿宋_GB2312" w:eastAsia="仿宋_GB2312" w:hAnsi="仿宋_GB2312" w:cs="仿宋_GB2312"/>
                <w:kern w:val="0"/>
                <w:szCs w:val="21"/>
                <w:lang/>
              </w:rPr>
            </w:pPr>
          </w:p>
        </w:tc>
        <w:tc>
          <w:tcPr>
            <w:tcW w:w="731"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882"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5551"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1229"/>
          <w:jc w:val="center"/>
        </w:trPr>
        <w:tc>
          <w:tcPr>
            <w:tcW w:w="541"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29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769"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31"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8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555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541"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29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769"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31"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8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555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541"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29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769"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31"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8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555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541"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29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769"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31"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8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555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541"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29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769"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31"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8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555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541"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29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769"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31"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8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555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201"/>
          <w:jc w:val="center"/>
        </w:trPr>
        <w:tc>
          <w:tcPr>
            <w:tcW w:w="541"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29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769"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31"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82"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5551"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430"/>
          <w:jc w:val="center"/>
        </w:trPr>
        <w:tc>
          <w:tcPr>
            <w:tcW w:w="541"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587"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情况：调整职权类别</w:t>
            </w:r>
          </w:p>
        </w:tc>
      </w:tr>
      <w:tr w:rsidR="0059130C">
        <w:trPr>
          <w:trHeight w:val="427"/>
          <w:jc w:val="center"/>
        </w:trPr>
        <w:tc>
          <w:tcPr>
            <w:tcW w:w="541"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587"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原因：将原事项“对经营港口理货业务备案的行政检查、行政处罚”，分别调整为行政处罚一项、行政检查一项</w:t>
            </w:r>
          </w:p>
        </w:tc>
      </w:tr>
    </w:tbl>
    <w:p w:rsidR="0059130C" w:rsidRDefault="0059130C">
      <w:pPr>
        <w:spacing w:line="240" w:lineRule="exact"/>
        <w:rPr>
          <w:rFonts w:ascii="仿宋_GB2312" w:eastAsia="仿宋_GB2312" w:hAnsi="仿宋_GB2312" w:cs="仿宋_GB2312"/>
          <w:color w:val="000000" w:themeColor="text1"/>
          <w:szCs w:val="21"/>
        </w:rPr>
      </w:pPr>
    </w:p>
    <w:tbl>
      <w:tblPr>
        <w:tblW w:w="14128" w:type="dxa"/>
        <w:jc w:val="center"/>
        <w:tblLayout w:type="fixed"/>
        <w:tblCellMar>
          <w:left w:w="15" w:type="dxa"/>
          <w:right w:w="15" w:type="dxa"/>
        </w:tblCellMar>
        <w:tblLook w:val="04A0"/>
      </w:tblPr>
      <w:tblGrid>
        <w:gridCol w:w="999"/>
        <w:gridCol w:w="1976"/>
        <w:gridCol w:w="4613"/>
        <w:gridCol w:w="990"/>
        <w:gridCol w:w="945"/>
        <w:gridCol w:w="10"/>
        <w:gridCol w:w="3234"/>
        <w:gridCol w:w="1361"/>
      </w:tblGrid>
      <w:tr w:rsidR="0059130C">
        <w:trPr>
          <w:trHeight w:val="640"/>
          <w:jc w:val="center"/>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61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9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94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244" w:type="dxa"/>
            <w:gridSpan w:val="2"/>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1417"/>
          <w:jc w:val="center"/>
        </w:trPr>
        <w:tc>
          <w:tcPr>
            <w:tcW w:w="999" w:type="dxa"/>
            <w:vMerge w:val="restart"/>
            <w:tcBorders>
              <w:top w:val="single" w:sz="4" w:space="0" w:color="000000"/>
              <w:left w:val="single" w:sz="4" w:space="0" w:color="000000"/>
              <w:right w:val="single" w:sz="4" w:space="0" w:color="000000"/>
            </w:tcBorders>
            <w:vAlign w:val="center"/>
          </w:tcPr>
          <w:p w:rsidR="0059130C" w:rsidRDefault="002E22CA">
            <w:pPr>
              <w:overflowPunct w:val="0"/>
              <w:snapToGrid w:val="0"/>
              <w:spacing w:line="240" w:lineRule="exact"/>
              <w:jc w:val="center"/>
              <w:rPr>
                <w:rFonts w:ascii="仿宋_GB2312" w:eastAsia="仿宋_GB2312" w:hAnsi="仿宋_GB2312" w:cs="仿宋_GB2312"/>
                <w:szCs w:val="21"/>
              </w:rPr>
            </w:pPr>
            <w:r>
              <w:rPr>
                <w:rFonts w:ascii="仿宋_GB2312" w:eastAsia="仿宋_GB2312" w:hAnsi="仿宋_GB2312" w:cs="仿宋_GB2312" w:hint="eastAsia"/>
                <w:szCs w:val="21"/>
              </w:rPr>
              <w:t>61</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overflowPunct w:val="0"/>
              <w:snapToGrid w:val="0"/>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拒绝监督检查或者隐匿有关资料或瞒报、谎报有关情况的处罚</w:t>
            </w:r>
          </w:p>
          <w:p w:rsidR="0059130C" w:rsidRDefault="00E9165C">
            <w:pPr>
              <w:overflowPunct w:val="0"/>
              <w:snapToGrid w:val="0"/>
              <w:spacing w:line="240" w:lineRule="exact"/>
              <w:rPr>
                <w:rFonts w:ascii="仿宋_GB2312" w:eastAsia="仿宋_GB2312" w:hAnsi="仿宋_GB2312" w:cs="仿宋_GB2312"/>
                <w:szCs w:val="21"/>
                <w:u w:val="single"/>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为：</w:t>
            </w:r>
            <w:r w:rsidR="002E22CA">
              <w:rPr>
                <w:rFonts w:ascii="仿宋_GB2312" w:eastAsia="仿宋_GB2312" w:hAnsi="仿宋_GB2312" w:cs="仿宋_GB2312" w:hint="eastAsia"/>
                <w:szCs w:val="21"/>
                <w:u w:val="single"/>
              </w:rPr>
              <w:t>拒绝监督检查或者隐匿有关资料或瞒报、谎报有关情况的行政检查</w:t>
            </w:r>
          </w:p>
          <w:p w:rsidR="0059130C" w:rsidRDefault="0059130C">
            <w:pPr>
              <w:overflowPunct w:val="0"/>
              <w:snapToGrid w:val="0"/>
              <w:spacing w:line="240" w:lineRule="exact"/>
              <w:rPr>
                <w:rFonts w:ascii="仿宋_GB2312" w:eastAsia="仿宋_GB2312" w:hAnsi="仿宋_GB2312" w:cs="仿宋_GB2312"/>
                <w:szCs w:val="21"/>
              </w:rPr>
            </w:pPr>
          </w:p>
        </w:tc>
        <w:tc>
          <w:tcPr>
            <w:tcW w:w="4613" w:type="dxa"/>
            <w:vMerge w:val="restart"/>
            <w:tcBorders>
              <w:top w:val="single" w:sz="4" w:space="0" w:color="000000"/>
              <w:left w:val="single" w:sz="4" w:space="0" w:color="000000"/>
              <w:right w:val="single" w:sz="4" w:space="0" w:color="000000"/>
            </w:tcBorders>
            <w:vAlign w:val="center"/>
          </w:tcPr>
          <w:p w:rsidR="0059130C" w:rsidRDefault="002E22CA">
            <w:pPr>
              <w:overflowPunct w:val="0"/>
              <w:snapToGrid w:val="0"/>
              <w:spacing w:line="240" w:lineRule="exact"/>
              <w:rPr>
                <w:rFonts w:ascii="仿宋_GB2312" w:eastAsia="仿宋_GB2312" w:hAnsi="仿宋_GB2312" w:cs="仿宋_GB2312"/>
                <w:kern w:val="0"/>
                <w:szCs w:val="21"/>
                <w:lang/>
              </w:rPr>
            </w:pPr>
            <w:r>
              <w:rPr>
                <w:rStyle w:val="a8"/>
                <w:rFonts w:ascii="仿宋_GB2312" w:eastAsia="仿宋_GB2312" w:hAnsi="仿宋_GB2312" w:cs="仿宋_GB2312" w:hint="eastAsia"/>
                <w:b w:val="0"/>
                <w:kern w:val="0"/>
                <w:szCs w:val="21"/>
                <w:shd w:val="clear" w:color="auto" w:fill="FFFFFF"/>
                <w:lang/>
              </w:rPr>
              <w:t>国内水路运输管理规定</w:t>
            </w:r>
            <w:proofErr w:type="gramStart"/>
            <w:r>
              <w:rPr>
                <w:rStyle w:val="a8"/>
                <w:rFonts w:ascii="仿宋_GB2312" w:eastAsia="仿宋_GB2312" w:hAnsi="仿宋_GB2312" w:cs="仿宋_GB2312" w:hint="eastAsia"/>
                <w:b w:val="0"/>
                <w:kern w:val="0"/>
                <w:szCs w:val="21"/>
                <w:shd w:val="clear" w:color="auto" w:fill="FFFFFF"/>
                <w:lang/>
              </w:rPr>
              <w:t>》</w:t>
            </w:r>
            <w:proofErr w:type="gramEnd"/>
            <w:r>
              <w:rPr>
                <w:rStyle w:val="a8"/>
                <w:rFonts w:ascii="仿宋_GB2312" w:eastAsia="仿宋_GB2312" w:hAnsi="仿宋_GB2312" w:cs="仿宋_GB2312" w:hint="eastAsia"/>
                <w:b w:val="0"/>
                <w:kern w:val="0"/>
                <w:szCs w:val="21"/>
                <w:shd w:val="clear" w:color="auto" w:fill="FFFFFF"/>
                <w:lang/>
              </w:rPr>
              <w:t>（交通运输部令2020年第4号）</w:t>
            </w:r>
            <w:r>
              <w:rPr>
                <w:rFonts w:ascii="仿宋_GB2312" w:eastAsia="仿宋_GB2312" w:hAnsi="仿宋_GB2312" w:cs="仿宋_GB2312" w:hint="eastAsia"/>
                <w:spacing w:val="8"/>
                <w:szCs w:val="21"/>
                <w:shd w:val="clear" w:color="auto" w:fill="FFFFFF"/>
              </w:rPr>
              <w:t>第五十二条：</w:t>
            </w:r>
            <w:proofErr w:type="gramStart"/>
            <w:r>
              <w:rPr>
                <w:rFonts w:ascii="仿宋_GB2312" w:eastAsia="仿宋_GB2312" w:hAnsi="仿宋_GB2312" w:cs="仿宋_GB2312" w:hint="eastAsia"/>
                <w:spacing w:val="8"/>
                <w:szCs w:val="21"/>
                <w:shd w:val="clear" w:color="auto" w:fill="FFFFFF"/>
              </w:rPr>
              <w:t>“</w:t>
            </w:r>
            <w:proofErr w:type="gramEnd"/>
            <w:r>
              <w:rPr>
                <w:rFonts w:ascii="仿宋_GB2312" w:eastAsia="仿宋_GB2312" w:hAnsi="仿宋_GB2312" w:cs="仿宋_GB2312" w:hint="eastAsia"/>
                <w:spacing w:val="8"/>
                <w:szCs w:val="21"/>
                <w:shd w:val="clear" w:color="auto" w:fill="FFFFFF"/>
              </w:rPr>
              <w:t>水路运输经营者拒绝管理部门根据</w:t>
            </w:r>
            <w:r>
              <w:rPr>
                <w:rStyle w:val="a8"/>
                <w:rFonts w:ascii="仿宋_GB2312" w:eastAsia="仿宋_GB2312" w:hAnsi="仿宋_GB2312" w:cs="仿宋_GB2312" w:hint="eastAsia"/>
                <w:b w:val="0"/>
                <w:kern w:val="0"/>
                <w:szCs w:val="21"/>
                <w:shd w:val="clear" w:color="auto" w:fill="FFFFFF"/>
                <w:lang/>
              </w:rPr>
              <w:t>《国内水路运输管理规定》（交通运输部令2020年第4号）</w:t>
            </w:r>
            <w:r>
              <w:rPr>
                <w:rFonts w:ascii="仿宋_GB2312" w:eastAsia="仿宋_GB2312" w:hAnsi="仿宋_GB2312" w:cs="仿宋_GB2312" w:hint="eastAsia"/>
                <w:spacing w:val="8"/>
                <w:szCs w:val="21"/>
                <w:shd w:val="clear" w:color="auto" w:fill="FFFFFF"/>
              </w:rPr>
              <w:t>第五十二条：“水路运输经营者拒绝管理部门根据本规定进行的监督检查或者隐匿有关资料或瞒报、谎报有关情况的，由其所在地县级以上人民政府水路运输管理部门责令改正。”本规定进行的监督检查或者隐匿有关资料或瞒报、谎报有关情况的，由其所在地县级以上人民政府水路运输管理部门责令改正。</w:t>
            </w:r>
            <w:proofErr w:type="gramStart"/>
            <w:r>
              <w:rPr>
                <w:rFonts w:ascii="仿宋_GB2312" w:eastAsia="仿宋_GB2312" w:hAnsi="仿宋_GB2312" w:cs="仿宋_GB2312" w:hint="eastAsia"/>
                <w:spacing w:val="8"/>
                <w:szCs w:val="21"/>
                <w:shd w:val="clear" w:color="auto" w:fill="FFFFFF"/>
              </w:rPr>
              <w:t>”</w:t>
            </w:r>
            <w:proofErr w:type="gramEnd"/>
          </w:p>
        </w:tc>
        <w:tc>
          <w:tcPr>
            <w:tcW w:w="990"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r w:rsidR="00E9165C">
              <w:rPr>
                <w:rFonts w:ascii="仿宋_GB2312" w:eastAsia="仿宋_GB2312" w:hAnsi="仿宋_GB2312" w:cs="仿宋_GB2312" w:hint="eastAsia"/>
                <w:kern w:val="0"/>
                <w:szCs w:val="21"/>
                <w:lang/>
              </w:rPr>
              <w:t>调整</w:t>
            </w:r>
            <w:r>
              <w:rPr>
                <w:rFonts w:ascii="仿宋_GB2312" w:eastAsia="仿宋_GB2312" w:hAnsi="仿宋_GB2312" w:cs="仿宋_GB2312" w:hint="eastAsia"/>
                <w:kern w:val="0"/>
                <w:szCs w:val="21"/>
                <w:lang/>
              </w:rPr>
              <w:t>为：</w:t>
            </w:r>
            <w:r>
              <w:rPr>
                <w:rFonts w:ascii="仿宋_GB2312" w:eastAsia="仿宋_GB2312" w:hAnsi="仿宋_GB2312" w:cs="仿宋_GB2312" w:hint="eastAsia"/>
                <w:kern w:val="0"/>
                <w:szCs w:val="21"/>
                <w:u w:val="single"/>
                <w:lang/>
              </w:rPr>
              <w:t>行政检查</w:t>
            </w:r>
          </w:p>
        </w:tc>
        <w:tc>
          <w:tcPr>
            <w:tcW w:w="945" w:type="dxa"/>
            <w:tcBorders>
              <w:top w:val="single" w:sz="4" w:space="0" w:color="000000"/>
              <w:left w:val="single" w:sz="4" w:space="0" w:color="000000"/>
              <w:bottom w:val="single" w:sz="4" w:space="0" w:color="auto"/>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受理</w:t>
            </w:r>
          </w:p>
        </w:tc>
        <w:tc>
          <w:tcPr>
            <w:tcW w:w="3244" w:type="dxa"/>
            <w:gridSpan w:val="2"/>
            <w:tcBorders>
              <w:top w:val="single" w:sz="4" w:space="0" w:color="000000"/>
              <w:left w:val="single" w:sz="4" w:space="0" w:color="000000"/>
              <w:bottom w:val="single" w:sz="4" w:space="0" w:color="auto"/>
              <w:right w:val="single" w:sz="4" w:space="0" w:color="000000"/>
            </w:tcBorders>
            <w:vAlign w:val="center"/>
          </w:tcPr>
          <w:p w:rsidR="0059130C" w:rsidRDefault="002E22CA">
            <w:pPr>
              <w:widowControl/>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1.受理责任：受理社会团体报送的年度检查报告书，对其材料的齐全性、内容的完整性进行查验。符合要求的，直接受理。不符合要求的，一次性告之原因及所补材料。</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1417"/>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审查</w:t>
            </w:r>
          </w:p>
        </w:tc>
        <w:tc>
          <w:tcPr>
            <w:tcW w:w="3244" w:type="dxa"/>
            <w:gridSpan w:val="2"/>
            <w:tcBorders>
              <w:top w:val="single" w:sz="4" w:space="0" w:color="auto"/>
              <w:left w:val="single" w:sz="4" w:space="0" w:color="000000"/>
              <w:bottom w:val="single" w:sz="4" w:space="0" w:color="auto"/>
              <w:right w:val="single" w:sz="4" w:space="0" w:color="000000"/>
            </w:tcBorders>
            <w:vAlign w:val="center"/>
          </w:tcPr>
          <w:p w:rsidR="0059130C" w:rsidRDefault="002E22CA">
            <w:pPr>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2.审查责任：对社会团体提交的年度检查报告书进行初审，提出初审意见，报分管领导签批。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1417"/>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决定</w:t>
            </w:r>
          </w:p>
        </w:tc>
        <w:tc>
          <w:tcPr>
            <w:tcW w:w="3244" w:type="dxa"/>
            <w:gridSpan w:val="2"/>
            <w:tcBorders>
              <w:top w:val="single" w:sz="4" w:space="0" w:color="auto"/>
              <w:left w:val="single" w:sz="4" w:space="0" w:color="000000"/>
              <w:bottom w:val="single" w:sz="4" w:space="0" w:color="auto"/>
              <w:right w:val="single" w:sz="4" w:space="0" w:color="000000"/>
            </w:tcBorders>
            <w:vAlign w:val="center"/>
          </w:tcPr>
          <w:p w:rsidR="0059130C" w:rsidRDefault="002E22CA">
            <w:pPr>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3.决定责任：</w:t>
            </w:r>
            <w:proofErr w:type="gramStart"/>
            <w:r>
              <w:rPr>
                <w:rFonts w:ascii="仿宋_GB2312" w:eastAsia="仿宋_GB2312" w:hAnsi="仿宋_GB2312" w:cs="仿宋_GB2312" w:hint="eastAsia"/>
                <w:kern w:val="0"/>
                <w:szCs w:val="21"/>
              </w:rPr>
              <w:t>作出</w:t>
            </w:r>
            <w:proofErr w:type="gramEnd"/>
            <w:r>
              <w:rPr>
                <w:rFonts w:ascii="仿宋_GB2312" w:eastAsia="仿宋_GB2312" w:hAnsi="仿宋_GB2312" w:cs="仿宋_GB2312" w:hint="eastAsia"/>
                <w:kern w:val="0"/>
                <w:szCs w:val="21"/>
              </w:rPr>
              <w:t>年度检查结论。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1417"/>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送达</w:t>
            </w:r>
          </w:p>
        </w:tc>
        <w:tc>
          <w:tcPr>
            <w:tcW w:w="3244" w:type="dxa"/>
            <w:gridSpan w:val="2"/>
            <w:tcBorders>
              <w:top w:val="single" w:sz="4" w:space="0" w:color="auto"/>
              <w:left w:val="single" w:sz="4" w:space="0" w:color="000000"/>
              <w:bottom w:val="single" w:sz="4" w:space="0" w:color="auto"/>
              <w:right w:val="single" w:sz="4" w:space="0" w:color="000000"/>
            </w:tcBorders>
            <w:vAlign w:val="center"/>
          </w:tcPr>
          <w:p w:rsidR="0059130C" w:rsidRDefault="002E22CA">
            <w:pPr>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4.送达责任：服务窗口根据网上平台指令，送达年度检查报告书。</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1417"/>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55" w:type="dxa"/>
            <w:gridSpan w:val="2"/>
            <w:tcBorders>
              <w:top w:val="single" w:sz="4" w:space="0" w:color="auto"/>
              <w:left w:val="single" w:sz="4" w:space="0" w:color="000000"/>
              <w:bottom w:val="single" w:sz="4" w:space="0" w:color="000000"/>
              <w:right w:val="single" w:sz="4" w:space="0" w:color="auto"/>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事后管理</w:t>
            </w:r>
          </w:p>
        </w:tc>
        <w:tc>
          <w:tcPr>
            <w:tcW w:w="3234" w:type="dxa"/>
            <w:tcBorders>
              <w:top w:val="single" w:sz="4" w:space="0" w:color="auto"/>
              <w:left w:val="single" w:sz="4" w:space="0" w:color="auto"/>
              <w:bottom w:val="single" w:sz="4" w:space="0" w:color="000000"/>
              <w:right w:val="single" w:sz="4" w:space="0" w:color="000000"/>
            </w:tcBorders>
            <w:vAlign w:val="center"/>
          </w:tcPr>
          <w:p w:rsidR="0059130C" w:rsidRDefault="002E22CA">
            <w:pPr>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5.事后管理责任：对</w:t>
            </w:r>
            <w:proofErr w:type="gramStart"/>
            <w:r>
              <w:rPr>
                <w:rFonts w:ascii="仿宋_GB2312" w:eastAsia="仿宋_GB2312" w:hAnsi="仿宋_GB2312" w:cs="仿宋_GB2312" w:hint="eastAsia"/>
                <w:kern w:val="0"/>
                <w:szCs w:val="21"/>
              </w:rPr>
              <w:t>作出</w:t>
            </w:r>
            <w:proofErr w:type="gramEnd"/>
            <w:r>
              <w:rPr>
                <w:rFonts w:ascii="仿宋_GB2312" w:eastAsia="仿宋_GB2312" w:hAnsi="仿宋_GB2312" w:cs="仿宋_GB2312" w:hint="eastAsia"/>
                <w:kern w:val="0"/>
                <w:szCs w:val="21"/>
              </w:rPr>
              <w:t>年度检查结论的材料归档和信息公开。</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633"/>
          <w:jc w:val="center"/>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7"/>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情况：调整项目名称、职权类别</w:t>
            </w:r>
          </w:p>
        </w:tc>
      </w:tr>
      <w:tr w:rsidR="0059130C">
        <w:trPr>
          <w:trHeight w:val="743"/>
          <w:jc w:val="center"/>
        </w:trPr>
        <w:tc>
          <w:tcPr>
            <w:tcW w:w="999"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7"/>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原因：将原事项“拒绝监督检查或者隐匿有关资料或瞒报、谎报有关情况的处罚”调整为“拒绝监督检查或者隐匿有关资料或瞒报、谎报有关情况的行政检查”</w:t>
            </w:r>
          </w:p>
        </w:tc>
      </w:tr>
      <w:tr w:rsidR="0059130C">
        <w:trPr>
          <w:trHeight w:val="640"/>
          <w:jc w:val="center"/>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61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9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94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244" w:type="dxa"/>
            <w:gridSpan w:val="2"/>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1474"/>
          <w:jc w:val="center"/>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62</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overflowPunct w:val="0"/>
              <w:snapToGrid w:val="0"/>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道路运输经营者未按照要求对车辆安装卫星定位装置，或者已安装卫星定位装置但未能在联网联控系统（重型载货汽车和半挂牵引车未能在道路货运车辆公共平台）正常显示的处罚</w:t>
            </w:r>
          </w:p>
          <w:p w:rsidR="0059130C" w:rsidRDefault="00E9165C">
            <w:pPr>
              <w:overflowPunct w:val="0"/>
              <w:snapToGrid w:val="0"/>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为：</w:t>
            </w:r>
            <w:r w:rsidR="002E22CA">
              <w:rPr>
                <w:rFonts w:ascii="仿宋_GB2312" w:eastAsia="仿宋_GB2312" w:hAnsi="仿宋_GB2312" w:cs="仿宋_GB2312" w:hint="eastAsia"/>
                <w:szCs w:val="21"/>
                <w:u w:val="single"/>
              </w:rPr>
              <w:t>道路运输经营者未按照要求对车辆安装卫星定位装置，或者已安装卫星定位装置但未能在联网联控系统（重型载货汽车和半挂牵引车未能在道路货运车辆公共平台）正常显示的行政检查</w:t>
            </w:r>
          </w:p>
        </w:tc>
        <w:tc>
          <w:tcPr>
            <w:tcW w:w="4613" w:type="dxa"/>
            <w:vMerge w:val="restart"/>
            <w:tcBorders>
              <w:top w:val="single" w:sz="4" w:space="0" w:color="000000"/>
              <w:left w:val="single" w:sz="4" w:space="0" w:color="000000"/>
              <w:right w:val="single" w:sz="4" w:space="0" w:color="000000"/>
            </w:tcBorders>
            <w:vAlign w:val="center"/>
          </w:tcPr>
          <w:p w:rsidR="0059130C" w:rsidRDefault="002E22CA">
            <w:pPr>
              <w:overflowPunct w:val="0"/>
              <w:snapToGrid w:val="0"/>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《道路运输车辆动态监督管理办法》（中华人民共和国交通运输部 中华人民共和国公安部 中华人民共和国应急管理部令2022年第10号）第三十四条：“道路运输管理机构对未按照要求安装卫星定位装置，或者已安装卫星定位装置但未能在联网联控系统（重型载货汽车和半挂牵引车未能在道路货运车辆公共平台）正常显示的车辆，不予发放或者审验《道路运输证》。”</w:t>
            </w:r>
          </w:p>
        </w:tc>
        <w:tc>
          <w:tcPr>
            <w:tcW w:w="990"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r w:rsidR="00E9165C">
              <w:rPr>
                <w:rFonts w:ascii="仿宋_GB2312" w:eastAsia="仿宋_GB2312" w:hAnsi="仿宋_GB2312" w:cs="仿宋_GB2312" w:hint="eastAsia"/>
                <w:kern w:val="0"/>
                <w:szCs w:val="21"/>
                <w:lang/>
              </w:rPr>
              <w:t>调整</w:t>
            </w:r>
            <w:r>
              <w:rPr>
                <w:rFonts w:ascii="仿宋_GB2312" w:eastAsia="仿宋_GB2312" w:hAnsi="仿宋_GB2312" w:cs="仿宋_GB2312" w:hint="eastAsia"/>
                <w:kern w:val="0"/>
                <w:szCs w:val="21"/>
                <w:lang/>
              </w:rPr>
              <w:t>为：</w:t>
            </w:r>
            <w:r>
              <w:rPr>
                <w:rFonts w:ascii="仿宋_GB2312" w:eastAsia="仿宋_GB2312" w:hAnsi="仿宋_GB2312" w:cs="仿宋_GB2312" w:hint="eastAsia"/>
                <w:kern w:val="0"/>
                <w:szCs w:val="21"/>
                <w:u w:val="single"/>
                <w:lang/>
              </w:rPr>
              <w:t>行政检查</w:t>
            </w:r>
          </w:p>
        </w:tc>
        <w:tc>
          <w:tcPr>
            <w:tcW w:w="945" w:type="dxa"/>
            <w:tcBorders>
              <w:top w:val="single" w:sz="4" w:space="0" w:color="000000"/>
              <w:left w:val="single" w:sz="4" w:space="0" w:color="000000"/>
              <w:bottom w:val="single" w:sz="4" w:space="0" w:color="auto"/>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受理</w:t>
            </w:r>
          </w:p>
        </w:tc>
        <w:tc>
          <w:tcPr>
            <w:tcW w:w="3244" w:type="dxa"/>
            <w:gridSpan w:val="2"/>
            <w:tcBorders>
              <w:top w:val="single" w:sz="4" w:space="0" w:color="000000"/>
              <w:left w:val="single" w:sz="4" w:space="0" w:color="000000"/>
              <w:bottom w:val="single" w:sz="4" w:space="0" w:color="auto"/>
              <w:right w:val="single" w:sz="4" w:space="0" w:color="000000"/>
            </w:tcBorders>
            <w:vAlign w:val="center"/>
          </w:tcPr>
          <w:p w:rsidR="0059130C" w:rsidRDefault="002E22CA">
            <w:pPr>
              <w:widowControl/>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1.受理责任：受理社会团体报送的年度检查报告书，对其材料的齐全性、内容的完整性进行查验。符合要求的，直接受理。不符合要求的，一次性告之原因及所补材料。</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1474"/>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审查</w:t>
            </w:r>
          </w:p>
        </w:tc>
        <w:tc>
          <w:tcPr>
            <w:tcW w:w="3244" w:type="dxa"/>
            <w:gridSpan w:val="2"/>
            <w:tcBorders>
              <w:top w:val="single" w:sz="4" w:space="0" w:color="auto"/>
              <w:left w:val="single" w:sz="4" w:space="0" w:color="000000"/>
              <w:bottom w:val="single" w:sz="4" w:space="0" w:color="auto"/>
              <w:right w:val="single" w:sz="4" w:space="0" w:color="000000"/>
            </w:tcBorders>
            <w:vAlign w:val="center"/>
          </w:tcPr>
          <w:p w:rsidR="0059130C" w:rsidRDefault="002E22CA">
            <w:pPr>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2.审查责任：对社会团体提交的年度检查报告书进行初审，提出初审意见，报分管领导签批。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1474"/>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决定</w:t>
            </w:r>
          </w:p>
        </w:tc>
        <w:tc>
          <w:tcPr>
            <w:tcW w:w="3244" w:type="dxa"/>
            <w:gridSpan w:val="2"/>
            <w:tcBorders>
              <w:top w:val="single" w:sz="4" w:space="0" w:color="auto"/>
              <w:left w:val="single" w:sz="4" w:space="0" w:color="000000"/>
              <w:bottom w:val="single" w:sz="4" w:space="0" w:color="auto"/>
              <w:right w:val="single" w:sz="4" w:space="0" w:color="000000"/>
            </w:tcBorders>
            <w:vAlign w:val="center"/>
          </w:tcPr>
          <w:p w:rsidR="0059130C" w:rsidRDefault="002E22CA">
            <w:pPr>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3.决定责任：</w:t>
            </w:r>
            <w:proofErr w:type="gramStart"/>
            <w:r>
              <w:rPr>
                <w:rFonts w:ascii="仿宋_GB2312" w:eastAsia="仿宋_GB2312" w:hAnsi="仿宋_GB2312" w:cs="仿宋_GB2312" w:hint="eastAsia"/>
                <w:kern w:val="0"/>
                <w:szCs w:val="21"/>
              </w:rPr>
              <w:t>作出</w:t>
            </w:r>
            <w:proofErr w:type="gramEnd"/>
            <w:r>
              <w:rPr>
                <w:rFonts w:ascii="仿宋_GB2312" w:eastAsia="仿宋_GB2312" w:hAnsi="仿宋_GB2312" w:cs="仿宋_GB2312" w:hint="eastAsia"/>
                <w:kern w:val="0"/>
                <w:szCs w:val="21"/>
              </w:rPr>
              <w:t>年度检查结论。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1474"/>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送达</w:t>
            </w:r>
          </w:p>
        </w:tc>
        <w:tc>
          <w:tcPr>
            <w:tcW w:w="3244" w:type="dxa"/>
            <w:gridSpan w:val="2"/>
            <w:tcBorders>
              <w:top w:val="single" w:sz="4" w:space="0" w:color="auto"/>
              <w:left w:val="single" w:sz="4" w:space="0" w:color="000000"/>
              <w:bottom w:val="single" w:sz="4" w:space="0" w:color="auto"/>
              <w:right w:val="single" w:sz="4" w:space="0" w:color="000000"/>
            </w:tcBorders>
            <w:vAlign w:val="center"/>
          </w:tcPr>
          <w:p w:rsidR="0059130C" w:rsidRDefault="002E22CA">
            <w:pPr>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4.送达责任：服务窗口根据网上平台指令，送达年度检查报告书。</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1071"/>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000000"/>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事后管理</w:t>
            </w:r>
          </w:p>
        </w:tc>
        <w:tc>
          <w:tcPr>
            <w:tcW w:w="3244" w:type="dxa"/>
            <w:gridSpan w:val="2"/>
            <w:tcBorders>
              <w:top w:val="single" w:sz="4" w:space="0" w:color="auto"/>
              <w:left w:val="single" w:sz="4" w:space="0" w:color="000000"/>
              <w:bottom w:val="single" w:sz="4" w:space="0" w:color="000000"/>
              <w:right w:val="single" w:sz="4" w:space="0" w:color="000000"/>
            </w:tcBorders>
            <w:vAlign w:val="center"/>
          </w:tcPr>
          <w:p w:rsidR="0059130C" w:rsidRDefault="002E22CA">
            <w:pPr>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5.事后管理责任：对</w:t>
            </w:r>
            <w:proofErr w:type="gramStart"/>
            <w:r>
              <w:rPr>
                <w:rFonts w:ascii="仿宋_GB2312" w:eastAsia="仿宋_GB2312" w:hAnsi="仿宋_GB2312" w:cs="仿宋_GB2312" w:hint="eastAsia"/>
                <w:kern w:val="0"/>
                <w:szCs w:val="21"/>
              </w:rPr>
              <w:t>作出</w:t>
            </w:r>
            <w:proofErr w:type="gramEnd"/>
            <w:r>
              <w:rPr>
                <w:rFonts w:ascii="仿宋_GB2312" w:eastAsia="仿宋_GB2312" w:hAnsi="仿宋_GB2312" w:cs="仿宋_GB2312" w:hint="eastAsia"/>
                <w:kern w:val="0"/>
                <w:szCs w:val="21"/>
              </w:rPr>
              <w:t>年度检查结论的材料归档和信息公开。</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353"/>
          <w:jc w:val="center"/>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7"/>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情况：调整项目名称、职权类别</w:t>
            </w:r>
          </w:p>
        </w:tc>
      </w:tr>
      <w:tr w:rsidR="0059130C">
        <w:trPr>
          <w:trHeight w:val="973"/>
          <w:jc w:val="center"/>
        </w:trPr>
        <w:tc>
          <w:tcPr>
            <w:tcW w:w="999"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7"/>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将原事项“道路运输经营者未按照要求对车辆安装卫星定位装置，或者已安装卫星定位装置但未能在联网联控系统（重型载货汽车和半挂牵引车未能在道路货运车辆公共平台）正常显示的处罚”调整为“道路运输经营者未按照要求对车辆安装卫星定位装置，或者已安装卫星定位装置但未能在联网联控系统（重型载货汽车和半挂牵引车未能在道路货运车辆公共平台）正常显示的行政检查”</w:t>
            </w:r>
          </w:p>
        </w:tc>
      </w:tr>
      <w:tr w:rsidR="0059130C">
        <w:trPr>
          <w:trHeight w:val="640"/>
          <w:jc w:val="center"/>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61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9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94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244" w:type="dxa"/>
            <w:gridSpan w:val="2"/>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1474"/>
          <w:jc w:val="center"/>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63</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pStyle w:val="a6"/>
              <w:overflowPunct w:val="0"/>
              <w:snapToGrid w:val="0"/>
              <w:spacing w:beforeAutospacing="0" w:afterAutospacing="0" w:line="240" w:lineRule="exact"/>
              <w:rPr>
                <w:rFonts w:ascii="仿宋_GB2312" w:eastAsia="仿宋_GB2312" w:hAnsi="仿宋_GB2312" w:cs="仿宋_GB2312"/>
                <w:kern w:val="2"/>
                <w:sz w:val="21"/>
                <w:szCs w:val="21"/>
              </w:rPr>
            </w:pPr>
            <w:r>
              <w:rPr>
                <w:rFonts w:ascii="仿宋_GB2312" w:eastAsia="仿宋_GB2312" w:hAnsi="仿宋_GB2312" w:cs="仿宋_GB2312" w:hint="eastAsia"/>
                <w:kern w:val="2"/>
                <w:sz w:val="21"/>
                <w:szCs w:val="21"/>
              </w:rPr>
              <w:t>水路运输经营者未按照本规定要求配备海</w:t>
            </w:r>
            <w:proofErr w:type="gramStart"/>
            <w:r>
              <w:rPr>
                <w:rFonts w:ascii="仿宋_GB2312" w:eastAsia="仿宋_GB2312" w:hAnsi="仿宋_GB2312" w:cs="仿宋_GB2312" w:hint="eastAsia"/>
                <w:kern w:val="2"/>
                <w:sz w:val="21"/>
                <w:szCs w:val="21"/>
              </w:rPr>
              <w:t>务</w:t>
            </w:r>
            <w:proofErr w:type="gramEnd"/>
            <w:r>
              <w:rPr>
                <w:rFonts w:ascii="仿宋_GB2312" w:eastAsia="仿宋_GB2312" w:hAnsi="仿宋_GB2312" w:cs="仿宋_GB2312" w:hint="eastAsia"/>
                <w:kern w:val="2"/>
                <w:sz w:val="21"/>
                <w:szCs w:val="21"/>
              </w:rPr>
              <w:t>、机务管理人员的处罚</w:t>
            </w:r>
          </w:p>
          <w:p w:rsidR="0059130C" w:rsidRDefault="00E9165C">
            <w:pPr>
              <w:pStyle w:val="a6"/>
              <w:overflowPunct w:val="0"/>
              <w:snapToGrid w:val="0"/>
              <w:spacing w:beforeAutospacing="0" w:afterAutospacing="0" w:line="240" w:lineRule="exact"/>
              <w:rPr>
                <w:rFonts w:ascii="仿宋_GB2312" w:eastAsia="仿宋_GB2312" w:hAnsi="仿宋_GB2312" w:cs="仿宋_GB2312"/>
                <w:kern w:val="2"/>
                <w:sz w:val="21"/>
                <w:szCs w:val="21"/>
              </w:rPr>
            </w:pPr>
            <w:r>
              <w:rPr>
                <w:rFonts w:ascii="仿宋_GB2312" w:eastAsia="仿宋_GB2312" w:hAnsi="仿宋_GB2312" w:cs="仿宋_GB2312" w:hint="eastAsia"/>
                <w:kern w:val="2"/>
                <w:sz w:val="21"/>
                <w:szCs w:val="21"/>
              </w:rPr>
              <w:t>调整</w:t>
            </w:r>
            <w:r w:rsidR="002E22CA">
              <w:rPr>
                <w:rFonts w:ascii="仿宋_GB2312" w:eastAsia="仿宋_GB2312" w:hAnsi="仿宋_GB2312" w:cs="仿宋_GB2312" w:hint="eastAsia"/>
                <w:kern w:val="2"/>
                <w:sz w:val="21"/>
                <w:szCs w:val="21"/>
              </w:rPr>
              <w:t>为：</w:t>
            </w:r>
            <w:r w:rsidR="002E22CA">
              <w:rPr>
                <w:rFonts w:ascii="仿宋_GB2312" w:eastAsia="仿宋_GB2312" w:hAnsi="仿宋_GB2312" w:cs="仿宋_GB2312" w:hint="eastAsia"/>
                <w:kern w:val="2"/>
                <w:sz w:val="21"/>
                <w:szCs w:val="21"/>
                <w:u w:val="single"/>
              </w:rPr>
              <w:t>水路运输经营者未按照本规定要求配备海</w:t>
            </w:r>
            <w:proofErr w:type="gramStart"/>
            <w:r w:rsidR="002E22CA">
              <w:rPr>
                <w:rFonts w:ascii="仿宋_GB2312" w:eastAsia="仿宋_GB2312" w:hAnsi="仿宋_GB2312" w:cs="仿宋_GB2312" w:hint="eastAsia"/>
                <w:kern w:val="2"/>
                <w:sz w:val="21"/>
                <w:szCs w:val="21"/>
                <w:u w:val="single"/>
              </w:rPr>
              <w:t>务</w:t>
            </w:r>
            <w:proofErr w:type="gramEnd"/>
            <w:r w:rsidR="002E22CA">
              <w:rPr>
                <w:rFonts w:ascii="仿宋_GB2312" w:eastAsia="仿宋_GB2312" w:hAnsi="仿宋_GB2312" w:cs="仿宋_GB2312" w:hint="eastAsia"/>
                <w:kern w:val="2"/>
                <w:sz w:val="21"/>
                <w:szCs w:val="21"/>
                <w:u w:val="single"/>
              </w:rPr>
              <w:t>、机务管理人员的行政检查</w:t>
            </w:r>
          </w:p>
        </w:tc>
        <w:tc>
          <w:tcPr>
            <w:tcW w:w="4613" w:type="dxa"/>
            <w:vMerge w:val="restart"/>
            <w:tcBorders>
              <w:top w:val="single" w:sz="4" w:space="0" w:color="000000"/>
              <w:left w:val="single" w:sz="4" w:space="0" w:color="000000"/>
              <w:right w:val="single" w:sz="4" w:space="0" w:color="000000"/>
            </w:tcBorders>
            <w:vAlign w:val="center"/>
          </w:tcPr>
          <w:p w:rsidR="0059130C" w:rsidRDefault="002E22CA">
            <w:pPr>
              <w:pStyle w:val="a6"/>
              <w:overflowPunct w:val="0"/>
              <w:snapToGrid w:val="0"/>
              <w:spacing w:beforeAutospacing="0" w:afterAutospacing="0" w:line="240" w:lineRule="exact"/>
              <w:rPr>
                <w:rFonts w:ascii="仿宋_GB2312" w:eastAsia="仿宋_GB2312" w:hAnsi="仿宋_GB2312" w:cs="仿宋_GB2312"/>
                <w:kern w:val="2"/>
                <w:sz w:val="21"/>
                <w:szCs w:val="21"/>
              </w:rPr>
            </w:pPr>
            <w:r>
              <w:rPr>
                <w:rFonts w:ascii="仿宋_GB2312" w:eastAsia="仿宋_GB2312" w:hAnsi="仿宋_GB2312" w:cs="仿宋_GB2312" w:hint="eastAsia"/>
                <w:kern w:val="2"/>
                <w:sz w:val="21"/>
                <w:szCs w:val="21"/>
              </w:rPr>
              <w:t>《国内水路运输管理规定》（交通运输部令2020年第4号）第四十八条：“水路运输经营者未按照本规定要求配备海</w:t>
            </w:r>
            <w:proofErr w:type="gramStart"/>
            <w:r>
              <w:rPr>
                <w:rFonts w:ascii="仿宋_GB2312" w:eastAsia="仿宋_GB2312" w:hAnsi="仿宋_GB2312" w:cs="仿宋_GB2312" w:hint="eastAsia"/>
                <w:kern w:val="2"/>
                <w:sz w:val="21"/>
                <w:szCs w:val="21"/>
              </w:rPr>
              <w:t>务</w:t>
            </w:r>
            <w:proofErr w:type="gramEnd"/>
            <w:r>
              <w:rPr>
                <w:rFonts w:ascii="仿宋_GB2312" w:eastAsia="仿宋_GB2312" w:hAnsi="仿宋_GB2312" w:cs="仿宋_GB2312" w:hint="eastAsia"/>
                <w:kern w:val="2"/>
                <w:sz w:val="21"/>
                <w:szCs w:val="21"/>
              </w:rPr>
              <w:t xml:space="preserve">、机务管理人员的，由其所在地县级以上人民政府水路运输管理部门责令改正。”    </w:t>
            </w:r>
          </w:p>
        </w:tc>
        <w:tc>
          <w:tcPr>
            <w:tcW w:w="990"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r w:rsidR="00E9165C">
              <w:rPr>
                <w:rFonts w:ascii="仿宋_GB2312" w:eastAsia="仿宋_GB2312" w:hAnsi="仿宋_GB2312" w:cs="仿宋_GB2312" w:hint="eastAsia"/>
                <w:kern w:val="0"/>
                <w:szCs w:val="21"/>
                <w:lang/>
              </w:rPr>
              <w:t>调整</w:t>
            </w:r>
            <w:r>
              <w:rPr>
                <w:rFonts w:ascii="仿宋_GB2312" w:eastAsia="仿宋_GB2312" w:hAnsi="仿宋_GB2312" w:cs="仿宋_GB2312" w:hint="eastAsia"/>
                <w:kern w:val="0"/>
                <w:szCs w:val="21"/>
                <w:lang/>
              </w:rPr>
              <w:t>为：</w:t>
            </w:r>
            <w:r>
              <w:rPr>
                <w:rFonts w:ascii="仿宋_GB2312" w:eastAsia="仿宋_GB2312" w:hAnsi="仿宋_GB2312" w:cs="仿宋_GB2312" w:hint="eastAsia"/>
                <w:kern w:val="0"/>
                <w:szCs w:val="21"/>
                <w:u w:val="single"/>
                <w:lang/>
              </w:rPr>
              <w:t>行政检查</w:t>
            </w:r>
          </w:p>
        </w:tc>
        <w:tc>
          <w:tcPr>
            <w:tcW w:w="945" w:type="dxa"/>
            <w:tcBorders>
              <w:top w:val="single" w:sz="4" w:space="0" w:color="000000"/>
              <w:left w:val="single" w:sz="4" w:space="0" w:color="000000"/>
              <w:bottom w:val="single" w:sz="4" w:space="0" w:color="auto"/>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受理</w:t>
            </w:r>
          </w:p>
        </w:tc>
        <w:tc>
          <w:tcPr>
            <w:tcW w:w="3244" w:type="dxa"/>
            <w:gridSpan w:val="2"/>
            <w:tcBorders>
              <w:top w:val="single" w:sz="4" w:space="0" w:color="000000"/>
              <w:left w:val="single" w:sz="4" w:space="0" w:color="000000"/>
              <w:bottom w:val="single" w:sz="4" w:space="0" w:color="auto"/>
              <w:right w:val="single" w:sz="4" w:space="0" w:color="000000"/>
            </w:tcBorders>
            <w:vAlign w:val="center"/>
          </w:tcPr>
          <w:p w:rsidR="0059130C" w:rsidRDefault="002E22CA">
            <w:pPr>
              <w:widowControl/>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1.受理责任：受理社会团体报送的年度检查报告书，对其材料的齐全性、内容的完整性进行查验。符合要求的，直接受理。不符合要求的，一次性告之原因及所补材料。</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1474"/>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审查</w:t>
            </w:r>
          </w:p>
        </w:tc>
        <w:tc>
          <w:tcPr>
            <w:tcW w:w="3244" w:type="dxa"/>
            <w:gridSpan w:val="2"/>
            <w:tcBorders>
              <w:top w:val="single" w:sz="4" w:space="0" w:color="auto"/>
              <w:left w:val="single" w:sz="4" w:space="0" w:color="000000"/>
              <w:bottom w:val="single" w:sz="4" w:space="0" w:color="auto"/>
              <w:right w:val="single" w:sz="4" w:space="0" w:color="000000"/>
            </w:tcBorders>
            <w:vAlign w:val="center"/>
          </w:tcPr>
          <w:p w:rsidR="0059130C" w:rsidRDefault="002E22CA">
            <w:pPr>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2.审查责任：对社会团体提交的年度检查报告书进行初审，提出初审意见，报分管领导签批。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1474"/>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决定</w:t>
            </w:r>
          </w:p>
        </w:tc>
        <w:tc>
          <w:tcPr>
            <w:tcW w:w="3244" w:type="dxa"/>
            <w:gridSpan w:val="2"/>
            <w:tcBorders>
              <w:top w:val="single" w:sz="4" w:space="0" w:color="auto"/>
              <w:left w:val="single" w:sz="4" w:space="0" w:color="000000"/>
              <w:bottom w:val="single" w:sz="4" w:space="0" w:color="auto"/>
              <w:right w:val="single" w:sz="4" w:space="0" w:color="000000"/>
            </w:tcBorders>
            <w:vAlign w:val="center"/>
          </w:tcPr>
          <w:p w:rsidR="0059130C" w:rsidRDefault="002E22CA">
            <w:pPr>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3.决定责任：</w:t>
            </w:r>
            <w:proofErr w:type="gramStart"/>
            <w:r>
              <w:rPr>
                <w:rFonts w:ascii="仿宋_GB2312" w:eastAsia="仿宋_GB2312" w:hAnsi="仿宋_GB2312" w:cs="仿宋_GB2312" w:hint="eastAsia"/>
                <w:kern w:val="0"/>
                <w:szCs w:val="21"/>
              </w:rPr>
              <w:t>作出</w:t>
            </w:r>
            <w:proofErr w:type="gramEnd"/>
            <w:r>
              <w:rPr>
                <w:rFonts w:ascii="仿宋_GB2312" w:eastAsia="仿宋_GB2312" w:hAnsi="仿宋_GB2312" w:cs="仿宋_GB2312" w:hint="eastAsia"/>
                <w:kern w:val="0"/>
                <w:szCs w:val="21"/>
              </w:rPr>
              <w:t>年度检查结论。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1474"/>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送达</w:t>
            </w:r>
          </w:p>
        </w:tc>
        <w:tc>
          <w:tcPr>
            <w:tcW w:w="3244" w:type="dxa"/>
            <w:gridSpan w:val="2"/>
            <w:tcBorders>
              <w:top w:val="single" w:sz="4" w:space="0" w:color="auto"/>
              <w:left w:val="single" w:sz="4" w:space="0" w:color="000000"/>
              <w:bottom w:val="single" w:sz="4" w:space="0" w:color="auto"/>
              <w:right w:val="single" w:sz="4" w:space="0" w:color="000000"/>
            </w:tcBorders>
            <w:vAlign w:val="center"/>
          </w:tcPr>
          <w:p w:rsidR="0059130C" w:rsidRDefault="002E22CA">
            <w:pPr>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4.送达责任：服务窗口根据网上平台指令，送达年度检查报告书。</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1474"/>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000000"/>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事后管理</w:t>
            </w:r>
          </w:p>
        </w:tc>
        <w:tc>
          <w:tcPr>
            <w:tcW w:w="3244" w:type="dxa"/>
            <w:gridSpan w:val="2"/>
            <w:tcBorders>
              <w:top w:val="single" w:sz="4" w:space="0" w:color="auto"/>
              <w:left w:val="single" w:sz="4" w:space="0" w:color="000000"/>
              <w:bottom w:val="single" w:sz="4" w:space="0" w:color="000000"/>
              <w:right w:val="single" w:sz="4" w:space="0" w:color="000000"/>
            </w:tcBorders>
            <w:vAlign w:val="center"/>
          </w:tcPr>
          <w:p w:rsidR="0059130C" w:rsidRDefault="002E22CA">
            <w:pPr>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5.事后管理责任：对</w:t>
            </w:r>
            <w:proofErr w:type="gramStart"/>
            <w:r>
              <w:rPr>
                <w:rFonts w:ascii="仿宋_GB2312" w:eastAsia="仿宋_GB2312" w:hAnsi="仿宋_GB2312" w:cs="仿宋_GB2312" w:hint="eastAsia"/>
                <w:kern w:val="0"/>
                <w:szCs w:val="21"/>
              </w:rPr>
              <w:t>作出</w:t>
            </w:r>
            <w:proofErr w:type="gramEnd"/>
            <w:r>
              <w:rPr>
                <w:rFonts w:ascii="仿宋_GB2312" w:eastAsia="仿宋_GB2312" w:hAnsi="仿宋_GB2312" w:cs="仿宋_GB2312" w:hint="eastAsia"/>
                <w:kern w:val="0"/>
                <w:szCs w:val="21"/>
              </w:rPr>
              <w:t>年度检查结论的材料归档和信息公开。</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397"/>
          <w:jc w:val="center"/>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7"/>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情况：调整项目名称、职权类别</w:t>
            </w:r>
          </w:p>
        </w:tc>
      </w:tr>
      <w:tr w:rsidR="0059130C">
        <w:trPr>
          <w:trHeight w:val="397"/>
          <w:jc w:val="center"/>
        </w:trPr>
        <w:tc>
          <w:tcPr>
            <w:tcW w:w="999"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7"/>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原因：将原事项“水路运输经营者未按照本规定要求配备海</w:t>
            </w:r>
            <w:proofErr w:type="gramStart"/>
            <w:r w:rsidR="002E22CA">
              <w:rPr>
                <w:rFonts w:ascii="仿宋_GB2312" w:eastAsia="仿宋_GB2312" w:hAnsi="仿宋_GB2312" w:cs="仿宋_GB2312" w:hint="eastAsia"/>
                <w:szCs w:val="21"/>
              </w:rPr>
              <w:t>务</w:t>
            </w:r>
            <w:proofErr w:type="gramEnd"/>
            <w:r w:rsidR="002E22CA">
              <w:rPr>
                <w:rFonts w:ascii="仿宋_GB2312" w:eastAsia="仿宋_GB2312" w:hAnsi="仿宋_GB2312" w:cs="仿宋_GB2312" w:hint="eastAsia"/>
                <w:szCs w:val="21"/>
              </w:rPr>
              <w:t>、机务管理人员的处罚”调整为“水路运输经营者未按照本规定要求配备海</w:t>
            </w:r>
            <w:proofErr w:type="gramStart"/>
            <w:r w:rsidR="002E22CA">
              <w:rPr>
                <w:rFonts w:ascii="仿宋_GB2312" w:eastAsia="仿宋_GB2312" w:hAnsi="仿宋_GB2312" w:cs="仿宋_GB2312" w:hint="eastAsia"/>
                <w:szCs w:val="21"/>
              </w:rPr>
              <w:t>务</w:t>
            </w:r>
            <w:proofErr w:type="gramEnd"/>
            <w:r w:rsidR="002E22CA">
              <w:rPr>
                <w:rFonts w:ascii="仿宋_GB2312" w:eastAsia="仿宋_GB2312" w:hAnsi="仿宋_GB2312" w:cs="仿宋_GB2312" w:hint="eastAsia"/>
                <w:szCs w:val="21"/>
              </w:rPr>
              <w:t>、机务管理人员的行政检查”</w:t>
            </w:r>
          </w:p>
        </w:tc>
      </w:tr>
    </w:tbl>
    <w:p w:rsidR="0059130C" w:rsidRDefault="0059130C">
      <w:pPr>
        <w:pStyle w:val="a0"/>
        <w:spacing w:after="0" w:line="240" w:lineRule="exact"/>
        <w:rPr>
          <w:rFonts w:ascii="仿宋_GB2312" w:eastAsia="仿宋_GB2312" w:hAnsi="仿宋_GB2312" w:cs="仿宋_GB2312"/>
          <w:color w:val="000000" w:themeColor="text1"/>
          <w:szCs w:val="21"/>
        </w:rPr>
      </w:pPr>
    </w:p>
    <w:tbl>
      <w:tblPr>
        <w:tblpPr w:leftFromText="180" w:rightFromText="180" w:vertAnchor="text" w:horzAnchor="page" w:tblpX="1118" w:tblpY="261"/>
        <w:tblOverlap w:val="never"/>
        <w:tblW w:w="14128" w:type="dxa"/>
        <w:tblLayout w:type="fixed"/>
        <w:tblCellMar>
          <w:left w:w="15" w:type="dxa"/>
          <w:right w:w="15" w:type="dxa"/>
        </w:tblCellMar>
        <w:tblLook w:val="04A0"/>
      </w:tblPr>
      <w:tblGrid>
        <w:gridCol w:w="999"/>
        <w:gridCol w:w="1976"/>
        <w:gridCol w:w="4613"/>
        <w:gridCol w:w="990"/>
        <w:gridCol w:w="945"/>
        <w:gridCol w:w="3244"/>
        <w:gridCol w:w="1361"/>
      </w:tblGrid>
      <w:tr w:rsidR="0059130C">
        <w:trPr>
          <w:trHeight w:val="640"/>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61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9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94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244"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1531"/>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64</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pStyle w:val="a6"/>
              <w:overflowPunct w:val="0"/>
              <w:snapToGrid w:val="0"/>
              <w:spacing w:beforeAutospacing="0" w:afterAutospacing="0" w:line="240" w:lineRule="exact"/>
              <w:rPr>
                <w:rFonts w:ascii="仿宋_GB2312" w:eastAsia="仿宋_GB2312" w:hAnsi="仿宋_GB2312" w:cs="仿宋_GB2312"/>
                <w:kern w:val="2"/>
                <w:sz w:val="21"/>
                <w:szCs w:val="21"/>
              </w:rPr>
            </w:pPr>
            <w:r>
              <w:rPr>
                <w:rFonts w:ascii="仿宋_GB2312" w:eastAsia="仿宋_GB2312" w:hAnsi="仿宋_GB2312" w:cs="仿宋_GB2312" w:hint="eastAsia"/>
                <w:kern w:val="2"/>
                <w:sz w:val="21"/>
                <w:szCs w:val="21"/>
              </w:rPr>
              <w:t>擅自设置、撤除、移动专用航标或者改变专用航标的其他状况的处罚</w:t>
            </w:r>
          </w:p>
          <w:p w:rsidR="0059130C" w:rsidRDefault="00E9165C">
            <w:pPr>
              <w:pStyle w:val="a6"/>
              <w:overflowPunct w:val="0"/>
              <w:snapToGrid w:val="0"/>
              <w:spacing w:beforeAutospacing="0" w:afterAutospacing="0" w:line="240" w:lineRule="exact"/>
              <w:rPr>
                <w:rFonts w:ascii="仿宋_GB2312" w:eastAsia="仿宋_GB2312" w:hAnsi="仿宋_GB2312" w:cs="仿宋_GB2312"/>
                <w:kern w:val="2"/>
                <w:sz w:val="21"/>
                <w:szCs w:val="21"/>
              </w:rPr>
            </w:pPr>
            <w:r>
              <w:rPr>
                <w:rFonts w:ascii="仿宋_GB2312" w:eastAsia="仿宋_GB2312" w:hAnsi="仿宋_GB2312" w:cs="仿宋_GB2312" w:hint="eastAsia"/>
                <w:kern w:val="2"/>
                <w:sz w:val="21"/>
                <w:szCs w:val="21"/>
              </w:rPr>
              <w:t>调整</w:t>
            </w:r>
            <w:r w:rsidR="002E22CA">
              <w:rPr>
                <w:rFonts w:ascii="仿宋_GB2312" w:eastAsia="仿宋_GB2312" w:hAnsi="仿宋_GB2312" w:cs="仿宋_GB2312" w:hint="eastAsia"/>
                <w:kern w:val="2"/>
                <w:sz w:val="21"/>
                <w:szCs w:val="21"/>
              </w:rPr>
              <w:t>为：</w:t>
            </w:r>
            <w:r w:rsidR="002E22CA">
              <w:rPr>
                <w:rFonts w:ascii="仿宋_GB2312" w:eastAsia="仿宋_GB2312" w:hAnsi="仿宋_GB2312" w:cs="仿宋_GB2312" w:hint="eastAsia"/>
                <w:kern w:val="2"/>
                <w:sz w:val="21"/>
                <w:szCs w:val="21"/>
                <w:u w:val="single"/>
              </w:rPr>
              <w:t>擅自设置、撤除、移动专用航标或者改变专用航标的其他状况的行政检查</w:t>
            </w:r>
          </w:p>
        </w:tc>
        <w:tc>
          <w:tcPr>
            <w:tcW w:w="4613" w:type="dxa"/>
            <w:vMerge w:val="restart"/>
            <w:tcBorders>
              <w:top w:val="single" w:sz="4" w:space="0" w:color="000000"/>
              <w:left w:val="single" w:sz="4" w:space="0" w:color="000000"/>
              <w:right w:val="single" w:sz="4" w:space="0" w:color="000000"/>
            </w:tcBorders>
            <w:vAlign w:val="center"/>
          </w:tcPr>
          <w:p w:rsidR="0059130C" w:rsidRDefault="002E22CA">
            <w:pPr>
              <w:pStyle w:val="a6"/>
              <w:overflowPunct w:val="0"/>
              <w:snapToGrid w:val="0"/>
              <w:spacing w:beforeAutospacing="0" w:afterAutospacing="0" w:line="240" w:lineRule="exact"/>
              <w:rPr>
                <w:rFonts w:ascii="仿宋_GB2312" w:eastAsia="仿宋_GB2312" w:hAnsi="仿宋_GB2312" w:cs="仿宋_GB2312"/>
                <w:kern w:val="2"/>
                <w:sz w:val="21"/>
                <w:szCs w:val="21"/>
              </w:rPr>
            </w:pPr>
            <w:r>
              <w:rPr>
                <w:rFonts w:ascii="仿宋_GB2312" w:eastAsia="仿宋_GB2312" w:hAnsi="仿宋_GB2312" w:cs="仿宋_GB2312" w:hint="eastAsia"/>
                <w:kern w:val="2"/>
                <w:sz w:val="21"/>
                <w:szCs w:val="21"/>
              </w:rPr>
              <w:t xml:space="preserve">《中华人民共和国航标条例》（国务院令第187号发布，根据2011年1月8日国务院令第588号《国务院关于废止和修改部分行政法规的决定》修订）第十九条：“违反本条例第六条第二款的规定，擅自设置、撤除、移动专用航标或者改变专用航标的其他状况的，由航标管理机关责令限期拆除、重新设置、调整专用航标。”  </w:t>
            </w:r>
          </w:p>
        </w:tc>
        <w:tc>
          <w:tcPr>
            <w:tcW w:w="990"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r w:rsidR="00E9165C">
              <w:rPr>
                <w:rFonts w:ascii="仿宋_GB2312" w:eastAsia="仿宋_GB2312" w:hAnsi="仿宋_GB2312" w:cs="仿宋_GB2312" w:hint="eastAsia"/>
                <w:kern w:val="0"/>
                <w:szCs w:val="21"/>
                <w:lang/>
              </w:rPr>
              <w:t>调整</w:t>
            </w:r>
            <w:r>
              <w:rPr>
                <w:rFonts w:ascii="仿宋_GB2312" w:eastAsia="仿宋_GB2312" w:hAnsi="仿宋_GB2312" w:cs="仿宋_GB2312" w:hint="eastAsia"/>
                <w:kern w:val="0"/>
                <w:szCs w:val="21"/>
                <w:lang/>
              </w:rPr>
              <w:t>为：</w:t>
            </w:r>
            <w:r>
              <w:rPr>
                <w:rFonts w:ascii="仿宋_GB2312" w:eastAsia="仿宋_GB2312" w:hAnsi="仿宋_GB2312" w:cs="仿宋_GB2312" w:hint="eastAsia"/>
                <w:kern w:val="0"/>
                <w:szCs w:val="21"/>
                <w:u w:val="single"/>
                <w:lang/>
              </w:rPr>
              <w:t>行政检查</w:t>
            </w:r>
          </w:p>
        </w:tc>
        <w:tc>
          <w:tcPr>
            <w:tcW w:w="945" w:type="dxa"/>
            <w:tcBorders>
              <w:top w:val="single" w:sz="4" w:space="0" w:color="000000"/>
              <w:left w:val="single" w:sz="4" w:space="0" w:color="000000"/>
              <w:bottom w:val="single" w:sz="4" w:space="0" w:color="auto"/>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受理</w:t>
            </w:r>
          </w:p>
        </w:tc>
        <w:tc>
          <w:tcPr>
            <w:tcW w:w="3244" w:type="dxa"/>
            <w:tcBorders>
              <w:top w:val="single" w:sz="4" w:space="0" w:color="000000"/>
              <w:left w:val="single" w:sz="4" w:space="0" w:color="000000"/>
              <w:bottom w:val="single" w:sz="4" w:space="0" w:color="auto"/>
              <w:right w:val="single" w:sz="4" w:space="0" w:color="000000"/>
            </w:tcBorders>
            <w:vAlign w:val="center"/>
          </w:tcPr>
          <w:p w:rsidR="0059130C" w:rsidRDefault="002E22CA">
            <w:pPr>
              <w:widowControl/>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1.受理责任：受理社会团体报送的年度检查报告书，对其材料的齐全性、内容的完整性进行查验。符合要求的，直接受理。不符合要求的，一次性告之原因及所补材料。</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1531"/>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审查</w:t>
            </w:r>
          </w:p>
        </w:tc>
        <w:tc>
          <w:tcPr>
            <w:tcW w:w="3244" w:type="dxa"/>
            <w:tcBorders>
              <w:top w:val="single" w:sz="4" w:space="0" w:color="auto"/>
              <w:left w:val="single" w:sz="4" w:space="0" w:color="000000"/>
              <w:bottom w:val="single" w:sz="4" w:space="0" w:color="auto"/>
              <w:right w:val="single" w:sz="4" w:space="0" w:color="000000"/>
            </w:tcBorders>
            <w:vAlign w:val="center"/>
          </w:tcPr>
          <w:p w:rsidR="0059130C" w:rsidRDefault="002E22CA">
            <w:pPr>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2.审查责任：对社会团体提交的年度检查报告书进行初审，提出初审意见，报分管领导签批。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1531"/>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决定</w:t>
            </w:r>
          </w:p>
        </w:tc>
        <w:tc>
          <w:tcPr>
            <w:tcW w:w="3244" w:type="dxa"/>
            <w:tcBorders>
              <w:top w:val="single" w:sz="4" w:space="0" w:color="auto"/>
              <w:left w:val="single" w:sz="4" w:space="0" w:color="000000"/>
              <w:bottom w:val="single" w:sz="4" w:space="0" w:color="auto"/>
              <w:right w:val="single" w:sz="4" w:space="0" w:color="000000"/>
            </w:tcBorders>
            <w:vAlign w:val="center"/>
          </w:tcPr>
          <w:p w:rsidR="0059130C" w:rsidRDefault="002E22CA">
            <w:pPr>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3.决定责任：</w:t>
            </w:r>
            <w:proofErr w:type="gramStart"/>
            <w:r>
              <w:rPr>
                <w:rFonts w:ascii="仿宋_GB2312" w:eastAsia="仿宋_GB2312" w:hAnsi="仿宋_GB2312" w:cs="仿宋_GB2312" w:hint="eastAsia"/>
                <w:kern w:val="0"/>
                <w:szCs w:val="21"/>
              </w:rPr>
              <w:t>作出</w:t>
            </w:r>
            <w:proofErr w:type="gramEnd"/>
            <w:r>
              <w:rPr>
                <w:rFonts w:ascii="仿宋_GB2312" w:eastAsia="仿宋_GB2312" w:hAnsi="仿宋_GB2312" w:cs="仿宋_GB2312" w:hint="eastAsia"/>
                <w:kern w:val="0"/>
                <w:szCs w:val="21"/>
              </w:rPr>
              <w:t>年度检查结论。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1531"/>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送达</w:t>
            </w:r>
          </w:p>
        </w:tc>
        <w:tc>
          <w:tcPr>
            <w:tcW w:w="3244" w:type="dxa"/>
            <w:tcBorders>
              <w:top w:val="single" w:sz="4" w:space="0" w:color="auto"/>
              <w:left w:val="single" w:sz="4" w:space="0" w:color="000000"/>
              <w:bottom w:val="single" w:sz="4" w:space="0" w:color="auto"/>
              <w:right w:val="single" w:sz="4" w:space="0" w:color="000000"/>
            </w:tcBorders>
            <w:vAlign w:val="center"/>
          </w:tcPr>
          <w:p w:rsidR="0059130C" w:rsidRDefault="002E22CA">
            <w:pPr>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4.送达责任：服务窗口根据网上平台指令，送达年度检查报告书。</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1016"/>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000000"/>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事后管理</w:t>
            </w:r>
          </w:p>
        </w:tc>
        <w:tc>
          <w:tcPr>
            <w:tcW w:w="3244" w:type="dxa"/>
            <w:tcBorders>
              <w:top w:val="single" w:sz="4" w:space="0" w:color="auto"/>
              <w:left w:val="single" w:sz="4" w:space="0" w:color="000000"/>
              <w:bottom w:val="single" w:sz="4" w:space="0" w:color="000000"/>
              <w:right w:val="single" w:sz="4" w:space="0" w:color="000000"/>
            </w:tcBorders>
            <w:vAlign w:val="center"/>
          </w:tcPr>
          <w:p w:rsidR="0059130C" w:rsidRDefault="002E22CA">
            <w:pPr>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5.事后管理责任：对</w:t>
            </w:r>
            <w:proofErr w:type="gramStart"/>
            <w:r>
              <w:rPr>
                <w:rFonts w:ascii="仿宋_GB2312" w:eastAsia="仿宋_GB2312" w:hAnsi="仿宋_GB2312" w:cs="仿宋_GB2312" w:hint="eastAsia"/>
                <w:kern w:val="0"/>
                <w:szCs w:val="21"/>
              </w:rPr>
              <w:t>作出</w:t>
            </w:r>
            <w:proofErr w:type="gramEnd"/>
            <w:r>
              <w:rPr>
                <w:rFonts w:ascii="仿宋_GB2312" w:eastAsia="仿宋_GB2312" w:hAnsi="仿宋_GB2312" w:cs="仿宋_GB2312" w:hint="eastAsia"/>
                <w:kern w:val="0"/>
                <w:szCs w:val="21"/>
              </w:rPr>
              <w:t>年度检查结论的材料归档和信息公开。</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90"/>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情况：调整项目名称、职权类别</w:t>
            </w:r>
          </w:p>
        </w:tc>
      </w:tr>
      <w:tr w:rsidR="0059130C">
        <w:trPr>
          <w:trHeight w:val="90"/>
        </w:trPr>
        <w:tc>
          <w:tcPr>
            <w:tcW w:w="999"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原因：将原事项“擅自设置、撤除、移动专用航标或者改变专用航标的其他状况的处罚”调整为“擅自设置、撤除、移动专用航标或者改变专用航标的其他状况的行政检查”</w:t>
            </w:r>
          </w:p>
        </w:tc>
      </w:tr>
      <w:tr w:rsidR="0059130C">
        <w:trPr>
          <w:trHeight w:val="640"/>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61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9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94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244"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1531"/>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65</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pStyle w:val="a6"/>
              <w:overflowPunct w:val="0"/>
              <w:snapToGrid w:val="0"/>
              <w:spacing w:beforeAutospacing="0" w:afterAutospacing="0" w:line="240" w:lineRule="exact"/>
              <w:rPr>
                <w:rFonts w:ascii="仿宋_GB2312" w:eastAsia="仿宋_GB2312" w:hAnsi="仿宋_GB2312" w:cs="仿宋_GB2312"/>
                <w:kern w:val="2"/>
                <w:sz w:val="21"/>
                <w:szCs w:val="21"/>
              </w:rPr>
            </w:pPr>
            <w:r>
              <w:rPr>
                <w:rFonts w:ascii="仿宋_GB2312" w:eastAsia="仿宋_GB2312" w:hAnsi="仿宋_GB2312" w:cs="仿宋_GB2312" w:hint="eastAsia"/>
                <w:kern w:val="2"/>
                <w:sz w:val="21"/>
                <w:szCs w:val="21"/>
              </w:rPr>
              <w:t>涂改检验证书、擅自更改船舶载重线或者以欺骗行为获取检验证书的处罚</w:t>
            </w:r>
          </w:p>
          <w:p w:rsidR="0059130C" w:rsidRDefault="00E9165C">
            <w:pPr>
              <w:pStyle w:val="a6"/>
              <w:overflowPunct w:val="0"/>
              <w:snapToGrid w:val="0"/>
              <w:spacing w:beforeAutospacing="0" w:afterAutospacing="0" w:line="240" w:lineRule="exact"/>
              <w:rPr>
                <w:rFonts w:ascii="仿宋_GB2312" w:eastAsia="仿宋_GB2312" w:hAnsi="仿宋_GB2312" w:cs="仿宋_GB2312"/>
                <w:kern w:val="2"/>
                <w:sz w:val="21"/>
                <w:szCs w:val="21"/>
              </w:rPr>
            </w:pPr>
            <w:r>
              <w:rPr>
                <w:rFonts w:ascii="仿宋_GB2312" w:eastAsia="仿宋_GB2312" w:hAnsi="仿宋_GB2312" w:cs="仿宋_GB2312" w:hint="eastAsia"/>
                <w:kern w:val="2"/>
                <w:sz w:val="21"/>
                <w:szCs w:val="21"/>
              </w:rPr>
              <w:t>调整</w:t>
            </w:r>
            <w:r w:rsidR="002E22CA">
              <w:rPr>
                <w:rFonts w:ascii="仿宋_GB2312" w:eastAsia="仿宋_GB2312" w:hAnsi="仿宋_GB2312" w:cs="仿宋_GB2312" w:hint="eastAsia"/>
                <w:kern w:val="2"/>
                <w:sz w:val="21"/>
                <w:szCs w:val="21"/>
              </w:rPr>
              <w:t>为：</w:t>
            </w:r>
            <w:r w:rsidR="002E22CA">
              <w:rPr>
                <w:rFonts w:ascii="仿宋_GB2312" w:eastAsia="仿宋_GB2312" w:hAnsi="仿宋_GB2312" w:cs="仿宋_GB2312" w:hint="eastAsia"/>
                <w:kern w:val="2"/>
                <w:sz w:val="21"/>
                <w:szCs w:val="21"/>
                <w:u w:val="single"/>
              </w:rPr>
              <w:t>涂改检验证书、擅自更改船舶载重线或者以欺骗行为获取检验证书的行政检查</w:t>
            </w:r>
          </w:p>
        </w:tc>
        <w:tc>
          <w:tcPr>
            <w:tcW w:w="4613" w:type="dxa"/>
            <w:vMerge w:val="restart"/>
            <w:tcBorders>
              <w:top w:val="single" w:sz="4" w:space="0" w:color="000000"/>
              <w:left w:val="single" w:sz="4" w:space="0" w:color="000000"/>
              <w:right w:val="single" w:sz="4" w:space="0" w:color="000000"/>
            </w:tcBorders>
            <w:vAlign w:val="center"/>
          </w:tcPr>
          <w:p w:rsidR="0059130C" w:rsidRDefault="002E22CA">
            <w:pPr>
              <w:pStyle w:val="a6"/>
              <w:overflowPunct w:val="0"/>
              <w:snapToGrid w:val="0"/>
              <w:spacing w:beforeAutospacing="0" w:afterAutospacing="0" w:line="240" w:lineRule="exact"/>
              <w:rPr>
                <w:rFonts w:ascii="仿宋_GB2312" w:eastAsia="仿宋_GB2312" w:hAnsi="仿宋_GB2312" w:cs="仿宋_GB2312"/>
                <w:kern w:val="2"/>
                <w:sz w:val="21"/>
                <w:szCs w:val="21"/>
              </w:rPr>
            </w:pPr>
            <w:r>
              <w:rPr>
                <w:rFonts w:ascii="仿宋_GB2312" w:eastAsia="仿宋_GB2312" w:hAnsi="仿宋_GB2312" w:cs="仿宋_GB2312" w:hint="eastAsia"/>
                <w:kern w:val="2"/>
                <w:sz w:val="21"/>
                <w:szCs w:val="21"/>
              </w:rPr>
              <w:t>《中华人民共和国船舶和海上设施检验条例》（国务院令第709号）第二十六条：“涂改检验证书、擅自更改船舶载重线或者以欺骗行为获取检验证书的，船检局或者其委托的检验机构有权撤销已签发的相应证书，并可以责令改正或者补办有关手续。”</w:t>
            </w:r>
          </w:p>
        </w:tc>
        <w:tc>
          <w:tcPr>
            <w:tcW w:w="990"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r w:rsidR="00E9165C">
              <w:rPr>
                <w:rFonts w:ascii="仿宋_GB2312" w:eastAsia="仿宋_GB2312" w:hAnsi="仿宋_GB2312" w:cs="仿宋_GB2312" w:hint="eastAsia"/>
                <w:kern w:val="0"/>
                <w:szCs w:val="21"/>
                <w:lang/>
              </w:rPr>
              <w:t>调整</w:t>
            </w:r>
            <w:r>
              <w:rPr>
                <w:rFonts w:ascii="仿宋_GB2312" w:eastAsia="仿宋_GB2312" w:hAnsi="仿宋_GB2312" w:cs="仿宋_GB2312" w:hint="eastAsia"/>
                <w:kern w:val="0"/>
                <w:szCs w:val="21"/>
                <w:lang/>
              </w:rPr>
              <w:t>为：</w:t>
            </w:r>
            <w:r>
              <w:rPr>
                <w:rFonts w:ascii="仿宋_GB2312" w:eastAsia="仿宋_GB2312" w:hAnsi="仿宋_GB2312" w:cs="仿宋_GB2312" w:hint="eastAsia"/>
                <w:kern w:val="0"/>
                <w:szCs w:val="21"/>
                <w:u w:val="single"/>
                <w:lang/>
              </w:rPr>
              <w:t>行政检查</w:t>
            </w:r>
          </w:p>
        </w:tc>
        <w:tc>
          <w:tcPr>
            <w:tcW w:w="945" w:type="dxa"/>
            <w:tcBorders>
              <w:top w:val="single" w:sz="4" w:space="0" w:color="000000"/>
              <w:left w:val="single" w:sz="4" w:space="0" w:color="000000"/>
              <w:bottom w:val="single" w:sz="4" w:space="0" w:color="auto"/>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受理</w:t>
            </w:r>
          </w:p>
        </w:tc>
        <w:tc>
          <w:tcPr>
            <w:tcW w:w="3244" w:type="dxa"/>
            <w:tcBorders>
              <w:top w:val="single" w:sz="4" w:space="0" w:color="000000"/>
              <w:left w:val="single" w:sz="4" w:space="0" w:color="000000"/>
              <w:bottom w:val="single" w:sz="4" w:space="0" w:color="auto"/>
              <w:right w:val="single" w:sz="4" w:space="0" w:color="000000"/>
            </w:tcBorders>
            <w:vAlign w:val="center"/>
          </w:tcPr>
          <w:p w:rsidR="0059130C" w:rsidRDefault="002E22CA">
            <w:pPr>
              <w:widowControl/>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1.受理责任：受理社会团体报送的年度检查报告书，对其材料的齐全性、内容的完整性进行查验。符合要求的，直接受理。不符合要求的，一次性告之原因及所补材料。</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1531"/>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审查</w:t>
            </w:r>
          </w:p>
        </w:tc>
        <w:tc>
          <w:tcPr>
            <w:tcW w:w="3244" w:type="dxa"/>
            <w:tcBorders>
              <w:top w:val="single" w:sz="4" w:space="0" w:color="auto"/>
              <w:left w:val="single" w:sz="4" w:space="0" w:color="000000"/>
              <w:bottom w:val="single" w:sz="4" w:space="0" w:color="auto"/>
              <w:right w:val="single" w:sz="4" w:space="0" w:color="000000"/>
            </w:tcBorders>
            <w:vAlign w:val="center"/>
          </w:tcPr>
          <w:p w:rsidR="0059130C" w:rsidRDefault="002E22CA">
            <w:pPr>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2.审查责任：对社会团体提交的年度检查报告书进行初审，提出初审意见，报分管领导签批。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1531"/>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决定</w:t>
            </w:r>
          </w:p>
        </w:tc>
        <w:tc>
          <w:tcPr>
            <w:tcW w:w="3244" w:type="dxa"/>
            <w:tcBorders>
              <w:top w:val="single" w:sz="4" w:space="0" w:color="auto"/>
              <w:left w:val="single" w:sz="4" w:space="0" w:color="000000"/>
              <w:bottom w:val="single" w:sz="4" w:space="0" w:color="auto"/>
              <w:right w:val="single" w:sz="4" w:space="0" w:color="000000"/>
            </w:tcBorders>
            <w:vAlign w:val="center"/>
          </w:tcPr>
          <w:p w:rsidR="0059130C" w:rsidRDefault="002E22CA">
            <w:pPr>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3.决定责任：</w:t>
            </w:r>
            <w:proofErr w:type="gramStart"/>
            <w:r>
              <w:rPr>
                <w:rFonts w:ascii="仿宋_GB2312" w:eastAsia="仿宋_GB2312" w:hAnsi="仿宋_GB2312" w:cs="仿宋_GB2312" w:hint="eastAsia"/>
                <w:kern w:val="0"/>
                <w:szCs w:val="21"/>
              </w:rPr>
              <w:t>作出</w:t>
            </w:r>
            <w:proofErr w:type="gramEnd"/>
            <w:r>
              <w:rPr>
                <w:rFonts w:ascii="仿宋_GB2312" w:eastAsia="仿宋_GB2312" w:hAnsi="仿宋_GB2312" w:cs="仿宋_GB2312" w:hint="eastAsia"/>
                <w:kern w:val="0"/>
                <w:szCs w:val="21"/>
              </w:rPr>
              <w:t>年度检查结论。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1531"/>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送达</w:t>
            </w:r>
          </w:p>
        </w:tc>
        <w:tc>
          <w:tcPr>
            <w:tcW w:w="3244" w:type="dxa"/>
            <w:tcBorders>
              <w:top w:val="single" w:sz="4" w:space="0" w:color="auto"/>
              <w:left w:val="single" w:sz="4" w:space="0" w:color="000000"/>
              <w:bottom w:val="single" w:sz="4" w:space="0" w:color="auto"/>
              <w:right w:val="single" w:sz="4" w:space="0" w:color="000000"/>
            </w:tcBorders>
            <w:vAlign w:val="center"/>
          </w:tcPr>
          <w:p w:rsidR="0059130C" w:rsidRDefault="002E22CA">
            <w:pPr>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4.送达责任：服务窗口根据网上平台指令，送达年度检查报告书。</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106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000000"/>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事后管理</w:t>
            </w:r>
          </w:p>
        </w:tc>
        <w:tc>
          <w:tcPr>
            <w:tcW w:w="3244" w:type="dxa"/>
            <w:tcBorders>
              <w:top w:val="single" w:sz="4" w:space="0" w:color="auto"/>
              <w:left w:val="single" w:sz="4" w:space="0" w:color="000000"/>
              <w:bottom w:val="single" w:sz="4" w:space="0" w:color="000000"/>
              <w:right w:val="single" w:sz="4" w:space="0" w:color="000000"/>
            </w:tcBorders>
            <w:vAlign w:val="center"/>
          </w:tcPr>
          <w:p w:rsidR="0059130C" w:rsidRDefault="002E22CA">
            <w:pPr>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5.事后管理责任：对</w:t>
            </w:r>
            <w:proofErr w:type="gramStart"/>
            <w:r>
              <w:rPr>
                <w:rFonts w:ascii="仿宋_GB2312" w:eastAsia="仿宋_GB2312" w:hAnsi="仿宋_GB2312" w:cs="仿宋_GB2312" w:hint="eastAsia"/>
                <w:kern w:val="0"/>
                <w:szCs w:val="21"/>
              </w:rPr>
              <w:t>作出</w:t>
            </w:r>
            <w:proofErr w:type="gramEnd"/>
            <w:r>
              <w:rPr>
                <w:rFonts w:ascii="仿宋_GB2312" w:eastAsia="仿宋_GB2312" w:hAnsi="仿宋_GB2312" w:cs="仿宋_GB2312" w:hint="eastAsia"/>
                <w:kern w:val="0"/>
                <w:szCs w:val="21"/>
              </w:rPr>
              <w:t>年度检查结论的材料归档和信息公开。</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454"/>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情况：调整项目名称、职权类别</w:t>
            </w:r>
          </w:p>
        </w:tc>
      </w:tr>
      <w:tr w:rsidR="0059130C">
        <w:trPr>
          <w:trHeight w:val="454"/>
        </w:trPr>
        <w:tc>
          <w:tcPr>
            <w:tcW w:w="999"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原因：将原事项“涂改检验证书、擅自更改船舶载重线或者以欺骗行为获取检验证书的处罚”调整为“涂改检验证书、擅自更改船舶载重线或者以欺骗行为获取检验证书的行政检查”</w:t>
            </w:r>
          </w:p>
        </w:tc>
      </w:tr>
    </w:tbl>
    <w:p w:rsidR="0059130C" w:rsidRDefault="0059130C">
      <w:pPr>
        <w:pStyle w:val="a0"/>
        <w:spacing w:after="0" w:line="240" w:lineRule="exact"/>
        <w:rPr>
          <w:rFonts w:ascii="仿宋_GB2312" w:eastAsia="仿宋_GB2312" w:hAnsi="仿宋_GB2312" w:cs="仿宋_GB2312"/>
          <w:color w:val="000000" w:themeColor="text1"/>
          <w:szCs w:val="21"/>
        </w:rPr>
      </w:pPr>
    </w:p>
    <w:tbl>
      <w:tblPr>
        <w:tblW w:w="14128" w:type="dxa"/>
        <w:tblLayout w:type="fixed"/>
        <w:tblCellMar>
          <w:left w:w="15" w:type="dxa"/>
          <w:right w:w="15" w:type="dxa"/>
        </w:tblCellMar>
        <w:tblLook w:val="04A0"/>
      </w:tblPr>
      <w:tblGrid>
        <w:gridCol w:w="999"/>
        <w:gridCol w:w="1976"/>
        <w:gridCol w:w="4613"/>
        <w:gridCol w:w="990"/>
        <w:gridCol w:w="945"/>
        <w:gridCol w:w="3244"/>
        <w:gridCol w:w="1361"/>
      </w:tblGrid>
      <w:tr w:rsidR="0059130C">
        <w:trPr>
          <w:trHeight w:val="640"/>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61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9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94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244"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1417"/>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66</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widowControl/>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道路货物运输经营者违反本规定没有按照国家有关规定在货运车辆上安装符合标准的具有行驶记录功能的卫星定位装置的处罚</w:t>
            </w:r>
          </w:p>
          <w:p w:rsidR="0059130C" w:rsidRDefault="00E9165C">
            <w:pPr>
              <w:pStyle w:val="a0"/>
              <w:spacing w:after="0" w:line="240" w:lineRule="exact"/>
              <w:rPr>
                <w:rFonts w:ascii="仿宋_GB2312" w:eastAsia="仿宋_GB2312" w:hAnsi="仿宋_GB2312" w:cs="仿宋_GB2312"/>
                <w:szCs w:val="21"/>
                <w:u w:val="single"/>
              </w:rPr>
            </w:pPr>
            <w:r>
              <w:rPr>
                <w:rFonts w:ascii="仿宋_GB2312" w:eastAsia="仿宋_GB2312" w:hAnsi="仿宋_GB2312" w:cs="仿宋_GB2312" w:hint="eastAsia"/>
                <w:kern w:val="0"/>
                <w:szCs w:val="21"/>
              </w:rPr>
              <w:t>调整</w:t>
            </w:r>
            <w:r w:rsidR="002E22CA">
              <w:rPr>
                <w:rFonts w:ascii="仿宋_GB2312" w:eastAsia="仿宋_GB2312" w:hAnsi="仿宋_GB2312" w:cs="仿宋_GB2312" w:hint="eastAsia"/>
                <w:kern w:val="0"/>
                <w:szCs w:val="21"/>
              </w:rPr>
              <w:t>为：</w:t>
            </w:r>
            <w:r w:rsidR="002E22CA">
              <w:rPr>
                <w:rFonts w:ascii="仿宋_GB2312" w:eastAsia="仿宋_GB2312" w:hAnsi="仿宋_GB2312" w:cs="仿宋_GB2312" w:hint="eastAsia"/>
                <w:kern w:val="0"/>
                <w:szCs w:val="21"/>
                <w:u w:val="single"/>
              </w:rPr>
              <w:t>道路货物运输经营者违反本规定没有按照国家有关规定在货运车辆上安装符合标准的具有行驶记录功能的卫星定位装置的行政检查</w:t>
            </w:r>
          </w:p>
          <w:p w:rsidR="0059130C" w:rsidRDefault="0059130C">
            <w:pPr>
              <w:pStyle w:val="a0"/>
              <w:spacing w:after="0" w:line="240" w:lineRule="exact"/>
              <w:rPr>
                <w:rFonts w:ascii="仿宋_GB2312" w:eastAsia="仿宋_GB2312" w:hAnsi="仿宋_GB2312" w:cs="仿宋_GB2312"/>
                <w:szCs w:val="21"/>
              </w:rPr>
            </w:pPr>
          </w:p>
        </w:tc>
        <w:tc>
          <w:tcPr>
            <w:tcW w:w="4613" w:type="dxa"/>
            <w:vMerge w:val="restart"/>
            <w:tcBorders>
              <w:top w:val="single" w:sz="4" w:space="0" w:color="000000"/>
              <w:left w:val="single" w:sz="4" w:space="0" w:color="000000"/>
              <w:right w:val="single" w:sz="4" w:space="0" w:color="000000"/>
            </w:tcBorders>
            <w:vAlign w:val="center"/>
          </w:tcPr>
          <w:p w:rsidR="0059130C" w:rsidRDefault="002E22CA">
            <w:pPr>
              <w:widowControl/>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《道路货物运输及站场管理规定》（交通运输部令2022年第30号）第五十九条：“有下列行为之一的，由交通运输主管部门责令限期整改，整改不合格的，予以公示：</w:t>
            </w:r>
          </w:p>
          <w:p w:rsidR="0059130C" w:rsidRDefault="002E22CA">
            <w:pPr>
              <w:widowControl/>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（一）没有按照国家有关规定在货运车辆上安装符合标准的具有行驶记录功能的卫星定位装置的；”</w:t>
            </w:r>
          </w:p>
        </w:tc>
        <w:tc>
          <w:tcPr>
            <w:tcW w:w="990"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r w:rsidR="00E9165C">
              <w:rPr>
                <w:rFonts w:ascii="仿宋_GB2312" w:eastAsia="仿宋_GB2312" w:hAnsi="仿宋_GB2312" w:cs="仿宋_GB2312" w:hint="eastAsia"/>
                <w:kern w:val="0"/>
                <w:szCs w:val="21"/>
                <w:lang/>
              </w:rPr>
              <w:t>调整</w:t>
            </w:r>
            <w:r>
              <w:rPr>
                <w:rFonts w:ascii="仿宋_GB2312" w:eastAsia="仿宋_GB2312" w:hAnsi="仿宋_GB2312" w:cs="仿宋_GB2312" w:hint="eastAsia"/>
                <w:kern w:val="0"/>
                <w:szCs w:val="21"/>
                <w:lang/>
              </w:rPr>
              <w:t>为：</w:t>
            </w:r>
            <w:r>
              <w:rPr>
                <w:rFonts w:ascii="仿宋_GB2312" w:eastAsia="仿宋_GB2312" w:hAnsi="仿宋_GB2312" w:cs="仿宋_GB2312" w:hint="eastAsia"/>
                <w:kern w:val="0"/>
                <w:szCs w:val="21"/>
                <w:u w:val="single"/>
                <w:lang/>
              </w:rPr>
              <w:t>行政检查</w:t>
            </w:r>
          </w:p>
        </w:tc>
        <w:tc>
          <w:tcPr>
            <w:tcW w:w="945" w:type="dxa"/>
            <w:tcBorders>
              <w:top w:val="single" w:sz="4" w:space="0" w:color="000000"/>
              <w:left w:val="single" w:sz="4" w:space="0" w:color="000000"/>
              <w:bottom w:val="single" w:sz="4" w:space="0" w:color="auto"/>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受理</w:t>
            </w:r>
          </w:p>
        </w:tc>
        <w:tc>
          <w:tcPr>
            <w:tcW w:w="3244" w:type="dxa"/>
            <w:tcBorders>
              <w:top w:val="single" w:sz="4" w:space="0" w:color="000000"/>
              <w:left w:val="single" w:sz="4" w:space="0" w:color="000000"/>
              <w:bottom w:val="single" w:sz="4" w:space="0" w:color="auto"/>
              <w:right w:val="single" w:sz="4" w:space="0" w:color="000000"/>
            </w:tcBorders>
            <w:vAlign w:val="center"/>
          </w:tcPr>
          <w:p w:rsidR="0059130C" w:rsidRDefault="002E22CA">
            <w:pPr>
              <w:widowControl/>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1.受理责任：受理社会团体报送的年度检查报告书，对其材料的齐全性、内容的完整性进行查验。符合要求的，直接受理。不符合要求的，一次性告之原因及所补材料。</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1417"/>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审查</w:t>
            </w:r>
          </w:p>
        </w:tc>
        <w:tc>
          <w:tcPr>
            <w:tcW w:w="3244" w:type="dxa"/>
            <w:tcBorders>
              <w:top w:val="single" w:sz="4" w:space="0" w:color="auto"/>
              <w:left w:val="single" w:sz="4" w:space="0" w:color="000000"/>
              <w:bottom w:val="single" w:sz="4" w:space="0" w:color="auto"/>
              <w:right w:val="single" w:sz="4" w:space="0" w:color="000000"/>
            </w:tcBorders>
            <w:vAlign w:val="center"/>
          </w:tcPr>
          <w:p w:rsidR="0059130C" w:rsidRDefault="002E22CA">
            <w:pPr>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2.审查责任：对社会团体提交的年度检查报告书进行初审，提出初审意见，报分管领导签批。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1417"/>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决定</w:t>
            </w:r>
          </w:p>
        </w:tc>
        <w:tc>
          <w:tcPr>
            <w:tcW w:w="3244" w:type="dxa"/>
            <w:tcBorders>
              <w:top w:val="single" w:sz="4" w:space="0" w:color="auto"/>
              <w:left w:val="single" w:sz="4" w:space="0" w:color="000000"/>
              <w:bottom w:val="single" w:sz="4" w:space="0" w:color="auto"/>
              <w:right w:val="single" w:sz="4" w:space="0" w:color="000000"/>
            </w:tcBorders>
            <w:vAlign w:val="center"/>
          </w:tcPr>
          <w:p w:rsidR="0059130C" w:rsidRDefault="002E22CA">
            <w:pPr>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3.决定责任：</w:t>
            </w:r>
            <w:proofErr w:type="gramStart"/>
            <w:r>
              <w:rPr>
                <w:rFonts w:ascii="仿宋_GB2312" w:eastAsia="仿宋_GB2312" w:hAnsi="仿宋_GB2312" w:cs="仿宋_GB2312" w:hint="eastAsia"/>
                <w:kern w:val="0"/>
                <w:szCs w:val="21"/>
              </w:rPr>
              <w:t>作出</w:t>
            </w:r>
            <w:proofErr w:type="gramEnd"/>
            <w:r>
              <w:rPr>
                <w:rFonts w:ascii="仿宋_GB2312" w:eastAsia="仿宋_GB2312" w:hAnsi="仿宋_GB2312" w:cs="仿宋_GB2312" w:hint="eastAsia"/>
                <w:kern w:val="0"/>
                <w:szCs w:val="21"/>
              </w:rPr>
              <w:t>年度检查结论。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1417"/>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送达</w:t>
            </w:r>
          </w:p>
        </w:tc>
        <w:tc>
          <w:tcPr>
            <w:tcW w:w="3244" w:type="dxa"/>
            <w:tcBorders>
              <w:top w:val="single" w:sz="4" w:space="0" w:color="auto"/>
              <w:left w:val="single" w:sz="4" w:space="0" w:color="000000"/>
              <w:bottom w:val="single" w:sz="4" w:space="0" w:color="auto"/>
              <w:right w:val="single" w:sz="4" w:space="0" w:color="000000"/>
            </w:tcBorders>
            <w:vAlign w:val="center"/>
          </w:tcPr>
          <w:p w:rsidR="0059130C" w:rsidRDefault="002E22CA">
            <w:pPr>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4.送达责任：服务窗口根据网上平台指令，送达年度检查报告书。</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1417"/>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000000"/>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事后管理</w:t>
            </w:r>
          </w:p>
        </w:tc>
        <w:tc>
          <w:tcPr>
            <w:tcW w:w="3244" w:type="dxa"/>
            <w:tcBorders>
              <w:top w:val="single" w:sz="4" w:space="0" w:color="auto"/>
              <w:left w:val="single" w:sz="4" w:space="0" w:color="000000"/>
              <w:bottom w:val="single" w:sz="4" w:space="0" w:color="000000"/>
              <w:right w:val="single" w:sz="4" w:space="0" w:color="000000"/>
            </w:tcBorders>
            <w:vAlign w:val="center"/>
          </w:tcPr>
          <w:p w:rsidR="0059130C" w:rsidRDefault="002E22CA">
            <w:pPr>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5.事后管理责任：对</w:t>
            </w:r>
            <w:proofErr w:type="gramStart"/>
            <w:r>
              <w:rPr>
                <w:rFonts w:ascii="仿宋_GB2312" w:eastAsia="仿宋_GB2312" w:hAnsi="仿宋_GB2312" w:cs="仿宋_GB2312" w:hint="eastAsia"/>
                <w:kern w:val="0"/>
                <w:szCs w:val="21"/>
              </w:rPr>
              <w:t>作出</w:t>
            </w:r>
            <w:proofErr w:type="gramEnd"/>
            <w:r>
              <w:rPr>
                <w:rFonts w:ascii="仿宋_GB2312" w:eastAsia="仿宋_GB2312" w:hAnsi="仿宋_GB2312" w:cs="仿宋_GB2312" w:hint="eastAsia"/>
                <w:kern w:val="0"/>
                <w:szCs w:val="21"/>
              </w:rPr>
              <w:t>年度检查结论的材料归档和信息公开。</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454"/>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情况：调整项目名称、职权类别</w:t>
            </w:r>
          </w:p>
        </w:tc>
      </w:tr>
      <w:tr w:rsidR="0059130C">
        <w:trPr>
          <w:trHeight w:val="454"/>
        </w:trPr>
        <w:tc>
          <w:tcPr>
            <w:tcW w:w="999"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将原事项“道路货物运输经营者违反本规定没有按照国家有关规定在货运车辆上安装符合标准的具有行驶记录功能的卫星定位装置的处罚”调整为“道路货物运输经营者违反本规定没有按照国家有关规定在货运车辆上安装符合标准的具有行驶记录功能的卫星定位装置的行政检查”</w:t>
            </w:r>
          </w:p>
        </w:tc>
      </w:tr>
      <w:tr w:rsidR="0059130C">
        <w:trPr>
          <w:trHeight w:val="640"/>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61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9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94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244"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1474"/>
        </w:trPr>
        <w:tc>
          <w:tcPr>
            <w:tcW w:w="999"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szCs w:val="21"/>
              </w:rPr>
            </w:pPr>
            <w:r>
              <w:rPr>
                <w:rFonts w:ascii="仿宋_GB2312" w:eastAsia="仿宋_GB2312" w:hAnsi="仿宋_GB2312" w:cs="仿宋_GB2312" w:hint="eastAsia"/>
                <w:szCs w:val="21"/>
              </w:rPr>
              <w:t xml:space="preserve">67     </w:t>
            </w:r>
            <w:r>
              <w:rPr>
                <w:rFonts w:ascii="仿宋_GB2312" w:eastAsia="仿宋_GB2312" w:hAnsi="仿宋_GB2312" w:cs="仿宋_GB2312" w:hint="eastAsia"/>
                <w:szCs w:val="21"/>
                <w:highlight w:val="red"/>
              </w:rPr>
              <w:t xml:space="preserve">                                                                                                                                                                                                                                                                                                                                                                                                                                                                                                                                                                                                                                                                                                                                                                                                                                                                                                                                                                                                                   </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widowControl/>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招标人不具备自行招标条件而自行招标的处罚</w:t>
            </w:r>
          </w:p>
          <w:p w:rsidR="0059130C" w:rsidRDefault="00E9165C">
            <w:pPr>
              <w:widowControl/>
              <w:snapToGrid w:val="0"/>
              <w:spacing w:line="240" w:lineRule="exact"/>
              <w:rPr>
                <w:rFonts w:ascii="仿宋_GB2312" w:eastAsia="仿宋_GB2312" w:hAnsi="仿宋_GB2312" w:cs="仿宋_GB2312"/>
                <w:szCs w:val="21"/>
              </w:rPr>
            </w:pPr>
            <w:r>
              <w:rPr>
                <w:rFonts w:ascii="仿宋_GB2312" w:eastAsia="仿宋_GB2312" w:hAnsi="仿宋_GB2312" w:cs="仿宋_GB2312" w:hint="eastAsia"/>
                <w:kern w:val="0"/>
                <w:szCs w:val="21"/>
              </w:rPr>
              <w:t>调整</w:t>
            </w:r>
            <w:r w:rsidR="002E22CA">
              <w:rPr>
                <w:rFonts w:ascii="仿宋_GB2312" w:eastAsia="仿宋_GB2312" w:hAnsi="仿宋_GB2312" w:cs="仿宋_GB2312" w:hint="eastAsia"/>
                <w:kern w:val="0"/>
                <w:szCs w:val="21"/>
              </w:rPr>
              <w:t>为：</w:t>
            </w:r>
            <w:r w:rsidR="002E22CA">
              <w:rPr>
                <w:rFonts w:ascii="仿宋_GB2312" w:eastAsia="仿宋_GB2312" w:hAnsi="仿宋_GB2312" w:cs="仿宋_GB2312" w:hint="eastAsia"/>
                <w:kern w:val="0"/>
                <w:szCs w:val="21"/>
                <w:u w:val="single"/>
              </w:rPr>
              <w:t>招标人不具备自行招标条件而自行招标的行政检查</w:t>
            </w:r>
          </w:p>
        </w:tc>
        <w:tc>
          <w:tcPr>
            <w:tcW w:w="4613" w:type="dxa"/>
            <w:vMerge w:val="restart"/>
            <w:tcBorders>
              <w:top w:val="single" w:sz="4" w:space="0" w:color="000000"/>
              <w:left w:val="single" w:sz="4" w:space="0" w:color="000000"/>
              <w:right w:val="single" w:sz="4" w:space="0" w:color="000000"/>
            </w:tcBorders>
            <w:vAlign w:val="center"/>
          </w:tcPr>
          <w:p w:rsidR="0059130C" w:rsidRDefault="002E22CA">
            <w:pPr>
              <w:widowControl/>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《水运工程建设项目招标投标管理办法》（交通运输部令2021年第14号）第六十七条 违反本办法第十六条规定，招标人不具备自行招标条件而自行招标的，由交通运输主管部门责令改正。</w:t>
            </w:r>
          </w:p>
        </w:tc>
        <w:tc>
          <w:tcPr>
            <w:tcW w:w="990"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r w:rsidR="00E9165C">
              <w:rPr>
                <w:rFonts w:ascii="仿宋_GB2312" w:eastAsia="仿宋_GB2312" w:hAnsi="仿宋_GB2312" w:cs="仿宋_GB2312" w:hint="eastAsia"/>
                <w:kern w:val="0"/>
                <w:szCs w:val="21"/>
                <w:lang/>
              </w:rPr>
              <w:t>调整</w:t>
            </w:r>
            <w:r>
              <w:rPr>
                <w:rFonts w:ascii="仿宋_GB2312" w:eastAsia="仿宋_GB2312" w:hAnsi="仿宋_GB2312" w:cs="仿宋_GB2312" w:hint="eastAsia"/>
                <w:kern w:val="0"/>
                <w:szCs w:val="21"/>
                <w:lang/>
              </w:rPr>
              <w:t>为：</w:t>
            </w:r>
            <w:r>
              <w:rPr>
                <w:rFonts w:ascii="仿宋_GB2312" w:eastAsia="仿宋_GB2312" w:hAnsi="仿宋_GB2312" w:cs="仿宋_GB2312" w:hint="eastAsia"/>
                <w:kern w:val="0"/>
                <w:szCs w:val="21"/>
                <w:u w:val="single"/>
                <w:lang/>
              </w:rPr>
              <w:t>行政检查</w:t>
            </w:r>
          </w:p>
        </w:tc>
        <w:tc>
          <w:tcPr>
            <w:tcW w:w="945" w:type="dxa"/>
            <w:tcBorders>
              <w:top w:val="single" w:sz="4" w:space="0" w:color="000000"/>
              <w:left w:val="single" w:sz="4" w:space="0" w:color="000000"/>
              <w:bottom w:val="single" w:sz="4" w:space="0" w:color="auto"/>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受理</w:t>
            </w:r>
          </w:p>
        </w:tc>
        <w:tc>
          <w:tcPr>
            <w:tcW w:w="3244" w:type="dxa"/>
            <w:tcBorders>
              <w:top w:val="single" w:sz="4" w:space="0" w:color="000000"/>
              <w:left w:val="single" w:sz="4" w:space="0" w:color="000000"/>
              <w:bottom w:val="single" w:sz="4" w:space="0" w:color="auto"/>
              <w:right w:val="single" w:sz="4" w:space="0" w:color="000000"/>
            </w:tcBorders>
            <w:vAlign w:val="center"/>
          </w:tcPr>
          <w:p w:rsidR="0059130C" w:rsidRDefault="002E22CA">
            <w:pPr>
              <w:widowControl/>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1.受理责任：受理社会团体报送的年度检查报告书，对其材料的齐全性、内容的完整性进行查验。符合要求的，直接受理。不符合要求的，一次性告之原因及所补材料。</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1474"/>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审查</w:t>
            </w:r>
          </w:p>
        </w:tc>
        <w:tc>
          <w:tcPr>
            <w:tcW w:w="3244" w:type="dxa"/>
            <w:tcBorders>
              <w:top w:val="single" w:sz="4" w:space="0" w:color="auto"/>
              <w:left w:val="single" w:sz="4" w:space="0" w:color="000000"/>
              <w:bottom w:val="single" w:sz="4" w:space="0" w:color="auto"/>
              <w:right w:val="single" w:sz="4" w:space="0" w:color="000000"/>
            </w:tcBorders>
            <w:vAlign w:val="center"/>
          </w:tcPr>
          <w:p w:rsidR="0059130C" w:rsidRDefault="002E22CA">
            <w:pPr>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2.审查责任：对社会团体提交的年度检查报告书进行初审，提出初审意见，报分管领导签批。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1474"/>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决定</w:t>
            </w:r>
          </w:p>
        </w:tc>
        <w:tc>
          <w:tcPr>
            <w:tcW w:w="3244" w:type="dxa"/>
            <w:tcBorders>
              <w:top w:val="single" w:sz="4" w:space="0" w:color="auto"/>
              <w:left w:val="single" w:sz="4" w:space="0" w:color="000000"/>
              <w:bottom w:val="single" w:sz="4" w:space="0" w:color="auto"/>
              <w:right w:val="single" w:sz="4" w:space="0" w:color="000000"/>
            </w:tcBorders>
            <w:vAlign w:val="center"/>
          </w:tcPr>
          <w:p w:rsidR="0059130C" w:rsidRDefault="002E22CA">
            <w:pPr>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3.决定责任：</w:t>
            </w:r>
            <w:proofErr w:type="gramStart"/>
            <w:r>
              <w:rPr>
                <w:rFonts w:ascii="仿宋_GB2312" w:eastAsia="仿宋_GB2312" w:hAnsi="仿宋_GB2312" w:cs="仿宋_GB2312" w:hint="eastAsia"/>
                <w:kern w:val="0"/>
                <w:szCs w:val="21"/>
              </w:rPr>
              <w:t>作出</w:t>
            </w:r>
            <w:proofErr w:type="gramEnd"/>
            <w:r>
              <w:rPr>
                <w:rFonts w:ascii="仿宋_GB2312" w:eastAsia="仿宋_GB2312" w:hAnsi="仿宋_GB2312" w:cs="仿宋_GB2312" w:hint="eastAsia"/>
                <w:kern w:val="0"/>
                <w:szCs w:val="21"/>
              </w:rPr>
              <w:t>年度检查结论。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1474"/>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送达</w:t>
            </w:r>
          </w:p>
        </w:tc>
        <w:tc>
          <w:tcPr>
            <w:tcW w:w="3244" w:type="dxa"/>
            <w:tcBorders>
              <w:top w:val="single" w:sz="4" w:space="0" w:color="auto"/>
              <w:left w:val="single" w:sz="4" w:space="0" w:color="000000"/>
              <w:bottom w:val="single" w:sz="4" w:space="0" w:color="auto"/>
              <w:right w:val="single" w:sz="4" w:space="0" w:color="000000"/>
            </w:tcBorders>
            <w:vAlign w:val="center"/>
          </w:tcPr>
          <w:p w:rsidR="0059130C" w:rsidRDefault="002E22CA">
            <w:pPr>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4.送达责任：服务窗口根据网上平台指令，送达年度检查报告书。</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1474"/>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000000"/>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事后管理</w:t>
            </w:r>
          </w:p>
        </w:tc>
        <w:tc>
          <w:tcPr>
            <w:tcW w:w="3244" w:type="dxa"/>
            <w:tcBorders>
              <w:top w:val="single" w:sz="4" w:space="0" w:color="auto"/>
              <w:left w:val="single" w:sz="4" w:space="0" w:color="000000"/>
              <w:bottom w:val="single" w:sz="4" w:space="0" w:color="000000"/>
              <w:right w:val="single" w:sz="4" w:space="0" w:color="000000"/>
            </w:tcBorders>
            <w:vAlign w:val="center"/>
          </w:tcPr>
          <w:p w:rsidR="0059130C" w:rsidRDefault="002E22CA">
            <w:pPr>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5.事后管理责任：对</w:t>
            </w:r>
            <w:proofErr w:type="gramStart"/>
            <w:r>
              <w:rPr>
                <w:rFonts w:ascii="仿宋_GB2312" w:eastAsia="仿宋_GB2312" w:hAnsi="仿宋_GB2312" w:cs="仿宋_GB2312" w:hint="eastAsia"/>
                <w:kern w:val="0"/>
                <w:szCs w:val="21"/>
              </w:rPr>
              <w:t>作出</w:t>
            </w:r>
            <w:proofErr w:type="gramEnd"/>
            <w:r>
              <w:rPr>
                <w:rFonts w:ascii="仿宋_GB2312" w:eastAsia="仿宋_GB2312" w:hAnsi="仿宋_GB2312" w:cs="仿宋_GB2312" w:hint="eastAsia"/>
                <w:kern w:val="0"/>
                <w:szCs w:val="21"/>
              </w:rPr>
              <w:t>年度检查结论的材料归档和信息公开。</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567"/>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情况：调整项目名称、职权类别</w:t>
            </w:r>
          </w:p>
        </w:tc>
      </w:tr>
      <w:tr w:rsidR="0059130C">
        <w:trPr>
          <w:trHeight w:val="567"/>
        </w:trPr>
        <w:tc>
          <w:tcPr>
            <w:tcW w:w="999"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原因：将原事项“招标人不具备自行招标条件而自行招标的处罚”调整为“招标人不具备自行招标条件而自行招标的处罚”</w:t>
            </w:r>
          </w:p>
        </w:tc>
      </w:tr>
    </w:tbl>
    <w:p w:rsidR="0059130C" w:rsidRDefault="0059130C">
      <w:pPr>
        <w:spacing w:line="240" w:lineRule="exact"/>
        <w:rPr>
          <w:rFonts w:ascii="仿宋_GB2312" w:eastAsia="仿宋_GB2312" w:hAnsi="仿宋_GB2312" w:cs="仿宋_GB2312"/>
          <w:color w:val="000000" w:themeColor="text1"/>
          <w:szCs w:val="21"/>
        </w:rPr>
      </w:pPr>
    </w:p>
    <w:p w:rsidR="0059130C" w:rsidRDefault="0059130C">
      <w:pPr>
        <w:spacing w:line="240" w:lineRule="exact"/>
        <w:rPr>
          <w:rFonts w:ascii="黑体" w:eastAsia="黑体" w:hAnsi="黑体" w:cs="黑体"/>
          <w:szCs w:val="21"/>
        </w:rPr>
      </w:pPr>
    </w:p>
    <w:tbl>
      <w:tblPr>
        <w:tblW w:w="14128" w:type="dxa"/>
        <w:tblLayout w:type="fixed"/>
        <w:tblCellMar>
          <w:left w:w="15" w:type="dxa"/>
          <w:right w:w="15" w:type="dxa"/>
        </w:tblCellMar>
        <w:tblLook w:val="04A0"/>
      </w:tblPr>
      <w:tblGrid>
        <w:gridCol w:w="999"/>
        <w:gridCol w:w="1976"/>
        <w:gridCol w:w="3716"/>
        <w:gridCol w:w="768"/>
        <w:gridCol w:w="769"/>
        <w:gridCol w:w="4539"/>
        <w:gridCol w:w="1361"/>
      </w:tblGrid>
      <w:tr w:rsidR="0059130C">
        <w:trPr>
          <w:trHeight w:val="640"/>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371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768"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769"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539"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68</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起讫点均不在许可的经营区域从事巡游出租汽车经营活动的；使用未取得道路运输证的车辆，擅自从事巡游出租汽车经营活动的；使用失效、伪造、变造、被注销等无效道路运输证的车辆从事巡游出租汽车经营活动的处罚</w:t>
            </w:r>
          </w:p>
        </w:tc>
        <w:tc>
          <w:tcPr>
            <w:tcW w:w="3716"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巡游出租汽车经营服务管理规定》（交通运输部令2021年第16号）第四十六条“违反本规定，有下列行为之一的，由县级以上地方人民政府出租汽车行政主管部门责令改正，并处以3000元以上1万元以下罚款。构成犯罪的，依法追究刑事责任：（一）起讫点均不在许可的经营区域从事巡游出租汽车经营活动的；（二）使用未取得道路运输证的车辆，擅自从事巡游出租汽车经营活动的；</w:t>
            </w:r>
          </w:p>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（三）使用失效、伪造、变造、被注销等无效道路运输证的车辆从事巡游出租汽车经营活动的。”</w:t>
            </w:r>
          </w:p>
        </w:tc>
        <w:tc>
          <w:tcPr>
            <w:tcW w:w="768"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769"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539"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71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6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6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53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71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6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6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53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71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6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6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53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71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6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6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53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71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6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6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53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71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6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6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53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678"/>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71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68"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69"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539"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90"/>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调整</w:t>
            </w:r>
            <w:r w:rsidR="002E22CA">
              <w:rPr>
                <w:rFonts w:ascii="仿宋_GB2312" w:eastAsia="仿宋_GB2312" w:hAnsi="仿宋_GB2312" w:cs="仿宋_GB2312" w:hint="eastAsia"/>
                <w:color w:val="000000"/>
                <w:szCs w:val="21"/>
              </w:rPr>
              <w:t>情况：</w:t>
            </w:r>
            <w:r w:rsidR="002E22CA">
              <w:rPr>
                <w:rFonts w:ascii="仿宋_GB2312" w:eastAsia="仿宋_GB2312" w:hAnsi="仿宋_GB2312" w:cs="仿宋_GB2312" w:hint="eastAsia"/>
                <w:szCs w:val="21"/>
              </w:rPr>
              <w:t>新增</w:t>
            </w:r>
          </w:p>
        </w:tc>
      </w:tr>
      <w:tr w:rsidR="0059130C">
        <w:trPr>
          <w:trHeight w:val="620"/>
        </w:trPr>
        <w:tc>
          <w:tcPr>
            <w:tcW w:w="999"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调整</w:t>
            </w:r>
            <w:r w:rsidR="002E22CA">
              <w:rPr>
                <w:rFonts w:ascii="仿宋_GB2312" w:eastAsia="仿宋_GB2312" w:hAnsi="仿宋_GB2312" w:cs="仿宋_GB2312" w:hint="eastAsia"/>
                <w:color w:val="000000"/>
                <w:szCs w:val="21"/>
              </w:rPr>
              <w:t>原因：根据《巡游出租汽车经营服务管理规定》（交通运输部令2021年第16号）新增该事项</w:t>
            </w:r>
          </w:p>
        </w:tc>
      </w:tr>
    </w:tbl>
    <w:p w:rsidR="0059130C" w:rsidRDefault="002E22CA">
      <w:pPr>
        <w:spacing w:line="240" w:lineRule="exact"/>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br w:type="page"/>
      </w:r>
    </w:p>
    <w:tbl>
      <w:tblPr>
        <w:tblW w:w="14128" w:type="dxa"/>
        <w:jc w:val="center"/>
        <w:tblLayout w:type="fixed"/>
        <w:tblCellMar>
          <w:left w:w="15" w:type="dxa"/>
          <w:right w:w="15" w:type="dxa"/>
        </w:tblCellMar>
        <w:tblLook w:val="04A0"/>
      </w:tblPr>
      <w:tblGrid>
        <w:gridCol w:w="999"/>
        <w:gridCol w:w="1976"/>
        <w:gridCol w:w="3930"/>
        <w:gridCol w:w="712"/>
        <w:gridCol w:w="638"/>
        <w:gridCol w:w="4512"/>
        <w:gridCol w:w="1361"/>
      </w:tblGrid>
      <w:tr w:rsidR="0059130C">
        <w:trPr>
          <w:trHeight w:val="23"/>
          <w:jc w:val="center"/>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393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71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638"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51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907"/>
          <w:jc w:val="center"/>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69</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客运经营者不按批准的客运站点停靠或者不按规定的线路、公布的班次行驶的；在旅客运输途中擅自变更运输车辆或者将旅客移交他人运输的；未报告原许可机关，擅自终止客运经营的处罚</w:t>
            </w:r>
          </w:p>
        </w:tc>
        <w:tc>
          <w:tcPr>
            <w:tcW w:w="3930"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中华人民共和国道路运输条例》（国务院令第764号）第六十八条第一款：“违反本条例的规定，客运经营者有下列情形之一的，由县级以上地方人民政府交通运输主管部门责令改正，处1000元以上2000元以下的罚款；情节严重的，由原许可机关吊销道路运输经营许可证：（一）不按批准的客运站点停靠或者不按规定的线路、公布的班次行驶的；（二）在旅客运输途中擅自变更运输车辆或者将旅客移交他人运输的；（三）未报告原许可机关，擅自终止客运经营的。”</w:t>
            </w:r>
          </w:p>
          <w:p w:rsidR="0059130C" w:rsidRDefault="002E22CA">
            <w:pPr>
              <w:overflowPunct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《道路旅客运输及客运站管理规定》（交通运输部令2022年第33号）第九十九条第一款：“违反本规定，客运经营者有下列情形之一的，由交通运输主管部门责令改正，处1000元以上3000元以下的罚款：</w:t>
            </w:r>
          </w:p>
          <w:p w:rsidR="0059130C" w:rsidRDefault="002E22CA">
            <w:pPr>
              <w:overflowPunct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（五）在旅客运输途中擅自变更运输车辆的；</w:t>
            </w:r>
          </w:p>
          <w:p w:rsidR="0059130C" w:rsidRDefault="002E22CA">
            <w:pPr>
              <w:overflowPunct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（六）未报告原许可机关，擅自终止道路客运经营的；</w:t>
            </w:r>
          </w:p>
          <w:p w:rsidR="0059130C" w:rsidRDefault="002E22CA">
            <w:pPr>
              <w:overflowPunct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《道路旅客运输及客运站管理规定》（交通运输部令2022年第33号）第九十九条第二款：“违反前款第（一）至（六）项规定，情节严重的，由原许可机关吊销相应许可。”</w:t>
            </w:r>
          </w:p>
        </w:tc>
        <w:tc>
          <w:tcPr>
            <w:tcW w:w="712"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行政处罚</w:t>
            </w:r>
          </w:p>
        </w:tc>
        <w:tc>
          <w:tcPr>
            <w:tcW w:w="638"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512"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907"/>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93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1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3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51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907"/>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93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1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3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51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907"/>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93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1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3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51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907"/>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93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1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3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51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907"/>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93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1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3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51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907"/>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93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1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3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51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402"/>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93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12"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38"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512"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397"/>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397"/>
          <w:jc w:val="center"/>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原因：根据《道路旅客运输及客运站管理规定》（交通运输部令2022年第33号）新增该事项</w:t>
            </w:r>
          </w:p>
        </w:tc>
      </w:tr>
    </w:tbl>
    <w:p w:rsidR="0059130C" w:rsidRDefault="0059130C">
      <w:pPr>
        <w:spacing w:line="240" w:lineRule="exact"/>
        <w:rPr>
          <w:rFonts w:ascii="仿宋_GB2312" w:eastAsia="仿宋_GB2312" w:hAnsi="仿宋_GB2312" w:cs="仿宋_GB2312"/>
          <w:szCs w:val="21"/>
        </w:rPr>
      </w:pPr>
    </w:p>
    <w:tbl>
      <w:tblPr>
        <w:tblW w:w="14128" w:type="dxa"/>
        <w:jc w:val="center"/>
        <w:tblLayout w:type="fixed"/>
        <w:tblCellMar>
          <w:left w:w="15" w:type="dxa"/>
          <w:right w:w="15" w:type="dxa"/>
        </w:tblCellMar>
        <w:tblLook w:val="04A0"/>
      </w:tblPr>
      <w:tblGrid>
        <w:gridCol w:w="999"/>
        <w:gridCol w:w="1976"/>
        <w:gridCol w:w="3686"/>
        <w:gridCol w:w="675"/>
        <w:gridCol w:w="806"/>
        <w:gridCol w:w="4625"/>
        <w:gridCol w:w="1361"/>
      </w:tblGrid>
      <w:tr w:rsidR="0059130C">
        <w:trPr>
          <w:trHeight w:val="23"/>
          <w:jc w:val="center"/>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368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0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62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964"/>
          <w:jc w:val="center"/>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70</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未按照有关规定申请发布航行警告、航行通告即行</w:t>
            </w:r>
            <w:proofErr w:type="gramStart"/>
            <w:r>
              <w:rPr>
                <w:rFonts w:ascii="仿宋_GB2312" w:eastAsia="仿宋_GB2312" w:hAnsi="仿宋_GB2312" w:cs="仿宋_GB2312" w:hint="eastAsia"/>
                <w:kern w:val="0"/>
                <w:szCs w:val="21"/>
                <w:lang/>
              </w:rPr>
              <w:t>实施水</w:t>
            </w:r>
            <w:proofErr w:type="gramEnd"/>
            <w:r>
              <w:rPr>
                <w:rFonts w:ascii="仿宋_GB2312" w:eastAsia="仿宋_GB2312" w:hAnsi="仿宋_GB2312" w:cs="仿宋_GB2312" w:hint="eastAsia"/>
                <w:kern w:val="0"/>
                <w:szCs w:val="21"/>
                <w:lang/>
              </w:rPr>
              <w:t>上水下活动的或水上水下活动与航行警告、航行通告中公告的内容不符的处罚</w:t>
            </w:r>
          </w:p>
        </w:tc>
        <w:tc>
          <w:tcPr>
            <w:tcW w:w="3686"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《中华人民共和国内河海事行政处罚规定》（交通运输部令2022第28号）第二十七条　违反《内河交通安全管理条例》第四十五条，有下列行为或者情形之一的，责令改正，并可以处以2000元以下的罚款；拒不改正的，责令施工作业单位、施工作业的船舶和设施停止作业：</w:t>
            </w:r>
          </w:p>
          <w:p w:rsidR="0059130C" w:rsidRDefault="002E22CA">
            <w:pPr>
              <w:overflowPunct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 xml:space="preserve">　　（一）未按照有关规定申请发布航行警告、航行通告即行</w:t>
            </w:r>
            <w:proofErr w:type="gramStart"/>
            <w:r>
              <w:rPr>
                <w:rFonts w:ascii="仿宋_GB2312" w:eastAsia="仿宋_GB2312" w:hAnsi="仿宋_GB2312" w:cs="仿宋_GB2312" w:hint="eastAsia"/>
                <w:kern w:val="0"/>
                <w:szCs w:val="21"/>
                <w:lang/>
              </w:rPr>
              <w:t>实施水</w:t>
            </w:r>
            <w:proofErr w:type="gramEnd"/>
            <w:r>
              <w:rPr>
                <w:rFonts w:ascii="仿宋_GB2312" w:eastAsia="仿宋_GB2312" w:hAnsi="仿宋_GB2312" w:cs="仿宋_GB2312" w:hint="eastAsia"/>
                <w:kern w:val="0"/>
                <w:szCs w:val="21"/>
                <w:lang/>
              </w:rPr>
              <w:t>上水下活动的；</w:t>
            </w:r>
          </w:p>
          <w:p w:rsidR="0059130C" w:rsidRDefault="002E22CA">
            <w:pPr>
              <w:overflowPunct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 xml:space="preserve">　　（二）水上水下活动与航行警告、航行通告中公告的内容不符的。</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行政处罚</w:t>
            </w:r>
          </w:p>
        </w:tc>
        <w:tc>
          <w:tcPr>
            <w:tcW w:w="806"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62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964"/>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68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0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6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964"/>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68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0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6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964"/>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68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0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6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964"/>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68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0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6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964"/>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68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0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6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964"/>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68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0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6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561"/>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68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06"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625"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454"/>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454"/>
          <w:jc w:val="center"/>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原因：根据《中华人民共和国内河海事行政处罚规定》（交通运输部令2022第28号），增加此事项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128" w:type="dxa"/>
        <w:jc w:val="center"/>
        <w:tblBorders>
          <w:top w:val="single" w:sz="4" w:space="0" w:color="auto"/>
          <w:left w:val="single" w:sz="4" w:space="0" w:color="auto"/>
          <w:bottom w:val="single" w:sz="4" w:space="0" w:color="auto"/>
          <w:right w:val="single" w:sz="4" w:space="0" w:color="auto"/>
        </w:tblBorders>
        <w:tblLayout w:type="fixed"/>
        <w:tblCellMar>
          <w:left w:w="15" w:type="dxa"/>
          <w:right w:w="15" w:type="dxa"/>
        </w:tblCellMar>
        <w:tblLook w:val="04A0"/>
      </w:tblPr>
      <w:tblGrid>
        <w:gridCol w:w="999"/>
        <w:gridCol w:w="1976"/>
        <w:gridCol w:w="3086"/>
        <w:gridCol w:w="825"/>
        <w:gridCol w:w="712"/>
        <w:gridCol w:w="5169"/>
        <w:gridCol w:w="1361"/>
      </w:tblGrid>
      <w:tr w:rsidR="0059130C">
        <w:trPr>
          <w:trHeight w:val="23"/>
          <w:jc w:val="center"/>
        </w:trPr>
        <w:tc>
          <w:tcPr>
            <w:tcW w:w="999" w:type="dxa"/>
            <w:tcBorders>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1976" w:type="dxa"/>
            <w:tcBorders>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3086" w:type="dxa"/>
            <w:tcBorders>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825" w:type="dxa"/>
            <w:tcBorders>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712" w:type="dxa"/>
            <w:tcBorders>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5169" w:type="dxa"/>
            <w:tcBorders>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left w:val="single" w:sz="4" w:space="0" w:color="000000"/>
              <w:bottom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907"/>
          <w:jc w:val="center"/>
        </w:trPr>
        <w:tc>
          <w:tcPr>
            <w:tcW w:w="999" w:type="dxa"/>
            <w:vMerge w:val="restart"/>
            <w:tcBorders>
              <w:top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71</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在内河通航水域进行可能影响通航安全的作业或者活动，未按照规定设置标志、显示信号的处罚</w:t>
            </w:r>
          </w:p>
        </w:tc>
        <w:tc>
          <w:tcPr>
            <w:tcW w:w="3086"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《中华人民共和国内河海事行政处罚规定》（交通运输部令2022第28号）第二十八条　违反《内河交通安全管理条例》第二十九条的规定，在内河通航水域进行可能影响通航安全的作业或者活动，未按照规定设置标志、显示信号的，依照《内河交通安全管理条例》第七十条的规定，处以5000元以上5万元以下罚款。</w:t>
            </w:r>
          </w:p>
          <w:p w:rsidR="0059130C" w:rsidRDefault="002E22CA">
            <w:pPr>
              <w:overflowPunct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 xml:space="preserve">　　本条前款所称可能影响通航安全的作业或者活动，包括《内河交通安全管理条例》第二十五条、第二十八条规定的作业或者活动。</w:t>
            </w:r>
          </w:p>
        </w:tc>
        <w:tc>
          <w:tcPr>
            <w:tcW w:w="82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行政处罚</w:t>
            </w:r>
          </w:p>
        </w:tc>
        <w:tc>
          <w:tcPr>
            <w:tcW w:w="712"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5169"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1020"/>
          <w:jc w:val="center"/>
        </w:trPr>
        <w:tc>
          <w:tcPr>
            <w:tcW w:w="999" w:type="dxa"/>
            <w:vMerge/>
            <w:tcBorders>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right w:val="single" w:sz="4" w:space="0" w:color="000000"/>
            </w:tcBorders>
            <w:vAlign w:val="center"/>
          </w:tcPr>
          <w:p w:rsidR="0059130C" w:rsidRDefault="0059130C">
            <w:pPr>
              <w:overflowPunct w:val="0"/>
              <w:spacing w:line="240" w:lineRule="exact"/>
              <w:jc w:val="left"/>
              <w:rPr>
                <w:rFonts w:ascii="仿宋_GB2312" w:eastAsia="仿宋_GB2312" w:hAnsi="仿宋_GB2312" w:cs="仿宋_GB2312"/>
                <w:kern w:val="0"/>
                <w:szCs w:val="21"/>
                <w:lang/>
              </w:rPr>
            </w:pPr>
          </w:p>
        </w:tc>
        <w:tc>
          <w:tcPr>
            <w:tcW w:w="3086" w:type="dxa"/>
            <w:vMerge/>
            <w:tcBorders>
              <w:left w:val="single" w:sz="4" w:space="0" w:color="000000"/>
              <w:right w:val="single" w:sz="4" w:space="0" w:color="000000"/>
            </w:tcBorders>
            <w:vAlign w:val="center"/>
          </w:tcPr>
          <w:p w:rsidR="0059130C" w:rsidRDefault="0059130C">
            <w:pPr>
              <w:overflowPunct w:val="0"/>
              <w:spacing w:line="240" w:lineRule="exact"/>
              <w:rPr>
                <w:rFonts w:ascii="仿宋_GB2312" w:eastAsia="仿宋_GB2312" w:hAnsi="仿宋_GB2312" w:cs="仿宋_GB2312"/>
                <w:kern w:val="0"/>
                <w:szCs w:val="21"/>
                <w:lang/>
              </w:rPr>
            </w:pPr>
          </w:p>
        </w:tc>
        <w:tc>
          <w:tcPr>
            <w:tcW w:w="82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1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516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1020"/>
          <w:jc w:val="center"/>
        </w:trPr>
        <w:tc>
          <w:tcPr>
            <w:tcW w:w="999" w:type="dxa"/>
            <w:vMerge/>
            <w:tcBorders>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right w:val="single" w:sz="4" w:space="0" w:color="000000"/>
            </w:tcBorders>
            <w:vAlign w:val="center"/>
          </w:tcPr>
          <w:p w:rsidR="0059130C" w:rsidRDefault="0059130C">
            <w:pPr>
              <w:overflowPunct w:val="0"/>
              <w:spacing w:line="240" w:lineRule="exact"/>
              <w:jc w:val="left"/>
              <w:rPr>
                <w:rFonts w:ascii="仿宋_GB2312" w:eastAsia="仿宋_GB2312" w:hAnsi="仿宋_GB2312" w:cs="仿宋_GB2312"/>
                <w:kern w:val="0"/>
                <w:szCs w:val="21"/>
                <w:lang/>
              </w:rPr>
            </w:pPr>
          </w:p>
        </w:tc>
        <w:tc>
          <w:tcPr>
            <w:tcW w:w="3086" w:type="dxa"/>
            <w:vMerge/>
            <w:tcBorders>
              <w:left w:val="single" w:sz="4" w:space="0" w:color="000000"/>
              <w:right w:val="single" w:sz="4" w:space="0" w:color="000000"/>
            </w:tcBorders>
            <w:vAlign w:val="center"/>
          </w:tcPr>
          <w:p w:rsidR="0059130C" w:rsidRDefault="0059130C">
            <w:pPr>
              <w:overflowPunct w:val="0"/>
              <w:spacing w:line="240" w:lineRule="exact"/>
              <w:rPr>
                <w:rFonts w:ascii="仿宋_GB2312" w:eastAsia="仿宋_GB2312" w:hAnsi="仿宋_GB2312" w:cs="仿宋_GB2312"/>
                <w:kern w:val="0"/>
                <w:szCs w:val="21"/>
                <w:lang/>
              </w:rPr>
            </w:pPr>
          </w:p>
        </w:tc>
        <w:tc>
          <w:tcPr>
            <w:tcW w:w="82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1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516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1020"/>
          <w:jc w:val="center"/>
        </w:trPr>
        <w:tc>
          <w:tcPr>
            <w:tcW w:w="999" w:type="dxa"/>
            <w:vMerge/>
            <w:tcBorders>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right w:val="single" w:sz="4" w:space="0" w:color="000000"/>
            </w:tcBorders>
            <w:vAlign w:val="center"/>
          </w:tcPr>
          <w:p w:rsidR="0059130C" w:rsidRDefault="0059130C">
            <w:pPr>
              <w:overflowPunct w:val="0"/>
              <w:spacing w:line="240" w:lineRule="exact"/>
              <w:jc w:val="left"/>
              <w:rPr>
                <w:rFonts w:ascii="仿宋_GB2312" w:eastAsia="仿宋_GB2312" w:hAnsi="仿宋_GB2312" w:cs="仿宋_GB2312"/>
                <w:kern w:val="0"/>
                <w:szCs w:val="21"/>
                <w:lang/>
              </w:rPr>
            </w:pPr>
          </w:p>
        </w:tc>
        <w:tc>
          <w:tcPr>
            <w:tcW w:w="3086" w:type="dxa"/>
            <w:vMerge/>
            <w:tcBorders>
              <w:left w:val="single" w:sz="4" w:space="0" w:color="000000"/>
              <w:right w:val="single" w:sz="4" w:space="0" w:color="000000"/>
            </w:tcBorders>
            <w:vAlign w:val="center"/>
          </w:tcPr>
          <w:p w:rsidR="0059130C" w:rsidRDefault="0059130C">
            <w:pPr>
              <w:overflowPunct w:val="0"/>
              <w:spacing w:line="240" w:lineRule="exact"/>
              <w:rPr>
                <w:rFonts w:ascii="仿宋_GB2312" w:eastAsia="仿宋_GB2312" w:hAnsi="仿宋_GB2312" w:cs="仿宋_GB2312"/>
                <w:kern w:val="0"/>
                <w:szCs w:val="21"/>
                <w:lang/>
              </w:rPr>
            </w:pPr>
          </w:p>
        </w:tc>
        <w:tc>
          <w:tcPr>
            <w:tcW w:w="82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1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516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1020"/>
          <w:jc w:val="center"/>
        </w:trPr>
        <w:tc>
          <w:tcPr>
            <w:tcW w:w="999" w:type="dxa"/>
            <w:vMerge/>
            <w:tcBorders>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right w:val="single" w:sz="4" w:space="0" w:color="000000"/>
            </w:tcBorders>
            <w:vAlign w:val="center"/>
          </w:tcPr>
          <w:p w:rsidR="0059130C" w:rsidRDefault="0059130C">
            <w:pPr>
              <w:overflowPunct w:val="0"/>
              <w:spacing w:line="240" w:lineRule="exact"/>
              <w:jc w:val="left"/>
              <w:rPr>
                <w:rFonts w:ascii="仿宋_GB2312" w:eastAsia="仿宋_GB2312" w:hAnsi="仿宋_GB2312" w:cs="仿宋_GB2312"/>
                <w:kern w:val="0"/>
                <w:szCs w:val="21"/>
                <w:lang/>
              </w:rPr>
            </w:pPr>
          </w:p>
        </w:tc>
        <w:tc>
          <w:tcPr>
            <w:tcW w:w="3086" w:type="dxa"/>
            <w:vMerge/>
            <w:tcBorders>
              <w:left w:val="single" w:sz="4" w:space="0" w:color="000000"/>
              <w:right w:val="single" w:sz="4" w:space="0" w:color="000000"/>
            </w:tcBorders>
            <w:vAlign w:val="center"/>
          </w:tcPr>
          <w:p w:rsidR="0059130C" w:rsidRDefault="0059130C">
            <w:pPr>
              <w:overflowPunct w:val="0"/>
              <w:spacing w:line="240" w:lineRule="exact"/>
              <w:rPr>
                <w:rFonts w:ascii="仿宋_GB2312" w:eastAsia="仿宋_GB2312" w:hAnsi="仿宋_GB2312" w:cs="仿宋_GB2312"/>
                <w:kern w:val="0"/>
                <w:szCs w:val="21"/>
                <w:lang/>
              </w:rPr>
            </w:pPr>
          </w:p>
        </w:tc>
        <w:tc>
          <w:tcPr>
            <w:tcW w:w="82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1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516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842"/>
          <w:jc w:val="center"/>
        </w:trPr>
        <w:tc>
          <w:tcPr>
            <w:tcW w:w="999" w:type="dxa"/>
            <w:vMerge/>
            <w:tcBorders>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right w:val="single" w:sz="4" w:space="0" w:color="000000"/>
            </w:tcBorders>
            <w:vAlign w:val="center"/>
          </w:tcPr>
          <w:p w:rsidR="0059130C" w:rsidRDefault="0059130C">
            <w:pPr>
              <w:overflowPunct w:val="0"/>
              <w:spacing w:line="240" w:lineRule="exact"/>
              <w:jc w:val="left"/>
              <w:rPr>
                <w:rFonts w:ascii="仿宋_GB2312" w:eastAsia="仿宋_GB2312" w:hAnsi="仿宋_GB2312" w:cs="仿宋_GB2312"/>
                <w:kern w:val="0"/>
                <w:szCs w:val="21"/>
                <w:lang/>
              </w:rPr>
            </w:pPr>
          </w:p>
        </w:tc>
        <w:tc>
          <w:tcPr>
            <w:tcW w:w="3086" w:type="dxa"/>
            <w:vMerge/>
            <w:tcBorders>
              <w:left w:val="single" w:sz="4" w:space="0" w:color="000000"/>
              <w:right w:val="single" w:sz="4" w:space="0" w:color="000000"/>
            </w:tcBorders>
            <w:vAlign w:val="center"/>
          </w:tcPr>
          <w:p w:rsidR="0059130C" w:rsidRDefault="0059130C">
            <w:pPr>
              <w:overflowPunct w:val="0"/>
              <w:spacing w:line="240" w:lineRule="exact"/>
              <w:rPr>
                <w:rFonts w:ascii="仿宋_GB2312" w:eastAsia="仿宋_GB2312" w:hAnsi="仿宋_GB2312" w:cs="仿宋_GB2312"/>
                <w:kern w:val="0"/>
                <w:szCs w:val="21"/>
                <w:lang/>
              </w:rPr>
            </w:pPr>
          </w:p>
        </w:tc>
        <w:tc>
          <w:tcPr>
            <w:tcW w:w="82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12" w:type="dxa"/>
            <w:tcBorders>
              <w:top w:val="single" w:sz="4" w:space="0" w:color="auto"/>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5169" w:type="dxa"/>
            <w:tcBorders>
              <w:top w:val="single" w:sz="4" w:space="0" w:color="auto"/>
              <w:left w:val="single" w:sz="4" w:space="0" w:color="000000"/>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1020"/>
          <w:jc w:val="center"/>
        </w:trPr>
        <w:tc>
          <w:tcPr>
            <w:tcW w:w="999" w:type="dxa"/>
            <w:vMerge/>
            <w:tcBorders>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top w:val="single" w:sz="4" w:space="0" w:color="000000"/>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086" w:type="dxa"/>
            <w:vMerge/>
            <w:tcBorders>
              <w:top w:val="single" w:sz="4" w:space="0" w:color="000000"/>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25" w:type="dxa"/>
            <w:vMerge/>
            <w:tcBorders>
              <w:top w:val="single" w:sz="4" w:space="0" w:color="000000"/>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szCs w:val="21"/>
              </w:rPr>
            </w:pPr>
          </w:p>
        </w:tc>
        <w:tc>
          <w:tcPr>
            <w:tcW w:w="712" w:type="dxa"/>
            <w:tcBorders>
              <w:top w:val="single" w:sz="4" w:space="0" w:color="000000"/>
              <w:left w:val="single" w:sz="4" w:space="0" w:color="000000"/>
              <w:bottom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5169" w:type="dxa"/>
            <w:tcBorders>
              <w:top w:val="single" w:sz="4" w:space="0" w:color="000000"/>
              <w:left w:val="single" w:sz="4" w:space="0" w:color="000000"/>
              <w:bottom w:val="single" w:sz="4" w:space="0" w:color="000000"/>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618"/>
          <w:jc w:val="center"/>
        </w:trPr>
        <w:tc>
          <w:tcPr>
            <w:tcW w:w="999" w:type="dxa"/>
            <w:vMerge/>
            <w:tcBorders>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top w:val="single" w:sz="4" w:space="0" w:color="000000"/>
              <w:left w:val="single" w:sz="4" w:space="0" w:color="000000"/>
              <w:bottom w:val="single" w:sz="4" w:space="0" w:color="auto"/>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086" w:type="dxa"/>
            <w:vMerge/>
            <w:tcBorders>
              <w:top w:val="single" w:sz="4" w:space="0" w:color="000000"/>
              <w:left w:val="single" w:sz="4" w:space="0" w:color="000000"/>
              <w:bottom w:val="single" w:sz="4" w:space="0" w:color="auto"/>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25" w:type="dxa"/>
            <w:vMerge/>
            <w:tcBorders>
              <w:top w:val="single" w:sz="4" w:space="0" w:color="000000"/>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szCs w:val="21"/>
              </w:rPr>
            </w:pPr>
          </w:p>
        </w:tc>
        <w:tc>
          <w:tcPr>
            <w:tcW w:w="712" w:type="dxa"/>
            <w:tcBorders>
              <w:top w:val="single" w:sz="4" w:space="0" w:color="000000"/>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5169"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510"/>
          <w:jc w:val="center"/>
        </w:trPr>
        <w:tc>
          <w:tcPr>
            <w:tcW w:w="999" w:type="dxa"/>
            <w:vMerge/>
            <w:tcBorders>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auto"/>
              <w:left w:val="single" w:sz="4" w:space="0" w:color="000000"/>
              <w:bottom w:val="single" w:sz="4" w:space="0" w:color="auto"/>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510"/>
          <w:jc w:val="center"/>
        </w:trPr>
        <w:tc>
          <w:tcPr>
            <w:tcW w:w="999" w:type="dxa"/>
            <w:vMerge/>
            <w:tcBorders>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auto"/>
              <w:lef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原因：根据《中华人民共和国内河海事行政处罚规定》（交通运输部令2022第28号），增加此事项</w:t>
            </w:r>
          </w:p>
        </w:tc>
      </w:tr>
    </w:tbl>
    <w:p w:rsidR="0059130C" w:rsidRDefault="0059130C">
      <w:pPr>
        <w:spacing w:line="240" w:lineRule="exact"/>
        <w:rPr>
          <w:rFonts w:ascii="仿宋_GB2312" w:eastAsia="仿宋_GB2312" w:hAnsi="仿宋_GB2312" w:cs="仿宋_GB2312"/>
          <w:szCs w:val="21"/>
        </w:rPr>
      </w:pPr>
    </w:p>
    <w:tbl>
      <w:tblPr>
        <w:tblW w:w="14128" w:type="dxa"/>
        <w:jc w:val="center"/>
        <w:tblLayout w:type="fixed"/>
        <w:tblCellMar>
          <w:left w:w="15" w:type="dxa"/>
          <w:right w:w="15" w:type="dxa"/>
        </w:tblCellMar>
        <w:tblLook w:val="04A0"/>
      </w:tblPr>
      <w:tblGrid>
        <w:gridCol w:w="999"/>
        <w:gridCol w:w="1387"/>
        <w:gridCol w:w="4387"/>
        <w:gridCol w:w="732"/>
        <w:gridCol w:w="750"/>
        <w:gridCol w:w="4512"/>
        <w:gridCol w:w="1361"/>
      </w:tblGrid>
      <w:tr w:rsidR="0059130C">
        <w:trPr>
          <w:trHeight w:val="23"/>
          <w:jc w:val="center"/>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1387"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387"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73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75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51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737"/>
          <w:jc w:val="center"/>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72</w:t>
            </w:r>
          </w:p>
        </w:tc>
        <w:tc>
          <w:tcPr>
            <w:tcW w:w="1387"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船舶、浮动设施造成内河交通事故的处罚</w:t>
            </w:r>
          </w:p>
        </w:tc>
        <w:tc>
          <w:tcPr>
            <w:tcW w:w="4387"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《中华人民共和国内河海事行政处罚规定》（交通运输部令2022第28号）第三十二条 违反《内河交通安全管理条例》的有关规定，船舶、浮动设施造成内河交通事故的，除依法承担相应的法律责任外，依照《内河交通安全管理条例》第七十七条的规定，对责任船员给予下列处罚：</w:t>
            </w:r>
          </w:p>
          <w:p w:rsidR="0059130C" w:rsidRDefault="002E22CA">
            <w:pPr>
              <w:overflowPunct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一）造成特别重大事故的，对负有全部责任、主要责任的船员吊销船员适任证书或者其他适任证件，对负有次要责任的船员扣留船员适任证书或者其他适任证件12个月直至吊销船员适任证书或者其他适任证件；责任相当的，对责任船员扣留船员适任证书或者其他适任证件24个月或者吊销船员适任证书或者其他适任证件。</w:t>
            </w:r>
          </w:p>
          <w:p w:rsidR="0059130C" w:rsidRDefault="002E22CA">
            <w:pPr>
              <w:overflowPunct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二）造成重大事故的，对负有全部责任、主要责任的船员吊销船员适任证书或者其他适任证件；对负有次要责任的船员扣留船员适任证书或者其他适任证件12个月至24个月；责任相当的，对责任船员扣留船员适任证书或者其他适任证件18个月或者吊销船员适任证书或者其他适任证件。</w:t>
            </w:r>
          </w:p>
          <w:p w:rsidR="0059130C" w:rsidRDefault="002E22CA">
            <w:pPr>
              <w:overflowPunct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三）造成较大事故的，对负有全部责任、主要责任的船员扣留船员适任证书或者其他适任证件12个月至24个月或者吊销船员适任证书或者其他适任证件，对负有次要责任的船员扣留船员适任证书或者其他适任证件6个月；责任相当的，对责任船员扣留船员适任证书或者其他适任证件12个月。</w:t>
            </w:r>
          </w:p>
        </w:tc>
        <w:tc>
          <w:tcPr>
            <w:tcW w:w="732"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75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512"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737"/>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8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38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3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5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51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737"/>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8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38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3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5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51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737"/>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8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38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3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5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51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737"/>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8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38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3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5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51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737"/>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8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38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3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5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51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737"/>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8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38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3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5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51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737"/>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8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38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32"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5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512"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567"/>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567"/>
          <w:jc w:val="center"/>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原因：根据《中华人民共和国内河海事行政处罚规定》（交通运输部令2022第28号），增加此事项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128" w:type="dxa"/>
        <w:jc w:val="center"/>
        <w:tblLayout w:type="fixed"/>
        <w:tblCellMar>
          <w:left w:w="15" w:type="dxa"/>
          <w:right w:w="15" w:type="dxa"/>
        </w:tblCellMar>
        <w:tblLook w:val="04A0"/>
      </w:tblPr>
      <w:tblGrid>
        <w:gridCol w:w="999"/>
        <w:gridCol w:w="1976"/>
        <w:gridCol w:w="2786"/>
        <w:gridCol w:w="1012"/>
        <w:gridCol w:w="957"/>
        <w:gridCol w:w="5037"/>
        <w:gridCol w:w="1361"/>
      </w:tblGrid>
      <w:tr w:rsidR="0059130C">
        <w:trPr>
          <w:trHeight w:val="23"/>
          <w:jc w:val="center"/>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278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101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957"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5037"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907"/>
          <w:jc w:val="center"/>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73</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客运经营者未按照规定在发车前对旅客进行安全事项告知的处罚</w:t>
            </w:r>
          </w:p>
        </w:tc>
        <w:tc>
          <w:tcPr>
            <w:tcW w:w="2786"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道路旅客运输及客运站管理规定》（交通运输部令2022年第33号）第九十九条：“违反本规定，客运经营者有下列情形之一的，由交通运输主管部门责令改正，处1000元以上3000元以下的罚款：……（九）未按照规定在发车前对旅客进行安全事项告知的。”</w:t>
            </w:r>
          </w:p>
        </w:tc>
        <w:tc>
          <w:tcPr>
            <w:tcW w:w="1012"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957"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5037"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907"/>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278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101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503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907"/>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278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101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503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907"/>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278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101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503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907"/>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278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101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503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907"/>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278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101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503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907"/>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278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101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5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503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907"/>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278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1012"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57"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5037"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454"/>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454"/>
          <w:jc w:val="center"/>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原因：：根据《道路旅客运输及客运站管理规定》（交通运输部令2022年第33号），增加此事项</w:t>
            </w:r>
          </w:p>
        </w:tc>
      </w:tr>
    </w:tbl>
    <w:p w:rsidR="0059130C" w:rsidRDefault="0059130C">
      <w:pPr>
        <w:spacing w:line="240" w:lineRule="exact"/>
        <w:rPr>
          <w:rFonts w:ascii="仿宋_GB2312" w:eastAsia="仿宋_GB2312" w:hAnsi="仿宋_GB2312" w:cs="仿宋_GB2312"/>
          <w:szCs w:val="21"/>
        </w:rPr>
      </w:pPr>
    </w:p>
    <w:tbl>
      <w:tblPr>
        <w:tblW w:w="14128" w:type="dxa"/>
        <w:jc w:val="center"/>
        <w:tblLayout w:type="fixed"/>
        <w:tblCellMar>
          <w:left w:w="15" w:type="dxa"/>
          <w:right w:w="15" w:type="dxa"/>
        </w:tblCellMar>
        <w:tblLook w:val="04A0"/>
      </w:tblPr>
      <w:tblGrid>
        <w:gridCol w:w="999"/>
        <w:gridCol w:w="1612"/>
        <w:gridCol w:w="4406"/>
        <w:gridCol w:w="581"/>
        <w:gridCol w:w="582"/>
        <w:gridCol w:w="4587"/>
        <w:gridCol w:w="1361"/>
      </w:tblGrid>
      <w:tr w:rsidR="0059130C">
        <w:trPr>
          <w:trHeight w:val="23"/>
          <w:jc w:val="center"/>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161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40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58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58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587"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964"/>
          <w:jc w:val="center"/>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ind w:firstLineChars="100" w:firstLine="210"/>
              <w:textAlignment w:val="center"/>
              <w:rPr>
                <w:rFonts w:ascii="仿宋_GB2312" w:eastAsia="仿宋_GB2312" w:hAnsi="仿宋_GB2312" w:cs="仿宋_GB2312"/>
                <w:szCs w:val="21"/>
              </w:rPr>
            </w:pPr>
            <w:r>
              <w:rPr>
                <w:rFonts w:ascii="仿宋_GB2312" w:eastAsia="仿宋_GB2312" w:hAnsi="仿宋_GB2312" w:cs="仿宋_GB2312" w:hint="eastAsia"/>
                <w:szCs w:val="21"/>
              </w:rPr>
              <w:t>74</w:t>
            </w:r>
          </w:p>
        </w:tc>
        <w:tc>
          <w:tcPr>
            <w:tcW w:w="1612"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道路运输企业主要负责人和安全生产管理人员未按照规定经考核合格的处罚</w:t>
            </w:r>
          </w:p>
        </w:tc>
        <w:tc>
          <w:tcPr>
            <w:tcW w:w="4406"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《道路运输从业人员管理规定》（交通部令2022年第38号）第四十九条：“ 道路运输企业主要负责人和安全生产管理人员未按照规定经考核合格的，由所在地设区的市级交通运输主管部门依照《中华人民共和国安全生产法》第九十七条的规定进行处罚。”</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中华人民共和国安全生产法》（2021年）第九十七条第二项：“生产经营单位有下列行为之一的，责令限期改正，处十万元以下的罚款；逾期未改正的，责令停产停业整顿，并处十万元以上二十万元以下的罚款，对其直接负责的主管人员和其他直接责任人员处二万元以上五万元以下的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（二）危险物品的生产、经营、储存、装卸单位以及矿山、金属冶炼、建筑施工、运输单位的主要负责人和安全生产管理人员未按照规定经考核合格的；</w:t>
            </w:r>
          </w:p>
          <w:p w:rsidR="0059130C" w:rsidRDefault="0059130C">
            <w:pPr>
              <w:pStyle w:val="a6"/>
              <w:spacing w:beforeAutospacing="0" w:afterAutospacing="0" w:line="240" w:lineRule="exact"/>
              <w:rPr>
                <w:rFonts w:ascii="仿宋_GB2312" w:eastAsia="仿宋_GB2312" w:hAnsi="仿宋_GB2312" w:cs="仿宋_GB2312"/>
                <w:sz w:val="21"/>
                <w:szCs w:val="21"/>
                <w:lang/>
              </w:rPr>
            </w:pPr>
          </w:p>
        </w:tc>
        <w:tc>
          <w:tcPr>
            <w:tcW w:w="581"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582"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587"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964"/>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61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40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581"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58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58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964"/>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61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40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581"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58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58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964"/>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61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40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581"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58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58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964"/>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61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40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581"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58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58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964"/>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61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40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581"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58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58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964"/>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61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40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581"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58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58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767"/>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61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40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581"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582"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587"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397"/>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397"/>
          <w:jc w:val="center"/>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原因：根据《道路运输从业人员管理规定》，增加此事项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128" w:type="dxa"/>
        <w:jc w:val="center"/>
        <w:tblLayout w:type="fixed"/>
        <w:tblCellMar>
          <w:left w:w="15" w:type="dxa"/>
          <w:right w:w="15" w:type="dxa"/>
        </w:tblCellMar>
        <w:tblLook w:val="04A0"/>
      </w:tblPr>
      <w:tblGrid>
        <w:gridCol w:w="999"/>
        <w:gridCol w:w="1443"/>
        <w:gridCol w:w="4669"/>
        <w:gridCol w:w="806"/>
        <w:gridCol w:w="825"/>
        <w:gridCol w:w="4025"/>
        <w:gridCol w:w="1361"/>
      </w:tblGrid>
      <w:tr w:rsidR="0059130C">
        <w:trPr>
          <w:trHeight w:val="23"/>
          <w:jc w:val="center"/>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144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669"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80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2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02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jc w:val="center"/>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75</w:t>
            </w:r>
          </w:p>
        </w:tc>
        <w:tc>
          <w:tcPr>
            <w:tcW w:w="1443"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应当报废的船舶、浮动设施在内河航行或者作业的处罚</w:t>
            </w:r>
          </w:p>
        </w:tc>
        <w:tc>
          <w:tcPr>
            <w:tcW w:w="4669"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中华人民共和国内河海事行政处罚规定》（交通运输部令2022第28号）第十五条：“违反《内河交通安全管理条例》第十四条的规定，应当报废的船舶、浮动设施在内河航行或者作业的，依照《内河交通安全管理条例》第六十三条的规定，责令停航或者停止作业，并予以没收。</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本条前款所称应当报废的船舶，是指达到国家强制报废年限或者以废钢船名</w:t>
            </w:r>
            <w:proofErr w:type="gramStart"/>
            <w:r>
              <w:rPr>
                <w:rFonts w:ascii="仿宋_GB2312" w:eastAsia="仿宋_GB2312" w:hAnsi="仿宋_GB2312" w:cs="仿宋_GB2312" w:hint="eastAsia"/>
                <w:sz w:val="21"/>
                <w:szCs w:val="21"/>
                <w:lang/>
              </w:rPr>
              <w:t>义购买</w:t>
            </w:r>
            <w:proofErr w:type="gramEnd"/>
            <w:r>
              <w:rPr>
                <w:rFonts w:ascii="仿宋_GB2312" w:eastAsia="仿宋_GB2312" w:hAnsi="仿宋_GB2312" w:cs="仿宋_GB2312" w:hint="eastAsia"/>
                <w:sz w:val="21"/>
                <w:szCs w:val="21"/>
                <w:lang/>
              </w:rPr>
              <w:t>的船舶。”</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中华人民共和国内河交通安全管理条例》（2019年3月2日国务院令第709号）第六十三条：“违反本条例的规定，应当报废的船舶、浮动设施在内河航行或者作业的，由海事管理机构责令停航或者停止作业，并对船舶、浮动设施予以没收。”</w:t>
            </w:r>
          </w:p>
        </w:tc>
        <w:tc>
          <w:tcPr>
            <w:tcW w:w="806"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82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02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1911"/>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443" w:type="dxa"/>
            <w:vMerge/>
            <w:tcBorders>
              <w:left w:val="single" w:sz="4" w:space="0" w:color="000000"/>
              <w:right w:val="single" w:sz="4" w:space="0" w:color="000000"/>
            </w:tcBorders>
            <w:vAlign w:val="center"/>
          </w:tcPr>
          <w:p w:rsidR="0059130C" w:rsidRDefault="0059130C">
            <w:pPr>
              <w:pStyle w:val="a6"/>
              <w:spacing w:beforeAutospacing="0" w:afterAutospacing="0" w:line="240" w:lineRule="exact"/>
              <w:rPr>
                <w:rFonts w:ascii="仿宋_GB2312" w:eastAsia="仿宋_GB2312" w:hAnsi="仿宋_GB2312" w:cs="仿宋_GB2312"/>
                <w:sz w:val="21"/>
                <w:szCs w:val="21"/>
                <w:lang/>
              </w:rPr>
            </w:pPr>
          </w:p>
        </w:tc>
        <w:tc>
          <w:tcPr>
            <w:tcW w:w="4669" w:type="dxa"/>
            <w:vMerge/>
            <w:tcBorders>
              <w:left w:val="single" w:sz="4" w:space="0" w:color="000000"/>
              <w:right w:val="single" w:sz="4" w:space="0" w:color="000000"/>
            </w:tcBorders>
            <w:vAlign w:val="center"/>
          </w:tcPr>
          <w:p w:rsidR="0059130C" w:rsidRDefault="0059130C">
            <w:pPr>
              <w:pStyle w:val="a6"/>
              <w:spacing w:beforeAutospacing="0" w:afterAutospacing="0" w:line="240" w:lineRule="exact"/>
              <w:rPr>
                <w:rFonts w:ascii="仿宋_GB2312" w:eastAsia="仿宋_GB2312" w:hAnsi="仿宋_GB2312" w:cs="仿宋_GB2312"/>
                <w:sz w:val="21"/>
                <w:szCs w:val="21"/>
                <w:lang/>
              </w:rPr>
            </w:pPr>
          </w:p>
        </w:tc>
        <w:tc>
          <w:tcPr>
            <w:tcW w:w="806"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0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443" w:type="dxa"/>
            <w:vMerge/>
            <w:tcBorders>
              <w:left w:val="single" w:sz="4" w:space="0" w:color="000000"/>
              <w:right w:val="single" w:sz="4" w:space="0" w:color="000000"/>
            </w:tcBorders>
            <w:vAlign w:val="center"/>
          </w:tcPr>
          <w:p w:rsidR="0059130C" w:rsidRDefault="0059130C">
            <w:pPr>
              <w:pStyle w:val="a6"/>
              <w:spacing w:beforeAutospacing="0" w:afterAutospacing="0" w:line="240" w:lineRule="exact"/>
              <w:rPr>
                <w:rFonts w:ascii="仿宋_GB2312" w:eastAsia="仿宋_GB2312" w:hAnsi="仿宋_GB2312" w:cs="仿宋_GB2312"/>
                <w:sz w:val="21"/>
                <w:szCs w:val="21"/>
                <w:lang/>
              </w:rPr>
            </w:pPr>
          </w:p>
        </w:tc>
        <w:tc>
          <w:tcPr>
            <w:tcW w:w="4669" w:type="dxa"/>
            <w:vMerge/>
            <w:tcBorders>
              <w:left w:val="single" w:sz="4" w:space="0" w:color="000000"/>
              <w:right w:val="single" w:sz="4" w:space="0" w:color="000000"/>
            </w:tcBorders>
            <w:vAlign w:val="center"/>
          </w:tcPr>
          <w:p w:rsidR="0059130C" w:rsidRDefault="0059130C">
            <w:pPr>
              <w:pStyle w:val="a6"/>
              <w:spacing w:beforeAutospacing="0" w:afterAutospacing="0" w:line="240" w:lineRule="exact"/>
              <w:rPr>
                <w:rFonts w:ascii="仿宋_GB2312" w:eastAsia="仿宋_GB2312" w:hAnsi="仿宋_GB2312" w:cs="仿宋_GB2312"/>
                <w:sz w:val="21"/>
                <w:szCs w:val="21"/>
                <w:lang/>
              </w:rPr>
            </w:pPr>
          </w:p>
        </w:tc>
        <w:tc>
          <w:tcPr>
            <w:tcW w:w="806"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0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443" w:type="dxa"/>
            <w:vMerge/>
            <w:tcBorders>
              <w:left w:val="single" w:sz="4" w:space="0" w:color="000000"/>
              <w:right w:val="single" w:sz="4" w:space="0" w:color="000000"/>
            </w:tcBorders>
            <w:vAlign w:val="center"/>
          </w:tcPr>
          <w:p w:rsidR="0059130C" w:rsidRDefault="0059130C">
            <w:pPr>
              <w:pStyle w:val="a6"/>
              <w:spacing w:beforeAutospacing="0" w:afterAutospacing="0" w:line="240" w:lineRule="exact"/>
              <w:rPr>
                <w:rFonts w:ascii="仿宋_GB2312" w:eastAsia="仿宋_GB2312" w:hAnsi="仿宋_GB2312" w:cs="仿宋_GB2312"/>
                <w:sz w:val="21"/>
                <w:szCs w:val="21"/>
                <w:lang/>
              </w:rPr>
            </w:pPr>
          </w:p>
        </w:tc>
        <w:tc>
          <w:tcPr>
            <w:tcW w:w="4669" w:type="dxa"/>
            <w:vMerge/>
            <w:tcBorders>
              <w:left w:val="single" w:sz="4" w:space="0" w:color="000000"/>
              <w:right w:val="single" w:sz="4" w:space="0" w:color="000000"/>
            </w:tcBorders>
            <w:vAlign w:val="center"/>
          </w:tcPr>
          <w:p w:rsidR="0059130C" w:rsidRDefault="0059130C">
            <w:pPr>
              <w:pStyle w:val="a6"/>
              <w:spacing w:beforeAutospacing="0" w:afterAutospacing="0" w:line="240" w:lineRule="exact"/>
              <w:rPr>
                <w:rFonts w:ascii="仿宋_GB2312" w:eastAsia="仿宋_GB2312" w:hAnsi="仿宋_GB2312" w:cs="仿宋_GB2312"/>
                <w:sz w:val="21"/>
                <w:szCs w:val="21"/>
                <w:lang/>
              </w:rPr>
            </w:pPr>
          </w:p>
        </w:tc>
        <w:tc>
          <w:tcPr>
            <w:tcW w:w="806"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0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443" w:type="dxa"/>
            <w:vMerge/>
            <w:tcBorders>
              <w:left w:val="single" w:sz="4" w:space="0" w:color="000000"/>
              <w:right w:val="single" w:sz="4" w:space="0" w:color="000000"/>
            </w:tcBorders>
            <w:vAlign w:val="center"/>
          </w:tcPr>
          <w:p w:rsidR="0059130C" w:rsidRDefault="0059130C">
            <w:pPr>
              <w:pStyle w:val="a6"/>
              <w:spacing w:beforeAutospacing="0" w:afterAutospacing="0" w:line="240" w:lineRule="exact"/>
              <w:rPr>
                <w:rFonts w:ascii="仿宋_GB2312" w:eastAsia="仿宋_GB2312" w:hAnsi="仿宋_GB2312" w:cs="仿宋_GB2312"/>
                <w:sz w:val="21"/>
                <w:szCs w:val="21"/>
                <w:lang/>
              </w:rPr>
            </w:pPr>
          </w:p>
        </w:tc>
        <w:tc>
          <w:tcPr>
            <w:tcW w:w="4669" w:type="dxa"/>
            <w:vMerge/>
            <w:tcBorders>
              <w:left w:val="single" w:sz="4" w:space="0" w:color="000000"/>
              <w:right w:val="single" w:sz="4" w:space="0" w:color="000000"/>
            </w:tcBorders>
            <w:vAlign w:val="center"/>
          </w:tcPr>
          <w:p w:rsidR="0059130C" w:rsidRDefault="0059130C">
            <w:pPr>
              <w:pStyle w:val="a6"/>
              <w:spacing w:beforeAutospacing="0" w:afterAutospacing="0" w:line="240" w:lineRule="exact"/>
              <w:rPr>
                <w:rFonts w:ascii="仿宋_GB2312" w:eastAsia="仿宋_GB2312" w:hAnsi="仿宋_GB2312" w:cs="仿宋_GB2312"/>
                <w:sz w:val="21"/>
                <w:szCs w:val="21"/>
                <w:lang/>
              </w:rPr>
            </w:pPr>
          </w:p>
        </w:tc>
        <w:tc>
          <w:tcPr>
            <w:tcW w:w="806"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0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443" w:type="dxa"/>
            <w:vMerge/>
            <w:tcBorders>
              <w:left w:val="single" w:sz="4" w:space="0" w:color="000000"/>
              <w:right w:val="single" w:sz="4" w:space="0" w:color="000000"/>
            </w:tcBorders>
            <w:vAlign w:val="center"/>
          </w:tcPr>
          <w:p w:rsidR="0059130C" w:rsidRDefault="0059130C">
            <w:pPr>
              <w:pStyle w:val="a6"/>
              <w:spacing w:beforeAutospacing="0" w:afterAutospacing="0" w:line="240" w:lineRule="exact"/>
              <w:rPr>
                <w:rFonts w:ascii="仿宋_GB2312" w:eastAsia="仿宋_GB2312" w:hAnsi="仿宋_GB2312" w:cs="仿宋_GB2312"/>
                <w:sz w:val="21"/>
                <w:szCs w:val="21"/>
                <w:lang/>
              </w:rPr>
            </w:pPr>
          </w:p>
        </w:tc>
        <w:tc>
          <w:tcPr>
            <w:tcW w:w="4669" w:type="dxa"/>
            <w:vMerge/>
            <w:tcBorders>
              <w:left w:val="single" w:sz="4" w:space="0" w:color="000000"/>
              <w:right w:val="single" w:sz="4" w:space="0" w:color="000000"/>
            </w:tcBorders>
            <w:vAlign w:val="center"/>
          </w:tcPr>
          <w:p w:rsidR="0059130C" w:rsidRDefault="0059130C">
            <w:pPr>
              <w:pStyle w:val="a6"/>
              <w:spacing w:beforeAutospacing="0" w:afterAutospacing="0" w:line="240" w:lineRule="exact"/>
              <w:rPr>
                <w:rFonts w:ascii="仿宋_GB2312" w:eastAsia="仿宋_GB2312" w:hAnsi="仿宋_GB2312" w:cs="仿宋_GB2312"/>
                <w:sz w:val="21"/>
                <w:szCs w:val="21"/>
                <w:lang/>
              </w:rPr>
            </w:pPr>
          </w:p>
        </w:tc>
        <w:tc>
          <w:tcPr>
            <w:tcW w:w="806"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0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443" w:type="dxa"/>
            <w:vMerge/>
            <w:tcBorders>
              <w:left w:val="single" w:sz="4" w:space="0" w:color="000000"/>
              <w:right w:val="single" w:sz="4" w:space="0" w:color="000000"/>
            </w:tcBorders>
            <w:vAlign w:val="center"/>
          </w:tcPr>
          <w:p w:rsidR="0059130C" w:rsidRDefault="0059130C">
            <w:pPr>
              <w:pStyle w:val="a6"/>
              <w:spacing w:beforeAutospacing="0" w:afterAutospacing="0" w:line="240" w:lineRule="exact"/>
              <w:rPr>
                <w:rFonts w:ascii="仿宋_GB2312" w:eastAsia="仿宋_GB2312" w:hAnsi="仿宋_GB2312" w:cs="仿宋_GB2312"/>
                <w:sz w:val="21"/>
                <w:szCs w:val="21"/>
                <w:lang/>
              </w:rPr>
            </w:pPr>
          </w:p>
        </w:tc>
        <w:tc>
          <w:tcPr>
            <w:tcW w:w="4669" w:type="dxa"/>
            <w:vMerge/>
            <w:tcBorders>
              <w:left w:val="single" w:sz="4" w:space="0" w:color="000000"/>
              <w:right w:val="single" w:sz="4" w:space="0" w:color="000000"/>
            </w:tcBorders>
            <w:vAlign w:val="center"/>
          </w:tcPr>
          <w:p w:rsidR="0059130C" w:rsidRDefault="0059130C">
            <w:pPr>
              <w:pStyle w:val="a6"/>
              <w:spacing w:beforeAutospacing="0" w:afterAutospacing="0" w:line="240" w:lineRule="exact"/>
              <w:rPr>
                <w:rFonts w:ascii="仿宋_GB2312" w:eastAsia="仿宋_GB2312" w:hAnsi="仿宋_GB2312" w:cs="仿宋_GB2312"/>
                <w:sz w:val="21"/>
                <w:szCs w:val="21"/>
                <w:lang/>
              </w:rPr>
            </w:pPr>
          </w:p>
        </w:tc>
        <w:tc>
          <w:tcPr>
            <w:tcW w:w="806"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0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443" w:type="dxa"/>
            <w:vMerge/>
            <w:tcBorders>
              <w:left w:val="single" w:sz="4" w:space="0" w:color="000000"/>
              <w:right w:val="single" w:sz="4" w:space="0" w:color="000000"/>
            </w:tcBorders>
            <w:vAlign w:val="center"/>
          </w:tcPr>
          <w:p w:rsidR="0059130C" w:rsidRDefault="0059130C">
            <w:pPr>
              <w:pStyle w:val="a6"/>
              <w:spacing w:beforeAutospacing="0" w:afterAutospacing="0" w:line="240" w:lineRule="exact"/>
              <w:rPr>
                <w:rFonts w:ascii="仿宋_GB2312" w:eastAsia="仿宋_GB2312" w:hAnsi="仿宋_GB2312" w:cs="仿宋_GB2312"/>
                <w:sz w:val="21"/>
                <w:szCs w:val="21"/>
                <w:lang/>
              </w:rPr>
            </w:pPr>
          </w:p>
        </w:tc>
        <w:tc>
          <w:tcPr>
            <w:tcW w:w="4669" w:type="dxa"/>
            <w:vMerge/>
            <w:tcBorders>
              <w:left w:val="single" w:sz="4" w:space="0" w:color="000000"/>
              <w:right w:val="single" w:sz="4" w:space="0" w:color="000000"/>
            </w:tcBorders>
            <w:vAlign w:val="center"/>
          </w:tcPr>
          <w:p w:rsidR="0059130C" w:rsidRDefault="0059130C">
            <w:pPr>
              <w:pStyle w:val="a6"/>
              <w:spacing w:beforeAutospacing="0" w:afterAutospacing="0" w:line="240" w:lineRule="exact"/>
              <w:rPr>
                <w:rFonts w:ascii="仿宋_GB2312" w:eastAsia="仿宋_GB2312" w:hAnsi="仿宋_GB2312" w:cs="仿宋_GB2312"/>
                <w:sz w:val="21"/>
                <w:szCs w:val="21"/>
                <w:lang/>
              </w:rPr>
            </w:pPr>
          </w:p>
        </w:tc>
        <w:tc>
          <w:tcPr>
            <w:tcW w:w="806"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25" w:type="dxa"/>
            <w:tcBorders>
              <w:top w:val="single" w:sz="4" w:space="0" w:color="auto"/>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025" w:type="dxa"/>
            <w:tcBorders>
              <w:top w:val="single" w:sz="4" w:space="0" w:color="auto"/>
              <w:left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832"/>
          <w:jc w:val="center"/>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原因：根据《中华人民共和国内河海事行政处罚规定》（交通运输部令2022第28号)《中华人民共和国内河交通安全管理条例》（2019年3月2日国务院令第709号），增加此事项</w:t>
            </w:r>
          </w:p>
        </w:tc>
      </w:tr>
    </w:tbl>
    <w:p w:rsidR="0059130C" w:rsidRDefault="0059130C">
      <w:pPr>
        <w:spacing w:line="240" w:lineRule="exact"/>
        <w:rPr>
          <w:rFonts w:ascii="仿宋_GB2312" w:eastAsia="仿宋_GB2312" w:hAnsi="仿宋_GB2312" w:cs="仿宋_GB2312"/>
          <w:szCs w:val="21"/>
        </w:rPr>
      </w:pPr>
    </w:p>
    <w:tbl>
      <w:tblPr>
        <w:tblW w:w="14128" w:type="dxa"/>
        <w:jc w:val="center"/>
        <w:tblLayout w:type="fixed"/>
        <w:tblCellMar>
          <w:left w:w="15" w:type="dxa"/>
          <w:right w:w="15" w:type="dxa"/>
        </w:tblCellMar>
        <w:tblLook w:val="04A0"/>
      </w:tblPr>
      <w:tblGrid>
        <w:gridCol w:w="999"/>
        <w:gridCol w:w="1976"/>
        <w:gridCol w:w="4023"/>
        <w:gridCol w:w="732"/>
        <w:gridCol w:w="862"/>
        <w:gridCol w:w="4175"/>
        <w:gridCol w:w="1361"/>
      </w:tblGrid>
      <w:tr w:rsidR="0059130C">
        <w:trPr>
          <w:trHeight w:val="23"/>
          <w:jc w:val="center"/>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02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73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6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1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794"/>
          <w:jc w:val="center"/>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76</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在航道内设置渔具或者水产养殖设施的；在航道和航道保护范围内倾倒砂石、泥土、垃圾以及其他废弃物的；在通航建筑物及其引航道和船舶调度区内从事货物装卸、水上加油、船舶维修、捕鱼等，影响通航建筑物正常运行的；危害航道设施安全的；其他危害航道通航安全的行为的行政处罚</w:t>
            </w:r>
          </w:p>
          <w:p w:rsidR="0059130C" w:rsidRDefault="0059130C">
            <w:pPr>
              <w:pStyle w:val="a6"/>
              <w:spacing w:beforeAutospacing="0" w:afterAutospacing="0" w:line="240" w:lineRule="exact"/>
              <w:rPr>
                <w:rFonts w:ascii="仿宋_GB2312" w:eastAsia="仿宋_GB2312" w:hAnsi="仿宋_GB2312" w:cs="仿宋_GB2312"/>
                <w:sz w:val="21"/>
                <w:szCs w:val="21"/>
                <w:lang/>
              </w:rPr>
            </w:pPr>
          </w:p>
        </w:tc>
        <w:tc>
          <w:tcPr>
            <w:tcW w:w="4023"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中华人民共和国航道法》（中华人民共和国主席令第十七号）第四十二条：“违反本法规定，有下列行为之一的，由负责航道管理的部门责令改正，对单位处五万元以下罚款，对个人处二千元以下罚款；造成损失的，依法承担赔偿责任：</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（一）在航道内设置渔具或者水产养殖设施的；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（二）在航道和航道保护范围内倾倒砂石、泥土、垃圾以及其他废弃物的；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（三）在通航建筑物及其引航道和船舶调度区内从事货物装卸、水上加油、船舶维修、捕鱼等，影响通航建筑物正常运行的；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（四）危害航道设施安全的；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（五）其他危害航道通航安全的行为。”</w:t>
            </w:r>
          </w:p>
        </w:tc>
        <w:tc>
          <w:tcPr>
            <w:tcW w:w="732"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862"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17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794"/>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2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3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6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17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794"/>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2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3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6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17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794"/>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2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3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6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17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794"/>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2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3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6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17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794"/>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2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3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6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17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794"/>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2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3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6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17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794"/>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2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32"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62"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175"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23"/>
          <w:jc w:val="center"/>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原因：根据《中华人民共和国航道法》（中华人民共和国主席令第十七号），增加此事项</w:t>
            </w:r>
          </w:p>
        </w:tc>
      </w:tr>
    </w:tbl>
    <w:p w:rsidR="0059130C" w:rsidRDefault="0059130C">
      <w:pPr>
        <w:spacing w:line="240" w:lineRule="exact"/>
        <w:rPr>
          <w:rFonts w:ascii="仿宋_GB2312" w:eastAsia="仿宋_GB2312" w:hAnsi="仿宋_GB2312" w:cs="仿宋_GB2312"/>
          <w:szCs w:val="21"/>
        </w:rPr>
      </w:pPr>
    </w:p>
    <w:tbl>
      <w:tblPr>
        <w:tblW w:w="14128" w:type="dxa"/>
        <w:jc w:val="center"/>
        <w:tblLayout w:type="fixed"/>
        <w:tblCellMar>
          <w:left w:w="15" w:type="dxa"/>
          <w:right w:w="15" w:type="dxa"/>
        </w:tblCellMar>
        <w:tblLook w:val="04A0"/>
      </w:tblPr>
      <w:tblGrid>
        <w:gridCol w:w="999"/>
        <w:gridCol w:w="1976"/>
        <w:gridCol w:w="3498"/>
        <w:gridCol w:w="713"/>
        <w:gridCol w:w="881"/>
        <w:gridCol w:w="4700"/>
        <w:gridCol w:w="1361"/>
      </w:tblGrid>
      <w:tr w:rsidR="0059130C">
        <w:trPr>
          <w:trHeight w:val="23"/>
          <w:jc w:val="center"/>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3498"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71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8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70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964"/>
          <w:jc w:val="center"/>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77</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在河道内依法划定的砂石禁采区采砂、无证采砂、未按批准的范围和作业方式采砂等非法采砂的行政处罚</w:t>
            </w:r>
          </w:p>
        </w:tc>
        <w:tc>
          <w:tcPr>
            <w:tcW w:w="3498"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中华人民共和国航道法》（中华人民共和国主席令第十七号）第四十三条：“在河道内依法划定的砂石禁采区采砂、无证采砂、未按批准的范围和作业方式采砂等非法采砂的，依照有关法律、行政法规的规定处罚。</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违反本法规定，在航道和航道保护范围内采砂，损害航道通航条件的，由负责航道管理的部门责令停止违法行为，没收违法所得，可以扣押或者没收非法采砂船</w:t>
            </w:r>
            <w:proofErr w:type="gramStart"/>
            <w:r>
              <w:rPr>
                <w:rFonts w:ascii="仿宋_GB2312" w:eastAsia="仿宋_GB2312" w:hAnsi="仿宋_GB2312" w:cs="仿宋_GB2312" w:hint="eastAsia"/>
                <w:sz w:val="21"/>
                <w:szCs w:val="21"/>
                <w:lang/>
              </w:rPr>
              <w:t>舶</w:t>
            </w:r>
            <w:proofErr w:type="gramEnd"/>
            <w:r>
              <w:rPr>
                <w:rFonts w:ascii="仿宋_GB2312" w:eastAsia="仿宋_GB2312" w:hAnsi="仿宋_GB2312" w:cs="仿宋_GB2312" w:hint="eastAsia"/>
                <w:sz w:val="21"/>
                <w:szCs w:val="21"/>
                <w:lang/>
              </w:rPr>
              <w:t>，并处五万元以上三十万元以下罚款；造成损失的，依法承担赔偿责任。”</w:t>
            </w:r>
          </w:p>
        </w:tc>
        <w:tc>
          <w:tcPr>
            <w:tcW w:w="713"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881"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70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964"/>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49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1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8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70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964"/>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49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1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8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70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964"/>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49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1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8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70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964"/>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49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1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8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70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964"/>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49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1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8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70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964"/>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49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1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8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70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964"/>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49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1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81"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700"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23"/>
          <w:jc w:val="center"/>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原因：根据《中华人民共和国航道法》（中华人民共和国主席令第十七号），增加此事项</w:t>
            </w:r>
          </w:p>
        </w:tc>
      </w:tr>
    </w:tbl>
    <w:p w:rsidR="0059130C" w:rsidRDefault="0059130C">
      <w:pPr>
        <w:spacing w:line="240" w:lineRule="exact"/>
        <w:rPr>
          <w:rFonts w:ascii="仿宋_GB2312" w:eastAsia="仿宋_GB2312" w:hAnsi="仿宋_GB2312" w:cs="仿宋_GB2312"/>
          <w:szCs w:val="21"/>
        </w:rPr>
      </w:pPr>
    </w:p>
    <w:tbl>
      <w:tblPr>
        <w:tblW w:w="14128" w:type="dxa"/>
        <w:jc w:val="center"/>
        <w:tblLayout w:type="fixed"/>
        <w:tblCellMar>
          <w:left w:w="15" w:type="dxa"/>
          <w:right w:w="15" w:type="dxa"/>
        </w:tblCellMar>
        <w:tblLook w:val="04A0"/>
      </w:tblPr>
      <w:tblGrid>
        <w:gridCol w:w="999"/>
        <w:gridCol w:w="1462"/>
        <w:gridCol w:w="3975"/>
        <w:gridCol w:w="1181"/>
        <w:gridCol w:w="1463"/>
        <w:gridCol w:w="3687"/>
        <w:gridCol w:w="1361"/>
      </w:tblGrid>
      <w:tr w:rsidR="0059130C">
        <w:trPr>
          <w:trHeight w:val="23"/>
          <w:jc w:val="center"/>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146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39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118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146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687"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jc w:val="center"/>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78</w:t>
            </w:r>
          </w:p>
        </w:tc>
        <w:tc>
          <w:tcPr>
            <w:tcW w:w="1462"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侵占、破坏航道或者航道设施的处罚</w:t>
            </w:r>
          </w:p>
        </w:tc>
        <w:tc>
          <w:tcPr>
            <w:tcW w:w="397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中华人民共和国航道管理条例实施细则》（中华人民共和国交通运输部令2009年第9号）第三十八条第一项：对有违反《条例》和本《细则》规定行为的单位或者个人，县以上交通运输主管部门或者其受委托的航道管理机构除责令其纠正违法行为，限期采取补救措施，排除障碍，赔偿损失外，按下列规定予以处罚：</w:t>
            </w:r>
          </w:p>
          <w:p w:rsidR="0059130C" w:rsidRDefault="002E22CA">
            <w:pPr>
              <w:pStyle w:val="a6"/>
              <w:numPr>
                <w:ilvl w:val="0"/>
                <w:numId w:val="5"/>
              </w:numPr>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违反《条例》第十三条，本《细则》第十六条，侵占、破坏航道或者航道设施的，处以不超过损失赔偿费40%的罚款。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《中华人民共和国航道管理条例》第十三条：“航道和航道设施受国家保护，任何单位和个人均不得侵占或者破坏。交通部门应当加强对航道的养护，保证航道畅通。”</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《中华人民共和国航道管理条例实施细则》（中华人民共和国交通运输部令2009年第9号）第十六条：“航道和航道设施受国家保护，任何单位和个人不得侵占、破坏。”</w:t>
            </w:r>
          </w:p>
        </w:tc>
        <w:tc>
          <w:tcPr>
            <w:tcW w:w="1181"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1463"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3687"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46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97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1181"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146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368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46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97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1181"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146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368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46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97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1181"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146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368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46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97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1181"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146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368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46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97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1181"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146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368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46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97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1181"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146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368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90"/>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46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97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1181"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1463"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3687"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23"/>
          <w:jc w:val="center"/>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原因：根据《中华人民共和国航道管理条例实施细则》（中华人民共和国交通运输部令2009年第9号），增加此事项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128" w:type="dxa"/>
        <w:jc w:val="center"/>
        <w:tblLayout w:type="fixed"/>
        <w:tblCellMar>
          <w:left w:w="15" w:type="dxa"/>
          <w:right w:w="15" w:type="dxa"/>
        </w:tblCellMar>
        <w:tblLook w:val="04A0"/>
      </w:tblPr>
      <w:tblGrid>
        <w:gridCol w:w="830"/>
        <w:gridCol w:w="1837"/>
        <w:gridCol w:w="4519"/>
        <w:gridCol w:w="956"/>
        <w:gridCol w:w="938"/>
        <w:gridCol w:w="3687"/>
        <w:gridCol w:w="1361"/>
      </w:tblGrid>
      <w:tr w:rsidR="0059130C">
        <w:trPr>
          <w:trHeight w:val="23"/>
          <w:jc w:val="center"/>
        </w:trPr>
        <w:tc>
          <w:tcPr>
            <w:tcW w:w="830"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1837"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519"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95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938"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687"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jc w:val="center"/>
        </w:trPr>
        <w:tc>
          <w:tcPr>
            <w:tcW w:w="83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79</w:t>
            </w:r>
          </w:p>
        </w:tc>
        <w:tc>
          <w:tcPr>
            <w:tcW w:w="1837"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向河道倾倒泥沙、石块和废弃物的：在通航河道内挖取砂石泥土、开采砂金、堆放材料，未报河道主管部门、航道主管部门批准，涉及水上交通安全的，未事先征得港监部门同意的处罚</w:t>
            </w:r>
          </w:p>
        </w:tc>
        <w:tc>
          <w:tcPr>
            <w:tcW w:w="4519"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中华人民共和国航道管理条例实施细则》（中华人民共和国交通运输部令2009年第9号）第三十八条第四项：“对有违反《条例》和本《细则》规定行为的单位或者个人，县以上交通运输主管部门或者其受委托的航道管理机构除责令其纠正违法行为，限期采取补救措施，排除障碍，赔偿损失外，按下列规定予以处罚：（四）违反《条例》第二十二条，本《细则》第三十条第一款的，责令停止违法行为，限期清除碍航物体，所需费用由违法者承担，并处以相当于清除费用2倍的罚款。违反同条第二款的，责令立即停止作业，补办手续，限期清除碍航物体，并处以1000元以上2000元以下罚款。”</w:t>
            </w:r>
          </w:p>
          <w:p w:rsidR="0059130C" w:rsidRDefault="002E22CA">
            <w:pPr>
              <w:overflowPunct w:val="0"/>
              <w:adjustRightInd w:val="0"/>
              <w:spacing w:line="240" w:lineRule="exact"/>
              <w:ind w:firstLineChars="200" w:firstLine="420"/>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《中华人民共和国航道管理条例实施细则》（中华人民共和国交通运输部令2009年第9号）第三十条：“除疏浚、整治航道所必须的排泥、抛石外，禁止向河道倾倒泥沙、石块和废弃物。</w:t>
            </w:r>
          </w:p>
          <w:p w:rsidR="0059130C" w:rsidRDefault="002E22CA">
            <w:pPr>
              <w:overflowPunct w:val="0"/>
              <w:adjustRightInd w:val="0"/>
              <w:spacing w:line="240" w:lineRule="exact"/>
              <w:ind w:firstLineChars="200" w:firstLine="420"/>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在通航河道内挖取砂石泥土、开采砂金、堆放材料，必须报河道主管部门会同航道主管部门批准，涉及水上交通安全的，事先征得港监部门同意，并按照批准的水域范围和作业方式开采，不得恶化通航条件。”</w:t>
            </w:r>
          </w:p>
          <w:p w:rsidR="0059130C" w:rsidRDefault="0059130C">
            <w:pPr>
              <w:pStyle w:val="a6"/>
              <w:spacing w:beforeAutospacing="0" w:afterAutospacing="0" w:line="240" w:lineRule="exact"/>
              <w:rPr>
                <w:rFonts w:ascii="仿宋_GB2312" w:eastAsia="仿宋_GB2312" w:hAnsi="仿宋_GB2312" w:cs="仿宋_GB2312"/>
                <w:sz w:val="21"/>
                <w:szCs w:val="21"/>
                <w:lang/>
              </w:rPr>
            </w:pPr>
          </w:p>
        </w:tc>
        <w:tc>
          <w:tcPr>
            <w:tcW w:w="956"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938"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3687"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jc w:val="center"/>
        </w:trPr>
        <w:tc>
          <w:tcPr>
            <w:tcW w:w="830"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83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9"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56"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3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368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830"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83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9"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56"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3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368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830"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83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9"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56"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3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368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830"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83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9"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56"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3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368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830"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83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9"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56"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3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368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830"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83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9"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56"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3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368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830"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83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9"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5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38"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3687"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830"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298"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23"/>
          <w:jc w:val="center"/>
        </w:trPr>
        <w:tc>
          <w:tcPr>
            <w:tcW w:w="830"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298"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原因：根据《中华人民共和国航道管理条例实施细则》（中华人民共和国交通运输部令2009年第9号），增加此事项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128" w:type="dxa"/>
        <w:jc w:val="center"/>
        <w:tblLayout w:type="fixed"/>
        <w:tblCellMar>
          <w:left w:w="15" w:type="dxa"/>
          <w:right w:w="15" w:type="dxa"/>
        </w:tblCellMar>
        <w:tblLook w:val="04A0"/>
      </w:tblPr>
      <w:tblGrid>
        <w:gridCol w:w="999"/>
        <w:gridCol w:w="1781"/>
        <w:gridCol w:w="4406"/>
        <w:gridCol w:w="994"/>
        <w:gridCol w:w="1106"/>
        <w:gridCol w:w="3481"/>
        <w:gridCol w:w="1361"/>
      </w:tblGrid>
      <w:tr w:rsidR="0059130C">
        <w:trPr>
          <w:trHeight w:val="23"/>
          <w:jc w:val="center"/>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178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40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994"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110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48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jc w:val="center"/>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80</w:t>
            </w:r>
          </w:p>
        </w:tc>
        <w:tc>
          <w:tcPr>
            <w:tcW w:w="1781"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船舶未配置相应的防污染设备和器材，或者未持有合法有效的防止水域环境污染的证书与文书的；船舶进行涉及污染物排放的作业，未遵守操作规程或者未在相应的记录簿上如实记载的处罚</w:t>
            </w:r>
          </w:p>
        </w:tc>
        <w:tc>
          <w:tcPr>
            <w:tcW w:w="440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《中华人民共和国水污染防治法》（2017年）第八十九条　船舶未配置相应的防污染设备和器材，或者未持有合法有效的防止水域环境污染的证书与文书的，由海事管理机构、渔业主管部门按照职责分工责令限期改正，处二千元以上二万元以下的罚款；逾期不改正的，责令船舶临时停航。</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船舶进行涉及污染物排放的作业，未遵守操作规程或者未在相应的记录簿上如实记载的，由海事管理机构、渔业主管部门按照职责分工责令改正，处二千元以上二万元以下的罚款。</w:t>
            </w:r>
          </w:p>
          <w:p w:rsidR="0059130C" w:rsidRDefault="0059130C">
            <w:pPr>
              <w:pStyle w:val="a6"/>
              <w:spacing w:beforeAutospacing="0" w:afterAutospacing="0" w:line="240" w:lineRule="exact"/>
              <w:rPr>
                <w:rFonts w:ascii="仿宋_GB2312" w:eastAsia="仿宋_GB2312" w:hAnsi="仿宋_GB2312" w:cs="仿宋_GB2312"/>
                <w:sz w:val="21"/>
                <w:szCs w:val="21"/>
                <w:lang/>
              </w:rPr>
            </w:pPr>
          </w:p>
          <w:p w:rsidR="0059130C" w:rsidRDefault="0059130C">
            <w:pPr>
              <w:pStyle w:val="a6"/>
              <w:spacing w:beforeAutospacing="0" w:afterAutospacing="0" w:line="240" w:lineRule="exact"/>
              <w:rPr>
                <w:rFonts w:ascii="仿宋_GB2312" w:eastAsia="仿宋_GB2312" w:hAnsi="仿宋_GB2312" w:cs="仿宋_GB2312"/>
                <w:sz w:val="21"/>
                <w:szCs w:val="21"/>
                <w:lang/>
              </w:rPr>
            </w:pPr>
          </w:p>
        </w:tc>
        <w:tc>
          <w:tcPr>
            <w:tcW w:w="994"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1106"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3481"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78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40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110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348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78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40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110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348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78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40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110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348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78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40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110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348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78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40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110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348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78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40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110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348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78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40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1106"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3481"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23"/>
          <w:jc w:val="center"/>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原因：根据《中华人民共和国水污染防治法》（2017年），增加此事项</w:t>
            </w:r>
          </w:p>
        </w:tc>
      </w:tr>
    </w:tbl>
    <w:p w:rsidR="0059130C" w:rsidRDefault="0059130C">
      <w:pPr>
        <w:spacing w:line="240" w:lineRule="exact"/>
        <w:rPr>
          <w:rFonts w:ascii="仿宋_GB2312" w:eastAsia="仿宋_GB2312" w:hAnsi="仿宋_GB2312" w:cs="仿宋_GB2312"/>
          <w:szCs w:val="21"/>
        </w:rPr>
      </w:pPr>
    </w:p>
    <w:tbl>
      <w:tblPr>
        <w:tblW w:w="14128" w:type="dxa"/>
        <w:jc w:val="center"/>
        <w:tblLayout w:type="fixed"/>
        <w:tblCellMar>
          <w:left w:w="15" w:type="dxa"/>
          <w:right w:w="15" w:type="dxa"/>
        </w:tblCellMar>
        <w:tblLook w:val="04A0"/>
      </w:tblPr>
      <w:tblGrid>
        <w:gridCol w:w="999"/>
        <w:gridCol w:w="1762"/>
        <w:gridCol w:w="4331"/>
        <w:gridCol w:w="900"/>
        <w:gridCol w:w="1013"/>
        <w:gridCol w:w="3762"/>
        <w:gridCol w:w="1361"/>
      </w:tblGrid>
      <w:tr w:rsidR="0059130C">
        <w:trPr>
          <w:trHeight w:val="23"/>
          <w:jc w:val="center"/>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176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33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90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101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76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jc w:val="center"/>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81</w:t>
            </w:r>
          </w:p>
        </w:tc>
        <w:tc>
          <w:tcPr>
            <w:tcW w:w="1762"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向水体倾倒船舶垃圾或者排放船舶的残油、废油的；未经作业地海事管理机构批准，船舶进行散装液体污染危害性货物的过驳作业的；船舶及有关作业单位从事有污染风险的作业活动，未按照规定采取污染防治措施的；以冲</w:t>
            </w:r>
            <w:proofErr w:type="gramStart"/>
            <w:r>
              <w:rPr>
                <w:rFonts w:ascii="仿宋_GB2312" w:eastAsia="仿宋_GB2312" w:hAnsi="仿宋_GB2312" w:cs="仿宋_GB2312" w:hint="eastAsia"/>
                <w:sz w:val="21"/>
                <w:szCs w:val="21"/>
                <w:lang/>
              </w:rPr>
              <w:t>滩方式</w:t>
            </w:r>
            <w:proofErr w:type="gramEnd"/>
            <w:r>
              <w:rPr>
                <w:rFonts w:ascii="仿宋_GB2312" w:eastAsia="仿宋_GB2312" w:hAnsi="仿宋_GB2312" w:cs="仿宋_GB2312" w:hint="eastAsia"/>
                <w:sz w:val="21"/>
                <w:szCs w:val="21"/>
                <w:lang/>
              </w:rPr>
              <w:t>进行船舶拆解的；进入中华人民共和国内河的国际航线船舶，排放不符合规定的船舶压载水的处罚</w:t>
            </w:r>
          </w:p>
          <w:p w:rsidR="0059130C" w:rsidRDefault="0059130C">
            <w:pPr>
              <w:pStyle w:val="a6"/>
              <w:spacing w:beforeAutospacing="0" w:afterAutospacing="0" w:line="240" w:lineRule="exact"/>
              <w:rPr>
                <w:rFonts w:ascii="仿宋_GB2312" w:eastAsia="仿宋_GB2312" w:hAnsi="仿宋_GB2312" w:cs="仿宋_GB2312"/>
                <w:sz w:val="21"/>
                <w:szCs w:val="21"/>
                <w:lang/>
              </w:rPr>
            </w:pPr>
          </w:p>
        </w:tc>
        <w:tc>
          <w:tcPr>
            <w:tcW w:w="4331" w:type="dxa"/>
            <w:vMerge w:val="restart"/>
            <w:tcBorders>
              <w:top w:val="single" w:sz="4" w:space="0" w:color="000000"/>
              <w:left w:val="single" w:sz="4" w:space="0" w:color="000000"/>
              <w:right w:val="single" w:sz="4" w:space="0" w:color="000000"/>
            </w:tcBorders>
            <w:vAlign w:val="center"/>
          </w:tcPr>
          <w:p w:rsidR="0059130C" w:rsidRDefault="002E22CA">
            <w:pPr>
              <w:pStyle w:val="a6"/>
              <w:overflowPunct w:val="0"/>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中华人民共和国水污染防治法》（2017年）第九十条第一款：“违反本法规定，有下列行为之一的，由海事管理机构、渔业主管部门按照职责分工责令停止违法行为，处一万元以上十万元以下的罚款；造成水污染的，责令限期采取治理措施，消除污染，处二万元以上二十万元以下的罚款；逾期不采取治理措施的，海事管理机构、渔业主管部门按照职责分工可以指定有治理能力的单位代为治理，所需费用由船舶承担：</w:t>
            </w:r>
          </w:p>
          <w:p w:rsidR="0059130C" w:rsidRDefault="002E22CA">
            <w:pPr>
              <w:pStyle w:val="a6"/>
              <w:overflowPunct w:val="0"/>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（一）向水体倾倒船舶垃圾或者排放船舶的残油、废油的；</w:t>
            </w:r>
          </w:p>
          <w:p w:rsidR="0059130C" w:rsidRDefault="002E22CA">
            <w:pPr>
              <w:pStyle w:val="a6"/>
              <w:overflowPunct w:val="0"/>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（二）未经作业地海事管理机构批准，船舶进行散装液体污染危害性货物的过驳作业的；</w:t>
            </w:r>
          </w:p>
          <w:p w:rsidR="0059130C" w:rsidRDefault="002E22CA">
            <w:pPr>
              <w:pStyle w:val="a6"/>
              <w:overflowPunct w:val="0"/>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（三）船舶及有关作业单位从事有污染风险的作业活动，未按照规定采取污染防治措施的；</w:t>
            </w:r>
          </w:p>
          <w:p w:rsidR="0059130C" w:rsidRDefault="002E22CA">
            <w:pPr>
              <w:pStyle w:val="a6"/>
              <w:overflowPunct w:val="0"/>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（四）以冲</w:t>
            </w:r>
            <w:proofErr w:type="gramStart"/>
            <w:r>
              <w:rPr>
                <w:rFonts w:ascii="仿宋_GB2312" w:eastAsia="仿宋_GB2312" w:hAnsi="仿宋_GB2312" w:cs="仿宋_GB2312" w:hint="eastAsia"/>
                <w:sz w:val="21"/>
                <w:szCs w:val="21"/>
                <w:lang/>
              </w:rPr>
              <w:t>滩方式</w:t>
            </w:r>
            <w:proofErr w:type="gramEnd"/>
            <w:r>
              <w:rPr>
                <w:rFonts w:ascii="仿宋_GB2312" w:eastAsia="仿宋_GB2312" w:hAnsi="仿宋_GB2312" w:cs="仿宋_GB2312" w:hint="eastAsia"/>
                <w:sz w:val="21"/>
                <w:szCs w:val="21"/>
                <w:lang/>
              </w:rPr>
              <w:t>进行船舶拆解的；</w:t>
            </w:r>
          </w:p>
          <w:p w:rsidR="0059130C" w:rsidRDefault="002E22CA">
            <w:pPr>
              <w:pStyle w:val="a6"/>
              <w:overflowPunct w:val="0"/>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（五）进入中华人民共和国内河的国际航线船舶，排放不符合规定的船舶压载水的。”</w:t>
            </w:r>
          </w:p>
        </w:tc>
        <w:tc>
          <w:tcPr>
            <w:tcW w:w="900"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1013"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3762"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76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33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0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101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376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76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33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0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101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376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76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33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0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101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376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76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33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0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101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376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76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33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0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101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376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76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33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0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101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376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978"/>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76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33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0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1013"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3762"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23"/>
          <w:jc w:val="center"/>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原因：根据《中华人民共和国水污染防治法》（2017年），增加此事项</w:t>
            </w:r>
          </w:p>
        </w:tc>
      </w:tr>
    </w:tbl>
    <w:p w:rsidR="0059130C" w:rsidRDefault="0059130C">
      <w:pPr>
        <w:spacing w:line="240" w:lineRule="exact"/>
        <w:rPr>
          <w:rFonts w:ascii="仿宋_GB2312" w:eastAsia="仿宋_GB2312" w:hAnsi="仿宋_GB2312" w:cs="仿宋_GB2312"/>
          <w:szCs w:val="21"/>
        </w:rPr>
      </w:pPr>
    </w:p>
    <w:tbl>
      <w:tblPr>
        <w:tblW w:w="14128" w:type="dxa"/>
        <w:jc w:val="center"/>
        <w:tblLayout w:type="fixed"/>
        <w:tblCellMar>
          <w:left w:w="15" w:type="dxa"/>
          <w:right w:w="15" w:type="dxa"/>
        </w:tblCellMar>
        <w:tblLook w:val="04A0"/>
      </w:tblPr>
      <w:tblGrid>
        <w:gridCol w:w="999"/>
        <w:gridCol w:w="1976"/>
        <w:gridCol w:w="4023"/>
        <w:gridCol w:w="788"/>
        <w:gridCol w:w="769"/>
        <w:gridCol w:w="4212"/>
        <w:gridCol w:w="1361"/>
      </w:tblGrid>
      <w:tr w:rsidR="0059130C">
        <w:trPr>
          <w:trHeight w:val="23"/>
          <w:jc w:val="center"/>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02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788"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769"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21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794"/>
          <w:jc w:val="center"/>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82</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 运行单位未按照调度规则进行船舶调度或者无正当理由调整船舶过闸次序的；未及时开展养护，造成通航建筑物停止运行或者不能正常运行的；养护停航时间超出养护停航安排规定时限且未重新报批的处罚</w:t>
            </w:r>
          </w:p>
          <w:p w:rsidR="0059130C" w:rsidRDefault="0059130C">
            <w:pPr>
              <w:pStyle w:val="a6"/>
              <w:spacing w:beforeAutospacing="0" w:afterAutospacing="0" w:line="240" w:lineRule="exact"/>
              <w:rPr>
                <w:rFonts w:ascii="仿宋_GB2312" w:eastAsia="仿宋_GB2312" w:hAnsi="仿宋_GB2312" w:cs="仿宋_GB2312"/>
                <w:sz w:val="21"/>
                <w:szCs w:val="21"/>
                <w:lang/>
              </w:rPr>
            </w:pPr>
          </w:p>
        </w:tc>
        <w:tc>
          <w:tcPr>
            <w:tcW w:w="4023"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《通航建筑物运行管理办法》（中华人民共和国交通运输部令2019年第6号）第三十七条：“运行单位有下列行为之一的，由负责航道管理的部门责令限期改正；逾期未改正的，处1万元以上3万元以下的罚款：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......（四）未按照调度规则进行船舶调度或者无正当理由调整船舶过闸次序的；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（五）未及时开展养护，造成通航建筑物停止运行或者不能正常运行的；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（六）养护停航时间超出养护停航安排规定时限且未重新报批的。”</w:t>
            </w:r>
          </w:p>
        </w:tc>
        <w:tc>
          <w:tcPr>
            <w:tcW w:w="788"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769"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212"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794"/>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2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8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6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21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794"/>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2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8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6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21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794"/>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2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8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6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21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794"/>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2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8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6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21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794"/>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2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8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6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21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794"/>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2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8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6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21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794"/>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2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88"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69"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212"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23"/>
          <w:jc w:val="center"/>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原因：根据《通航建筑物运行管理办法》（中华人民共和国交通运输部令2019年第6号），增加此事项</w:t>
            </w:r>
          </w:p>
        </w:tc>
      </w:tr>
    </w:tbl>
    <w:p w:rsidR="0059130C" w:rsidRDefault="0059130C">
      <w:pPr>
        <w:spacing w:line="240" w:lineRule="exact"/>
        <w:rPr>
          <w:rFonts w:ascii="仿宋_GB2312" w:eastAsia="仿宋_GB2312" w:hAnsi="仿宋_GB2312" w:cs="仿宋_GB2312"/>
          <w:szCs w:val="21"/>
        </w:rPr>
      </w:pPr>
    </w:p>
    <w:tbl>
      <w:tblPr>
        <w:tblW w:w="14128" w:type="dxa"/>
        <w:jc w:val="center"/>
        <w:tblLayout w:type="fixed"/>
        <w:tblCellMar>
          <w:left w:w="15" w:type="dxa"/>
          <w:right w:w="15" w:type="dxa"/>
        </w:tblCellMar>
        <w:tblLook w:val="04A0"/>
      </w:tblPr>
      <w:tblGrid>
        <w:gridCol w:w="999"/>
        <w:gridCol w:w="1976"/>
        <w:gridCol w:w="4267"/>
        <w:gridCol w:w="825"/>
        <w:gridCol w:w="900"/>
        <w:gridCol w:w="3800"/>
        <w:gridCol w:w="1361"/>
      </w:tblGrid>
      <w:tr w:rsidR="0059130C">
        <w:trPr>
          <w:trHeight w:val="23"/>
          <w:jc w:val="center"/>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267"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82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90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80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624"/>
          <w:jc w:val="center"/>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83</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过闸船舶、船员强行过闸的；不服从调度指挥，</w:t>
            </w:r>
            <w:proofErr w:type="gramStart"/>
            <w:r>
              <w:rPr>
                <w:rFonts w:ascii="仿宋_GB2312" w:eastAsia="仿宋_GB2312" w:hAnsi="仿宋_GB2312" w:cs="仿宋_GB2312" w:hint="eastAsia"/>
                <w:sz w:val="21"/>
                <w:szCs w:val="21"/>
                <w:lang/>
              </w:rPr>
              <w:t>抢档超越的</w:t>
            </w:r>
            <w:proofErr w:type="gramEnd"/>
            <w:r>
              <w:rPr>
                <w:rFonts w:ascii="仿宋_GB2312" w:eastAsia="仿宋_GB2312" w:hAnsi="仿宋_GB2312" w:cs="仿宋_GB2312" w:hint="eastAsia"/>
                <w:sz w:val="21"/>
                <w:szCs w:val="21"/>
                <w:lang/>
              </w:rPr>
              <w:t>；从事上下旅客、装卸货物、水上加油、船舶维修、捕鱼等活动的；从事烧焊等明火作业的；载运危险货物的船舶进行洗（清）舱作业的处罚</w:t>
            </w:r>
          </w:p>
        </w:tc>
        <w:tc>
          <w:tcPr>
            <w:tcW w:w="4267"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通航建筑物运行管理办法》（中华人民共和国交通运输部令2019年第6号）第三十八条：“过闸船舶、船员有下列行为之一，影响通航建筑物正常运行的，由负责航道管理的部门责令改正，对船舶经营人处5万元以下的罚款，对责任人员处2000元以下的罚款；造成损失的，依法承担赔偿责任：</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（一）有本办法第二十一条规定的情形强行过闸的；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（二）不服从调度指挥，</w:t>
            </w:r>
            <w:proofErr w:type="gramStart"/>
            <w:r>
              <w:rPr>
                <w:rFonts w:ascii="仿宋_GB2312" w:eastAsia="仿宋_GB2312" w:hAnsi="仿宋_GB2312" w:cs="仿宋_GB2312" w:hint="eastAsia"/>
                <w:sz w:val="21"/>
                <w:szCs w:val="21"/>
                <w:lang/>
              </w:rPr>
              <w:t>抢档超越的</w:t>
            </w:r>
            <w:proofErr w:type="gramEnd"/>
            <w:r>
              <w:rPr>
                <w:rFonts w:ascii="仿宋_GB2312" w:eastAsia="仿宋_GB2312" w:hAnsi="仿宋_GB2312" w:cs="仿宋_GB2312" w:hint="eastAsia"/>
                <w:sz w:val="21"/>
                <w:szCs w:val="21"/>
                <w:lang/>
              </w:rPr>
              <w:t>；</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（三）从事上下旅客、装卸货物、水上加油、船舶维修、捕鱼等活动的；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（四）从事烧焊等明火作业的；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（五）载运危险货物的船舶进行洗（清）舱作业的。”</w:t>
            </w:r>
          </w:p>
        </w:tc>
        <w:tc>
          <w:tcPr>
            <w:tcW w:w="82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90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380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624"/>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26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2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0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380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624"/>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26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2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0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380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624"/>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26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2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0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380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624"/>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26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2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0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380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624"/>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26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2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0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380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624"/>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26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2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0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380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624"/>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26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2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0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3800"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23"/>
          <w:jc w:val="center"/>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原因：根据《通航建筑物运行管理办法》（中华人民共和国交通运输部令2019年第6号），增加此事项</w:t>
            </w:r>
          </w:p>
        </w:tc>
      </w:tr>
    </w:tbl>
    <w:p w:rsidR="0059130C" w:rsidRDefault="0059130C">
      <w:pPr>
        <w:spacing w:line="240" w:lineRule="exact"/>
        <w:rPr>
          <w:rFonts w:ascii="仿宋_GB2312" w:eastAsia="仿宋_GB2312" w:hAnsi="仿宋_GB2312" w:cs="仿宋_GB2312"/>
          <w:szCs w:val="21"/>
        </w:rPr>
      </w:pPr>
    </w:p>
    <w:tbl>
      <w:tblPr>
        <w:tblW w:w="14128" w:type="dxa"/>
        <w:jc w:val="center"/>
        <w:tblLayout w:type="fixed"/>
        <w:tblCellMar>
          <w:left w:w="15" w:type="dxa"/>
          <w:right w:w="15" w:type="dxa"/>
        </w:tblCellMar>
        <w:tblLook w:val="04A0"/>
      </w:tblPr>
      <w:tblGrid>
        <w:gridCol w:w="999"/>
        <w:gridCol w:w="1976"/>
        <w:gridCol w:w="4361"/>
        <w:gridCol w:w="844"/>
        <w:gridCol w:w="975"/>
        <w:gridCol w:w="3612"/>
        <w:gridCol w:w="1361"/>
      </w:tblGrid>
      <w:tr w:rsidR="0059130C">
        <w:trPr>
          <w:trHeight w:val="23"/>
          <w:jc w:val="center"/>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844"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9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61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jc w:val="center"/>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84</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过闸船舶未按照规定向运行单位如实提供过闸信息的处罚</w:t>
            </w:r>
          </w:p>
        </w:tc>
        <w:tc>
          <w:tcPr>
            <w:tcW w:w="4361"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通航建筑物运行管理办法》（中华人民共和国交通运输部令2019年第6号）第三十九条：“过闸船舶未按照规定向运行单位如实提供过闸信息的，由负责航道管理的部门责令改正，处1000元以上1万元以下的罚款。”</w:t>
            </w:r>
          </w:p>
        </w:tc>
        <w:tc>
          <w:tcPr>
            <w:tcW w:w="844"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97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3612"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4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7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361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4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7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361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4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7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361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4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7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361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4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7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361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4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7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361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4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75"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3612"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23"/>
          <w:jc w:val="center"/>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原因：根据《通航建筑物运行管理办法》（中华人民共和国交通运输部令2019年第6号），增加此事项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128" w:type="dxa"/>
        <w:jc w:val="center"/>
        <w:tblLayout w:type="fixed"/>
        <w:tblCellMar>
          <w:left w:w="15" w:type="dxa"/>
          <w:right w:w="15" w:type="dxa"/>
        </w:tblCellMar>
        <w:tblLook w:val="04A0"/>
      </w:tblPr>
      <w:tblGrid>
        <w:gridCol w:w="999"/>
        <w:gridCol w:w="1976"/>
        <w:gridCol w:w="4286"/>
        <w:gridCol w:w="994"/>
        <w:gridCol w:w="900"/>
        <w:gridCol w:w="3612"/>
        <w:gridCol w:w="1361"/>
      </w:tblGrid>
      <w:tr w:rsidR="0059130C">
        <w:trPr>
          <w:trHeight w:val="23"/>
          <w:jc w:val="center"/>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28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994"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90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61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jc w:val="center"/>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85</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proofErr w:type="gramStart"/>
            <w:r>
              <w:rPr>
                <w:rFonts w:ascii="仿宋_GB2312" w:eastAsia="仿宋_GB2312" w:hAnsi="仿宋_GB2312" w:cs="仿宋_GB2312" w:hint="eastAsia"/>
                <w:sz w:val="21"/>
                <w:szCs w:val="21"/>
                <w:lang/>
              </w:rPr>
              <w:t>网约车驾驶员</w:t>
            </w:r>
            <w:proofErr w:type="gramEnd"/>
            <w:r>
              <w:rPr>
                <w:rFonts w:ascii="仿宋_GB2312" w:eastAsia="仿宋_GB2312" w:hAnsi="仿宋_GB2312" w:cs="仿宋_GB2312" w:hint="eastAsia"/>
                <w:sz w:val="21"/>
                <w:szCs w:val="21"/>
                <w:lang/>
              </w:rPr>
              <w:t>不再具备从业条件或者有严重违法行为的处罚</w:t>
            </w:r>
          </w:p>
        </w:tc>
        <w:tc>
          <w:tcPr>
            <w:tcW w:w="428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《网络预约出租汽车经营服务管理暂行办法》（</w:t>
            </w:r>
            <w:hyperlink r:id="rId36" w:tgtFrame="https://www.waizi.org.cn/doc/_blank" w:tooltip="《网络预约出租汽车经营服务管理暂行办法》（2019年修订版全文）交通运输部令2019年第46号" w:history="1">
              <w:r>
                <w:rPr>
                  <w:rFonts w:ascii="仿宋_GB2312" w:eastAsia="仿宋_GB2312" w:hAnsi="仿宋_GB2312" w:cs="仿宋_GB2312" w:hint="eastAsia"/>
                  <w:sz w:val="21"/>
                  <w:szCs w:val="21"/>
                  <w:lang/>
                </w:rPr>
                <w:t>交通运输部令2022年第42号</w:t>
              </w:r>
            </w:hyperlink>
            <w:r>
              <w:rPr>
                <w:rFonts w:ascii="仿宋_GB2312" w:eastAsia="仿宋_GB2312" w:hAnsi="仿宋_GB2312" w:cs="仿宋_GB2312" w:hint="eastAsia"/>
                <w:sz w:val="21"/>
                <w:szCs w:val="21"/>
                <w:lang/>
              </w:rPr>
              <w:t>）第三十六条第二款：“网约车驾驶员不再具备从业条件或者有严重违法行为的，由县级以上出租汽车行政主管部门依据相关法律法规的有关规定撤销或者吊销从业资格证件。”</w:t>
            </w:r>
          </w:p>
        </w:tc>
        <w:tc>
          <w:tcPr>
            <w:tcW w:w="994"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90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3612"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28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0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361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28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0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361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28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0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361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28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0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361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28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0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361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28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0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361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28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0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3612"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23"/>
          <w:jc w:val="center"/>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原因：根据《网络预约出租汽车经营服务管理暂行办法》（</w:t>
            </w:r>
            <w:hyperlink r:id="rId37" w:tgtFrame="https://www.waizi.org.cn/doc/_blank" w:tooltip="《网络预约出租汽车经营服务管理暂行办法》（2019年修订版全文）交通运输部令2019年第46号" w:history="1">
              <w:r w:rsidR="002E22CA">
                <w:rPr>
                  <w:rFonts w:ascii="仿宋_GB2312" w:eastAsia="仿宋_GB2312" w:hAnsi="仿宋_GB2312" w:cs="仿宋_GB2312" w:hint="eastAsia"/>
                  <w:szCs w:val="21"/>
                </w:rPr>
                <w:t>交通运输部令2022年第42号</w:t>
              </w:r>
            </w:hyperlink>
            <w:r w:rsidR="002E22CA">
              <w:rPr>
                <w:rFonts w:ascii="仿宋_GB2312" w:eastAsia="仿宋_GB2312" w:hAnsi="仿宋_GB2312" w:cs="仿宋_GB2312" w:hint="eastAsia"/>
                <w:szCs w:val="21"/>
              </w:rPr>
              <w:t>），增加此事项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128" w:type="dxa"/>
        <w:jc w:val="center"/>
        <w:tblLayout w:type="fixed"/>
        <w:tblCellMar>
          <w:left w:w="15" w:type="dxa"/>
          <w:right w:w="15" w:type="dxa"/>
        </w:tblCellMar>
        <w:tblLook w:val="04A0"/>
      </w:tblPr>
      <w:tblGrid>
        <w:gridCol w:w="999"/>
        <w:gridCol w:w="1976"/>
        <w:gridCol w:w="4117"/>
        <w:gridCol w:w="713"/>
        <w:gridCol w:w="693"/>
        <w:gridCol w:w="4269"/>
        <w:gridCol w:w="1361"/>
      </w:tblGrid>
      <w:tr w:rsidR="0059130C">
        <w:trPr>
          <w:trHeight w:val="23"/>
          <w:jc w:val="center"/>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117"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71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69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269"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680"/>
          <w:jc w:val="center"/>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86</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从事船舶港口服务、港口设施设备和机械租赁维修的经营人未按规定进行备案的处罚</w:t>
            </w:r>
          </w:p>
        </w:tc>
        <w:tc>
          <w:tcPr>
            <w:tcW w:w="4117"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港口经营管理规定》（中华人民共和国交通运输部令2020年第21号）第四十二条第二款：“从事船舶港口服务、港口设施设备和机械租赁维修的经营人未按规定进行备案的，由港口行政管理部门责令改正，并处1万元以上3万元以下罚款。”</w:t>
            </w:r>
          </w:p>
        </w:tc>
        <w:tc>
          <w:tcPr>
            <w:tcW w:w="713"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693"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269"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680"/>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11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1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9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26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680"/>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11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1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9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26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680"/>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11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1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9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26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680"/>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11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1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9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26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680"/>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11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1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9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26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680"/>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11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1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9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26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680"/>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11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1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93"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269"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23"/>
          <w:jc w:val="center"/>
        </w:trPr>
        <w:tc>
          <w:tcPr>
            <w:tcW w:w="999"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原因：根据《港口经营管理规定》（中华人民共和国交通运输部令2020年第21号），增加此事项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p w:rsidR="0059130C" w:rsidRDefault="0059130C">
      <w:pPr>
        <w:pStyle w:val="a6"/>
        <w:spacing w:beforeAutospacing="0" w:afterAutospacing="0" w:line="240" w:lineRule="exact"/>
        <w:rPr>
          <w:rFonts w:ascii="仿宋_GB2312" w:eastAsia="仿宋_GB2312" w:hAnsi="仿宋_GB2312" w:cs="仿宋_GB2312"/>
          <w:sz w:val="21"/>
          <w:szCs w:val="21"/>
        </w:rPr>
      </w:pPr>
    </w:p>
    <w:tbl>
      <w:tblPr>
        <w:tblW w:w="14128" w:type="dxa"/>
        <w:jc w:val="center"/>
        <w:tblLayout w:type="fixed"/>
        <w:tblCellMar>
          <w:left w:w="15" w:type="dxa"/>
          <w:right w:w="15" w:type="dxa"/>
        </w:tblCellMar>
        <w:tblLook w:val="04A0"/>
      </w:tblPr>
      <w:tblGrid>
        <w:gridCol w:w="999"/>
        <w:gridCol w:w="1976"/>
        <w:gridCol w:w="4613"/>
        <w:gridCol w:w="704"/>
        <w:gridCol w:w="825"/>
        <w:gridCol w:w="3650"/>
        <w:gridCol w:w="1361"/>
      </w:tblGrid>
      <w:tr w:rsidR="0059130C">
        <w:trPr>
          <w:trHeight w:val="23"/>
          <w:jc w:val="center"/>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br w:type="page"/>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61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704"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2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65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jc w:val="center"/>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87</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港口经营人未按照国家有关规定落实港口大型机械防阵风防台风措施的；未按照码头泊位性质和功能接靠船舶或者超过码头靠泊等级接靠船舶的；未对登船旅客及其携带或者托运的行李、物品以及滚装车辆进行安全检查的；装载超出最大营运总质量的集装箱或者超出船舶、车辆载货定额装载货物的；未按照国家有关规定设置相应设施设备或者配备安全检查人员的处罚</w:t>
            </w:r>
          </w:p>
        </w:tc>
        <w:tc>
          <w:tcPr>
            <w:tcW w:w="4613"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《港口经营管理规定》（中华人民共和国交通运输部令2020年第21号）第四十二条第三款：“港口经营人有下列行为之一的，由港口行政管理部门责令改正，并处1万元以上3万元以下罚款：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（一）未按照国家有关规定落实港口大型机械防阵风防台风措施的；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（二）未按照码头泊位性质和功能接靠船舶或者超过码头靠泊等级接靠船舶的，但接靠满足相关条件的减载船舶除外；</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（三）未对登船旅客及其携带或者托运的行李、物品以及滚装车辆进行安全检查的；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（四）装载超出最大营运总质量的集装箱或者超出船舶、车辆载货定额装载货物的；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（五）未按照国家有关规定设置相应设施设备或者配备安全检查人员的。”</w:t>
            </w:r>
          </w:p>
        </w:tc>
        <w:tc>
          <w:tcPr>
            <w:tcW w:w="704"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82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365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0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365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0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365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0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365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0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365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0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365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0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365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0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25"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3650"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23"/>
          <w:jc w:val="center"/>
        </w:trPr>
        <w:tc>
          <w:tcPr>
            <w:tcW w:w="999"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原因：根据《港口经营管理规定》（中华人民共和国交通运输部令2020年第21号），增加此事项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128" w:type="dxa"/>
        <w:jc w:val="center"/>
        <w:tblLayout w:type="fixed"/>
        <w:tblCellMar>
          <w:left w:w="15" w:type="dxa"/>
          <w:right w:w="15" w:type="dxa"/>
        </w:tblCellMar>
        <w:tblLook w:val="04A0"/>
      </w:tblPr>
      <w:tblGrid>
        <w:gridCol w:w="999"/>
        <w:gridCol w:w="1976"/>
        <w:gridCol w:w="4342"/>
        <w:gridCol w:w="863"/>
        <w:gridCol w:w="881"/>
        <w:gridCol w:w="3706"/>
        <w:gridCol w:w="1361"/>
      </w:tblGrid>
      <w:tr w:rsidR="0059130C">
        <w:trPr>
          <w:cantSplit/>
          <w:trHeight w:val="23"/>
          <w:jc w:val="center"/>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br w:type="page"/>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34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86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8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70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cantSplit/>
          <w:trHeight w:val="23"/>
          <w:jc w:val="center"/>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88</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危险货物港口建设项目未按照规定对危险货物港口建设项目进行安全评价的；没有安全设施设计或者安全设施设计未按照规定报经港口行政管理部门审查同意的；施工单位未按照批准的安全设施设计施工的；安全设施未经验收合格，擅自从事危险货物港口作业的处罚</w:t>
            </w:r>
          </w:p>
        </w:tc>
        <w:tc>
          <w:tcPr>
            <w:tcW w:w="4342"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港口危险货物安全管理规定》（交通运输部令2019年第34号）第七十条：“危险货物港口建设项目有下列行为之一的，由所在地港口行政管理部门责令停止建设或者停产停业整顿，限期改正；逾期未改正的，处五十万元以上一百万元以下的罚款，对其直接负责的主管人员和其他直接责任人员处二万元以上五万元以下的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（一）未按照规定对危险货物港口建设项目进行安全评价的；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（二）没有安全设施设计或者安全设施设计未按照规定报经港口行政管理部门审查同意的；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（三）施工单位未按照批准的安全设施设计施工的；  </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（四）安全设施未经验收合格，擅自从事危险货物港口作业的。”</w:t>
            </w:r>
          </w:p>
        </w:tc>
        <w:tc>
          <w:tcPr>
            <w:tcW w:w="863"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881"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3706"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cantSplit/>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34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6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8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370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cantSplit/>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34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6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8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370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cantSplit/>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34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6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8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370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cantSplit/>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34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6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8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370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cantSplit/>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34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6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8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370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cantSplit/>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34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6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8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370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cantSplit/>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34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6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81"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3706"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cantSplit/>
          <w:trHeight w:val="585"/>
          <w:jc w:val="center"/>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cantSplit/>
          <w:trHeight w:val="510"/>
          <w:jc w:val="center"/>
        </w:trPr>
        <w:tc>
          <w:tcPr>
            <w:tcW w:w="999"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原因：根据《港口危险货物安全管理规定》（交通运输部令2019年第34号），增加此事项</w:t>
            </w:r>
          </w:p>
        </w:tc>
      </w:tr>
    </w:tbl>
    <w:p w:rsidR="0059130C" w:rsidRDefault="0059130C">
      <w:pPr>
        <w:spacing w:line="240" w:lineRule="exact"/>
        <w:rPr>
          <w:rFonts w:ascii="仿宋_GB2312" w:eastAsia="仿宋_GB2312" w:hAnsi="仿宋_GB2312" w:cs="仿宋_GB2312"/>
          <w:szCs w:val="21"/>
        </w:rPr>
      </w:pPr>
    </w:p>
    <w:tbl>
      <w:tblPr>
        <w:tblW w:w="14128" w:type="dxa"/>
        <w:jc w:val="center"/>
        <w:tblLayout w:type="fixed"/>
        <w:tblCellMar>
          <w:left w:w="15" w:type="dxa"/>
          <w:right w:w="15" w:type="dxa"/>
        </w:tblCellMar>
        <w:tblLook w:val="04A0"/>
      </w:tblPr>
      <w:tblGrid>
        <w:gridCol w:w="999"/>
        <w:gridCol w:w="1687"/>
        <w:gridCol w:w="4256"/>
        <w:gridCol w:w="844"/>
        <w:gridCol w:w="1012"/>
        <w:gridCol w:w="3969"/>
        <w:gridCol w:w="1361"/>
      </w:tblGrid>
      <w:tr w:rsidR="0059130C">
        <w:trPr>
          <w:cantSplit/>
          <w:trHeight w:val="23"/>
          <w:jc w:val="center"/>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1687"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25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844"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101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969"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cantSplit/>
          <w:trHeight w:val="23"/>
          <w:jc w:val="center"/>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89</w:t>
            </w:r>
          </w:p>
        </w:tc>
        <w:tc>
          <w:tcPr>
            <w:tcW w:w="1687"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危险货物港口经营人未依法提取和使用安全生产经费导致不具备安全生产条件的处罚</w:t>
            </w:r>
          </w:p>
        </w:tc>
        <w:tc>
          <w:tcPr>
            <w:tcW w:w="425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港口危险货物安全管理规定》（交通运输部令2019年第34号）第七十二条：“危险货物港口经营人未依法提取和使用安全生产经费导致不具备安全生产条件的，由所在地港口行政管理部门责令限期改正；逾期未改正的，责令停产停业整顿。”</w:t>
            </w:r>
          </w:p>
        </w:tc>
        <w:tc>
          <w:tcPr>
            <w:tcW w:w="844"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1012"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3969"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cantSplit/>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68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25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4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101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396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cantSplit/>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68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25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4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101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396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cantSplit/>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68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25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4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101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396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cantSplit/>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68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25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4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101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396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cantSplit/>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68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25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4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101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396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cantSplit/>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68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25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4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101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396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cantSplit/>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68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25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4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1012"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3969"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cantSplit/>
          <w:trHeight w:val="495"/>
          <w:jc w:val="center"/>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cantSplit/>
          <w:trHeight w:val="510"/>
          <w:jc w:val="center"/>
        </w:trPr>
        <w:tc>
          <w:tcPr>
            <w:tcW w:w="999"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原因：根据《港口危险货物安全管理规定》（交通运输部令2019年第34号），增加此事项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p w:rsidR="0059130C" w:rsidRDefault="0059130C">
      <w:pPr>
        <w:pStyle w:val="a6"/>
        <w:spacing w:beforeAutospacing="0" w:afterAutospacing="0" w:line="240" w:lineRule="exact"/>
        <w:rPr>
          <w:rFonts w:ascii="仿宋_GB2312" w:eastAsia="仿宋_GB2312" w:hAnsi="仿宋_GB2312" w:cs="仿宋_GB2312"/>
          <w:sz w:val="21"/>
          <w:szCs w:val="21"/>
        </w:rPr>
      </w:pPr>
    </w:p>
    <w:tbl>
      <w:tblPr>
        <w:tblW w:w="14128" w:type="dxa"/>
        <w:jc w:val="center"/>
        <w:tblLayout w:type="fixed"/>
        <w:tblCellMar>
          <w:left w:w="15" w:type="dxa"/>
          <w:right w:w="15" w:type="dxa"/>
        </w:tblCellMar>
        <w:tblLook w:val="04A0"/>
      </w:tblPr>
      <w:tblGrid>
        <w:gridCol w:w="811"/>
        <w:gridCol w:w="1931"/>
        <w:gridCol w:w="4050"/>
        <w:gridCol w:w="863"/>
        <w:gridCol w:w="1050"/>
        <w:gridCol w:w="4062"/>
        <w:gridCol w:w="1361"/>
      </w:tblGrid>
      <w:tr w:rsidR="0059130C">
        <w:trPr>
          <w:cantSplit/>
          <w:trHeight w:val="23"/>
          <w:jc w:val="center"/>
        </w:trPr>
        <w:tc>
          <w:tcPr>
            <w:tcW w:w="811"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193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05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86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105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06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cantSplit/>
          <w:trHeight w:val="23"/>
          <w:jc w:val="center"/>
        </w:trPr>
        <w:tc>
          <w:tcPr>
            <w:tcW w:w="81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90</w:t>
            </w:r>
          </w:p>
        </w:tc>
        <w:tc>
          <w:tcPr>
            <w:tcW w:w="1931"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危险货物港口经营人未按照规定设置安全生产管理机构或者配备安全生产管理人员的；未依法对从业人员进行安全生产教育、培训，或者未如实记录安全生产教育、培训情况的；未将事故隐患排查治理情况如实记录或者未向从业人员通报的；未按照规定制定危险货物事故应急救援预案或者未定期组织演练的处罚</w:t>
            </w:r>
          </w:p>
        </w:tc>
        <w:tc>
          <w:tcPr>
            <w:tcW w:w="405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港口危险货物安全管理规定》（交通运输部令2019年第34号）第七十三条：“危险货物港口经营人有下列行为之一的，由所在地港口行政管理部门责令限期改正，可以处五万元以下的罚款；逾期未改正的，责令停产停业整顿，并处五万元以上十万元以下的罚款，对其直接负责的主管人员和其他直接责任人员处一万元以上二万元以下的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（一）未按照规定设置安全生产管理机构或者配备安全生产管理人员的；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（二）未依法对从业人员进行安全生产教育、培训，或者未如实记录安全生产教育、培训情况的；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（三）未将事故隐患排查治理情况如实记录或者未向从业人员通报的；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（四）未按照规定制定危险货物事故应急救援预案或者未定期组织演练的。”</w:t>
            </w:r>
          </w:p>
        </w:tc>
        <w:tc>
          <w:tcPr>
            <w:tcW w:w="863"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105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062"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cantSplit/>
          <w:trHeight w:val="23"/>
          <w:jc w:val="center"/>
        </w:trPr>
        <w:tc>
          <w:tcPr>
            <w:tcW w:w="811"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3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5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6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105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06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cantSplit/>
          <w:trHeight w:val="23"/>
          <w:jc w:val="center"/>
        </w:trPr>
        <w:tc>
          <w:tcPr>
            <w:tcW w:w="811"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3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5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6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105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06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cantSplit/>
          <w:trHeight w:val="23"/>
          <w:jc w:val="center"/>
        </w:trPr>
        <w:tc>
          <w:tcPr>
            <w:tcW w:w="811"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3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5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6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105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06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cantSplit/>
          <w:trHeight w:val="23"/>
          <w:jc w:val="center"/>
        </w:trPr>
        <w:tc>
          <w:tcPr>
            <w:tcW w:w="811"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3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5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6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105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06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cantSplit/>
          <w:trHeight w:val="23"/>
          <w:jc w:val="center"/>
        </w:trPr>
        <w:tc>
          <w:tcPr>
            <w:tcW w:w="811"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3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5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6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105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06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cantSplit/>
          <w:trHeight w:val="23"/>
          <w:jc w:val="center"/>
        </w:trPr>
        <w:tc>
          <w:tcPr>
            <w:tcW w:w="811"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3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5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6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105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06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cantSplit/>
          <w:trHeight w:val="23"/>
          <w:jc w:val="center"/>
        </w:trPr>
        <w:tc>
          <w:tcPr>
            <w:tcW w:w="811"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3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5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6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105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062"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cantSplit/>
          <w:trHeight w:val="375"/>
          <w:jc w:val="center"/>
        </w:trPr>
        <w:tc>
          <w:tcPr>
            <w:tcW w:w="811"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317"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cantSplit/>
          <w:trHeight w:val="510"/>
          <w:jc w:val="center"/>
        </w:trPr>
        <w:tc>
          <w:tcPr>
            <w:tcW w:w="811"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317"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原因：根据《港口危险货物安全管理规定》（交通运输部令2019年第34号），增加此事项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128" w:type="dxa"/>
        <w:jc w:val="center"/>
        <w:tblLayout w:type="fixed"/>
        <w:tblCellMar>
          <w:left w:w="15" w:type="dxa"/>
          <w:right w:w="15" w:type="dxa"/>
        </w:tblCellMar>
        <w:tblLook w:val="04A0"/>
      </w:tblPr>
      <w:tblGrid>
        <w:gridCol w:w="999"/>
        <w:gridCol w:w="1976"/>
        <w:gridCol w:w="4230"/>
        <w:gridCol w:w="600"/>
        <w:gridCol w:w="806"/>
        <w:gridCol w:w="4156"/>
        <w:gridCol w:w="1361"/>
      </w:tblGrid>
      <w:tr w:rsidR="0059130C">
        <w:trPr>
          <w:cantSplit/>
          <w:trHeight w:val="23"/>
          <w:jc w:val="center"/>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23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0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0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15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cantSplit/>
          <w:trHeight w:val="23"/>
          <w:jc w:val="center"/>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91</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危险货物港口经营人进行危险货物港口作业未建立专门安全管理制度、未采取可靠的安全措施的；对重大危险源未登记建档，或者未进行评估、监控，或者未制定应急预案的；未建立事故隐患排查治理制度的处罚</w:t>
            </w:r>
          </w:p>
        </w:tc>
        <w:tc>
          <w:tcPr>
            <w:tcW w:w="423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港口危险货物安全管理规定》（交通运输部令2019年第34号）第七十四条：“危险货物港口经营人有下列行为之一的，由所在地港口行政管理部门责令限期改正，可以处十万元以下的罚款；逾期未改正的，责令停产停业整顿，并处十万元以上二十万元以下的罚款，对其直接负责的主管人员和其他直接责任人员处二万元以上五万元以下的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（一）危险货物港口作业未建立专门安全管理制度、未采取可靠的安全措施的；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（二）对重大危险源未登记建档，或者未进行评估、监控，或者未制定应急预案的；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（三）未建立事故隐患排查治理制度的。”</w:t>
            </w:r>
          </w:p>
        </w:tc>
        <w:tc>
          <w:tcPr>
            <w:tcW w:w="600"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806"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156"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cantSplit/>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23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0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0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15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cantSplit/>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23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0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0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15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cantSplit/>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23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0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0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15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cantSplit/>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23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0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0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15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cantSplit/>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23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0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0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15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cantSplit/>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23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0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0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15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cantSplit/>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23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0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06"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156"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cantSplit/>
          <w:trHeight w:val="405"/>
          <w:jc w:val="center"/>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cantSplit/>
          <w:trHeight w:val="405"/>
          <w:jc w:val="center"/>
        </w:trPr>
        <w:tc>
          <w:tcPr>
            <w:tcW w:w="999"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原因：根据《港口危险货物安全管理规定》（交通运输部令2019年第34号），增加此事项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128" w:type="dxa"/>
        <w:jc w:val="center"/>
        <w:tblLayout w:type="fixed"/>
        <w:tblCellMar>
          <w:left w:w="15" w:type="dxa"/>
          <w:right w:w="15" w:type="dxa"/>
        </w:tblCellMar>
        <w:tblLook w:val="04A0"/>
      </w:tblPr>
      <w:tblGrid>
        <w:gridCol w:w="999"/>
        <w:gridCol w:w="1976"/>
        <w:gridCol w:w="4098"/>
        <w:gridCol w:w="619"/>
        <w:gridCol w:w="769"/>
        <w:gridCol w:w="4306"/>
        <w:gridCol w:w="1361"/>
      </w:tblGrid>
      <w:tr w:rsidR="0059130C">
        <w:trPr>
          <w:cantSplit/>
          <w:trHeight w:val="23"/>
          <w:jc w:val="center"/>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098"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19"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769"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30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cantSplit/>
          <w:trHeight w:val="23"/>
          <w:jc w:val="center"/>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92</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危险货物港口经营人未在生产作业场所和安全设施、设备上设置明显的安全警示标志的；未按照国家标准、行业标准或者国家有关规定安装、使用安全设施、设备并进行经常性维护、保养和定期检测的处罚</w:t>
            </w:r>
          </w:p>
        </w:tc>
        <w:tc>
          <w:tcPr>
            <w:tcW w:w="4098"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港口危险货物安全管理规定》（交通运输部令2019年第34号）第七十五条：“危险货物港口经营人有下列情形之一的，由所在地港口行政管理部门责令改正，可以处五万元以下的罚款；逾期未改正的，处五万元以上二十万元以下的罚款，对其直接负责的主管人员和其他直接责任人员处一万元以上二万元以下的罚款；情节严重的，责令停产停业整顿：</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（一）未在生产作业场所和安全设施、设备上设置明显的安全警示标志的；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（二）未按照国家标准、行业标准或者国家有关规定安装、使用安全设施、设备并进行经常性维护、保养和定期检测的。”</w:t>
            </w:r>
          </w:p>
        </w:tc>
        <w:tc>
          <w:tcPr>
            <w:tcW w:w="619"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769"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306"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cantSplit/>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9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19"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6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30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cantSplit/>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9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19"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6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30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cantSplit/>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9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19"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6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30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cantSplit/>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9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19"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6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30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cantSplit/>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9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19"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6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30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cantSplit/>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9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19"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6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30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cantSplit/>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9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19"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69"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306"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cantSplit/>
          <w:trHeight w:val="435"/>
          <w:jc w:val="center"/>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cantSplit/>
          <w:trHeight w:val="480"/>
          <w:jc w:val="center"/>
        </w:trPr>
        <w:tc>
          <w:tcPr>
            <w:tcW w:w="999"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原因：根据《港口危险货物安全管理规定》（交通运输部令2019年第34号），增加此事项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128" w:type="dxa"/>
        <w:jc w:val="center"/>
        <w:tblLayout w:type="fixed"/>
        <w:tblCellMar>
          <w:left w:w="15" w:type="dxa"/>
          <w:right w:w="15" w:type="dxa"/>
        </w:tblCellMar>
        <w:tblLook w:val="04A0"/>
      </w:tblPr>
      <w:tblGrid>
        <w:gridCol w:w="999"/>
        <w:gridCol w:w="1976"/>
        <w:gridCol w:w="4098"/>
        <w:gridCol w:w="844"/>
        <w:gridCol w:w="1013"/>
        <w:gridCol w:w="3837"/>
        <w:gridCol w:w="1361"/>
      </w:tblGrid>
      <w:tr w:rsidR="0059130C">
        <w:trPr>
          <w:trHeight w:val="640"/>
          <w:jc w:val="center"/>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098"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844"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101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837"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jc w:val="center"/>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93</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危险货物港口经营人未在取得从业资格的装卸管理人员现场指挥或者监控下进行作业的；未依照本规定对其安全生产条件定期进行安全评价的；未将危险货物储存在专用库场、储罐内，或者未将剧毒化学品以及储存数量构成重大危险源的其他危险货物在专用库场、储罐内单独存放的；危险货物的储存方式、方法或者储存数量不符合国家标准或者国家有关规定的；危险货物专用库场、储罐不符合国家标准、行业标准的要求的处罚</w:t>
            </w:r>
          </w:p>
          <w:p w:rsidR="0059130C" w:rsidRDefault="0059130C">
            <w:pPr>
              <w:pStyle w:val="a6"/>
              <w:spacing w:beforeAutospacing="0" w:afterAutospacing="0" w:line="240" w:lineRule="exact"/>
              <w:rPr>
                <w:rFonts w:ascii="仿宋_GB2312" w:eastAsia="仿宋_GB2312" w:hAnsi="仿宋_GB2312" w:cs="仿宋_GB2312"/>
                <w:sz w:val="21"/>
                <w:szCs w:val="21"/>
                <w:lang/>
              </w:rPr>
            </w:pPr>
          </w:p>
        </w:tc>
        <w:tc>
          <w:tcPr>
            <w:tcW w:w="4098"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港口危险货物安全管理规定》（交通运输部令2019年第34号）第七十七条：“危险货物港口经营人有下列情形之一的，由所在地港口行政管理部门责令改正，处五万元以上十万元以下的罚款；逾期未改正的，责令停产停业整顿；除第（一）项情形外，情节严重的，还可以吊销其港口经营许可证件：</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（一）未在取得从业资格的装卸管理人员现场指挥或者监控下进行作业的；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（二）未依照本规定对其安全生产条件定期进行安全评价的；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（三）未将危险货物储存在专用库场、储罐内，或者未将剧毒化学品以及储存数量构成重大危险源的其他危险货物在专用库场、储罐内单独存放的；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（四）危险货物的储存方式、方法或者储存数量不符合国家标准或者国家有关规定的；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（五）危险货物专用库场、储罐不符合国家标准、行业标准的要求的。”</w:t>
            </w:r>
          </w:p>
        </w:tc>
        <w:tc>
          <w:tcPr>
            <w:tcW w:w="844"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1013"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3837"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9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4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101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383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9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4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101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383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9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4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101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383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9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4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101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383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9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4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101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383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9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4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101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383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9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4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1013"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3837"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666"/>
          <w:jc w:val="center"/>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616"/>
          <w:jc w:val="center"/>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原因：根据《港口危险货物安全管理规定》（交通运输部令2019年第34号），增加此事项</w:t>
            </w:r>
          </w:p>
        </w:tc>
      </w:tr>
    </w:tbl>
    <w:p w:rsidR="0059130C" w:rsidRDefault="0059130C">
      <w:pPr>
        <w:spacing w:line="240" w:lineRule="exact"/>
        <w:rPr>
          <w:rFonts w:ascii="仿宋_GB2312" w:eastAsia="仿宋_GB2312" w:hAnsi="仿宋_GB2312" w:cs="仿宋_GB2312"/>
          <w:szCs w:val="21"/>
        </w:rPr>
      </w:pPr>
    </w:p>
    <w:tbl>
      <w:tblPr>
        <w:tblW w:w="13632" w:type="dxa"/>
        <w:jc w:val="center"/>
        <w:tblLayout w:type="fixed"/>
        <w:tblCellMar>
          <w:left w:w="15" w:type="dxa"/>
          <w:right w:w="15" w:type="dxa"/>
        </w:tblCellMar>
        <w:tblLook w:val="04A0"/>
      </w:tblPr>
      <w:tblGrid>
        <w:gridCol w:w="717"/>
        <w:gridCol w:w="1927"/>
        <w:gridCol w:w="3506"/>
        <w:gridCol w:w="844"/>
        <w:gridCol w:w="1031"/>
        <w:gridCol w:w="4017"/>
        <w:gridCol w:w="1590"/>
      </w:tblGrid>
      <w:tr w:rsidR="0059130C">
        <w:trPr>
          <w:trHeight w:val="640"/>
          <w:jc w:val="center"/>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1927"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350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844"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103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017"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94</w:t>
            </w:r>
          </w:p>
        </w:tc>
        <w:tc>
          <w:tcPr>
            <w:tcW w:w="1927"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危险货物港口经营人未将安全评价报告以及落实情况报港口行政管理部门备案的；未将剧毒化学品以及储存数量构成重大危险源的其他危险货物的储存数量、储存地点以及管理人员等情况报港口行政管理部门备案的处罚</w:t>
            </w:r>
          </w:p>
        </w:tc>
        <w:tc>
          <w:tcPr>
            <w:tcW w:w="350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港口危险货物安全管理规定》（交通运输部令2019年第34号）第七十八条：“危险货物港口经营人有下列情形之一的，由所在地港口行政管理部门责令改正，可以处一万元以下的罚款；逾期未改正的，处一万元以上五万元以下的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（一）未将安全评价报告以及落实情况报港口行政管理部门备案的；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（二）未将剧毒化学品以及储存数量构成重大危险源的其他危险货物的储存数量、储存地点以及管理人员等情况报港口行政管理部门备案的。”</w:t>
            </w:r>
          </w:p>
        </w:tc>
        <w:tc>
          <w:tcPr>
            <w:tcW w:w="844"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1031"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017"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2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50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4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103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01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2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50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4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103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01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2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50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4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103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01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2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50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4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103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01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2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50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4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103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01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2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50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4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103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01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2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50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4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1031"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017"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666"/>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816"/>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 xml:space="preserve">原因：根据《港口危险货物安全管理规定》（交通运输部令2019年第34号），增加此事项 </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3892" w:type="dxa"/>
        <w:jc w:val="center"/>
        <w:tblLayout w:type="fixed"/>
        <w:tblCellMar>
          <w:left w:w="15" w:type="dxa"/>
          <w:right w:w="15" w:type="dxa"/>
        </w:tblCellMar>
        <w:tblLook w:val="04A0"/>
      </w:tblPr>
      <w:tblGrid>
        <w:gridCol w:w="717"/>
        <w:gridCol w:w="2040"/>
        <w:gridCol w:w="4515"/>
        <w:gridCol w:w="675"/>
        <w:gridCol w:w="870"/>
        <w:gridCol w:w="4025"/>
        <w:gridCol w:w="1050"/>
      </w:tblGrid>
      <w:tr w:rsidR="0059130C">
        <w:trPr>
          <w:trHeight w:val="640"/>
          <w:jc w:val="center"/>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51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7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02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05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95</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两个以上危险货物港口经营人在同一港口作业区内从事可能危及对方生产安全的危险货物港口作业，未签订安全生产管理协议或者未指定专职安全管理人员进行安全检查和协调的处罚</w:t>
            </w:r>
          </w:p>
        </w:tc>
        <w:tc>
          <w:tcPr>
            <w:tcW w:w="451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港口危险货物安全管理规定》（交通运输部令2019年第34号）第七十九条：“两个以上危险货物港口经营人在同一港口作业区内从事可能危及对方生产安全的危险货物港口作业，未签订安全生产管理协议或者未指定专职安全管理人员进行安全检查和协调的，由所在地港口行政管理部门责令限期改正，可以处一万元以下的罚款，对其直接负责的主管人员和其他直接责任人员可以处三千元以下的罚款；情节严重的，可以处一万元以上五万元以下的罚款，对其直接负责的主管人员和其他直接责任人员可以处三千元以上一万元以下的罚款；逾期未改正的，责令停产停业整顿。”</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87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02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05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0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05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0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05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0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05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0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05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0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05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0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05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025"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05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666"/>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7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816"/>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7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原因：根据《港口危险货物安全管理规定》（交通运输部令2019年第34号），增加此事项</w:t>
            </w:r>
          </w:p>
        </w:tc>
      </w:tr>
    </w:tbl>
    <w:p w:rsidR="0059130C" w:rsidRDefault="0059130C">
      <w:pPr>
        <w:spacing w:line="240" w:lineRule="exact"/>
        <w:rPr>
          <w:rFonts w:ascii="仿宋_GB2312" w:eastAsia="仿宋_GB2312" w:hAnsi="仿宋_GB2312" w:cs="仿宋_GB2312"/>
          <w:szCs w:val="21"/>
        </w:rPr>
      </w:pPr>
    </w:p>
    <w:tbl>
      <w:tblPr>
        <w:tblW w:w="14376" w:type="dxa"/>
        <w:jc w:val="center"/>
        <w:tblLayout w:type="fixed"/>
        <w:tblCellMar>
          <w:left w:w="15" w:type="dxa"/>
          <w:right w:w="15" w:type="dxa"/>
        </w:tblCellMar>
        <w:tblLook w:val="04A0"/>
      </w:tblPr>
      <w:tblGrid>
        <w:gridCol w:w="717"/>
        <w:gridCol w:w="2040"/>
        <w:gridCol w:w="4515"/>
        <w:gridCol w:w="675"/>
        <w:gridCol w:w="870"/>
        <w:gridCol w:w="3969"/>
        <w:gridCol w:w="1590"/>
      </w:tblGrid>
      <w:tr w:rsidR="0059130C">
        <w:trPr>
          <w:trHeight w:val="680"/>
          <w:jc w:val="center"/>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51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7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969"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57"/>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96</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危险货物港口经营人未采取措施消除事故隐患的处罚</w:t>
            </w:r>
          </w:p>
        </w:tc>
        <w:tc>
          <w:tcPr>
            <w:tcW w:w="451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港口危险货物安全管理规定》（交通运输部令2019年第34号）第八十条：“危险货物港口经营人未采取措施消除事故隐患的，由所在地港口行政管理部门责令立即消除或者限期消除；逾期未改正的，责令停产停业整顿，并处十万元以上五十万元以下的罚款，对其直接负责的主管人员和其他直接责任人员处二万元以上五万元以下的罚款。”</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87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3969"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57"/>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396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57"/>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396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57"/>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396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57"/>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396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57"/>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396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57"/>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396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57"/>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3969"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tcBorders>
              <w:left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666"/>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2069" w:type="dxa"/>
            <w:gridSpan w:val="5"/>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816"/>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2069" w:type="dxa"/>
            <w:gridSpan w:val="5"/>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原因：根据《港口危险货物安全管理规定》（交通运输部令2019年第34号），增加此事项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319" w:type="dxa"/>
        <w:jc w:val="center"/>
        <w:tblLayout w:type="fixed"/>
        <w:tblCellMar>
          <w:left w:w="15" w:type="dxa"/>
          <w:right w:w="15" w:type="dxa"/>
        </w:tblCellMar>
        <w:tblLook w:val="04A0"/>
      </w:tblPr>
      <w:tblGrid>
        <w:gridCol w:w="717"/>
        <w:gridCol w:w="2040"/>
        <w:gridCol w:w="4515"/>
        <w:gridCol w:w="675"/>
        <w:gridCol w:w="870"/>
        <w:gridCol w:w="3912"/>
        <w:gridCol w:w="1590"/>
      </w:tblGrid>
      <w:tr w:rsidR="0059130C">
        <w:trPr>
          <w:trHeight w:val="640"/>
          <w:jc w:val="center"/>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51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7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91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97</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未按照本规定报告并经同意进行危险货物装卸、过驳作业的处罚</w:t>
            </w:r>
          </w:p>
        </w:tc>
        <w:tc>
          <w:tcPr>
            <w:tcW w:w="451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港口危险货物安全管理规定》（交通运输部令2019年第34号）第八十一条：“未按照本规定报告并经同意进行危险货物装卸、过驳作业的，由所在地港口行政管理部门责令改正，并处五千元以上五万元以下的罚款。”</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87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3912"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391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391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391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391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391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391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3912"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624"/>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602"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624"/>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602"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原因：根据《港口危险货物安全管理规定》（交通运输部令2019年第34号），增加此事项</w:t>
            </w:r>
          </w:p>
        </w:tc>
      </w:tr>
    </w:tbl>
    <w:p w:rsidR="0059130C" w:rsidRDefault="0059130C">
      <w:pPr>
        <w:spacing w:line="240" w:lineRule="exact"/>
        <w:rPr>
          <w:rFonts w:ascii="仿宋_GB2312" w:eastAsia="仿宋_GB2312" w:hAnsi="仿宋_GB2312" w:cs="仿宋_GB2312"/>
          <w:szCs w:val="21"/>
        </w:rPr>
      </w:pPr>
    </w:p>
    <w:tbl>
      <w:tblPr>
        <w:tblW w:w="14262" w:type="dxa"/>
        <w:jc w:val="center"/>
        <w:tblLayout w:type="fixed"/>
        <w:tblCellMar>
          <w:left w:w="15" w:type="dxa"/>
          <w:right w:w="15" w:type="dxa"/>
        </w:tblCellMar>
        <w:tblLook w:val="04A0"/>
      </w:tblPr>
      <w:tblGrid>
        <w:gridCol w:w="717"/>
        <w:gridCol w:w="2040"/>
        <w:gridCol w:w="3933"/>
        <w:gridCol w:w="675"/>
        <w:gridCol w:w="844"/>
        <w:gridCol w:w="4463"/>
        <w:gridCol w:w="1590"/>
      </w:tblGrid>
      <w:tr w:rsidR="0059130C">
        <w:trPr>
          <w:trHeight w:val="510"/>
          <w:jc w:val="center"/>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393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44"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46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510"/>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98</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危险货物港口经营人拒绝、阻碍港口行政管理部门依法实施安全监督检查的处罚</w:t>
            </w:r>
          </w:p>
        </w:tc>
        <w:tc>
          <w:tcPr>
            <w:tcW w:w="3933"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港口危险货物安全管理规定》（交通运输部令2019年第34号）第八十四条：“危险货物港口经营人拒绝、阻碍港口行政管理部门依法实施安全监督检查的，由港口行政管理部门责令改正；逾期未改正的，处二万元以上二十万元以下的罚款；对其直接负责的主管人员和其他直接责任人员处一万元以上二万元以下的罚款。”</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844"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463"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51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93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4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46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51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93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4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46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51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93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4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46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51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93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4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46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51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93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4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46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51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93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4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46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93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44"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463"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tcBorders>
              <w:left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666"/>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54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816"/>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54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原因：根据《港口危险货物安全管理规定》（交通运输部令2019年第34号），增加此事项</w:t>
            </w:r>
          </w:p>
        </w:tc>
      </w:tr>
    </w:tbl>
    <w:p w:rsidR="0059130C" w:rsidRDefault="0059130C">
      <w:pPr>
        <w:spacing w:line="240" w:lineRule="exact"/>
        <w:rPr>
          <w:rFonts w:ascii="仿宋_GB2312" w:eastAsia="仿宋_GB2312" w:hAnsi="仿宋_GB2312" w:cs="仿宋_GB2312"/>
          <w:szCs w:val="21"/>
        </w:rPr>
      </w:pPr>
    </w:p>
    <w:tbl>
      <w:tblPr>
        <w:tblW w:w="14376" w:type="dxa"/>
        <w:jc w:val="center"/>
        <w:tblLayout w:type="fixed"/>
        <w:tblCellMar>
          <w:left w:w="15" w:type="dxa"/>
          <w:right w:w="15" w:type="dxa"/>
        </w:tblCellMar>
        <w:tblLook w:val="04A0"/>
      </w:tblPr>
      <w:tblGrid>
        <w:gridCol w:w="641"/>
        <w:gridCol w:w="2116"/>
        <w:gridCol w:w="4515"/>
        <w:gridCol w:w="675"/>
        <w:gridCol w:w="870"/>
        <w:gridCol w:w="3969"/>
        <w:gridCol w:w="1590"/>
      </w:tblGrid>
      <w:tr w:rsidR="0059130C">
        <w:trPr>
          <w:trHeight w:val="640"/>
          <w:jc w:val="center"/>
        </w:trPr>
        <w:tc>
          <w:tcPr>
            <w:tcW w:w="641"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211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51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7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969"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jc w:val="center"/>
        </w:trPr>
        <w:tc>
          <w:tcPr>
            <w:tcW w:w="64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99</w:t>
            </w:r>
          </w:p>
        </w:tc>
        <w:tc>
          <w:tcPr>
            <w:tcW w:w="211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从事货运站经营，未按规定进行备案的处罚</w:t>
            </w:r>
          </w:p>
        </w:tc>
        <w:tc>
          <w:tcPr>
            <w:tcW w:w="451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道路货物运输及站场管理规定》（交通运输部令2022年第30号）第六十五条：“从事货运站经营，未按规定进行备案的，由交通运输主管部门责令改正；拒不改正的，处5000元以上2万元以下的罚款。备案时提供虚假材料情节严重的，其直接负责的主管人员和其他直接责任人员5年内不得从事原备案的业务。”</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87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3969"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jc w:val="center"/>
        </w:trPr>
        <w:tc>
          <w:tcPr>
            <w:tcW w:w="641"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11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396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641"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11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396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641"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11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396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641"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11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396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641"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11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396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641"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11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396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641"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11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3969"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666"/>
          <w:jc w:val="center"/>
        </w:trPr>
        <w:tc>
          <w:tcPr>
            <w:tcW w:w="641"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73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816"/>
          <w:jc w:val="center"/>
        </w:trPr>
        <w:tc>
          <w:tcPr>
            <w:tcW w:w="641"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73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原因：根据《道路货物运输及站场管理规定》（交通运输部令2022年第30号），增加此事项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772" w:type="dxa"/>
        <w:jc w:val="center"/>
        <w:tblLayout w:type="fixed"/>
        <w:tblCellMar>
          <w:left w:w="15" w:type="dxa"/>
          <w:right w:w="15" w:type="dxa"/>
        </w:tblCellMar>
        <w:tblLook w:val="04A0"/>
      </w:tblPr>
      <w:tblGrid>
        <w:gridCol w:w="717"/>
        <w:gridCol w:w="2040"/>
        <w:gridCol w:w="4515"/>
        <w:gridCol w:w="675"/>
        <w:gridCol w:w="870"/>
        <w:gridCol w:w="4365"/>
        <w:gridCol w:w="1590"/>
      </w:tblGrid>
      <w:tr w:rsidR="0059130C">
        <w:trPr>
          <w:trHeight w:val="640"/>
          <w:jc w:val="center"/>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51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7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36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100</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拒绝、阻碍道路运输管理机构依法履行放射性物品运输安全监督检查，或者在接受监督检查时弄虚作假的处罚</w:t>
            </w:r>
          </w:p>
        </w:tc>
        <w:tc>
          <w:tcPr>
            <w:tcW w:w="451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放射性物品道路运输管理规定》（交通运输部令2016年第71号）第三十七条：“拒绝、阻碍道路运输管理机构依法履行放射性物品运输安全监督检查，或者在接受监督检查时弄虚作假的，由县级以上道路运输管理机构责令改正，处1万元以上2万元以下的罚款；构成违反治安管理行为的，交由公安机关依法给予治安管理处罚；构成犯罪的，依法追究刑事责任。”</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87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36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36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36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36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36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36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36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365"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666"/>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405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816"/>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405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原因：根据《放射性物品道路运输管理规定》（交通运输部令2016年第71号），增加此事项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489" w:type="dxa"/>
        <w:jc w:val="center"/>
        <w:tblLayout w:type="fixed"/>
        <w:tblCellMar>
          <w:left w:w="15" w:type="dxa"/>
          <w:right w:w="15" w:type="dxa"/>
        </w:tblCellMar>
        <w:tblLook w:val="04A0"/>
      </w:tblPr>
      <w:tblGrid>
        <w:gridCol w:w="717"/>
        <w:gridCol w:w="2040"/>
        <w:gridCol w:w="4515"/>
        <w:gridCol w:w="675"/>
        <w:gridCol w:w="870"/>
        <w:gridCol w:w="4082"/>
        <w:gridCol w:w="1590"/>
      </w:tblGrid>
      <w:tr w:rsidR="0059130C">
        <w:trPr>
          <w:trHeight w:val="640"/>
          <w:jc w:val="center"/>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51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7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08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101</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无资质许可擅自从事放射性物品道路运输的；使用失效、伪造、变造、被注销等无效放射性物品道路运输许可证件从事放射性物品道路运输的；超越资质许可事项，从事放射性物品道路运输的；）非经营性放射性物品道路运输单位从事放射性物品道路运输经营的处罚</w:t>
            </w:r>
          </w:p>
          <w:p w:rsidR="0059130C" w:rsidRDefault="0059130C">
            <w:pPr>
              <w:pStyle w:val="a6"/>
              <w:spacing w:beforeAutospacing="0" w:afterAutospacing="0" w:line="240" w:lineRule="exact"/>
              <w:rPr>
                <w:rFonts w:ascii="仿宋_GB2312" w:eastAsia="仿宋_GB2312" w:hAnsi="仿宋_GB2312" w:cs="仿宋_GB2312"/>
                <w:sz w:val="21"/>
                <w:szCs w:val="21"/>
                <w:lang/>
              </w:rPr>
            </w:pPr>
          </w:p>
          <w:p w:rsidR="0059130C" w:rsidRDefault="0059130C">
            <w:pPr>
              <w:pStyle w:val="a6"/>
              <w:spacing w:beforeAutospacing="0" w:afterAutospacing="0" w:line="240" w:lineRule="exact"/>
              <w:rPr>
                <w:rFonts w:ascii="仿宋_GB2312" w:eastAsia="仿宋_GB2312" w:hAnsi="仿宋_GB2312" w:cs="仿宋_GB2312"/>
                <w:sz w:val="21"/>
                <w:szCs w:val="21"/>
                <w:lang/>
              </w:rPr>
            </w:pPr>
          </w:p>
        </w:tc>
        <w:tc>
          <w:tcPr>
            <w:tcW w:w="451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放射性物品道路运输管理规定》（交通运输部令2016年第71号）第三十八条：“违反本规定，未取得有关放射性物品道路运输资质许可，有下列情形之一的，由县级以上道路运输管理机构责令停止运输，有违法所得的，没收违法所得，处违法所得2倍以上10倍以下的罚款；没有违法所得或者违法所得不足2万元的，处3万元以上10万元以下的罚款。构成犯罪的，依法追究刑事责任：</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（一）无资质许可擅自从事放射性物品道路运输的；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（二）使用失效、伪造、变造、被注销等无效放射性物品道路运输许可证件从事放射性物品道路运输的；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（三）超越资质许可事项，从事放射性物品道路运输的；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（四）非经营性放射性物品道路运输单位从事放射性物品道路运输经营的。”</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87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082"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08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08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08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08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08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08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082"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666"/>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772"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816"/>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772"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原因：根据《放射性物品道路运输管理规定》（交通运输部令2016年第71号），增加此事项</w:t>
            </w:r>
          </w:p>
        </w:tc>
      </w:tr>
    </w:tbl>
    <w:p w:rsidR="0059130C" w:rsidRDefault="0059130C">
      <w:pPr>
        <w:spacing w:line="240" w:lineRule="exact"/>
        <w:rPr>
          <w:rFonts w:ascii="仿宋_GB2312" w:eastAsia="仿宋_GB2312" w:hAnsi="仿宋_GB2312" w:cs="仿宋_GB2312"/>
          <w:szCs w:val="21"/>
        </w:rPr>
      </w:pPr>
    </w:p>
    <w:tbl>
      <w:tblPr>
        <w:tblW w:w="14432" w:type="dxa"/>
        <w:jc w:val="center"/>
        <w:tblLayout w:type="fixed"/>
        <w:tblCellMar>
          <w:left w:w="15" w:type="dxa"/>
          <w:right w:w="15" w:type="dxa"/>
        </w:tblCellMar>
        <w:tblLook w:val="04A0"/>
      </w:tblPr>
      <w:tblGrid>
        <w:gridCol w:w="717"/>
        <w:gridCol w:w="2040"/>
        <w:gridCol w:w="4515"/>
        <w:gridCol w:w="675"/>
        <w:gridCol w:w="870"/>
        <w:gridCol w:w="4025"/>
        <w:gridCol w:w="1590"/>
      </w:tblGrid>
      <w:tr w:rsidR="0059130C">
        <w:trPr>
          <w:trHeight w:val="640"/>
          <w:jc w:val="center"/>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51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7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02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102</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放射性物品道路运输企业或者单位擅自改装已取得《道路运输证》的专用车辆的处罚</w:t>
            </w:r>
          </w:p>
        </w:tc>
        <w:tc>
          <w:tcPr>
            <w:tcW w:w="451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放射性物品道路运输管理规定》（交通运输部令2016年第71号）第三十九条：“违反本规定，放射性物品道路运输企业或者单位擅自改装已取得《道路运输证》的专用车辆的，由县级以上道路运输管理机构责令改正，处5000元以上2万元以下的罚款。”</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87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02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0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0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0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0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0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0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025"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666"/>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7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816"/>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7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原因：根据《放射性物品道路运输管理规定》（交通运输部令2016年第71号），增加此事项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432" w:type="dxa"/>
        <w:jc w:val="center"/>
        <w:tblLayout w:type="fixed"/>
        <w:tblCellMar>
          <w:left w:w="15" w:type="dxa"/>
          <w:right w:w="15" w:type="dxa"/>
        </w:tblCellMar>
        <w:tblLook w:val="04A0"/>
      </w:tblPr>
      <w:tblGrid>
        <w:gridCol w:w="717"/>
        <w:gridCol w:w="677"/>
        <w:gridCol w:w="7594"/>
        <w:gridCol w:w="544"/>
        <w:gridCol w:w="618"/>
        <w:gridCol w:w="3600"/>
        <w:gridCol w:w="682"/>
      </w:tblGrid>
      <w:tr w:rsidR="0059130C">
        <w:trPr>
          <w:trHeight w:val="640"/>
          <w:jc w:val="center"/>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677"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名称</w:t>
            </w:r>
          </w:p>
        </w:tc>
        <w:tc>
          <w:tcPr>
            <w:tcW w:w="7594"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544"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618"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60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68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科室</w:t>
            </w:r>
          </w:p>
        </w:tc>
      </w:tr>
      <w:tr w:rsidR="0059130C">
        <w:trPr>
          <w:trHeight w:val="23"/>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103</w:t>
            </w:r>
          </w:p>
        </w:tc>
        <w:tc>
          <w:tcPr>
            <w:tcW w:w="677"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放射性物品道路运输活动中，由不符合本规定第七条、第八条规定条件的人员驾驶专用车辆的处罚</w:t>
            </w:r>
          </w:p>
        </w:tc>
        <w:tc>
          <w:tcPr>
            <w:tcW w:w="7594"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放射性物品道路运输管理规定》（交通运输部令2016年第71号）第四十一条：“放射性物品道路运输活动中，由不符合本规定第七条、第八条规定条件的人员驾驶专用车辆的，由县级以上道路运输管理机构责令改正，处200元以上2000元以下的罚款；构成犯罪的，依法追究刑事责任。”</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《放射性物品道路运输管理规定》（交通运输部令2016年第71号）第七条：“申请从事放射性物品道路运输经营的，应当具备下列条件：（一）有符合要求的专用车辆和设备。</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1.专用车辆要求。</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（1）专用车辆的技术要求应当符合《道路运输车辆技术管理规定》有关规定；（2）车辆为企业自有，且数量为5辆以上；（3）核定</w:t>
            </w:r>
            <w:proofErr w:type="gramStart"/>
            <w:r>
              <w:rPr>
                <w:rFonts w:ascii="仿宋_GB2312" w:eastAsia="仿宋_GB2312" w:hAnsi="仿宋_GB2312" w:cs="仿宋_GB2312" w:hint="eastAsia"/>
                <w:sz w:val="21"/>
                <w:szCs w:val="21"/>
                <w:lang/>
              </w:rPr>
              <w:t>载质量</w:t>
            </w:r>
            <w:proofErr w:type="gramEnd"/>
            <w:r>
              <w:rPr>
                <w:rFonts w:ascii="仿宋_GB2312" w:eastAsia="仿宋_GB2312" w:hAnsi="仿宋_GB2312" w:cs="仿宋_GB2312" w:hint="eastAsia"/>
                <w:sz w:val="21"/>
                <w:szCs w:val="21"/>
                <w:lang/>
              </w:rPr>
              <w:t>在1吨及以下的车辆为厢式或者封闭货车；（4）车辆配备满足在线监控要求，且具有行驶记录仪功能的卫星定位系统。</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2.设备要求。</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（1）配备有效的通讯工具；（2）配备必要的辐射防护用品和依法经定期检定合格的监测仪器。</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（二）有符合要求的从业人员。</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1.专用车辆的驾驶人员取得相应机动车驾驶证，年龄不超过60周岁；2.从事放射性物品道路运输的驾驶人员、装卸管理人员、押运人员经所在地设区的市级人民政府交通运输主管部门考试合格，取得注明从业资格类别为“放射性物品道路运输”的道路运输从业资格证（以下简称道路运输从业资格证）；3.有具备辐射防护与相关安全知识的安全管理人员。</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（三）有健全的安全生产管理制度。</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1.有关安全生产应急预案；2.从业人员、车辆、设备及停车场地安全管理制度；3.安全生产作业规程和辐射防护管理措施；4.安全生产监督检查和责任制度。”</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第八条：“生产、销售、使用或者处置放射性物品的单位（含在放射性废物收贮过程中的从事放射性物品运输的省、自治区、直辖市城市放射性废物库营运单位），符合下列条件的，可以使用自备专用车辆从事为本单位服务的非经营性放射性物品道路运输活动：</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（一）持有有关部门依法批准的生产、销售、使用、处置放射性物品的有效证明；</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（二）有符合国家规定要求的放射性物品运输容器；</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（三）有具备辐射防护与安全防护知识的专业技术人员；</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（四）具备满足第七条规定条件的驾驶人员、专用车辆、设备和安全生产管理制度，但专用车辆的数量可以少于5辆。”</w:t>
            </w:r>
          </w:p>
        </w:tc>
        <w:tc>
          <w:tcPr>
            <w:tcW w:w="544"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618"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360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682"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677"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c>
          <w:tcPr>
            <w:tcW w:w="7594"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c>
          <w:tcPr>
            <w:tcW w:w="54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1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360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682"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677"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c>
          <w:tcPr>
            <w:tcW w:w="7594"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c>
          <w:tcPr>
            <w:tcW w:w="54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1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360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682"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677"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c>
          <w:tcPr>
            <w:tcW w:w="7594"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c>
          <w:tcPr>
            <w:tcW w:w="54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1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360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682"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677"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c>
          <w:tcPr>
            <w:tcW w:w="7594"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c>
          <w:tcPr>
            <w:tcW w:w="54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1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360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682"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677"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c>
          <w:tcPr>
            <w:tcW w:w="7594"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c>
          <w:tcPr>
            <w:tcW w:w="54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1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360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682"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677"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c>
          <w:tcPr>
            <w:tcW w:w="7594"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c>
          <w:tcPr>
            <w:tcW w:w="54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1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360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682"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677"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c>
          <w:tcPr>
            <w:tcW w:w="7594"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c>
          <w:tcPr>
            <w:tcW w:w="54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18"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3600"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682"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28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7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283"/>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7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原因：根据《放射性物品道路运输管理规定》（交通运输部令2016年第71号），增加此事项</w:t>
            </w:r>
          </w:p>
        </w:tc>
      </w:tr>
    </w:tbl>
    <w:p w:rsidR="0059130C" w:rsidRDefault="0059130C">
      <w:pPr>
        <w:spacing w:line="240" w:lineRule="exact"/>
        <w:rPr>
          <w:rFonts w:ascii="仿宋_GB2312" w:eastAsia="仿宋_GB2312" w:hAnsi="仿宋_GB2312" w:cs="仿宋_GB2312"/>
          <w:szCs w:val="21"/>
        </w:rPr>
      </w:pPr>
    </w:p>
    <w:tbl>
      <w:tblPr>
        <w:tblW w:w="14262" w:type="dxa"/>
        <w:jc w:val="center"/>
        <w:tblLayout w:type="fixed"/>
        <w:tblCellMar>
          <w:left w:w="15" w:type="dxa"/>
          <w:right w:w="15" w:type="dxa"/>
        </w:tblCellMar>
        <w:tblLook w:val="04A0"/>
      </w:tblPr>
      <w:tblGrid>
        <w:gridCol w:w="717"/>
        <w:gridCol w:w="2040"/>
        <w:gridCol w:w="4515"/>
        <w:gridCol w:w="675"/>
        <w:gridCol w:w="870"/>
        <w:gridCol w:w="3855"/>
        <w:gridCol w:w="1590"/>
      </w:tblGrid>
      <w:tr w:rsidR="0059130C">
        <w:trPr>
          <w:trHeight w:val="685"/>
          <w:jc w:val="center"/>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51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7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85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104</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危险货物承运人未对从业人员进行安全教育和培训的处罚</w:t>
            </w:r>
          </w:p>
        </w:tc>
        <w:tc>
          <w:tcPr>
            <w:tcW w:w="451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危险货物道路运输安全管理办法》（交通运输部令2019年第29号）第五十六条：“交通运输主管部门对危险货物承运人违反本办法第七条，未对从业人员进行安全教育和培训的，应当责令限期改正，可以处5万元以下的罚款；逾期未改正的，责令停产停业整顿，并处5万元以上10万元以下的罚款，对其直接负责的主管人员和其他直接责任人员处1万元以上2万元以下的罚款。”</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87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385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385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385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385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385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385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385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3855"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624"/>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54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624"/>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54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原因：根据《危险货物道路运输安全管理办法》（交通运输部令2019年第29号），增加此事项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546" w:type="dxa"/>
        <w:jc w:val="center"/>
        <w:tblLayout w:type="fixed"/>
        <w:tblCellMar>
          <w:left w:w="15" w:type="dxa"/>
          <w:right w:w="15" w:type="dxa"/>
        </w:tblCellMar>
        <w:tblLook w:val="04A0"/>
      </w:tblPr>
      <w:tblGrid>
        <w:gridCol w:w="717"/>
        <w:gridCol w:w="2040"/>
        <w:gridCol w:w="4515"/>
        <w:gridCol w:w="675"/>
        <w:gridCol w:w="870"/>
        <w:gridCol w:w="4139"/>
        <w:gridCol w:w="1526"/>
        <w:gridCol w:w="64"/>
      </w:tblGrid>
      <w:tr w:rsidR="0059130C">
        <w:trPr>
          <w:trHeight w:val="640"/>
          <w:jc w:val="center"/>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51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7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139"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gridSpan w:val="2"/>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105</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危险化学品托运人委托未依法取得危险货物道路运输资质的企业承运危险化学品的；在托运的普通货物中违规夹带危险化学品，或者将危险化学品匿报或者谎报为普通货物托运的处罚</w:t>
            </w:r>
          </w:p>
        </w:tc>
        <w:tc>
          <w:tcPr>
            <w:tcW w:w="451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危险货物道路运输安全管理办法》（交通运输部令2019年第29号）第五十七条：“交通运输主管部门对危险化学品托运人有下列情形之一的，应当责令改正，处10万元以上20万元以下的罚款，有违法所得的，没收违法所得；拒不改正的，责令停产停业整顿：</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（一）违反本办法第九条，委托未依法取得危险货物道路运输资质的企业承运危险化学品的；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（二）违反本办法第十一条，在托运的普通货物中违规夹带危险化学品，或者将危险化学品匿报或者谎报为普通货物托运的。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有前款第（二）项情形，构成违反治安管理行为的，由公安机关依法给予治安管理处罚。”</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87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139"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gridSpan w:val="2"/>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13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gridSpan w:val="2"/>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13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gridSpan w:val="2"/>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13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gridSpan w:val="2"/>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13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gridSpan w:val="2"/>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13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gridSpan w:val="2"/>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13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gridSpan w:val="2"/>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139"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gridSpan w:val="2"/>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gridAfter w:val="1"/>
          <w:wAfter w:w="64" w:type="dxa"/>
          <w:trHeight w:val="666"/>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76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gridAfter w:val="1"/>
          <w:wAfter w:w="64" w:type="dxa"/>
          <w:trHeight w:val="816"/>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76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原因：根据《危险货物道路运输安全管理办法》（交通运输部令2019年第29号），增加此事项</w:t>
            </w:r>
          </w:p>
        </w:tc>
      </w:tr>
    </w:tbl>
    <w:p w:rsidR="0059130C" w:rsidRDefault="0059130C">
      <w:pPr>
        <w:spacing w:line="240" w:lineRule="exact"/>
        <w:rPr>
          <w:rFonts w:ascii="仿宋_GB2312" w:eastAsia="仿宋_GB2312" w:hAnsi="仿宋_GB2312" w:cs="仿宋_GB2312"/>
          <w:szCs w:val="21"/>
        </w:rPr>
      </w:pPr>
    </w:p>
    <w:tbl>
      <w:tblPr>
        <w:tblW w:w="14489" w:type="dxa"/>
        <w:jc w:val="center"/>
        <w:tblLayout w:type="fixed"/>
        <w:tblCellMar>
          <w:left w:w="15" w:type="dxa"/>
          <w:right w:w="15" w:type="dxa"/>
        </w:tblCellMar>
        <w:tblLook w:val="04A0"/>
      </w:tblPr>
      <w:tblGrid>
        <w:gridCol w:w="717"/>
        <w:gridCol w:w="2040"/>
        <w:gridCol w:w="4515"/>
        <w:gridCol w:w="675"/>
        <w:gridCol w:w="870"/>
        <w:gridCol w:w="4082"/>
        <w:gridCol w:w="1590"/>
      </w:tblGrid>
      <w:tr w:rsidR="0059130C">
        <w:trPr>
          <w:trHeight w:val="640"/>
          <w:jc w:val="center"/>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51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7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08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106</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托运人未按照《危险货物道路运输规则》（JT/T617）确定危险货物的类别、项别、品名、编号，遵守相关特殊规定要求进行托运的处罚</w:t>
            </w:r>
          </w:p>
        </w:tc>
        <w:tc>
          <w:tcPr>
            <w:tcW w:w="451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危险货物道路运输安全管理办法》（交通运输部令2019年第29号）第五十八条：“交通运输主管部门对危险货物托运人违反本办法第十条，危险货物的类别、项别、品名、编号不符合相关标准要求的，应当责令改正，属于非经营性的，处1000元以下的罚款；属于经营性的，处1万元以上3万元以下的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危险货物道路运输安全管理办法》（交通运输部令2019年第29号）第十条：“托运人应当按照《危险货物道路运输规则》（JT/T617）确定危险货物的类别、项别、品名、编号，遵守相关特殊规定要求。需要添加抑制剂或者稳定剂的，托运人应当按照规定添加，并将有关情况告知承运人。”</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87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082"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08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08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08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08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08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08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082"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666"/>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772"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816"/>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772"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原因：根据《危险货物道路运输安全管理办法》（交通运输部令2019年第29号），增加此事项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500" w:type="dxa"/>
        <w:jc w:val="center"/>
        <w:tblLayout w:type="fixed"/>
        <w:tblCellMar>
          <w:left w:w="15" w:type="dxa"/>
          <w:right w:w="15" w:type="dxa"/>
        </w:tblCellMar>
        <w:tblLook w:val="04A0"/>
      </w:tblPr>
      <w:tblGrid>
        <w:gridCol w:w="717"/>
        <w:gridCol w:w="2040"/>
        <w:gridCol w:w="4515"/>
        <w:gridCol w:w="675"/>
        <w:gridCol w:w="870"/>
        <w:gridCol w:w="4025"/>
        <w:gridCol w:w="1590"/>
        <w:gridCol w:w="68"/>
      </w:tblGrid>
      <w:tr w:rsidR="0059130C">
        <w:trPr>
          <w:gridAfter w:val="1"/>
          <w:wAfter w:w="68" w:type="dxa"/>
          <w:trHeight w:val="640"/>
          <w:jc w:val="center"/>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51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7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02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gridAfter w:val="1"/>
          <w:wAfter w:w="68" w:type="dxa"/>
          <w:trHeight w:val="23"/>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107</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运输危险化学品需要添加抑制剂或者稳定剂，托运人未添加或者未将有关情况告知承运人的；未按照要求对所托运的危险化学品妥善包装并在外包装设置相应标志的处罚</w:t>
            </w:r>
          </w:p>
        </w:tc>
        <w:tc>
          <w:tcPr>
            <w:tcW w:w="451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危险货物道路运输安全管理办法》（交通运输部令2019年第29号）第五十九条：“交通运输主管部门对危险化学品托运人有下列情形之一的，应当责令改正，处5万元以上10万元以下的罚款；拒不改正的，责令停产停业整顿：</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（一）违反本办法第十条，运输危险化学品需要添加抑制剂或者稳定剂，托运人未添加或者未将有关情况告知承运人的；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（二）违反本办法第十二条，未按照要求对所托运的危险化学品妥善包装并在外包装设置相应标志的。”</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87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02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gridAfter w:val="1"/>
          <w:wAfter w:w="68" w:type="dxa"/>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0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gridAfter w:val="1"/>
          <w:wAfter w:w="68" w:type="dxa"/>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0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gridAfter w:val="1"/>
          <w:wAfter w:w="68" w:type="dxa"/>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0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gridAfter w:val="1"/>
          <w:wAfter w:w="68" w:type="dxa"/>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0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gridAfter w:val="1"/>
          <w:wAfter w:w="68" w:type="dxa"/>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0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gridAfter w:val="1"/>
          <w:wAfter w:w="68" w:type="dxa"/>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0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gridAfter w:val="1"/>
          <w:wAfter w:w="68" w:type="dxa"/>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025"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666"/>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783" w:type="dxa"/>
            <w:gridSpan w:val="7"/>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816"/>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783" w:type="dxa"/>
            <w:gridSpan w:val="7"/>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原因：根据《危险货物道路运输安全管理办法》（交通运输部令2019年第29号），增加此事项</w:t>
            </w:r>
          </w:p>
        </w:tc>
      </w:tr>
    </w:tbl>
    <w:p w:rsidR="0059130C" w:rsidRDefault="0059130C">
      <w:pPr>
        <w:spacing w:line="240" w:lineRule="exact"/>
        <w:rPr>
          <w:rFonts w:ascii="仿宋_GB2312" w:eastAsia="仿宋_GB2312" w:hAnsi="仿宋_GB2312" w:cs="仿宋_GB2312"/>
          <w:szCs w:val="21"/>
        </w:rPr>
      </w:pPr>
    </w:p>
    <w:tbl>
      <w:tblPr>
        <w:tblW w:w="14376" w:type="dxa"/>
        <w:jc w:val="center"/>
        <w:tblLayout w:type="fixed"/>
        <w:tblCellMar>
          <w:left w:w="15" w:type="dxa"/>
          <w:right w:w="15" w:type="dxa"/>
        </w:tblCellMar>
        <w:tblLook w:val="04A0"/>
      </w:tblPr>
      <w:tblGrid>
        <w:gridCol w:w="717"/>
        <w:gridCol w:w="2040"/>
        <w:gridCol w:w="4515"/>
        <w:gridCol w:w="675"/>
        <w:gridCol w:w="870"/>
        <w:gridCol w:w="3969"/>
        <w:gridCol w:w="1590"/>
      </w:tblGrid>
      <w:tr w:rsidR="0059130C">
        <w:trPr>
          <w:trHeight w:val="640"/>
          <w:jc w:val="center"/>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51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7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969"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108</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未在罐式车辆罐体</w:t>
            </w:r>
            <w:proofErr w:type="gramStart"/>
            <w:r>
              <w:rPr>
                <w:rFonts w:ascii="仿宋_GB2312" w:eastAsia="仿宋_GB2312" w:hAnsi="仿宋_GB2312" w:cs="仿宋_GB2312" w:hint="eastAsia"/>
                <w:sz w:val="21"/>
                <w:szCs w:val="21"/>
                <w:lang/>
              </w:rPr>
              <w:t>的适装介质</w:t>
            </w:r>
            <w:proofErr w:type="gramEnd"/>
            <w:r>
              <w:rPr>
                <w:rFonts w:ascii="仿宋_GB2312" w:eastAsia="仿宋_GB2312" w:hAnsi="仿宋_GB2312" w:cs="仿宋_GB2312" w:hint="eastAsia"/>
                <w:sz w:val="21"/>
                <w:szCs w:val="21"/>
                <w:lang/>
              </w:rPr>
              <w:t>列表范围内或者移动式压力容器使用登记证上限定的介质承运危险货物的；未按照规定制作危险货物运单或者保存期限不符合要求的；未按照要求对运输车辆、罐式车辆罐体、可移动罐柜、</w:t>
            </w:r>
            <w:proofErr w:type="gramStart"/>
            <w:r>
              <w:rPr>
                <w:rFonts w:ascii="仿宋_GB2312" w:eastAsia="仿宋_GB2312" w:hAnsi="仿宋_GB2312" w:cs="仿宋_GB2312" w:hint="eastAsia"/>
                <w:sz w:val="21"/>
                <w:szCs w:val="21"/>
                <w:lang/>
              </w:rPr>
              <w:t>罐箱及</w:t>
            </w:r>
            <w:proofErr w:type="gramEnd"/>
            <w:r>
              <w:rPr>
                <w:rFonts w:ascii="仿宋_GB2312" w:eastAsia="仿宋_GB2312" w:hAnsi="仿宋_GB2312" w:cs="仿宋_GB2312" w:hint="eastAsia"/>
                <w:sz w:val="21"/>
                <w:szCs w:val="21"/>
                <w:lang/>
              </w:rPr>
              <w:t>设备进行检查和记录的处罚</w:t>
            </w:r>
          </w:p>
        </w:tc>
        <w:tc>
          <w:tcPr>
            <w:tcW w:w="451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《危险货物道路运输安全管理办法》（交通运输部令2019年第29号）第六十条：“交通运输主管部门对危险货物承运人有下列情形之一的，应当责令改正，处2000元以上5000元以下的罚款：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（一）违反本办法第二十三条，未在罐式车辆罐体</w:t>
            </w:r>
            <w:proofErr w:type="gramStart"/>
            <w:r>
              <w:rPr>
                <w:rFonts w:ascii="仿宋_GB2312" w:eastAsia="仿宋_GB2312" w:hAnsi="仿宋_GB2312" w:cs="仿宋_GB2312" w:hint="eastAsia"/>
                <w:sz w:val="21"/>
                <w:szCs w:val="21"/>
                <w:lang/>
              </w:rPr>
              <w:t>的适装介质</w:t>
            </w:r>
            <w:proofErr w:type="gramEnd"/>
            <w:r>
              <w:rPr>
                <w:rFonts w:ascii="仿宋_GB2312" w:eastAsia="仿宋_GB2312" w:hAnsi="仿宋_GB2312" w:cs="仿宋_GB2312" w:hint="eastAsia"/>
                <w:sz w:val="21"/>
                <w:szCs w:val="21"/>
                <w:lang/>
              </w:rPr>
              <w:t>列表范围内或者移动式压力容器使用登记证上限定的介质承运危险货物的；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（二）违反本办法第二十四条，未按照规定制作危险货物运单或者保存期限不符合要求的；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（三）违反本办法第二十五条，未按照要求对运输车辆、罐式车辆罐体、可移动罐柜、</w:t>
            </w:r>
            <w:proofErr w:type="gramStart"/>
            <w:r>
              <w:rPr>
                <w:rFonts w:ascii="仿宋_GB2312" w:eastAsia="仿宋_GB2312" w:hAnsi="仿宋_GB2312" w:cs="仿宋_GB2312" w:hint="eastAsia"/>
                <w:sz w:val="21"/>
                <w:szCs w:val="21"/>
                <w:lang/>
              </w:rPr>
              <w:t>罐箱及</w:t>
            </w:r>
            <w:proofErr w:type="gramEnd"/>
            <w:r>
              <w:rPr>
                <w:rFonts w:ascii="仿宋_GB2312" w:eastAsia="仿宋_GB2312" w:hAnsi="仿宋_GB2312" w:cs="仿宋_GB2312" w:hint="eastAsia"/>
                <w:sz w:val="21"/>
                <w:szCs w:val="21"/>
                <w:lang/>
              </w:rPr>
              <w:t>设备进行检查和记录的。”</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87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3969"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396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396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396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396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396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396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3969"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666"/>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65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816"/>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65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原因：根据《危险货物道路运输安全管理办法》（交通运输部令2019年第29号），增加此事项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262" w:type="dxa"/>
        <w:jc w:val="center"/>
        <w:tblLayout w:type="fixed"/>
        <w:tblCellMar>
          <w:left w:w="15" w:type="dxa"/>
          <w:right w:w="15" w:type="dxa"/>
        </w:tblCellMar>
        <w:tblLook w:val="04A0"/>
      </w:tblPr>
      <w:tblGrid>
        <w:gridCol w:w="717"/>
        <w:gridCol w:w="2040"/>
        <w:gridCol w:w="4515"/>
        <w:gridCol w:w="675"/>
        <w:gridCol w:w="870"/>
        <w:gridCol w:w="3855"/>
        <w:gridCol w:w="1590"/>
      </w:tblGrid>
      <w:tr w:rsidR="0059130C">
        <w:trPr>
          <w:trHeight w:val="288"/>
          <w:jc w:val="center"/>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51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7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85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109</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危险货物道路运输车辆驾驶人未按照规定随车携带危险货物运单、</w:t>
            </w:r>
            <w:proofErr w:type="gramStart"/>
            <w:r>
              <w:rPr>
                <w:rFonts w:ascii="仿宋_GB2312" w:eastAsia="仿宋_GB2312" w:hAnsi="仿宋_GB2312" w:cs="仿宋_GB2312" w:hint="eastAsia"/>
                <w:sz w:val="21"/>
                <w:szCs w:val="21"/>
                <w:lang/>
              </w:rPr>
              <w:t>安全卡</w:t>
            </w:r>
            <w:proofErr w:type="gramEnd"/>
            <w:r>
              <w:rPr>
                <w:rFonts w:ascii="仿宋_GB2312" w:eastAsia="仿宋_GB2312" w:hAnsi="仿宋_GB2312" w:cs="仿宋_GB2312" w:hint="eastAsia"/>
                <w:sz w:val="21"/>
                <w:szCs w:val="21"/>
                <w:lang/>
              </w:rPr>
              <w:t>的；罐式车辆罐体、可移动罐柜、</w:t>
            </w:r>
            <w:proofErr w:type="gramStart"/>
            <w:r>
              <w:rPr>
                <w:rFonts w:ascii="仿宋_GB2312" w:eastAsia="仿宋_GB2312" w:hAnsi="仿宋_GB2312" w:cs="仿宋_GB2312" w:hint="eastAsia"/>
                <w:sz w:val="21"/>
                <w:szCs w:val="21"/>
                <w:lang/>
              </w:rPr>
              <w:t>罐箱的</w:t>
            </w:r>
            <w:proofErr w:type="gramEnd"/>
            <w:r>
              <w:rPr>
                <w:rFonts w:ascii="仿宋_GB2312" w:eastAsia="仿宋_GB2312" w:hAnsi="仿宋_GB2312" w:cs="仿宋_GB2312" w:hint="eastAsia"/>
                <w:sz w:val="21"/>
                <w:szCs w:val="21"/>
                <w:lang/>
              </w:rPr>
              <w:t>关闭装置在运输过程中未处于关闭状态的处罚</w:t>
            </w:r>
          </w:p>
          <w:p w:rsidR="0059130C" w:rsidRDefault="0059130C">
            <w:pPr>
              <w:pStyle w:val="a6"/>
              <w:spacing w:beforeAutospacing="0" w:afterAutospacing="0" w:line="240" w:lineRule="exact"/>
              <w:rPr>
                <w:rFonts w:ascii="仿宋_GB2312" w:eastAsia="仿宋_GB2312" w:hAnsi="仿宋_GB2312" w:cs="仿宋_GB2312"/>
                <w:sz w:val="21"/>
                <w:szCs w:val="21"/>
                <w:lang/>
              </w:rPr>
            </w:pPr>
          </w:p>
        </w:tc>
        <w:tc>
          <w:tcPr>
            <w:tcW w:w="451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《危险货物道路运输安全管理办法》（交通运输部令2019年第29号）第六十一条：“交通运输主管部门对危险货物道路运输车辆驾驶人具有下列情形之一的，应当责令改正，处1000元以上3000元以下的罚款：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（一）违反本办法第二十四条、第四十四条，未按照规定随车携带危险货物运单、</w:t>
            </w:r>
            <w:proofErr w:type="gramStart"/>
            <w:r>
              <w:rPr>
                <w:rFonts w:ascii="仿宋_GB2312" w:eastAsia="仿宋_GB2312" w:hAnsi="仿宋_GB2312" w:cs="仿宋_GB2312" w:hint="eastAsia"/>
                <w:sz w:val="21"/>
                <w:szCs w:val="21"/>
                <w:lang/>
              </w:rPr>
              <w:t>安全卡</w:t>
            </w:r>
            <w:proofErr w:type="gramEnd"/>
            <w:r>
              <w:rPr>
                <w:rFonts w:ascii="仿宋_GB2312" w:eastAsia="仿宋_GB2312" w:hAnsi="仿宋_GB2312" w:cs="仿宋_GB2312" w:hint="eastAsia"/>
                <w:sz w:val="21"/>
                <w:szCs w:val="21"/>
                <w:lang/>
              </w:rPr>
              <w:t>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（二）违反本办法第四十七条，罐式车辆罐体、可移动罐柜、</w:t>
            </w:r>
            <w:proofErr w:type="gramStart"/>
            <w:r>
              <w:rPr>
                <w:rFonts w:ascii="仿宋_GB2312" w:eastAsia="仿宋_GB2312" w:hAnsi="仿宋_GB2312" w:cs="仿宋_GB2312" w:hint="eastAsia"/>
                <w:sz w:val="21"/>
                <w:szCs w:val="21"/>
                <w:lang/>
              </w:rPr>
              <w:t>罐箱的</w:t>
            </w:r>
            <w:proofErr w:type="gramEnd"/>
            <w:r>
              <w:rPr>
                <w:rFonts w:ascii="仿宋_GB2312" w:eastAsia="仿宋_GB2312" w:hAnsi="仿宋_GB2312" w:cs="仿宋_GB2312" w:hint="eastAsia"/>
                <w:sz w:val="21"/>
                <w:szCs w:val="21"/>
                <w:lang/>
              </w:rPr>
              <w:t>关闭装置在运输过程中未处于关闭状态的。”</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87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385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385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385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385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385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385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385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3855"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45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54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666"/>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54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原因：根据《危险货物道路运输安全管理办法》（交通运输部令2019年第29号），增加此事项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3632" w:type="dxa"/>
        <w:jc w:val="center"/>
        <w:tblLayout w:type="fixed"/>
        <w:tblCellMar>
          <w:left w:w="15" w:type="dxa"/>
          <w:right w:w="15" w:type="dxa"/>
        </w:tblCellMar>
        <w:tblLook w:val="04A0"/>
      </w:tblPr>
      <w:tblGrid>
        <w:gridCol w:w="717"/>
        <w:gridCol w:w="2040"/>
        <w:gridCol w:w="3487"/>
        <w:gridCol w:w="769"/>
        <w:gridCol w:w="806"/>
        <w:gridCol w:w="4223"/>
        <w:gridCol w:w="1590"/>
      </w:tblGrid>
      <w:tr w:rsidR="0059130C">
        <w:trPr>
          <w:trHeight w:val="640"/>
          <w:jc w:val="center"/>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3487"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769"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0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22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110</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危险货物承运人使用未经检验合格或者超出检验有效期的罐式车辆罐体、可移动罐柜、</w:t>
            </w:r>
            <w:proofErr w:type="gramStart"/>
            <w:r>
              <w:rPr>
                <w:rFonts w:ascii="仿宋_GB2312" w:eastAsia="仿宋_GB2312" w:hAnsi="仿宋_GB2312" w:cs="仿宋_GB2312" w:hint="eastAsia"/>
                <w:sz w:val="21"/>
                <w:szCs w:val="21"/>
                <w:lang/>
              </w:rPr>
              <w:t>罐箱从事</w:t>
            </w:r>
            <w:proofErr w:type="gramEnd"/>
            <w:r>
              <w:rPr>
                <w:rFonts w:ascii="仿宋_GB2312" w:eastAsia="仿宋_GB2312" w:hAnsi="仿宋_GB2312" w:cs="仿宋_GB2312" w:hint="eastAsia"/>
                <w:sz w:val="21"/>
                <w:szCs w:val="21"/>
                <w:lang/>
              </w:rPr>
              <w:t>危险货物运输的处罚</w:t>
            </w:r>
          </w:p>
        </w:tc>
        <w:tc>
          <w:tcPr>
            <w:tcW w:w="3487"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危险货物道路运输安全管理办法》（交通运输部令2019年第29号）第六十二条：“交通运输主管部门对危险货物承运人违反本办法第四十条、第四十一条、第四十二条，使用未经检验合格或者超出检验有效期的罐式车辆罐体、可移动罐柜、罐箱从事危险货物运输的，应当责令限期改正，可以处5万元以下的罚款；逾期未改正的，处5万元以上20万元以下的罚款，对其直接负责的主管人员和其他直接责任人员处1万元以上2万元以下的罚款；情节严重的，责令停产停业整顿。”</w:t>
            </w:r>
          </w:p>
        </w:tc>
        <w:tc>
          <w:tcPr>
            <w:tcW w:w="769"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806"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223"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48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69"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0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22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48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69"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0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22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48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69"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0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22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48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69"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0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22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48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69"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0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22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48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69"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06"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22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48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69"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06"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223"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666"/>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816"/>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原因：根据《危险货物道路运输安全管理办法》（交通运输部令2019年第29号），增加此事项</w:t>
            </w:r>
          </w:p>
        </w:tc>
      </w:tr>
    </w:tbl>
    <w:p w:rsidR="0059130C" w:rsidRDefault="0059130C">
      <w:pPr>
        <w:spacing w:line="240" w:lineRule="exact"/>
        <w:rPr>
          <w:rFonts w:ascii="仿宋_GB2312" w:eastAsia="仿宋_GB2312" w:hAnsi="仿宋_GB2312" w:cs="仿宋_GB2312"/>
          <w:szCs w:val="21"/>
        </w:rPr>
      </w:pPr>
    </w:p>
    <w:tbl>
      <w:tblPr>
        <w:tblW w:w="13632" w:type="dxa"/>
        <w:jc w:val="center"/>
        <w:tblLayout w:type="fixed"/>
        <w:tblCellMar>
          <w:left w:w="15" w:type="dxa"/>
          <w:right w:w="15" w:type="dxa"/>
        </w:tblCellMar>
        <w:tblLook w:val="04A0"/>
      </w:tblPr>
      <w:tblGrid>
        <w:gridCol w:w="717"/>
        <w:gridCol w:w="2040"/>
        <w:gridCol w:w="3168"/>
        <w:gridCol w:w="788"/>
        <w:gridCol w:w="881"/>
        <w:gridCol w:w="4448"/>
        <w:gridCol w:w="1590"/>
      </w:tblGrid>
      <w:tr w:rsidR="0059130C">
        <w:trPr>
          <w:trHeight w:val="640"/>
          <w:jc w:val="center"/>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3168"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788"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8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448"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111</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危险货物承运人未按照要求对运营中的危险化学品、民用爆炸物品、核与放射性物品的运输车辆通过定位系统实行监控的处罚</w:t>
            </w:r>
          </w:p>
        </w:tc>
        <w:tc>
          <w:tcPr>
            <w:tcW w:w="3168"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中华人民共和国反恐怖主义法》第八十七条第（二）项：“违反本法规定，有下列情形之一的，由主管部门给予警告，并责令改正；拒不改正的，处十万元以下罚款，并对其直接负责的主管人员和其他直接责任人员处一万元以下罚款：（二）未依照规定对运营中的危险化学品、民用爆炸物品、核与放射物品的运输工具通过定位系统实行监控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危险货物道路运输安全管理办法》（交通运输部令2019年第29号）第六十三条：“交通运输主管部门对危险货物承运人违反本办法第四十五条，未按照要求对运营中的危险化学品、民用爆炸物品、核与放射性物品的运输车辆通过定位系统实行监控的，应当给予警告，并责令改正；拒不改正的，处10万元以下的罚款，并对其直接负责的主管人员和其他直接责任人员处1万元以下的罚款。”</w:t>
            </w:r>
          </w:p>
        </w:tc>
        <w:tc>
          <w:tcPr>
            <w:tcW w:w="788"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881"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448"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16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8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8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44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16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8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8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44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16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8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8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44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16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8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8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44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16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8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8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44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16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88"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8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44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16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88"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81"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448"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666"/>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816"/>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原因：根据《中华人民共和国反恐怖主义法》（中华人民共和国主席令第六号）《危险货物道路运输安全管理办法》（交通运输部令2019年第29号），增加此事项</w:t>
            </w:r>
          </w:p>
        </w:tc>
      </w:tr>
    </w:tbl>
    <w:p w:rsidR="0059130C" w:rsidRDefault="0059130C">
      <w:pPr>
        <w:spacing w:line="240" w:lineRule="exact"/>
        <w:rPr>
          <w:rFonts w:ascii="仿宋_GB2312" w:eastAsia="仿宋_GB2312" w:hAnsi="仿宋_GB2312" w:cs="仿宋_GB2312"/>
          <w:szCs w:val="21"/>
        </w:rPr>
      </w:pPr>
    </w:p>
    <w:tbl>
      <w:tblPr>
        <w:tblW w:w="13632" w:type="dxa"/>
        <w:jc w:val="center"/>
        <w:tblLayout w:type="fixed"/>
        <w:tblCellMar>
          <w:left w:w="15" w:type="dxa"/>
          <w:right w:w="15" w:type="dxa"/>
        </w:tblCellMar>
        <w:tblLook w:val="04A0"/>
      </w:tblPr>
      <w:tblGrid>
        <w:gridCol w:w="717"/>
        <w:gridCol w:w="2040"/>
        <w:gridCol w:w="3037"/>
        <w:gridCol w:w="863"/>
        <w:gridCol w:w="862"/>
        <w:gridCol w:w="4523"/>
        <w:gridCol w:w="1590"/>
      </w:tblGrid>
      <w:tr w:rsidR="0059130C">
        <w:trPr>
          <w:trHeight w:val="640"/>
          <w:jc w:val="center"/>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3037"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86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6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52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112</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对危险化学品生产、储存、运输、使用和经营企业未建立健全并严格执行充装或者装载查验、记录制度的处罚</w:t>
            </w:r>
          </w:p>
        </w:tc>
        <w:tc>
          <w:tcPr>
            <w:tcW w:w="3037"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危险货物道路运输安全管理办法》（交通运输部令2019年第29号）第六十五条：“交通运输主管部门、应急管理部门和其他负有安全监督管理职责的部门对危险化学品生产、储存、运输、使用和经营企业违反本办法第三十二条，未建立健全并严格执行充装或者装载查验、记录制度的，应当按照职责分工责令改正，处1万元以上3万元以下的罚款。”</w:t>
            </w:r>
          </w:p>
        </w:tc>
        <w:tc>
          <w:tcPr>
            <w:tcW w:w="863"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862"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523"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03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6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6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52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03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6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6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52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03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6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6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52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03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6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6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52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03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6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6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52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03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6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6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52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03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86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62"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523"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666"/>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651"/>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原因：根据《危险货物道路运输安全管理办法》（交通运输部令2019年第29号），增加此事项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3632" w:type="dxa"/>
        <w:jc w:val="center"/>
        <w:tblLayout w:type="fixed"/>
        <w:tblCellMar>
          <w:left w:w="15" w:type="dxa"/>
          <w:right w:w="15" w:type="dxa"/>
        </w:tblCellMar>
        <w:tblLook w:val="04A0"/>
      </w:tblPr>
      <w:tblGrid>
        <w:gridCol w:w="717"/>
        <w:gridCol w:w="2040"/>
        <w:gridCol w:w="4515"/>
        <w:gridCol w:w="675"/>
        <w:gridCol w:w="870"/>
        <w:gridCol w:w="3971"/>
        <w:gridCol w:w="844"/>
      </w:tblGrid>
      <w:tr w:rsidR="0059130C">
        <w:trPr>
          <w:trHeight w:val="640"/>
          <w:jc w:val="center"/>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51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7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97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844"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科室</w:t>
            </w:r>
          </w:p>
        </w:tc>
      </w:tr>
      <w:tr w:rsidR="0059130C">
        <w:trPr>
          <w:trHeight w:val="23"/>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113</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车货总质量未超过最高限值百分之三十且初次违法超限通行技术监控检测点的；车货总质量超过最高限值百分之三十以下的；车货总质量超过最高限值百分之五十以下的；车货总质量超过最高限值百分之五十的处罚</w:t>
            </w:r>
          </w:p>
        </w:tc>
        <w:tc>
          <w:tcPr>
            <w:tcW w:w="451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《河南省治理货物运输车辆超限超载条例》(2018年6月1日河南省第十三届人民代表大会常务委员会 第三次会议通过  根据2023年5月31日河南省第十四届人民代 表大会常务委员会第三次会议《关于修改〈河南省治理货物运输车辆超限超载条例〉的决定》修正)第二十六条：“违反本条例第十四条第一款、第二款规定的，由交通运输主管部门或者公安机关交通管理部门责令改正，并依法处罚。</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对技术监控记录货运车辆违法超限运输的，交通运输主管部门按照下列规定处理，公安机关交通管理部门已经</w:t>
            </w:r>
            <w:proofErr w:type="gramStart"/>
            <w:r>
              <w:rPr>
                <w:rFonts w:ascii="仿宋_GB2312" w:eastAsia="仿宋_GB2312" w:hAnsi="仿宋_GB2312" w:cs="仿宋_GB2312" w:hint="eastAsia"/>
                <w:sz w:val="21"/>
                <w:szCs w:val="21"/>
                <w:lang/>
              </w:rPr>
              <w:t>作出</w:t>
            </w:r>
            <w:proofErr w:type="gramEnd"/>
            <w:r>
              <w:rPr>
                <w:rFonts w:ascii="仿宋_GB2312" w:eastAsia="仿宋_GB2312" w:hAnsi="仿宋_GB2312" w:cs="仿宋_GB2312" w:hint="eastAsia"/>
                <w:sz w:val="21"/>
                <w:szCs w:val="21"/>
                <w:lang/>
              </w:rPr>
              <w:t>罚款处罚的除外：</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w:t>
            </w:r>
            <w:proofErr w:type="gramStart"/>
            <w:r>
              <w:rPr>
                <w:rFonts w:ascii="仿宋_GB2312" w:eastAsia="仿宋_GB2312" w:hAnsi="仿宋_GB2312" w:cs="仿宋_GB2312" w:hint="eastAsia"/>
                <w:sz w:val="21"/>
                <w:szCs w:val="21"/>
                <w:lang/>
              </w:rPr>
              <w:t>一</w:t>
            </w:r>
            <w:proofErr w:type="gramEnd"/>
            <w:r>
              <w:rPr>
                <w:rFonts w:ascii="仿宋_GB2312" w:eastAsia="仿宋_GB2312" w:hAnsi="仿宋_GB2312" w:cs="仿宋_GB2312" w:hint="eastAsia"/>
                <w:sz w:val="21"/>
                <w:szCs w:val="21"/>
                <w:lang/>
              </w:rPr>
              <w:t>)车货总质量未超过最高限值百分之三十且初次违法超限通行技术监控检测点，按照提示及时主动到指定地点消除违法状态的，给予批评教育，可以不予处罚；</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二)车货总质量未超过最高限值百分之十的，给予批评教育，可以不予处罚；车货总质量超过最高限值百分之三十以下的，对百分之十以上百分之三十以下的部分，处每吨一百元罚款；车货总质量超过最高限值百分之五十以下的，对百分之十以上百分之五十以下的部分，处每吨二百元罚款；车货总质量超过最高限值百分之五十的，对百分之十以上的部分，处每吨五百元罚款，最高不得超过三万元。”</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87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3971"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844"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397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844"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397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844"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397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844"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397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844"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397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844"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397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844"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3971"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844"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666"/>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816"/>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原因：根据《河南省治理货物运输车辆超限超载条例》(2018年6月1日河南省第十三届人民代表大会常务委员会 第三次会议通过  根据2023年5月31日河南省第十四届人民代 表大会常务委员会第三次会议《关于修改〈河南省治理货物运输车辆超限超载条例〉的决定》修正)，增加此事项</w:t>
            </w:r>
          </w:p>
        </w:tc>
      </w:tr>
    </w:tbl>
    <w:p w:rsidR="0059130C" w:rsidRDefault="0059130C">
      <w:pPr>
        <w:spacing w:line="240" w:lineRule="exact"/>
        <w:rPr>
          <w:rFonts w:ascii="仿宋_GB2312" w:eastAsia="仿宋_GB2312" w:hAnsi="仿宋_GB2312" w:cs="仿宋_GB2312"/>
          <w:szCs w:val="21"/>
        </w:rPr>
      </w:pPr>
    </w:p>
    <w:tbl>
      <w:tblPr>
        <w:tblW w:w="13632" w:type="dxa"/>
        <w:jc w:val="center"/>
        <w:tblLayout w:type="fixed"/>
        <w:tblCellMar>
          <w:left w:w="15" w:type="dxa"/>
          <w:right w:w="15" w:type="dxa"/>
        </w:tblCellMar>
        <w:tblLook w:val="04A0"/>
      </w:tblPr>
      <w:tblGrid>
        <w:gridCol w:w="717"/>
        <w:gridCol w:w="2040"/>
        <w:gridCol w:w="3712"/>
        <w:gridCol w:w="600"/>
        <w:gridCol w:w="544"/>
        <w:gridCol w:w="4429"/>
        <w:gridCol w:w="1590"/>
      </w:tblGrid>
      <w:tr w:rsidR="0059130C">
        <w:trPr>
          <w:trHeight w:val="640"/>
          <w:jc w:val="center"/>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371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0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544"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429"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114</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故意堵塞超限超载检测站点通行车道、强行通过超限超载检测站点或者以其他方式扰乱超限超载检测秩序的；采取短途驳载、安装影响检测装置方式逃避检测的；故意采取首尾紧随、</w:t>
            </w:r>
            <w:proofErr w:type="gramStart"/>
            <w:r>
              <w:rPr>
                <w:rFonts w:ascii="仿宋_GB2312" w:eastAsia="仿宋_GB2312" w:hAnsi="仿宋_GB2312" w:cs="仿宋_GB2312" w:hint="eastAsia"/>
                <w:sz w:val="21"/>
                <w:szCs w:val="21"/>
                <w:lang/>
              </w:rPr>
              <w:t>多车辆</w:t>
            </w:r>
            <w:proofErr w:type="gramEnd"/>
            <w:r>
              <w:rPr>
                <w:rFonts w:ascii="仿宋_GB2312" w:eastAsia="仿宋_GB2312" w:hAnsi="仿宋_GB2312" w:cs="仿宋_GB2312" w:hint="eastAsia"/>
                <w:sz w:val="21"/>
                <w:szCs w:val="21"/>
                <w:lang/>
              </w:rPr>
              <w:t>并排及其他方式逃避检测的处罚</w:t>
            </w:r>
          </w:p>
        </w:tc>
        <w:tc>
          <w:tcPr>
            <w:tcW w:w="3712"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《河南省治理货物运输车辆超限超载条例》(2018年6月1日河南省第十三届人民代表大会常务委员会 第三次会议通过根据2023年5月31日河南省第十四届人民代 表大会常务委员会第三次会议《关于修改〈河南省治理货物运输车辆超限超载条例〉的决定》修正)第二十七条：“违反本条例第十七条第二款规定的，交通运输主管部门按照下列规定处理：</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w:t>
            </w:r>
            <w:proofErr w:type="gramStart"/>
            <w:r>
              <w:rPr>
                <w:rFonts w:ascii="仿宋_GB2312" w:eastAsia="仿宋_GB2312" w:hAnsi="仿宋_GB2312" w:cs="仿宋_GB2312" w:hint="eastAsia"/>
                <w:sz w:val="21"/>
                <w:szCs w:val="21"/>
                <w:lang/>
              </w:rPr>
              <w:t>一</w:t>
            </w:r>
            <w:proofErr w:type="gramEnd"/>
            <w:r>
              <w:rPr>
                <w:rFonts w:ascii="仿宋_GB2312" w:eastAsia="仿宋_GB2312" w:hAnsi="仿宋_GB2312" w:cs="仿宋_GB2312" w:hint="eastAsia"/>
                <w:sz w:val="21"/>
                <w:szCs w:val="21"/>
                <w:lang/>
              </w:rPr>
              <w:t>)故意堵塞超限超载检测站点通行车道、强行通过超限超载检测站点或者以其他方式扰乱超限超载检测秩序的，强制拖离或者扣留车辆，处一万元以上三万元以下罚款；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(二)采取短途驳载、安装影响检测装置方式逃避检测的，责令改正，处一万元罚款；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(三)故意采取首尾紧随、</w:t>
            </w:r>
            <w:proofErr w:type="gramStart"/>
            <w:r>
              <w:rPr>
                <w:rFonts w:ascii="仿宋_GB2312" w:eastAsia="仿宋_GB2312" w:hAnsi="仿宋_GB2312" w:cs="仿宋_GB2312" w:hint="eastAsia"/>
                <w:sz w:val="21"/>
                <w:szCs w:val="21"/>
                <w:lang/>
              </w:rPr>
              <w:t>多车辆</w:t>
            </w:r>
            <w:proofErr w:type="gramEnd"/>
            <w:r>
              <w:rPr>
                <w:rFonts w:ascii="仿宋_GB2312" w:eastAsia="仿宋_GB2312" w:hAnsi="仿宋_GB2312" w:cs="仿宋_GB2312" w:hint="eastAsia"/>
                <w:sz w:val="21"/>
                <w:szCs w:val="21"/>
                <w:lang/>
              </w:rPr>
              <w:t>并排及其他方式逃避检测的，处一千元以上三千元以下罚款。”</w:t>
            </w:r>
          </w:p>
        </w:tc>
        <w:tc>
          <w:tcPr>
            <w:tcW w:w="600"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544"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429"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71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0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54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42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71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0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54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42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71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0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54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42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71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0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54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42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71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0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54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42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71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0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54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42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71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0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544"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429"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666"/>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816"/>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原因：根据《河南省治理货物运输车辆超限超载条例》(2018年6月1日河南省第十三届人民代表大会常务委员会 第三次会议通过  根据2023年5月31日河南省第十四届人民代 表大会常务委员会第三次会议《关于修改〈河南省治理货物运输车辆超限超载条例〉的决定》修正)，增加此事项</w:t>
            </w:r>
          </w:p>
        </w:tc>
      </w:tr>
    </w:tbl>
    <w:p w:rsidR="0059130C" w:rsidRDefault="0059130C">
      <w:pPr>
        <w:spacing w:line="240" w:lineRule="exact"/>
        <w:rPr>
          <w:rFonts w:ascii="仿宋_GB2312" w:eastAsia="仿宋_GB2312" w:hAnsi="仿宋_GB2312" w:cs="仿宋_GB2312"/>
          <w:szCs w:val="21"/>
        </w:rPr>
      </w:pPr>
    </w:p>
    <w:tbl>
      <w:tblPr>
        <w:tblW w:w="13632" w:type="dxa"/>
        <w:jc w:val="center"/>
        <w:tblLayout w:type="fixed"/>
        <w:tblCellMar>
          <w:left w:w="15" w:type="dxa"/>
          <w:right w:w="15" w:type="dxa"/>
        </w:tblCellMar>
        <w:tblLook w:val="04A0"/>
      </w:tblPr>
      <w:tblGrid>
        <w:gridCol w:w="717"/>
        <w:gridCol w:w="2040"/>
        <w:gridCol w:w="3712"/>
        <w:gridCol w:w="600"/>
        <w:gridCol w:w="638"/>
        <w:gridCol w:w="4335"/>
        <w:gridCol w:w="1590"/>
      </w:tblGrid>
      <w:tr w:rsidR="0059130C">
        <w:trPr>
          <w:trHeight w:val="640"/>
          <w:jc w:val="center"/>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371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0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638"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33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115</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车辆违法超限运输车货总高度从地面算起未超过4.2米、总宽度未超过3米且总长度未超过20米的；车货总高度从地面算起未超过4.5米、总宽度未超过3.75米且总长度未超过28米的；车货总高度从地面算起超过4.5米、总宽度超过3.75米或者总长度超过28米的；车货总质量超过本规定第三条第一款第四项至第八项规定的限定标准，但未超过1000千克的；车货总质量超过1000千克的处罚</w:t>
            </w:r>
          </w:p>
        </w:tc>
        <w:tc>
          <w:tcPr>
            <w:tcW w:w="3712"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《超限运输车辆行驶公路管理规定》（交通运输部令2021年第12号）第四十三条：“车辆违法超限运输的，由公路管理机构根据违法行为的性质、情节和危害程度，按下列规定给予处罚：</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一）车货总高度从地面算起未超过4.2米、总宽度未超过3米且总长度未超过20米的，可以处200元以下罚款；车货总高度从地面算起未超过4.5米、总宽度未超过3.75米且总长度未超过28米的，处200元以上1000元以下罚款；车货总高度从地面算起超过4.5米、总宽度超过3.75米或者总长度超过28米的，处1000元以上3000元以下的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（二）车货总质量超过本规定第三条第一款第四项至第八项规定的限定标准，但未超过1000千克的，予以警告；超过1000千克的，每超1000千克罚款500元，最高不得超过30000元。</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有前款所列多项违法行为的，相应违法行为的罚款数额应当累计，但累计罚款数额最高不得超过30000元。”</w:t>
            </w:r>
          </w:p>
        </w:tc>
        <w:tc>
          <w:tcPr>
            <w:tcW w:w="600"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638"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33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71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0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3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33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71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0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3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33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71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0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3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33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71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0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3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33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71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0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3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33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71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0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3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33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71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0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38"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335"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578"/>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711"/>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原因：根据《超限运输车辆行驶公路管理规定》（交通运输部令2021年第12号），增加此事项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3632" w:type="dxa"/>
        <w:jc w:val="center"/>
        <w:tblLayout w:type="fixed"/>
        <w:tblCellMar>
          <w:left w:w="15" w:type="dxa"/>
          <w:right w:w="15" w:type="dxa"/>
        </w:tblCellMar>
        <w:tblLook w:val="04A0"/>
      </w:tblPr>
      <w:tblGrid>
        <w:gridCol w:w="717"/>
        <w:gridCol w:w="2040"/>
        <w:gridCol w:w="3675"/>
        <w:gridCol w:w="656"/>
        <w:gridCol w:w="675"/>
        <w:gridCol w:w="4279"/>
        <w:gridCol w:w="1590"/>
      </w:tblGrid>
      <w:tr w:rsidR="0059130C">
        <w:trPr>
          <w:trHeight w:val="640"/>
          <w:jc w:val="center"/>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3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5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279"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116</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公路养护管理单位未履行维护和保养义务，未保持减少振动、降低噪声设施正常运行的处罚</w:t>
            </w:r>
          </w:p>
        </w:tc>
        <w:tc>
          <w:tcPr>
            <w:tcW w:w="367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《中华人民共和国噪声污染防治法》（2021年12月24日第十三届全国人民代表大会常务委员会第三十二次会议通过）第八十条第一款第一项：“第八十条　违反本法规定，有下列行为之一，由交通运输、铁路监督管理、民用航空等部门或者地方人民政府指定的城市道路、城市轨道交通有关部门，按照职责责令改正，处五千元以上五万元以下的罚款；拒不改正的，处五万元以上二十万元以下的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（一）公路养护管理单位、城市道路养护维修单位、城市轨道交通运营单位、铁路运输企业未履行维护和保养义务，未保持减少振动、降低噪声设施正常运行的；.......。”</w:t>
            </w:r>
          </w:p>
        </w:tc>
        <w:tc>
          <w:tcPr>
            <w:tcW w:w="656"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67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279"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67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56"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7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27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67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56"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7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27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67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56"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7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27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67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56"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7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27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67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56"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7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27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67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56"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7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27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67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5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75"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279"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666"/>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816"/>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原因：根据《中华人民共和国噪声污染防治法》（2021年12月24日第十三届全国人民代表大会常务委员会第三十二次会议通过），增加此事项</w:t>
            </w:r>
          </w:p>
        </w:tc>
      </w:tr>
    </w:tbl>
    <w:p w:rsidR="0059130C" w:rsidRDefault="0059130C">
      <w:pPr>
        <w:spacing w:line="240" w:lineRule="exact"/>
        <w:rPr>
          <w:rFonts w:ascii="仿宋_GB2312" w:eastAsia="仿宋_GB2312" w:hAnsi="仿宋_GB2312" w:cs="仿宋_GB2312"/>
          <w:szCs w:val="21"/>
        </w:rPr>
      </w:pPr>
    </w:p>
    <w:tbl>
      <w:tblPr>
        <w:tblW w:w="13632" w:type="dxa"/>
        <w:jc w:val="center"/>
        <w:tblLayout w:type="fixed"/>
        <w:tblCellMar>
          <w:left w:w="15" w:type="dxa"/>
          <w:right w:w="15" w:type="dxa"/>
        </w:tblCellMar>
        <w:tblLook w:val="04A0"/>
      </w:tblPr>
      <w:tblGrid>
        <w:gridCol w:w="717"/>
        <w:gridCol w:w="2040"/>
        <w:gridCol w:w="3468"/>
        <w:gridCol w:w="750"/>
        <w:gridCol w:w="638"/>
        <w:gridCol w:w="4429"/>
        <w:gridCol w:w="1590"/>
      </w:tblGrid>
      <w:tr w:rsidR="0059130C">
        <w:trPr>
          <w:trHeight w:val="640"/>
          <w:jc w:val="center"/>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3468"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75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638"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429"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责任股室</w:t>
            </w:r>
          </w:p>
        </w:tc>
      </w:tr>
      <w:tr w:rsidR="0059130C">
        <w:trPr>
          <w:trHeight w:val="23"/>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117</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移动平台、浮船坞、大型船舶、水上设施拖带航行，未经船舶检验机构进行拖航检验的处罚</w:t>
            </w:r>
          </w:p>
        </w:tc>
        <w:tc>
          <w:tcPr>
            <w:tcW w:w="3468"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船舶检验管理规定》（交通运输部令2016年第2号）第五十条：“违反本规定第十六条，移动平台、浮船坞、大型船舶、水上设施拖带航行，未经船舶检验机构进行拖航检验，由海事管理机构责令其停止拖航，并对船舶、设施所有人或者经营人处以2000元以上2万元以下罚款，对船长处以1000元以上1万元以下罚款，并扣留船员适任证书6至12个月，对水上设施主要负责人处以1000元以上1万元以下罚款。”</w:t>
            </w:r>
          </w:p>
        </w:tc>
        <w:tc>
          <w:tcPr>
            <w:tcW w:w="750"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638"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429"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46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5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3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42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46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5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3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42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46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5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3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42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46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5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3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42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46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5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3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42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46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5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3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42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46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5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38"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429"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666"/>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816"/>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原因：根据《船舶检验管理规定》（交通运输部令2016年第2号），增加此事项</w:t>
            </w:r>
          </w:p>
        </w:tc>
      </w:tr>
    </w:tbl>
    <w:p w:rsidR="0059130C" w:rsidRDefault="0059130C">
      <w:pPr>
        <w:spacing w:line="240" w:lineRule="exact"/>
        <w:rPr>
          <w:rFonts w:ascii="仿宋_GB2312" w:eastAsia="仿宋_GB2312" w:hAnsi="仿宋_GB2312" w:cs="仿宋_GB2312"/>
          <w:szCs w:val="21"/>
        </w:rPr>
      </w:pPr>
    </w:p>
    <w:tbl>
      <w:tblPr>
        <w:tblW w:w="13632" w:type="dxa"/>
        <w:jc w:val="center"/>
        <w:tblLayout w:type="fixed"/>
        <w:tblCellMar>
          <w:left w:w="15" w:type="dxa"/>
          <w:right w:w="15" w:type="dxa"/>
        </w:tblCellMar>
        <w:tblLook w:val="04A0"/>
      </w:tblPr>
      <w:tblGrid>
        <w:gridCol w:w="717"/>
        <w:gridCol w:w="2040"/>
        <w:gridCol w:w="3731"/>
        <w:gridCol w:w="619"/>
        <w:gridCol w:w="675"/>
        <w:gridCol w:w="4260"/>
        <w:gridCol w:w="1590"/>
      </w:tblGrid>
      <w:tr w:rsidR="0059130C">
        <w:trPr>
          <w:trHeight w:val="640"/>
          <w:jc w:val="center"/>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373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19"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26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118</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试航船舶未经试航检验并持有试航证书的处罚</w:t>
            </w:r>
          </w:p>
        </w:tc>
        <w:tc>
          <w:tcPr>
            <w:tcW w:w="3731"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船舶检验管理规定》（交通运输部令2016年第2号）第五十一条：“违反本规定第十七条规定，试航船舶未经试航检验并持有试航证书的，由海事管理机构责令停止试航，并对船舶所有人或者经营人处以2000元以上2万元以下罚款，对试航船长处以1000元以上1万元以下罚款并扣留船员适任证书6至12个月。”</w:t>
            </w:r>
          </w:p>
        </w:tc>
        <w:tc>
          <w:tcPr>
            <w:tcW w:w="619"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67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26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73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19"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7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26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73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19"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7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26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73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19"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7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26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73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19"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7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26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73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19"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7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26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73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19"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7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26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73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19"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75"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260"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811"/>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729"/>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原因：根据《船舶检验管理规定》（交通运输部令2016年第2号），增加此事项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432" w:type="dxa"/>
        <w:tblLayout w:type="fixed"/>
        <w:tblCellMar>
          <w:left w:w="15" w:type="dxa"/>
          <w:right w:w="15" w:type="dxa"/>
        </w:tblCellMar>
        <w:tblLook w:val="04A0"/>
      </w:tblPr>
      <w:tblGrid>
        <w:gridCol w:w="717"/>
        <w:gridCol w:w="2040"/>
        <w:gridCol w:w="4515"/>
        <w:gridCol w:w="675"/>
        <w:gridCol w:w="870"/>
        <w:gridCol w:w="4025"/>
        <w:gridCol w:w="1590"/>
      </w:tblGrid>
      <w:tr w:rsidR="0059130C">
        <w:trPr>
          <w:trHeight w:val="640"/>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br w:type="page"/>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51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7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02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119</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报废船舶的所有人或者经营人未向船舶检验机构报告的处罚</w:t>
            </w:r>
          </w:p>
        </w:tc>
        <w:tc>
          <w:tcPr>
            <w:tcW w:w="451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船舶检验管理规定》（交通运输部令2016年第2号）第五十三条：“违反本规定第三十九条，报废船舶的所有人或者经营人未向船舶检验机构报告，由海事管理机构对其所有人或者经营人处以5000元以上3万元以下罚款。”</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87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02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0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0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0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0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0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0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025"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811"/>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7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729"/>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7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原因：根据《船舶检验管理规定》（交通运输部令2016年第2号），增加此事项</w:t>
            </w:r>
          </w:p>
        </w:tc>
      </w:tr>
    </w:tbl>
    <w:p w:rsidR="0059130C" w:rsidRDefault="0059130C">
      <w:pPr>
        <w:spacing w:line="240" w:lineRule="exact"/>
        <w:rPr>
          <w:rFonts w:ascii="仿宋_GB2312" w:eastAsia="仿宋_GB2312" w:hAnsi="仿宋_GB2312" w:cs="仿宋_GB2312"/>
          <w:szCs w:val="21"/>
        </w:rPr>
      </w:pPr>
    </w:p>
    <w:tbl>
      <w:tblPr>
        <w:tblW w:w="14659" w:type="dxa"/>
        <w:tblLayout w:type="fixed"/>
        <w:tblCellMar>
          <w:left w:w="15" w:type="dxa"/>
          <w:right w:w="15" w:type="dxa"/>
        </w:tblCellMar>
        <w:tblLook w:val="04A0"/>
      </w:tblPr>
      <w:tblGrid>
        <w:gridCol w:w="717"/>
        <w:gridCol w:w="2040"/>
        <w:gridCol w:w="4515"/>
        <w:gridCol w:w="675"/>
        <w:gridCol w:w="870"/>
        <w:gridCol w:w="4252"/>
        <w:gridCol w:w="1590"/>
      </w:tblGrid>
      <w:tr w:rsidR="0059130C">
        <w:trPr>
          <w:trHeight w:val="640"/>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br w:type="page"/>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51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7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25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120</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船舶、水上设施和船上、设施上有关航行安全、防治污染等重要设备无相应的有效的检验证书的；船舶、水上设施未持有合格的检验证书擅自航行或者作业的处罚</w:t>
            </w:r>
          </w:p>
        </w:tc>
        <w:tc>
          <w:tcPr>
            <w:tcW w:w="451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船舶检验管理规定》（交通运输部令2016年第2号）第五十四条：“违反《中华人民共和国海上交通安全法》第四条的规定，船舶、水上设施和船上、设施上有关航行安全、防治污染等重要设备无相应的有效的检验证书的，依照《中华人民共和国海上交通安全法》第四十四条的规定，海事管理机构应当对船舶、水上设施所有人或者经营人处以2000元以上3万元以下的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　　违反《中华人民共和国内河交通安全管理条例》第六条第（一）项、第七条第（一）项的规定，船舶、水上设施未持有合格的检验证书擅自航行或者作业的，依照《中华人民共和国内河交通安全管理条例》第六十四条的规定，责令停止航行或者作业；拒不停止航行或者作业的，暂扣船舶、浮动设施；情节严重的，予以没收。</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　　本条第一款、第二款所称无相应的有效的检验证书及未持有合格的检验证书，包括下列情形：</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　　（一）没有取得相应的检验证书；</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　　（二）持有的检验证书属于伪造、变造、转让、买卖或者租借的；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　　（三）持有的检验证书失效；</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　　（四）检验证书损毁、遗失但不按照规定补办。”</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87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252"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252"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811"/>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942"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729"/>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942"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原因：根据《船舶检验管理规定》（交通运输部令2016年第2号），增加此事项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602" w:type="dxa"/>
        <w:tblLayout w:type="fixed"/>
        <w:tblCellMar>
          <w:left w:w="15" w:type="dxa"/>
          <w:right w:w="15" w:type="dxa"/>
        </w:tblCellMar>
        <w:tblLook w:val="04A0"/>
      </w:tblPr>
      <w:tblGrid>
        <w:gridCol w:w="717"/>
        <w:gridCol w:w="2040"/>
        <w:gridCol w:w="4515"/>
        <w:gridCol w:w="675"/>
        <w:gridCol w:w="870"/>
        <w:gridCol w:w="4195"/>
        <w:gridCol w:w="1590"/>
      </w:tblGrid>
      <w:tr w:rsidR="0059130C">
        <w:trPr>
          <w:trHeight w:val="640"/>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51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7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19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121</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船舶检验机构超越认可的业务范围开展检验业务；违反规定开展检验；使用不符合规定的船舶检验人员独立从事检验活动；违反检验规程受理检验；船舶、水上设施的建造或者重大改建开工前，未对开工条件进行检查或者在检查不合格的情况下开展检验；对未按照规定取得新增运力审批的建造船舶开展检验；未对向其提供服务的检修检测机构的安全质量、技术条件进行有效管控；在按规定取得船舶识别号前，未签发法定检验证书；出现重大检验质量问题的处罚</w:t>
            </w:r>
          </w:p>
        </w:tc>
        <w:tc>
          <w:tcPr>
            <w:tcW w:w="451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船舶检验管理规定》（交通运输部令2016年第2号）第五十五条：“船舶检验机构有下列情形之一的，所签发的相应检验证书无效，由交通运输部海事局给予警告，责令限期整改，整改期间不得开展相关检验业务，并向社会公告：</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　　（一）超越认可的业务范围开展检验业务；</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　　（二）违反规定开展检验；</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　　（三）使用不符合规定的船舶检验人员独立从事检验活动；</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　　（四）违反检验规程受理检验；</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　　（五）船舶、水上设施的建造或者重大改建开工前，未对开工条件进行检查或者在检查不合格的情况下开展检验；</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　　（六）对未按照规定取得新增运力审批的建造船舶开展检验；</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　　（七）未对向其提供服务的检修检测机构的安全质量、技术条件进行有效管控；</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　　（八）在按规定取得船舶识别号前，签发法定检验证书；</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　　（九）出现重大检验质量问题。”</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87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19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195"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811"/>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88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729"/>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88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原因：根据《船舶检验管理规定》（交通运输部令2016年第2号），增加此事项</w:t>
            </w:r>
          </w:p>
        </w:tc>
      </w:tr>
    </w:tbl>
    <w:p w:rsidR="0059130C" w:rsidRDefault="0059130C">
      <w:pPr>
        <w:spacing w:line="240" w:lineRule="exact"/>
        <w:rPr>
          <w:rFonts w:ascii="仿宋_GB2312" w:eastAsia="仿宋_GB2312" w:hAnsi="仿宋_GB2312" w:cs="仿宋_GB2312"/>
          <w:szCs w:val="21"/>
        </w:rPr>
      </w:pPr>
    </w:p>
    <w:tbl>
      <w:tblPr>
        <w:tblW w:w="14602" w:type="dxa"/>
        <w:tblLayout w:type="fixed"/>
        <w:tblCellMar>
          <w:left w:w="15" w:type="dxa"/>
          <w:right w:w="15" w:type="dxa"/>
        </w:tblCellMar>
        <w:tblLook w:val="04A0"/>
      </w:tblPr>
      <w:tblGrid>
        <w:gridCol w:w="717"/>
        <w:gridCol w:w="2040"/>
        <w:gridCol w:w="4515"/>
        <w:gridCol w:w="675"/>
        <w:gridCol w:w="870"/>
        <w:gridCol w:w="4195"/>
        <w:gridCol w:w="1535"/>
        <w:gridCol w:w="55"/>
      </w:tblGrid>
      <w:tr w:rsidR="0059130C">
        <w:trPr>
          <w:trHeight w:val="640"/>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51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7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19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gridSpan w:val="2"/>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122</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国内船舶检验机构未对检验人员进行培训；外国验船公司未对外国籍检验人员按照公约要求进行培训；未按规定向交通运输部海事局报告有关事项；未建立档案管理制度的处罚</w:t>
            </w:r>
          </w:p>
        </w:tc>
        <w:tc>
          <w:tcPr>
            <w:tcW w:w="451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《船舶检验管理规定》（交通运输部令2016年第2号）第五十六条：“船舶检验机构有下列情形之一的，交通运输部海事局责令改正，并给予警告：</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　　（一）国内船舶检验机构未对检验人员进行培训；</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　　（二）外国验船公司未对外国籍检验人员按照公约要求进行培训；</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　　（三）未按规定向交通运输部海事局报告有关事项；</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　　（四）未建立档案管理制度。”</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87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19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gridSpan w:val="2"/>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gridSpan w:val="2"/>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gridSpan w:val="2"/>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gridSpan w:val="2"/>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gridSpan w:val="2"/>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gridSpan w:val="2"/>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gridSpan w:val="2"/>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195"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gridSpan w:val="2"/>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gridAfter w:val="1"/>
          <w:wAfter w:w="55" w:type="dxa"/>
          <w:trHeight w:val="811"/>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830"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gridAfter w:val="1"/>
          <w:wAfter w:w="55" w:type="dxa"/>
          <w:trHeight w:val="729"/>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830"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原因：根据《船舶检验管理规定》（交通运输部令2016年第2号），增加此事项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602" w:type="dxa"/>
        <w:tblLayout w:type="fixed"/>
        <w:tblCellMar>
          <w:left w:w="15" w:type="dxa"/>
          <w:right w:w="15" w:type="dxa"/>
        </w:tblCellMar>
        <w:tblLook w:val="04A0"/>
      </w:tblPr>
      <w:tblGrid>
        <w:gridCol w:w="717"/>
        <w:gridCol w:w="2040"/>
        <w:gridCol w:w="4515"/>
        <w:gridCol w:w="675"/>
        <w:gridCol w:w="870"/>
        <w:gridCol w:w="4567"/>
        <w:gridCol w:w="1218"/>
      </w:tblGrid>
      <w:tr w:rsidR="0059130C">
        <w:trPr>
          <w:trHeight w:val="640"/>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51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7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567"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218"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576"/>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123</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jc w:val="both"/>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船舶检验人员未进行检验而签发相关检验证书；超出所持证书范围开展检验业务；未按照法定检验技术规范执行检验；未按规定的检验程序和项目进行检验；所签发的船舶检验证书或者检验报告与船舶、水上设施的实际情况不符；发生重大检验质量责任问题；不配合事故调查或者在调查过程中提供虚假证明的处罚</w:t>
            </w:r>
          </w:p>
        </w:tc>
        <w:tc>
          <w:tcPr>
            <w:tcW w:w="451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jc w:val="both"/>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船舶检验管理规定》（交通运输部令2016年第2号）第五十七条：“船舶检验人员有下列情形之一的，依照《中华人民共和国船舶和海上设施检验条例》第二十八条的规定，海事管理机构可视情节给予警告、撤销其检验资格：</w:t>
            </w:r>
          </w:p>
          <w:p w:rsidR="0059130C" w:rsidRDefault="002E22CA">
            <w:pPr>
              <w:pStyle w:val="a6"/>
              <w:spacing w:beforeAutospacing="0" w:afterAutospacing="0" w:line="240" w:lineRule="exact"/>
              <w:jc w:val="both"/>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　　（一）未进行检验而签发相关检验证书；</w:t>
            </w:r>
          </w:p>
          <w:p w:rsidR="0059130C" w:rsidRDefault="002E22CA">
            <w:pPr>
              <w:pStyle w:val="a6"/>
              <w:spacing w:beforeAutospacing="0" w:afterAutospacing="0" w:line="240" w:lineRule="exact"/>
              <w:jc w:val="both"/>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　　（二）超出所持证书范围开展检验业务；</w:t>
            </w:r>
          </w:p>
          <w:p w:rsidR="0059130C" w:rsidRDefault="002E22CA">
            <w:pPr>
              <w:pStyle w:val="a6"/>
              <w:spacing w:beforeAutospacing="0" w:afterAutospacing="0" w:line="240" w:lineRule="exact"/>
              <w:jc w:val="both"/>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　　（三）未按照法定检验技术规范执行检验；</w:t>
            </w:r>
          </w:p>
          <w:p w:rsidR="0059130C" w:rsidRDefault="002E22CA">
            <w:pPr>
              <w:pStyle w:val="a6"/>
              <w:spacing w:beforeAutospacing="0" w:afterAutospacing="0" w:line="240" w:lineRule="exact"/>
              <w:jc w:val="both"/>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　　（四）未按规定的检验程序和项目进行检验；</w:t>
            </w:r>
          </w:p>
          <w:p w:rsidR="0059130C" w:rsidRDefault="002E22CA">
            <w:pPr>
              <w:pStyle w:val="a6"/>
              <w:spacing w:beforeAutospacing="0" w:afterAutospacing="0" w:line="240" w:lineRule="exact"/>
              <w:jc w:val="both"/>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　　（五）所签发的船舶检验证书或者检验报告与船舶、水上设施的实际情况不符；</w:t>
            </w:r>
          </w:p>
          <w:p w:rsidR="0059130C" w:rsidRDefault="002E22CA">
            <w:pPr>
              <w:pStyle w:val="a6"/>
              <w:spacing w:beforeAutospacing="0" w:afterAutospacing="0" w:line="240" w:lineRule="exact"/>
              <w:jc w:val="both"/>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　　（六）发生重大检验质量责任问题；</w:t>
            </w:r>
          </w:p>
          <w:p w:rsidR="0059130C" w:rsidRDefault="002E22CA">
            <w:pPr>
              <w:pStyle w:val="a6"/>
              <w:spacing w:beforeAutospacing="0" w:afterAutospacing="0" w:line="240" w:lineRule="exact"/>
              <w:jc w:val="both"/>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　　（七）不配合事故调查或者在调查过程中提供虚假证明。”</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87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567"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218"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871"/>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56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218"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702"/>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56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218"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69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56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218"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69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56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218"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402"/>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56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218"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56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218"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526"/>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567"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218"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811"/>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88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729"/>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88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原因：根据《船舶检验管理规定》（交通运输部令2016年第2号），增加此事项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602" w:type="dxa"/>
        <w:tblLayout w:type="fixed"/>
        <w:tblCellMar>
          <w:left w:w="15" w:type="dxa"/>
          <w:right w:w="15" w:type="dxa"/>
        </w:tblCellMar>
        <w:tblLook w:val="04A0"/>
      </w:tblPr>
      <w:tblGrid>
        <w:gridCol w:w="717"/>
        <w:gridCol w:w="2040"/>
        <w:gridCol w:w="4515"/>
        <w:gridCol w:w="675"/>
        <w:gridCol w:w="870"/>
        <w:gridCol w:w="4195"/>
        <w:gridCol w:w="1590"/>
      </w:tblGrid>
      <w:tr w:rsidR="0059130C">
        <w:trPr>
          <w:trHeight w:val="640"/>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51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7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19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124</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船舶在内河航行未按规定申请引航的处罚</w:t>
            </w:r>
          </w:p>
        </w:tc>
        <w:tc>
          <w:tcPr>
            <w:tcW w:w="451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船舶引航管理规定》（交通运输部令2021年第25号）第四十一条：“违反本规定第十条规定，船舶在内河航行未按规定申请引航的，由海事管理机构责令改正，处5000元以上5万元以下的罚款；情节严重的，禁止船舶进出港口或者责令停航，并可以对责任船员给予暂扣适任证书或者其他适任证件3个月至6个月的处罚。”</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87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19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195"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811"/>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88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729"/>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88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原因：根据《船舶引航管理规定》（交通运输部令2021年第25号），增加此事项</w:t>
            </w:r>
          </w:p>
        </w:tc>
      </w:tr>
    </w:tbl>
    <w:p w:rsidR="0059130C" w:rsidRDefault="0059130C">
      <w:pPr>
        <w:spacing w:line="240" w:lineRule="exact"/>
        <w:rPr>
          <w:rFonts w:ascii="仿宋_GB2312" w:eastAsia="仿宋_GB2312" w:hAnsi="仿宋_GB2312" w:cs="仿宋_GB2312"/>
          <w:szCs w:val="21"/>
        </w:rPr>
      </w:pPr>
    </w:p>
    <w:tbl>
      <w:tblPr>
        <w:tblW w:w="14546" w:type="dxa"/>
        <w:tblLayout w:type="fixed"/>
        <w:tblCellMar>
          <w:left w:w="15" w:type="dxa"/>
          <w:right w:w="15" w:type="dxa"/>
        </w:tblCellMar>
        <w:tblLook w:val="04A0"/>
      </w:tblPr>
      <w:tblGrid>
        <w:gridCol w:w="717"/>
        <w:gridCol w:w="2040"/>
        <w:gridCol w:w="4515"/>
        <w:gridCol w:w="675"/>
        <w:gridCol w:w="870"/>
        <w:gridCol w:w="4139"/>
        <w:gridCol w:w="1590"/>
      </w:tblGrid>
      <w:tr w:rsidR="0059130C">
        <w:trPr>
          <w:trHeight w:val="640"/>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51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7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139"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125</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危险货物水路运输企业的船员未取得特殊培训合格证的处罚</w:t>
            </w:r>
          </w:p>
        </w:tc>
        <w:tc>
          <w:tcPr>
            <w:tcW w:w="451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船舶载运危险货物安全监督管理规定》（交通运输部令2018年第11号）第四十二条：“违反本规定，危险货物水路运输企业的船员未取得特殊培训合格证的，由海事管理机构责令改正，属于危险化学品的处5万元以上10万元以下的罚款，属于危险化学品以外的危险货物的处2000元以上2万元以下的罚款；拒不改正的，责令整顿。”</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87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139"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13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13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13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13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13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13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139"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811"/>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8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729"/>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8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原因：根据《船舶载运危险货物安全监督管理规定》（交通运输部令2018年第11号），增加此事项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546" w:type="dxa"/>
        <w:tblLayout w:type="fixed"/>
        <w:tblCellMar>
          <w:left w:w="15" w:type="dxa"/>
          <w:right w:w="15" w:type="dxa"/>
        </w:tblCellMar>
        <w:tblLook w:val="04A0"/>
      </w:tblPr>
      <w:tblGrid>
        <w:gridCol w:w="717"/>
        <w:gridCol w:w="2040"/>
        <w:gridCol w:w="4515"/>
        <w:gridCol w:w="675"/>
        <w:gridCol w:w="870"/>
        <w:gridCol w:w="4139"/>
        <w:gridCol w:w="1590"/>
      </w:tblGrid>
      <w:tr w:rsidR="0059130C">
        <w:trPr>
          <w:trHeight w:val="640"/>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51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7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139"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126</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载运危险货物的船舶及船用集装箱、船用刚性中型散装容器和船用可移动罐柜等配载的容器未经检验合格而投入使用的处罚</w:t>
            </w:r>
          </w:p>
        </w:tc>
        <w:tc>
          <w:tcPr>
            <w:tcW w:w="451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船舶载运危险货物安全监督管理规定》（交通运输部令2018年第11号）第四十三条：“违反本规定，载运危险货物的船舶及船用集装箱、船用刚性中型散装容器和船用可移动罐柜等配载的容器未经检验合格而投入使用的，由海事管理机构责令改正，属于危险化学品的处10万元以上20万元以下的罚款，有违法所得的，没收违法所得，属于危险化学品以外的危险货物的处1000元以上3万元以下的罚款；拒不改正的，责令整顿。”</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87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139"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13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13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13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13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13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13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139"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811"/>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8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729"/>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8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原因：根据《船舶载运危险货物安全监督管理规定》（交通运输部令2018年第11号），增加此事项</w:t>
            </w:r>
          </w:p>
        </w:tc>
      </w:tr>
    </w:tbl>
    <w:p w:rsidR="0059130C" w:rsidRDefault="0059130C">
      <w:pPr>
        <w:spacing w:line="240" w:lineRule="exact"/>
        <w:rPr>
          <w:rFonts w:ascii="仿宋_GB2312" w:eastAsia="仿宋_GB2312" w:hAnsi="仿宋_GB2312" w:cs="仿宋_GB2312"/>
          <w:szCs w:val="21"/>
        </w:rPr>
      </w:pPr>
    </w:p>
    <w:tbl>
      <w:tblPr>
        <w:tblW w:w="14659" w:type="dxa"/>
        <w:tblLayout w:type="fixed"/>
        <w:tblCellMar>
          <w:left w:w="15" w:type="dxa"/>
          <w:right w:w="15" w:type="dxa"/>
        </w:tblCellMar>
        <w:tblLook w:val="04A0"/>
      </w:tblPr>
      <w:tblGrid>
        <w:gridCol w:w="717"/>
        <w:gridCol w:w="2040"/>
        <w:gridCol w:w="4515"/>
        <w:gridCol w:w="675"/>
        <w:gridCol w:w="870"/>
        <w:gridCol w:w="4252"/>
        <w:gridCol w:w="1590"/>
      </w:tblGrid>
      <w:tr w:rsidR="0059130C">
        <w:trPr>
          <w:trHeight w:val="640"/>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51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7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25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127</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船舶载运的危险货物，未按照规定进行</w:t>
            </w:r>
            <w:proofErr w:type="gramStart"/>
            <w:r>
              <w:rPr>
                <w:rFonts w:ascii="仿宋_GB2312" w:eastAsia="仿宋_GB2312" w:hAnsi="仿宋_GB2312" w:cs="仿宋_GB2312" w:hint="eastAsia"/>
                <w:sz w:val="21"/>
                <w:szCs w:val="21"/>
                <w:lang/>
              </w:rPr>
              <w:t>积载和隔离</w:t>
            </w:r>
            <w:proofErr w:type="gramEnd"/>
            <w:r>
              <w:rPr>
                <w:rFonts w:ascii="仿宋_GB2312" w:eastAsia="仿宋_GB2312" w:hAnsi="仿宋_GB2312" w:cs="仿宋_GB2312" w:hint="eastAsia"/>
                <w:sz w:val="21"/>
                <w:szCs w:val="21"/>
                <w:lang/>
              </w:rPr>
              <w:t>的；托运人不向承运人说明所托运的危险货物种类、数量、危险特性以及发生危险情况的应急处置措施的；未按照国家有关规定对所托运的危险货物妥善包装并在外包装上设置相应标志的处罚</w:t>
            </w:r>
          </w:p>
        </w:tc>
        <w:tc>
          <w:tcPr>
            <w:tcW w:w="451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船舶载运危险货物安全监督管理规定》（交通运输部令2018年第11号）第四十四条：“违反本规定，有下列情形之一的，由海事管理机构责令改正，属于危险化学品的处5万元以上10万元以下的罚款，属于危险化学品以外的危险货物的处500元以上3万元以下的罚款；拒不改正的，责令整顿：（一）船舶载运的危险货物，未按照规定进行积载和隔离的；（二）托运人不向承运人说明所托运的危险货物种类、数量、危险特性以及发生危险情况的应急处置措施的；（三）未按照国家有关规定对所托运的危险货物妥善包装并在外包装上设置相应标志的。”</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87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252"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252"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811"/>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942"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729"/>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942"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原因：根据《船舶载运危险货物安全监督管理规定》（交通运输部令2018年第11号），增加此事项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659" w:type="dxa"/>
        <w:tblLayout w:type="fixed"/>
        <w:tblCellMar>
          <w:left w:w="15" w:type="dxa"/>
          <w:right w:w="15" w:type="dxa"/>
        </w:tblCellMar>
        <w:tblLook w:val="04A0"/>
      </w:tblPr>
      <w:tblGrid>
        <w:gridCol w:w="717"/>
        <w:gridCol w:w="2040"/>
        <w:gridCol w:w="4515"/>
        <w:gridCol w:w="675"/>
        <w:gridCol w:w="870"/>
        <w:gridCol w:w="4252"/>
        <w:gridCol w:w="1590"/>
      </w:tblGrid>
      <w:tr w:rsidR="0059130C">
        <w:trPr>
          <w:trHeight w:val="640"/>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51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7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25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128</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载运危险货物的船舶进出港口，未依法向海事管理机构办理申报手续的，在内河通航水域运输危险货物的处罚</w:t>
            </w:r>
          </w:p>
        </w:tc>
        <w:tc>
          <w:tcPr>
            <w:tcW w:w="451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船舶载运危险货物安全监督管理规定》（交通运输部令2018年第11号）第四十五条：“违反本规定，载运危险货物的船舶进出港口，未依法向海事管理机构办理申报手续的，在内河通航水域运输危险货物的，对负有责任的主管人员或者其他直接责任人员处2万元以上10万元以下的罚款；在我国管辖海域运输危险货物的，对船舶所有人或者经营人处1万元以上3万元以下的罚款。”</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87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252"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252"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811"/>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942"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729"/>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942"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原因：根据《船舶载运危险货物安全监督管理规定》（交通运输部令2018年第11号），增加此事项</w:t>
            </w:r>
          </w:p>
        </w:tc>
      </w:tr>
    </w:tbl>
    <w:p w:rsidR="0059130C" w:rsidRDefault="0059130C">
      <w:pPr>
        <w:pStyle w:val="a6"/>
        <w:spacing w:beforeAutospacing="0" w:afterAutospacing="0" w:line="240" w:lineRule="exact"/>
        <w:rPr>
          <w:rFonts w:ascii="仿宋_GB2312" w:eastAsia="仿宋_GB2312" w:hAnsi="仿宋_GB2312" w:cs="仿宋_GB2312"/>
          <w:sz w:val="21"/>
          <w:szCs w:val="21"/>
        </w:rPr>
      </w:pPr>
    </w:p>
    <w:tbl>
      <w:tblPr>
        <w:tblW w:w="14659" w:type="dxa"/>
        <w:tblLayout w:type="fixed"/>
        <w:tblCellMar>
          <w:left w:w="15" w:type="dxa"/>
          <w:right w:w="15" w:type="dxa"/>
        </w:tblCellMar>
        <w:tblLook w:val="04A0"/>
      </w:tblPr>
      <w:tblGrid>
        <w:gridCol w:w="717"/>
        <w:gridCol w:w="2040"/>
        <w:gridCol w:w="4515"/>
        <w:gridCol w:w="675"/>
        <w:gridCol w:w="870"/>
        <w:gridCol w:w="4252"/>
        <w:gridCol w:w="1590"/>
      </w:tblGrid>
      <w:tr w:rsidR="0059130C">
        <w:trPr>
          <w:trHeight w:val="670"/>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51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7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25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129</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在托运的普通货物中夹带危险货物，或者将危险货物谎报或者匿报为普通货物托运的处罚</w:t>
            </w:r>
          </w:p>
        </w:tc>
        <w:tc>
          <w:tcPr>
            <w:tcW w:w="451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船舶载运危险货物安全监督管理规定》（交通运输部令2018年第11号）第四十六条：“违反本规定，在托运的普通货物中夹带危险货物，或者将危险货物谎报或者匿报为普通货物托运的，由海事管理机构责令改正，属于危险化学品的处10万元以上20万元以下的罚款，有违法所得的，没收违法所得，属于危险化学品以外的危险货物的处1000元以上3万元以下的罚款；拒不改正的，责令整顿。”</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w:t>
            </w:r>
          </w:p>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处罚</w:t>
            </w:r>
          </w:p>
        </w:tc>
        <w:tc>
          <w:tcPr>
            <w:tcW w:w="87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252"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252"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737"/>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942"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737"/>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942"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原因：根据《船舶载运危险货物安全监督管理规定》（交通运输部令2018年第11号），增加此事项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p w:rsidR="0059130C" w:rsidRDefault="0059130C">
      <w:pPr>
        <w:pStyle w:val="a6"/>
        <w:spacing w:beforeAutospacing="0" w:afterAutospacing="0" w:line="240" w:lineRule="exact"/>
        <w:rPr>
          <w:rFonts w:ascii="仿宋_GB2312" w:eastAsia="仿宋_GB2312" w:hAnsi="仿宋_GB2312" w:cs="仿宋_GB2312"/>
          <w:sz w:val="21"/>
          <w:szCs w:val="21"/>
        </w:rPr>
      </w:pPr>
    </w:p>
    <w:tbl>
      <w:tblPr>
        <w:tblW w:w="14886" w:type="dxa"/>
        <w:tblLayout w:type="fixed"/>
        <w:tblCellMar>
          <w:left w:w="15" w:type="dxa"/>
          <w:right w:w="15" w:type="dxa"/>
        </w:tblCellMar>
        <w:tblLook w:val="04A0"/>
      </w:tblPr>
      <w:tblGrid>
        <w:gridCol w:w="717"/>
        <w:gridCol w:w="2040"/>
        <w:gridCol w:w="4515"/>
        <w:gridCol w:w="675"/>
        <w:gridCol w:w="870"/>
        <w:gridCol w:w="4479"/>
        <w:gridCol w:w="1590"/>
      </w:tblGrid>
      <w:tr w:rsidR="0059130C">
        <w:trPr>
          <w:trHeight w:val="640"/>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51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7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479"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130</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对不符合《海运危险货物集装箱装箱安全技术要求》的危险货物集装箱签署《集装箱装箱证明书》的处罚</w:t>
            </w:r>
          </w:p>
        </w:tc>
        <w:tc>
          <w:tcPr>
            <w:tcW w:w="451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船舶载运危险货物安全监督管理规定》（交通运输部令2018年第11号）第四十七条：“违反本规定，对不符合《海运危险货物集装箱装箱安全技术要求》的危险货物集装箱签署《集装箱装箱证明书》的，由海事管理机构责令改正，对聘用该集装箱装箱现场检查员的单位处1000元以上3万元以下的罚款。”</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w:t>
            </w:r>
          </w:p>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处罚</w:t>
            </w:r>
          </w:p>
        </w:tc>
        <w:tc>
          <w:tcPr>
            <w:tcW w:w="87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479"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47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47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47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47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47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47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479"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556"/>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416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729"/>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416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原因：根据《船舶载运危险货物安全监督管理规定》（交通运输部令2018年第11号），增加此事项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602" w:type="dxa"/>
        <w:tblLayout w:type="fixed"/>
        <w:tblCellMar>
          <w:left w:w="15" w:type="dxa"/>
          <w:right w:w="15" w:type="dxa"/>
        </w:tblCellMar>
        <w:tblLook w:val="04A0"/>
      </w:tblPr>
      <w:tblGrid>
        <w:gridCol w:w="717"/>
        <w:gridCol w:w="2040"/>
        <w:gridCol w:w="4515"/>
        <w:gridCol w:w="675"/>
        <w:gridCol w:w="870"/>
        <w:gridCol w:w="4195"/>
        <w:gridCol w:w="1590"/>
      </w:tblGrid>
      <w:tr w:rsidR="0059130C">
        <w:trPr>
          <w:trHeight w:val="640"/>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51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7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19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131</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渡船船员、渡工酒后驾船的处罚</w:t>
            </w:r>
          </w:p>
        </w:tc>
        <w:tc>
          <w:tcPr>
            <w:tcW w:w="451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内河渡口渡船安全管理规定》（交通运输部令2014年第9号）第四十二条：“违反第二十五条规定，渡船船员、渡工酒后驾船的，由海事管理机构对船员予以警告，情节严重的处500元以下罚款，并对渡船所有人或者经营人处2000元以下罚款。”</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w:t>
            </w:r>
          </w:p>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处罚</w:t>
            </w:r>
          </w:p>
        </w:tc>
        <w:tc>
          <w:tcPr>
            <w:tcW w:w="87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19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195"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556"/>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88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816"/>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88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原因：根据《内河渡口渡船安全管理规定》（交通运输部令2014年第9号），增加此事项</w:t>
            </w:r>
          </w:p>
        </w:tc>
      </w:tr>
    </w:tbl>
    <w:tbl>
      <w:tblPr>
        <w:tblStyle w:val="a7"/>
        <w:tblpPr w:leftFromText="180" w:rightFromText="180" w:vertAnchor="text" w:tblpX="8822" w:tblpY="12326"/>
        <w:tblOverlap w:val="never"/>
        <w:tblW w:w="324" w:type="dxa"/>
        <w:tblLayout w:type="fixed"/>
        <w:tblLook w:val="04A0"/>
      </w:tblPr>
      <w:tblGrid>
        <w:gridCol w:w="324"/>
      </w:tblGrid>
      <w:tr w:rsidR="0059130C">
        <w:trPr>
          <w:trHeight w:val="52"/>
        </w:trPr>
        <w:tc>
          <w:tcPr>
            <w:tcW w:w="324" w:type="dxa"/>
          </w:tcPr>
          <w:p w:rsidR="0059130C" w:rsidRDefault="0059130C">
            <w:pPr>
              <w:spacing w:line="240" w:lineRule="exact"/>
              <w:rPr>
                <w:rFonts w:ascii="仿宋_GB2312" w:eastAsia="仿宋_GB2312" w:hAnsi="仿宋_GB2312" w:cs="仿宋_GB2312"/>
                <w:szCs w:val="21"/>
              </w:rPr>
            </w:pPr>
          </w:p>
        </w:tc>
      </w:tr>
    </w:tbl>
    <w:p w:rsidR="0059130C" w:rsidRDefault="0059130C">
      <w:pPr>
        <w:spacing w:line="240" w:lineRule="exact"/>
        <w:rPr>
          <w:rFonts w:ascii="仿宋_GB2312" w:eastAsia="仿宋_GB2312" w:hAnsi="仿宋_GB2312" w:cs="仿宋_GB2312"/>
          <w:szCs w:val="21"/>
        </w:rPr>
      </w:pPr>
    </w:p>
    <w:tbl>
      <w:tblPr>
        <w:tblW w:w="14659" w:type="dxa"/>
        <w:tblLayout w:type="fixed"/>
        <w:tblCellMar>
          <w:left w:w="15" w:type="dxa"/>
          <w:right w:w="15" w:type="dxa"/>
        </w:tblCellMar>
        <w:tblLook w:val="04A0"/>
      </w:tblPr>
      <w:tblGrid>
        <w:gridCol w:w="717"/>
        <w:gridCol w:w="2040"/>
        <w:gridCol w:w="4515"/>
        <w:gridCol w:w="675"/>
        <w:gridCol w:w="870"/>
        <w:gridCol w:w="4252"/>
        <w:gridCol w:w="1590"/>
      </w:tblGrid>
      <w:tr w:rsidR="0059130C">
        <w:trPr>
          <w:trHeight w:val="640"/>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51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7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25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132</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渡船未持有相应的</w:t>
            </w:r>
            <w:proofErr w:type="gramStart"/>
            <w:r>
              <w:rPr>
                <w:rFonts w:ascii="仿宋_GB2312" w:eastAsia="仿宋_GB2312" w:hAnsi="仿宋_GB2312" w:cs="仿宋_GB2312" w:hint="eastAsia"/>
                <w:sz w:val="21"/>
                <w:szCs w:val="21"/>
                <w:lang/>
              </w:rPr>
              <w:t>危险货物适装证书</w:t>
            </w:r>
            <w:proofErr w:type="gramEnd"/>
            <w:r>
              <w:rPr>
                <w:rFonts w:ascii="仿宋_GB2312" w:eastAsia="仿宋_GB2312" w:hAnsi="仿宋_GB2312" w:cs="仿宋_GB2312" w:hint="eastAsia"/>
                <w:sz w:val="21"/>
                <w:szCs w:val="21"/>
                <w:lang/>
              </w:rPr>
              <w:t>载运危险货物的；渡船未持有相应的</w:t>
            </w:r>
            <w:proofErr w:type="gramStart"/>
            <w:r>
              <w:rPr>
                <w:rFonts w:ascii="仿宋_GB2312" w:eastAsia="仿宋_GB2312" w:hAnsi="仿宋_GB2312" w:cs="仿宋_GB2312" w:hint="eastAsia"/>
                <w:sz w:val="21"/>
                <w:szCs w:val="21"/>
                <w:lang/>
              </w:rPr>
              <w:t>危险货物适装证书</w:t>
            </w:r>
            <w:proofErr w:type="gramEnd"/>
            <w:r>
              <w:rPr>
                <w:rFonts w:ascii="仿宋_GB2312" w:eastAsia="仿宋_GB2312" w:hAnsi="仿宋_GB2312" w:cs="仿宋_GB2312" w:hint="eastAsia"/>
                <w:sz w:val="21"/>
                <w:szCs w:val="21"/>
                <w:lang/>
              </w:rPr>
              <w:t>载运装载危险货物车辆的；渡船载运应当持有而未持有《道路运输证》的车辆的；渡船同时载运旅客和危险货物过渡的处罚</w:t>
            </w:r>
          </w:p>
          <w:p w:rsidR="0059130C" w:rsidRDefault="0059130C">
            <w:pPr>
              <w:pStyle w:val="a6"/>
              <w:spacing w:beforeAutospacing="0" w:afterAutospacing="0" w:line="240" w:lineRule="exact"/>
              <w:rPr>
                <w:rFonts w:ascii="仿宋_GB2312" w:eastAsia="仿宋_GB2312" w:hAnsi="仿宋_GB2312" w:cs="仿宋_GB2312"/>
                <w:sz w:val="21"/>
                <w:szCs w:val="21"/>
                <w:lang/>
              </w:rPr>
            </w:pPr>
          </w:p>
        </w:tc>
        <w:tc>
          <w:tcPr>
            <w:tcW w:w="451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《内河渡口渡船安全管理规定》（交通运输部令2014年第9号）第四十三条：“违反第二十一条、第三十一条规定，有以下违法行为的，由海事管理机构责令改正，并对渡船所有人或者经营人处2000元以下的罚款：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（一）渡船未持有相应的</w:t>
            </w:r>
            <w:proofErr w:type="gramStart"/>
            <w:r>
              <w:rPr>
                <w:rFonts w:ascii="仿宋_GB2312" w:eastAsia="仿宋_GB2312" w:hAnsi="仿宋_GB2312" w:cs="仿宋_GB2312" w:hint="eastAsia"/>
                <w:sz w:val="21"/>
                <w:szCs w:val="21"/>
                <w:lang/>
              </w:rPr>
              <w:t>危险货物适装证书</w:t>
            </w:r>
            <w:proofErr w:type="gramEnd"/>
            <w:r>
              <w:rPr>
                <w:rFonts w:ascii="仿宋_GB2312" w:eastAsia="仿宋_GB2312" w:hAnsi="仿宋_GB2312" w:cs="仿宋_GB2312" w:hint="eastAsia"/>
                <w:sz w:val="21"/>
                <w:szCs w:val="21"/>
                <w:lang/>
              </w:rPr>
              <w:t>载运危险货物的；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（二）渡船未持有相应的</w:t>
            </w:r>
            <w:proofErr w:type="gramStart"/>
            <w:r>
              <w:rPr>
                <w:rFonts w:ascii="仿宋_GB2312" w:eastAsia="仿宋_GB2312" w:hAnsi="仿宋_GB2312" w:cs="仿宋_GB2312" w:hint="eastAsia"/>
                <w:sz w:val="21"/>
                <w:szCs w:val="21"/>
                <w:lang/>
              </w:rPr>
              <w:t>危险货物适装证书</w:t>
            </w:r>
            <w:proofErr w:type="gramEnd"/>
            <w:r>
              <w:rPr>
                <w:rFonts w:ascii="仿宋_GB2312" w:eastAsia="仿宋_GB2312" w:hAnsi="仿宋_GB2312" w:cs="仿宋_GB2312" w:hint="eastAsia"/>
                <w:sz w:val="21"/>
                <w:szCs w:val="21"/>
                <w:lang/>
              </w:rPr>
              <w:t>载运装载危险货物车辆的；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（三）渡船载运应当持有而未持有《道路运输证》的车辆的；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（四）渡船同时载运旅客和危险货物过渡的。”</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w:t>
            </w:r>
          </w:p>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处罚</w:t>
            </w:r>
          </w:p>
        </w:tc>
        <w:tc>
          <w:tcPr>
            <w:tcW w:w="87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252"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252"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624"/>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942"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624"/>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942"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原因：根据《内河渡口渡船安全管理规定》（交通运输部令2014年第9号），增加此事项</w:t>
            </w:r>
          </w:p>
        </w:tc>
      </w:tr>
    </w:tbl>
    <w:p w:rsidR="0059130C" w:rsidRDefault="0059130C">
      <w:pPr>
        <w:spacing w:line="240" w:lineRule="exact"/>
        <w:rPr>
          <w:rFonts w:ascii="仿宋_GB2312" w:eastAsia="仿宋_GB2312" w:hAnsi="仿宋_GB2312" w:cs="仿宋_GB2312"/>
          <w:szCs w:val="21"/>
        </w:rPr>
      </w:pPr>
    </w:p>
    <w:tbl>
      <w:tblPr>
        <w:tblW w:w="14659" w:type="dxa"/>
        <w:tblLayout w:type="fixed"/>
        <w:tblCellMar>
          <w:left w:w="15" w:type="dxa"/>
          <w:right w:w="15" w:type="dxa"/>
        </w:tblCellMar>
        <w:tblLook w:val="04A0"/>
      </w:tblPr>
      <w:tblGrid>
        <w:gridCol w:w="717"/>
        <w:gridCol w:w="2040"/>
        <w:gridCol w:w="4515"/>
        <w:gridCol w:w="675"/>
        <w:gridCol w:w="870"/>
        <w:gridCol w:w="4252"/>
        <w:gridCol w:w="1590"/>
      </w:tblGrid>
      <w:tr w:rsidR="0059130C">
        <w:trPr>
          <w:trHeight w:val="640"/>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51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7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25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133</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渡船不具备夜航条件擅自夜航的处罚</w:t>
            </w:r>
          </w:p>
        </w:tc>
        <w:tc>
          <w:tcPr>
            <w:tcW w:w="451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《内河渡口渡船安全管理规定》（交通运输部令2014年第9号）第四十四条：“违反第十八条规定，渡船不具备夜航条件擅自夜航的，由海事管理机构责令改正，并可对渡船所有人或者经营人处以2000元以下罚款。”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内河渡口渡船安全管理规定》（交通运输部令2014年第9号）第十八条：“渡船夜航应当按照《内河船舶法定检验技术规则》、《内河小型船舶法定检验技术规则》配备夜间航行设备和信号设备。高速客船从事渡运服务以及不具备夜航技术条件的渡船，不得夜航。”</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w:t>
            </w:r>
          </w:p>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处罚</w:t>
            </w:r>
          </w:p>
        </w:tc>
        <w:tc>
          <w:tcPr>
            <w:tcW w:w="87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252"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252"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556"/>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942"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816"/>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942"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原因：根据《内河渡口渡船安全管理规定》（交通运输部令2014年第9号），增加此事项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546" w:type="dxa"/>
        <w:tblLayout w:type="fixed"/>
        <w:tblCellMar>
          <w:left w:w="15" w:type="dxa"/>
          <w:right w:w="15" w:type="dxa"/>
        </w:tblCellMar>
        <w:tblLook w:val="04A0"/>
      </w:tblPr>
      <w:tblGrid>
        <w:gridCol w:w="717"/>
        <w:gridCol w:w="2040"/>
        <w:gridCol w:w="4515"/>
        <w:gridCol w:w="675"/>
        <w:gridCol w:w="870"/>
        <w:gridCol w:w="4139"/>
        <w:gridCol w:w="1590"/>
      </w:tblGrid>
      <w:tr w:rsidR="0059130C">
        <w:trPr>
          <w:trHeight w:val="640"/>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51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7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139"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134</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渡船混载乘客与大型牲畜的处罚</w:t>
            </w:r>
          </w:p>
        </w:tc>
        <w:tc>
          <w:tcPr>
            <w:tcW w:w="451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内河渡口渡船安全管理规定》（交通运输部令2014年第9号）第四十五条：“违反第二十九条规定，渡船混载乘客与大型牲畜的，由海事管理机构对渡船所有人或者经营人予以警告，情节严重的，处1000元以下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《内河渡口渡船安全管理规定》（交通运输部令2014年第9号）第二十九条：“渡船载客应当设置载客处所，实行车客分离。按照上船</w:t>
            </w:r>
            <w:proofErr w:type="gramStart"/>
            <w:r>
              <w:rPr>
                <w:rFonts w:ascii="仿宋_GB2312" w:eastAsia="仿宋_GB2312" w:hAnsi="仿宋_GB2312" w:cs="仿宋_GB2312" w:hint="eastAsia"/>
                <w:sz w:val="21"/>
                <w:szCs w:val="21"/>
                <w:lang/>
              </w:rPr>
              <w:t>时先车后人</w:t>
            </w:r>
            <w:proofErr w:type="gramEnd"/>
            <w:r>
              <w:rPr>
                <w:rFonts w:ascii="仿宋_GB2312" w:eastAsia="仿宋_GB2312" w:hAnsi="仿宋_GB2312" w:cs="仿宋_GB2312" w:hint="eastAsia"/>
                <w:sz w:val="21"/>
                <w:szCs w:val="21"/>
                <w:lang/>
              </w:rPr>
              <w:t>、下船时先人后车的顺序上下船舶。</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车辆渡运时除驾驶员外车内禁止留有人员。</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乘客与大型牲畜不得混载。”</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w:t>
            </w:r>
          </w:p>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处罚</w:t>
            </w:r>
          </w:p>
        </w:tc>
        <w:tc>
          <w:tcPr>
            <w:tcW w:w="87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139"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13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13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13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13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13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13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139"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556"/>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8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816"/>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8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原因：根据《内河渡口渡船安全管理规定》（交通运输部令2014年第9号），增加此事项</w:t>
            </w:r>
          </w:p>
        </w:tc>
      </w:tr>
    </w:tbl>
    <w:p w:rsidR="0059130C" w:rsidRDefault="0059130C">
      <w:pPr>
        <w:spacing w:line="240" w:lineRule="exact"/>
        <w:rPr>
          <w:rFonts w:ascii="仿宋_GB2312" w:eastAsia="仿宋_GB2312" w:hAnsi="仿宋_GB2312" w:cs="仿宋_GB2312"/>
          <w:szCs w:val="21"/>
        </w:rPr>
      </w:pPr>
    </w:p>
    <w:tbl>
      <w:tblPr>
        <w:tblW w:w="14602" w:type="dxa"/>
        <w:tblLayout w:type="fixed"/>
        <w:tblCellMar>
          <w:left w:w="15" w:type="dxa"/>
          <w:right w:w="15" w:type="dxa"/>
        </w:tblCellMar>
        <w:tblLook w:val="04A0"/>
      </w:tblPr>
      <w:tblGrid>
        <w:gridCol w:w="717"/>
        <w:gridCol w:w="2040"/>
        <w:gridCol w:w="4515"/>
        <w:gridCol w:w="675"/>
        <w:gridCol w:w="870"/>
        <w:gridCol w:w="4195"/>
        <w:gridCol w:w="1590"/>
      </w:tblGrid>
      <w:tr w:rsidR="0059130C">
        <w:trPr>
          <w:trHeight w:val="640"/>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51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7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19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135</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擅自开航的处罚</w:t>
            </w:r>
          </w:p>
        </w:tc>
        <w:tc>
          <w:tcPr>
            <w:tcW w:w="451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内河渡口渡船安全管理规定》（交通运输部令2014年第9号）第四十六条：“违反第三十二条第（一）项规定擅自开航的，由海事管理机构责令改正，并根据情节轻重对渡船所有人或者经营人处10000元以下罚款。”</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w:t>
            </w:r>
          </w:p>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处罚</w:t>
            </w:r>
          </w:p>
        </w:tc>
        <w:tc>
          <w:tcPr>
            <w:tcW w:w="87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19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195"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556"/>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88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816"/>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88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原因：根据《内河渡口渡船安全管理规定》（交通运输部令2014年第9号），增加此事项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716" w:type="dxa"/>
        <w:tblLayout w:type="fixed"/>
        <w:tblCellMar>
          <w:left w:w="15" w:type="dxa"/>
          <w:right w:w="15" w:type="dxa"/>
        </w:tblCellMar>
        <w:tblLook w:val="04A0"/>
      </w:tblPr>
      <w:tblGrid>
        <w:gridCol w:w="717"/>
        <w:gridCol w:w="2040"/>
        <w:gridCol w:w="4515"/>
        <w:gridCol w:w="675"/>
        <w:gridCol w:w="870"/>
        <w:gridCol w:w="4309"/>
        <w:gridCol w:w="1590"/>
      </w:tblGrid>
      <w:tr w:rsidR="0059130C">
        <w:trPr>
          <w:trHeight w:val="640"/>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51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7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309"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136</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发生乘客打架斗殴、寻衅滋事等可能危及渡运安全的情形，渡船擅自开航的处罚</w:t>
            </w:r>
          </w:p>
        </w:tc>
        <w:tc>
          <w:tcPr>
            <w:tcW w:w="451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内河渡口渡船安全管理规定》（交通运输部令2014年第9号）第四十七条：“违反第三十二条第（五）项规定，发生乘客打架斗殴、寻衅滋事等可能危及渡运安全的情形，渡船擅自开航的，由海事管理机构对渡船所有人或者经营人处以500元以下罚款。”</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w:t>
            </w:r>
          </w:p>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处罚</w:t>
            </w:r>
          </w:p>
        </w:tc>
        <w:tc>
          <w:tcPr>
            <w:tcW w:w="87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309"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30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30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30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30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30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30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309"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556"/>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99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816"/>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99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原因：根据《内河渡口渡船安全管理规定》（交通运输部令2014年第9号），增加此事项</w:t>
            </w:r>
          </w:p>
        </w:tc>
      </w:tr>
    </w:tbl>
    <w:p w:rsidR="0059130C" w:rsidRDefault="0059130C">
      <w:pPr>
        <w:spacing w:line="240" w:lineRule="exact"/>
        <w:rPr>
          <w:rFonts w:ascii="仿宋_GB2312" w:eastAsia="仿宋_GB2312" w:hAnsi="仿宋_GB2312" w:cs="仿宋_GB2312"/>
          <w:szCs w:val="21"/>
        </w:rPr>
      </w:pPr>
    </w:p>
    <w:tbl>
      <w:tblPr>
        <w:tblW w:w="14602" w:type="dxa"/>
        <w:tblLayout w:type="fixed"/>
        <w:tblCellMar>
          <w:left w:w="15" w:type="dxa"/>
          <w:right w:w="15" w:type="dxa"/>
        </w:tblCellMar>
        <w:tblLook w:val="04A0"/>
      </w:tblPr>
      <w:tblGrid>
        <w:gridCol w:w="717"/>
        <w:gridCol w:w="2040"/>
        <w:gridCol w:w="4515"/>
        <w:gridCol w:w="675"/>
        <w:gridCol w:w="870"/>
        <w:gridCol w:w="4195"/>
        <w:gridCol w:w="1590"/>
      </w:tblGrid>
      <w:tr w:rsidR="0059130C">
        <w:trPr>
          <w:trHeight w:val="640"/>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51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7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19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137</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水路运输企业的装卸管理人员、申报员、检查员未取得从业资格上岗作业的处罚</w:t>
            </w:r>
          </w:p>
        </w:tc>
        <w:tc>
          <w:tcPr>
            <w:tcW w:w="451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危险货物水路运输从业人员考核和从业资格管理规定》（交通运输部令2021年第29号）第二十七条：“水路运输企业的装卸管理人员、申报员、检查员未取得从业资格上岗作业的，由所在地港口行政管理部门或者海事管理机构责令改正，处5万元以上10万元以下的罚款；拒不改正的，责令停产停业整顿。”</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w:t>
            </w:r>
          </w:p>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处罚</w:t>
            </w:r>
          </w:p>
        </w:tc>
        <w:tc>
          <w:tcPr>
            <w:tcW w:w="87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19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195"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556"/>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88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816"/>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88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原因：根据《危险货物水路运输从业人员考核和从业资格管理规定》（交通运输部令2021年第29号），增加此事项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659" w:type="dxa"/>
        <w:tblLayout w:type="fixed"/>
        <w:tblCellMar>
          <w:left w:w="15" w:type="dxa"/>
          <w:right w:w="15" w:type="dxa"/>
        </w:tblCellMar>
        <w:tblLook w:val="04A0"/>
      </w:tblPr>
      <w:tblGrid>
        <w:gridCol w:w="717"/>
        <w:gridCol w:w="2040"/>
        <w:gridCol w:w="4515"/>
        <w:gridCol w:w="675"/>
        <w:gridCol w:w="870"/>
        <w:gridCol w:w="4252"/>
        <w:gridCol w:w="1590"/>
      </w:tblGrid>
      <w:tr w:rsidR="0059130C">
        <w:trPr>
          <w:trHeight w:val="640"/>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51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7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25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138</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水路运输企业未将本单位申报员、检查员信息报送所在地海事管理机构的处罚</w:t>
            </w:r>
          </w:p>
        </w:tc>
        <w:tc>
          <w:tcPr>
            <w:tcW w:w="451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危险货物水路运输从业人员考核和从业资格管理规定》（交通运输部令2021年第29号）第二十八条：“未按本规定第二十五条报送信息的，分别由所在地港口行政管理部门或者海事管理机构按照职责分工责令限期改正，可处以1000元以下罚款；提供虚假信息或者1年之内多次未报信息的，处以3000元以上1万元以下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危险货物水路运输从业人员考核和从业资格管理规定》（交通运输部令2021年第29号）第二十五条：“水路运输企业应当将本单位的装卸管理人员、申报员、检查员的以下信息及时报送具有相应职责的管理部门，装卸管理人员信息报送港口所在地港口行政管理部门，申报员、检查员信息报送所在地海事管理机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（一）被聘用从业人员的有效身份证明复印件；</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（二）被聘用从业人员的《资格证书》编号；</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（三）被聘用从业人员的从业区域；</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（四）解聘从业人员的姓名、有效身份证明证号和《资格证书》编号。”</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w:t>
            </w:r>
          </w:p>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处罚</w:t>
            </w:r>
          </w:p>
        </w:tc>
        <w:tc>
          <w:tcPr>
            <w:tcW w:w="87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252"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252"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556"/>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942"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816"/>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942"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原因：根据《危险货物水路运输从业人员考核和从业资格管理规定》（交通运输部令2021年第29号），增加此事项</w:t>
            </w:r>
          </w:p>
        </w:tc>
      </w:tr>
    </w:tbl>
    <w:p w:rsidR="0059130C" w:rsidRDefault="0059130C">
      <w:pPr>
        <w:spacing w:line="240" w:lineRule="exact"/>
        <w:rPr>
          <w:rFonts w:ascii="仿宋_GB2312" w:eastAsia="仿宋_GB2312" w:hAnsi="仿宋_GB2312" w:cs="仿宋_GB2312"/>
          <w:szCs w:val="21"/>
        </w:rPr>
      </w:pPr>
    </w:p>
    <w:tbl>
      <w:tblPr>
        <w:tblW w:w="14602" w:type="dxa"/>
        <w:tblLayout w:type="fixed"/>
        <w:tblCellMar>
          <w:left w:w="15" w:type="dxa"/>
          <w:right w:w="15" w:type="dxa"/>
        </w:tblCellMar>
        <w:tblLook w:val="04A0"/>
      </w:tblPr>
      <w:tblGrid>
        <w:gridCol w:w="717"/>
        <w:gridCol w:w="2040"/>
        <w:gridCol w:w="4515"/>
        <w:gridCol w:w="675"/>
        <w:gridCol w:w="870"/>
        <w:gridCol w:w="4195"/>
        <w:gridCol w:w="1590"/>
      </w:tblGrid>
      <w:tr w:rsidR="0059130C">
        <w:trPr>
          <w:trHeight w:val="640"/>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51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7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19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139</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装卸管理人员、申报员和检查员将《资格证书》转借他人使用的；涂改《资格证书》的处罚</w:t>
            </w:r>
          </w:p>
        </w:tc>
        <w:tc>
          <w:tcPr>
            <w:tcW w:w="451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危险货物水路运输从业人员考核和从业资格管理规定》（交通运输部令2021年第29号）第二十九条：“装卸管理人员、申报员和检查员有下列行为之一的，分别由所在地港口行政管理部门或者海事管理机构按照职责分工责令改正，并处以5000元的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（一）将《资格证书》转借他人使用的；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（二）涂改《资格证书》的。”</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w:t>
            </w:r>
          </w:p>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处罚</w:t>
            </w:r>
          </w:p>
        </w:tc>
        <w:tc>
          <w:tcPr>
            <w:tcW w:w="87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19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195"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556"/>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88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816"/>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88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原因：根据《危险货物水路运输从业人员考核和从业资格管理规定》（交通运输部令2021年第29号），增加此事项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659" w:type="dxa"/>
        <w:tblLayout w:type="fixed"/>
        <w:tblCellMar>
          <w:left w:w="15" w:type="dxa"/>
          <w:right w:w="15" w:type="dxa"/>
        </w:tblCellMar>
        <w:tblLook w:val="04A0"/>
      </w:tblPr>
      <w:tblGrid>
        <w:gridCol w:w="717"/>
        <w:gridCol w:w="2040"/>
        <w:gridCol w:w="4515"/>
        <w:gridCol w:w="675"/>
        <w:gridCol w:w="870"/>
        <w:gridCol w:w="4252"/>
        <w:gridCol w:w="1590"/>
      </w:tblGrid>
      <w:tr w:rsidR="0059130C">
        <w:trPr>
          <w:trHeight w:val="640"/>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51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7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25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140</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未取得游艇操作人员培训许可擅自从事游艇操作人员培训的处罚</w:t>
            </w:r>
          </w:p>
        </w:tc>
        <w:tc>
          <w:tcPr>
            <w:tcW w:w="451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游艇安全管理规定》（交通运输部令2008年第7号）第三十五条：“违反本规定，未取得游艇操作人员培训许可擅自从事游艇操作人员培训的，由海事管理机构责令改正，处5万元以上25万元以下罚款；有违法所得的，还应当没收违法所得。”</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w:t>
            </w:r>
          </w:p>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处罚</w:t>
            </w:r>
          </w:p>
        </w:tc>
        <w:tc>
          <w:tcPr>
            <w:tcW w:w="87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252"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252"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556"/>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942"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816"/>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942"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原因：根据《游艇安全管理规定》（交通运输部令2008年第7号），增加此事项</w:t>
            </w:r>
          </w:p>
        </w:tc>
      </w:tr>
    </w:tbl>
    <w:p w:rsidR="0059130C" w:rsidRDefault="0059130C">
      <w:pPr>
        <w:spacing w:line="240" w:lineRule="exact"/>
        <w:rPr>
          <w:rFonts w:ascii="仿宋_GB2312" w:eastAsia="仿宋_GB2312" w:hAnsi="仿宋_GB2312" w:cs="仿宋_GB2312"/>
          <w:szCs w:val="21"/>
        </w:rPr>
      </w:pPr>
    </w:p>
    <w:tbl>
      <w:tblPr>
        <w:tblW w:w="14602" w:type="dxa"/>
        <w:tblLayout w:type="fixed"/>
        <w:tblCellMar>
          <w:left w:w="15" w:type="dxa"/>
          <w:right w:w="15" w:type="dxa"/>
        </w:tblCellMar>
        <w:tblLook w:val="04A0"/>
      </w:tblPr>
      <w:tblGrid>
        <w:gridCol w:w="717"/>
        <w:gridCol w:w="2040"/>
        <w:gridCol w:w="4515"/>
        <w:gridCol w:w="675"/>
        <w:gridCol w:w="870"/>
        <w:gridCol w:w="4195"/>
        <w:gridCol w:w="1590"/>
      </w:tblGrid>
      <w:tr w:rsidR="0059130C">
        <w:trPr>
          <w:trHeight w:val="640"/>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51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7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19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141</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游艇操作人员培训机构不按照本规定要求和游艇操作人员培训纲要进行培训，或者擅自降低培训标准；培训质量低下，达不到规定要求的处罚</w:t>
            </w:r>
          </w:p>
        </w:tc>
        <w:tc>
          <w:tcPr>
            <w:tcW w:w="451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《游艇安全管理规定》（交通运输部令2008年第7号）第三十六条：“游艇操作人员培训机构有下列行为之一的，由海事管理机构责令改正，可以处2万元以上10万元以下罚款；情节严重的，给予暂</w:t>
            </w:r>
            <w:proofErr w:type="gramStart"/>
            <w:r>
              <w:rPr>
                <w:rFonts w:ascii="仿宋_GB2312" w:eastAsia="仿宋_GB2312" w:hAnsi="仿宋_GB2312" w:cs="仿宋_GB2312" w:hint="eastAsia"/>
                <w:sz w:val="21"/>
                <w:szCs w:val="21"/>
                <w:lang/>
              </w:rPr>
              <w:t>扣培训</w:t>
            </w:r>
            <w:proofErr w:type="gramEnd"/>
            <w:r>
              <w:rPr>
                <w:rFonts w:ascii="仿宋_GB2312" w:eastAsia="仿宋_GB2312" w:hAnsi="仿宋_GB2312" w:cs="仿宋_GB2312" w:hint="eastAsia"/>
                <w:sz w:val="21"/>
                <w:szCs w:val="21"/>
                <w:lang/>
              </w:rPr>
              <w:t>许可证6个月以上2年以下直至吊销的处罚：</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　　（一）不按照本规定要求和游艇操作人员培训纲要进行培训，或者擅自降低培训标准；</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　　（二）培训质量低下，达不到规定要求。”</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w:t>
            </w:r>
          </w:p>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处罚</w:t>
            </w:r>
          </w:p>
        </w:tc>
        <w:tc>
          <w:tcPr>
            <w:tcW w:w="87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19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195"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556"/>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88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816"/>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88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原因：根据《游艇安全管理规定》（交通运输部令2008年第7号），增加此事项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659" w:type="dxa"/>
        <w:tblLayout w:type="fixed"/>
        <w:tblCellMar>
          <w:left w:w="15" w:type="dxa"/>
          <w:right w:w="15" w:type="dxa"/>
        </w:tblCellMar>
        <w:tblLook w:val="04A0"/>
      </w:tblPr>
      <w:tblGrid>
        <w:gridCol w:w="717"/>
        <w:gridCol w:w="2040"/>
        <w:gridCol w:w="4515"/>
        <w:gridCol w:w="675"/>
        <w:gridCol w:w="870"/>
        <w:gridCol w:w="4252"/>
        <w:gridCol w:w="1590"/>
      </w:tblGrid>
      <w:tr w:rsidR="0059130C">
        <w:trPr>
          <w:trHeight w:val="640"/>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51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7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25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142</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内河航行的游艇未持有合格的检验证书、登记证书的处罚</w:t>
            </w:r>
          </w:p>
        </w:tc>
        <w:tc>
          <w:tcPr>
            <w:tcW w:w="451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游艇安全管理规定》（交通运输部令2008年第7号）第三十七条第二款：“违反本规定，在内河航行的游艇未持有合格的检验证书、登记证书的，由海事管理机构责令其停止航行，拒不停止的，暂扣游艇；情节严重的，予以没收。”</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w:t>
            </w:r>
          </w:p>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处罚</w:t>
            </w:r>
          </w:p>
        </w:tc>
        <w:tc>
          <w:tcPr>
            <w:tcW w:w="87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252"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252"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556"/>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942"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 xml:space="preserve">情况：新增 </w:t>
            </w:r>
          </w:p>
        </w:tc>
      </w:tr>
      <w:tr w:rsidR="0059130C">
        <w:trPr>
          <w:trHeight w:val="816"/>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942"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原因：根据《游艇安全管理规定》（交通运输部令2008年第7号），增加此事项</w:t>
            </w:r>
          </w:p>
        </w:tc>
      </w:tr>
    </w:tbl>
    <w:p w:rsidR="0059130C" w:rsidRDefault="0059130C">
      <w:pPr>
        <w:spacing w:line="240" w:lineRule="exact"/>
        <w:rPr>
          <w:rFonts w:ascii="仿宋_GB2312" w:eastAsia="仿宋_GB2312" w:hAnsi="仿宋_GB2312" w:cs="仿宋_GB2312"/>
          <w:szCs w:val="21"/>
        </w:rPr>
      </w:pPr>
    </w:p>
    <w:tbl>
      <w:tblPr>
        <w:tblW w:w="14602" w:type="dxa"/>
        <w:tblLayout w:type="fixed"/>
        <w:tblCellMar>
          <w:left w:w="15" w:type="dxa"/>
          <w:right w:w="15" w:type="dxa"/>
        </w:tblCellMar>
        <w:tblLook w:val="04A0"/>
      </w:tblPr>
      <w:tblGrid>
        <w:gridCol w:w="654"/>
        <w:gridCol w:w="2103"/>
        <w:gridCol w:w="4515"/>
        <w:gridCol w:w="675"/>
        <w:gridCol w:w="870"/>
        <w:gridCol w:w="4195"/>
        <w:gridCol w:w="1590"/>
      </w:tblGrid>
      <w:tr w:rsidR="0059130C">
        <w:trPr>
          <w:trHeight w:val="640"/>
        </w:trPr>
        <w:tc>
          <w:tcPr>
            <w:tcW w:w="654"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210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51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7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19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654"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143</w:t>
            </w:r>
          </w:p>
        </w:tc>
        <w:tc>
          <w:tcPr>
            <w:tcW w:w="2103"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游艇操作人员操作游艇时未携带合格的适任证书的处罚</w:t>
            </w:r>
          </w:p>
        </w:tc>
        <w:tc>
          <w:tcPr>
            <w:tcW w:w="451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《游艇安全管理规定》（交通运输部令2008年第7号）第三十八条：“违反本规定，游艇操作人员操作游艇时未携带合格的适任证书的，由海事管理机构责令改正，并可处以2000元以下罚款。”</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w:t>
            </w:r>
          </w:p>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处罚</w:t>
            </w:r>
          </w:p>
        </w:tc>
        <w:tc>
          <w:tcPr>
            <w:tcW w:w="87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19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654"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10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654"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10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654"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10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654"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10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654"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10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654"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10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654"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10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195"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556"/>
        </w:trPr>
        <w:tc>
          <w:tcPr>
            <w:tcW w:w="654"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948"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816"/>
        </w:trPr>
        <w:tc>
          <w:tcPr>
            <w:tcW w:w="654"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948"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原因：根据《游艇安全管理规定》（交通运输部令2008年第7号），增加此事项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602" w:type="dxa"/>
        <w:tblLayout w:type="fixed"/>
        <w:tblCellMar>
          <w:left w:w="15" w:type="dxa"/>
          <w:right w:w="15" w:type="dxa"/>
        </w:tblCellMar>
        <w:tblLook w:val="04A0"/>
      </w:tblPr>
      <w:tblGrid>
        <w:gridCol w:w="717"/>
        <w:gridCol w:w="2040"/>
        <w:gridCol w:w="4515"/>
        <w:gridCol w:w="675"/>
        <w:gridCol w:w="870"/>
        <w:gridCol w:w="4195"/>
        <w:gridCol w:w="1590"/>
      </w:tblGrid>
      <w:tr w:rsidR="0059130C">
        <w:trPr>
          <w:trHeight w:val="640"/>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51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7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19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144</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游艇操作人员持有的适任证书是以欺骗、贿赂等不正当手段取得的处罚</w:t>
            </w:r>
          </w:p>
        </w:tc>
        <w:tc>
          <w:tcPr>
            <w:tcW w:w="451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《游艇安全管理规定》（交通运输部令2008年第7号）第三十九条：“游艇操作人员持有的适任证书是以欺骗、贿赂等不正当手段取得的，海事管理机构应当吊销该适任证书，并处2000元以上2万元以下的罚款。”</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w:t>
            </w:r>
          </w:p>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处罚</w:t>
            </w:r>
          </w:p>
        </w:tc>
        <w:tc>
          <w:tcPr>
            <w:tcW w:w="87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19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195"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556"/>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88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816"/>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88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原因：根据《游艇安全管理规定》（交通运输部令2008年第7号），增加此事项</w:t>
            </w:r>
          </w:p>
        </w:tc>
      </w:tr>
    </w:tbl>
    <w:p w:rsidR="0059130C" w:rsidRDefault="0059130C">
      <w:pPr>
        <w:spacing w:line="240" w:lineRule="exact"/>
        <w:rPr>
          <w:rFonts w:ascii="仿宋_GB2312" w:eastAsia="仿宋_GB2312" w:hAnsi="仿宋_GB2312" w:cs="仿宋_GB2312"/>
          <w:szCs w:val="21"/>
        </w:rPr>
      </w:pPr>
    </w:p>
    <w:tbl>
      <w:tblPr>
        <w:tblW w:w="14602" w:type="dxa"/>
        <w:tblLayout w:type="fixed"/>
        <w:tblCellMar>
          <w:left w:w="15" w:type="dxa"/>
          <w:right w:w="15" w:type="dxa"/>
        </w:tblCellMar>
        <w:tblLook w:val="04A0"/>
      </w:tblPr>
      <w:tblGrid>
        <w:gridCol w:w="717"/>
        <w:gridCol w:w="2040"/>
        <w:gridCol w:w="4515"/>
        <w:gridCol w:w="675"/>
        <w:gridCol w:w="870"/>
        <w:gridCol w:w="4195"/>
        <w:gridCol w:w="1590"/>
      </w:tblGrid>
      <w:tr w:rsidR="0059130C">
        <w:trPr>
          <w:trHeight w:val="640"/>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51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7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19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145</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游艇未在海事管理机构公布的专用停泊水域或者停泊点停泊，或者临时停泊的水域不符合本规定的要求；游艇的航行水域超出备案范围，而游艇所有人或者游艇俱乐部未在游艇出航前将船名、航行计划、游艇操作人员或者乘员的名单、应急联系方式等向海事管理机构备案的处罚</w:t>
            </w:r>
          </w:p>
          <w:p w:rsidR="0059130C" w:rsidRDefault="0059130C">
            <w:pPr>
              <w:pStyle w:val="a6"/>
              <w:spacing w:beforeAutospacing="0" w:afterAutospacing="0" w:line="240" w:lineRule="exact"/>
              <w:rPr>
                <w:rFonts w:ascii="仿宋_GB2312" w:eastAsia="仿宋_GB2312" w:hAnsi="仿宋_GB2312" w:cs="仿宋_GB2312"/>
                <w:sz w:val="21"/>
                <w:szCs w:val="21"/>
                <w:lang/>
              </w:rPr>
            </w:pPr>
          </w:p>
        </w:tc>
        <w:tc>
          <w:tcPr>
            <w:tcW w:w="451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《游艇安全管理规定》（交通运输部令2008年第7号）第三十九条：“违反本规定，游艇有下列行为之一的，由海事管理机构责令改正，并可处以1000元以下罚款：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　　（一）未在海事管理机构公布的专用停泊水域或者停泊点停泊，或者临时停泊的水域不符合本规定的要求；</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　　（二）游艇的航行水域超出备案范围，而游艇所有人或者游艇俱乐部未在游艇出航前将船名、航行计划、游艇操作人员或者乘员的名单、应急联系方式等向海事管理机构备案。”</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w:t>
            </w:r>
          </w:p>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处罚</w:t>
            </w:r>
          </w:p>
        </w:tc>
        <w:tc>
          <w:tcPr>
            <w:tcW w:w="87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19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195"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556"/>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88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816"/>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88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原因：根据《游艇安全管理规定》（交通运输部令2008年第7号），增加此事项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659" w:type="dxa"/>
        <w:tblLayout w:type="fixed"/>
        <w:tblCellMar>
          <w:left w:w="15" w:type="dxa"/>
          <w:right w:w="15" w:type="dxa"/>
        </w:tblCellMar>
        <w:tblLook w:val="04A0"/>
      </w:tblPr>
      <w:tblGrid>
        <w:gridCol w:w="717"/>
        <w:gridCol w:w="1399"/>
        <w:gridCol w:w="5531"/>
        <w:gridCol w:w="675"/>
        <w:gridCol w:w="750"/>
        <w:gridCol w:w="3997"/>
        <w:gridCol w:w="1590"/>
      </w:tblGrid>
      <w:tr w:rsidR="0059130C">
        <w:trPr>
          <w:trHeight w:val="640"/>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1399"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553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75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997"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146</w:t>
            </w:r>
          </w:p>
        </w:tc>
        <w:tc>
          <w:tcPr>
            <w:tcW w:w="1399"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航运公司未具有适任的安全与防污染管理人员的；航运公司未确定船长在船舶安全与防污染管理方面的最终决定权的；需要建立安全管理体系的航运公司，未建立安全管理体系并保持体系的有效性；建立安全管理体系的航运公司，未及时向公司所在地的交通部直属海事管理机构或者</w:t>
            </w:r>
            <w:proofErr w:type="gramStart"/>
            <w:r>
              <w:rPr>
                <w:rFonts w:ascii="仿宋_GB2312" w:eastAsia="仿宋_GB2312" w:hAnsi="仿宋_GB2312" w:cs="仿宋_GB2312" w:hint="eastAsia"/>
                <w:sz w:val="21"/>
                <w:szCs w:val="21"/>
                <w:lang/>
              </w:rPr>
              <w:t>省级交通</w:t>
            </w:r>
            <w:proofErr w:type="gramEnd"/>
            <w:r>
              <w:rPr>
                <w:rFonts w:ascii="仿宋_GB2312" w:eastAsia="仿宋_GB2312" w:hAnsi="仿宋_GB2312" w:cs="仿宋_GB2312" w:hint="eastAsia"/>
                <w:sz w:val="21"/>
                <w:szCs w:val="21"/>
                <w:lang/>
              </w:rPr>
              <w:t>主管部门所属的海事管理机构报告安全管理体系运行过程中发生的重大事项的处罚</w:t>
            </w:r>
          </w:p>
        </w:tc>
        <w:tc>
          <w:tcPr>
            <w:tcW w:w="5531"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《中华人民共和国船舶安全监督规则》（交通运输部令2022年第27号）第三十五条：“　违反本规定第七条、第九条、第十五条、第十七条规定，由海事管理机构责令改正，并可以对航运公司处以5000元以上3万元以下罚款。”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《中华人民共和国船舶安全监督规则》（交通运输部令2022年第27号）第七条：“航运公司应当具有适任的安全与防污染管理人员，并明确其岗位职责。”</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第九条：“航运公司应当确定船长在船舶安全与防污染管理方面的最终决定权。”</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第十五条：“需要建立安全管理体系的航运公司，应当建立安全管理体系并保持体系的有效性。</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需要建立安全管理体系的航运公司的范围，由交通部公布。”</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中华人民共和国航运公司安全与防污染管理规定》（交通部令2007年第6号）第三十五条：“违反本规定第七条、第九条、第十五条、第十七条规定，由海事管理机构责令改正，并可以对航运公司处以5000元以上3万元以下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《中华人民共和国航运公司安全与防污染管理规定》（交通部令2007年第6号）第七条：“航运公司应当具有适任的安全与防污染管理人员，并明确其岗位职责。”</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航运公司的主要安全与防污染管理人员不得在船上兼职或者跨航运公司兼职。</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第九条：“　航运公司应当确定船长在船舶安全与防污染管理方面的最终决定权。”</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第十五条：“需要建立安全管理体系的航运公司，应当建立安全管理体系并保持体系的有效性。</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需要建立安全管理体系的航运公司的范围，由交通部公布”</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第十七条：“建立安全管理体系的航运公司，应当及时向公司所在地的交通部直属海事管理机构或者省级交通主管部门所属的海事管理机构报告安全管理体系运行过程中发生的重大事项。”</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w:t>
            </w:r>
          </w:p>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处罚</w:t>
            </w:r>
          </w:p>
        </w:tc>
        <w:tc>
          <w:tcPr>
            <w:tcW w:w="75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3997"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99"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553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5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399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99"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553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5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399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99"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553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5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399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99"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553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5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399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99"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553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5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399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99"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553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5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399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99"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553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5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3997"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556"/>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942"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435"/>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942"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原因：根据《中华人民共和国船舶安全监督规则》（交通运输部令2022年第27号）、《中华人民共和国航运公司安全与防污染管理规定》（交通部令2007年第6号），增加此事项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259" w:type="dxa"/>
        <w:tblLayout w:type="fixed"/>
        <w:tblCellMar>
          <w:left w:w="15" w:type="dxa"/>
          <w:right w:w="15" w:type="dxa"/>
        </w:tblCellMar>
        <w:tblLook w:val="04A0"/>
      </w:tblPr>
      <w:tblGrid>
        <w:gridCol w:w="717"/>
        <w:gridCol w:w="2040"/>
        <w:gridCol w:w="4515"/>
        <w:gridCol w:w="675"/>
        <w:gridCol w:w="870"/>
        <w:gridCol w:w="4819"/>
        <w:gridCol w:w="623"/>
      </w:tblGrid>
      <w:tr w:rsidR="0059130C">
        <w:trPr>
          <w:trHeight w:val="640"/>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51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7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819"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62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147</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受托航运公司未履行安全与防污染管理责任的处罚</w:t>
            </w:r>
          </w:p>
        </w:tc>
        <w:tc>
          <w:tcPr>
            <w:tcW w:w="451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中华人民共和国船舶安全监督规则》（交通运输部令2022年第27号）第三十六条：“违反本规定第十四条规定，受托航运公司未履行安全与防污染管理责任的，由海事管理机构责令改正，并可以对受托航运公司处以5000元以上3万元以下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中华人民共和国航运公司安全与防污染管理规定》（交通部令2007年第6号）第三十六条：“违反本规定第十四条规定，受托航运公司未履行安全与防污染管理责任的，由海事管理机构责令改正，并可以对受托航运公司处以5000元以上3万元以下罚款。”</w:t>
            </w:r>
          </w:p>
          <w:p w:rsidR="0059130C" w:rsidRDefault="0059130C">
            <w:pPr>
              <w:pStyle w:val="a6"/>
              <w:spacing w:beforeAutospacing="0" w:afterAutospacing="0" w:line="240" w:lineRule="exact"/>
              <w:rPr>
                <w:rFonts w:ascii="仿宋_GB2312" w:eastAsia="仿宋_GB2312" w:hAnsi="仿宋_GB2312" w:cs="仿宋_GB2312"/>
                <w:sz w:val="21"/>
                <w:szCs w:val="21"/>
                <w:lang/>
              </w:rPr>
            </w:pP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w:t>
            </w:r>
          </w:p>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处罚</w:t>
            </w:r>
          </w:p>
        </w:tc>
        <w:tc>
          <w:tcPr>
            <w:tcW w:w="87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819"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623"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81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623"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81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623"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81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623"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81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623"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81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623"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81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623"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584"/>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819"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623"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556"/>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542"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1056"/>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542"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原因：根据《中华人民共和国船舶安全监督规则》（交通运输部令2022年第27号），增加此事项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716" w:type="dxa"/>
        <w:tblLayout w:type="fixed"/>
        <w:tblCellMar>
          <w:left w:w="15" w:type="dxa"/>
          <w:right w:w="15" w:type="dxa"/>
        </w:tblCellMar>
        <w:tblLook w:val="04A0"/>
      </w:tblPr>
      <w:tblGrid>
        <w:gridCol w:w="717"/>
        <w:gridCol w:w="2040"/>
        <w:gridCol w:w="4515"/>
        <w:gridCol w:w="675"/>
        <w:gridCol w:w="870"/>
        <w:gridCol w:w="4309"/>
        <w:gridCol w:w="1571"/>
        <w:gridCol w:w="19"/>
      </w:tblGrid>
      <w:tr w:rsidR="0059130C">
        <w:trPr>
          <w:trHeight w:val="640"/>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51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7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309"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gridSpan w:val="2"/>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148</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申请人以欺骗或者其他不正当手段取得船舶识别号的处罚</w:t>
            </w:r>
          </w:p>
        </w:tc>
        <w:tc>
          <w:tcPr>
            <w:tcW w:w="451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中华人民共和国船舶识别号管理规定》（交通运输部令2010年第4号）第十三条：“申请人以欺骗或者其他不正当手段取得船舶识别号的，海事管理机构应当报中国海事局撤销其船舶识别号，并处5000元以上3万元以下的罚款。”</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w:t>
            </w:r>
          </w:p>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处罚</w:t>
            </w:r>
          </w:p>
        </w:tc>
        <w:tc>
          <w:tcPr>
            <w:tcW w:w="87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309"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gridSpan w:val="2"/>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30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gridSpan w:val="2"/>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30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gridSpan w:val="2"/>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432"/>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30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gridSpan w:val="2"/>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30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gridSpan w:val="2"/>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30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gridSpan w:val="2"/>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30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gridSpan w:val="2"/>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309"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gridSpan w:val="2"/>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gridAfter w:val="1"/>
          <w:wAfter w:w="19" w:type="dxa"/>
          <w:trHeight w:val="737"/>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980"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gridAfter w:val="1"/>
          <w:wAfter w:w="19" w:type="dxa"/>
          <w:trHeight w:val="737"/>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980"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原因：根据《中华人民共和国船舶识别号管理规定》（交通运输部令2010年第4号），增加此事项</w:t>
            </w:r>
          </w:p>
        </w:tc>
      </w:tr>
    </w:tbl>
    <w:p w:rsidR="0059130C" w:rsidRDefault="0059130C">
      <w:pPr>
        <w:spacing w:line="240" w:lineRule="exact"/>
        <w:rPr>
          <w:rFonts w:ascii="仿宋_GB2312" w:eastAsia="仿宋_GB2312" w:hAnsi="仿宋_GB2312" w:cs="仿宋_GB2312"/>
          <w:szCs w:val="21"/>
        </w:rPr>
      </w:pPr>
    </w:p>
    <w:tbl>
      <w:tblPr>
        <w:tblW w:w="14602" w:type="dxa"/>
        <w:tblLayout w:type="fixed"/>
        <w:tblCellMar>
          <w:left w:w="15" w:type="dxa"/>
          <w:right w:w="15" w:type="dxa"/>
        </w:tblCellMar>
        <w:tblLook w:val="04A0"/>
      </w:tblPr>
      <w:tblGrid>
        <w:gridCol w:w="717"/>
        <w:gridCol w:w="2040"/>
        <w:gridCol w:w="4515"/>
        <w:gridCol w:w="675"/>
        <w:gridCol w:w="870"/>
        <w:gridCol w:w="4195"/>
        <w:gridCol w:w="1590"/>
      </w:tblGrid>
      <w:tr w:rsidR="0059130C">
        <w:trPr>
          <w:trHeight w:val="640"/>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51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7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19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149</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未按《中华人民共和国船舶识别号管理规定》取得船舶识别号或者未将船舶识别号在船体上永久标记或者粘贴的处罚</w:t>
            </w:r>
          </w:p>
        </w:tc>
        <w:tc>
          <w:tcPr>
            <w:tcW w:w="451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中华人民共和国船舶识别号管理规定》（交通运输部令2010年第4号）第十四条：“未按本规定取得船舶识别号或者未将船舶识别号在船体上永久标记或者粘贴的，由海事管理机构责令改正，并可处3000元以上3万元以下的罚款。”</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w:t>
            </w:r>
          </w:p>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处罚</w:t>
            </w:r>
          </w:p>
        </w:tc>
        <w:tc>
          <w:tcPr>
            <w:tcW w:w="87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19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195"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556"/>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88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816"/>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88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原因：根据《中华人民共和国船舶识别号管理规定》（交通运输部令2010年第4号），增加此事项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659" w:type="dxa"/>
        <w:tblLayout w:type="fixed"/>
        <w:tblCellMar>
          <w:left w:w="15" w:type="dxa"/>
          <w:right w:w="15" w:type="dxa"/>
        </w:tblCellMar>
        <w:tblLook w:val="04A0"/>
      </w:tblPr>
      <w:tblGrid>
        <w:gridCol w:w="717"/>
        <w:gridCol w:w="2040"/>
        <w:gridCol w:w="4515"/>
        <w:gridCol w:w="675"/>
        <w:gridCol w:w="870"/>
        <w:gridCol w:w="4252"/>
        <w:gridCol w:w="1590"/>
      </w:tblGrid>
      <w:tr w:rsidR="0059130C">
        <w:trPr>
          <w:trHeight w:val="640"/>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51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7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25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150</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船舶超过标准向内河水域排放生活污水、含油污水等；船舶超过标准向大气排放船舶动力装置运转产生的废气；船舶在内河水域排放有毒液体物质的残余物或者含有此类物质的压载水、洗舱水及其他混合物；船舶在内河水域使用焚烧炉；未按规定使用溢油分散剂的人处罚</w:t>
            </w:r>
          </w:p>
        </w:tc>
        <w:tc>
          <w:tcPr>
            <w:tcW w:w="451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《中华人民共和国防治船舶污染内河水域环境管理规定》（交通运输部令2022年第26号）第四十五条：“违反本规定，有下列情形之一的，由海事管理机构责令改正，并处以2万元以上3万元以下的罚款：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（一）船舶超过标准向内河水域排放生活污水、含油污水等；</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（二）船舶超过标准向大气排放船舶动力装置运转产生的废气；</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（三）船舶在内河水域排放有毒液体物质的残余物或者含有此类物质的压载水、洗舱水及其他混合物；</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（四）船舶在内河水域使用焚烧炉；</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（五）未按规定使用溢油分散剂。”</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w:t>
            </w:r>
          </w:p>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处罚</w:t>
            </w:r>
          </w:p>
        </w:tc>
        <w:tc>
          <w:tcPr>
            <w:tcW w:w="87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252"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252"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556"/>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942"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816"/>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942"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原因：根据《中华人民共和国防治船舶污染内河水域环境管理规定》（交通运输部令2022年第26号），增加此事项</w:t>
            </w:r>
          </w:p>
        </w:tc>
      </w:tr>
    </w:tbl>
    <w:p w:rsidR="0059130C" w:rsidRDefault="0059130C">
      <w:pPr>
        <w:spacing w:line="240" w:lineRule="exact"/>
        <w:rPr>
          <w:rFonts w:ascii="仿宋_GB2312" w:eastAsia="仿宋_GB2312" w:hAnsi="仿宋_GB2312" w:cs="仿宋_GB2312"/>
          <w:szCs w:val="21"/>
        </w:rPr>
      </w:pPr>
    </w:p>
    <w:tbl>
      <w:tblPr>
        <w:tblW w:w="14602" w:type="dxa"/>
        <w:tblLayout w:type="fixed"/>
        <w:tblCellMar>
          <w:left w:w="15" w:type="dxa"/>
          <w:right w:w="15" w:type="dxa"/>
        </w:tblCellMar>
        <w:tblLook w:val="04A0"/>
      </w:tblPr>
      <w:tblGrid>
        <w:gridCol w:w="717"/>
        <w:gridCol w:w="2040"/>
        <w:gridCol w:w="4515"/>
        <w:gridCol w:w="675"/>
        <w:gridCol w:w="870"/>
        <w:gridCol w:w="4195"/>
        <w:gridCol w:w="1516"/>
        <w:gridCol w:w="74"/>
      </w:tblGrid>
      <w:tr w:rsidR="0059130C">
        <w:trPr>
          <w:trHeight w:val="640"/>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51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7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19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gridSpan w:val="2"/>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151</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船舶未按规定如实记录油类作业、散装有毒液体物质作业、垃圾收集处理情况的；船舶未按规定保存《油类记录簿》《货物记录簿》和《船舶垃圾记录簿》的；船舶在港从事水上船舶清舱、洗舱、污染物接收、燃料供受、修造、打捞、污染清除作业活动，未按规定向海事管理机构报告的处罚</w:t>
            </w:r>
          </w:p>
        </w:tc>
        <w:tc>
          <w:tcPr>
            <w:tcW w:w="451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中华人民共和国防治船舶污染内河水域环境管理规定》（交通运输部令2022年第26号）第四十六条：“违反本规定第十四条、第十五条、第二十一条有下列情形之一的，由海事管理机构责令改正，并处以3000元以上1万元以下的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（一）船舶未按规定如实记录油类作业、散装有毒液体物质作业、垃圾收集处理情况的；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（二）船舶未按规定保存《油类记录簿》《货物记录簿》和《船舶垃圾记录簿》的；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（三）船舶在港从事水上船舶清舱、洗舱、污染物接收、燃料供受、修造、打捞、污染清除作业活动，未按规定向海事管理机构报告的。”</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w:t>
            </w:r>
          </w:p>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处罚</w:t>
            </w:r>
          </w:p>
        </w:tc>
        <w:tc>
          <w:tcPr>
            <w:tcW w:w="87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19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gridSpan w:val="2"/>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gridSpan w:val="2"/>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gridSpan w:val="2"/>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gridSpan w:val="2"/>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gridSpan w:val="2"/>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gridSpan w:val="2"/>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1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gridSpan w:val="2"/>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195"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gridSpan w:val="2"/>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gridAfter w:val="1"/>
          <w:wAfter w:w="74" w:type="dxa"/>
          <w:trHeight w:val="556"/>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811"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gridAfter w:val="1"/>
          <w:wAfter w:w="74" w:type="dxa"/>
          <w:trHeight w:val="816"/>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811"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原因：根据《中华人民共和国防治船舶污染内河水域环境管理规定》（交通运输部令2022年第26号），增加此事项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659" w:type="dxa"/>
        <w:tblLayout w:type="fixed"/>
        <w:tblCellMar>
          <w:left w:w="15" w:type="dxa"/>
          <w:right w:w="15" w:type="dxa"/>
        </w:tblCellMar>
        <w:tblLook w:val="04A0"/>
      </w:tblPr>
      <w:tblGrid>
        <w:gridCol w:w="717"/>
        <w:gridCol w:w="2040"/>
        <w:gridCol w:w="4515"/>
        <w:gridCol w:w="675"/>
        <w:gridCol w:w="870"/>
        <w:gridCol w:w="4252"/>
        <w:gridCol w:w="1590"/>
      </w:tblGrid>
      <w:tr w:rsidR="0059130C">
        <w:trPr>
          <w:trHeight w:val="640"/>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51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7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25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152</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港口、码头、装卸站以及从事船舶修造、打捞等作业活动的单位未按规定配备污染防治设施、设备和器材的；从事水上船舶清舱、洗舱、污染物接收、燃料供受、修造、打捞、污染清除作业活动未遵守操作规程，未采取必要的防治污染措施的；运输及装卸、过驳散发有毒有害气体或者粉尘物质等货物，船舶未采取封闭或者其他防护措施，装卸和过驳作业双方未采取措施回收有毒有害气体的；未按规定采取布设围油栏或者其他防治污染替代措施的；）采取冲</w:t>
            </w:r>
            <w:proofErr w:type="gramStart"/>
            <w:r>
              <w:rPr>
                <w:rFonts w:ascii="仿宋_GB2312" w:eastAsia="仿宋_GB2312" w:hAnsi="仿宋_GB2312" w:cs="仿宋_GB2312" w:hint="eastAsia"/>
                <w:sz w:val="21"/>
                <w:szCs w:val="21"/>
                <w:lang/>
              </w:rPr>
              <w:t>滩方式</w:t>
            </w:r>
            <w:proofErr w:type="gramEnd"/>
            <w:r>
              <w:rPr>
                <w:rFonts w:ascii="仿宋_GB2312" w:eastAsia="仿宋_GB2312" w:hAnsi="仿宋_GB2312" w:cs="仿宋_GB2312" w:hint="eastAsia"/>
                <w:sz w:val="21"/>
                <w:szCs w:val="21"/>
                <w:lang/>
              </w:rPr>
              <w:t>进行船舶拆解作业的处罚</w:t>
            </w:r>
          </w:p>
          <w:p w:rsidR="0059130C" w:rsidRDefault="0059130C">
            <w:pPr>
              <w:pStyle w:val="a6"/>
              <w:spacing w:beforeAutospacing="0" w:afterAutospacing="0" w:line="240" w:lineRule="exact"/>
              <w:rPr>
                <w:rFonts w:ascii="仿宋_GB2312" w:eastAsia="仿宋_GB2312" w:hAnsi="仿宋_GB2312" w:cs="仿宋_GB2312"/>
                <w:sz w:val="21"/>
                <w:szCs w:val="21"/>
                <w:lang/>
              </w:rPr>
            </w:pPr>
          </w:p>
          <w:p w:rsidR="0059130C" w:rsidRDefault="0059130C">
            <w:pPr>
              <w:pStyle w:val="a6"/>
              <w:spacing w:beforeAutospacing="0" w:afterAutospacing="0" w:line="240" w:lineRule="exact"/>
              <w:rPr>
                <w:rFonts w:ascii="仿宋_GB2312" w:eastAsia="仿宋_GB2312" w:hAnsi="仿宋_GB2312" w:cs="仿宋_GB2312"/>
                <w:sz w:val="21"/>
                <w:szCs w:val="21"/>
                <w:lang/>
              </w:rPr>
            </w:pPr>
          </w:p>
        </w:tc>
        <w:tc>
          <w:tcPr>
            <w:tcW w:w="451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《中华人民共和国防治船舶污染内河水域环境管理规定》（交通运输部令2022年第26号）第四十七条：“ 违反本规定第八条、第二十一条、第二十四条、第二十七条、第三十一条，有下列情形之一的，由海事管理机构责令改正，并处以1万元以上3万元以下的罚款：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（一）港口、码头、装卸站以及从事船舶修造、打捞等作业活动的单位未按规定配备污染防治设施、设备和器材的；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（二）从事水上船舶清舱、洗舱、污染物接收、燃料供受、修造、打捞、污染清除作业活动未遵守操作规程，未采取必要的防治污染措施的；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（三）运输及装卸、过驳散发有毒有害气体或者粉尘物质等货物，船舶未采取封闭或者其他防护措施，装卸和过驳作业双方未采取措施回收有毒有害气体的；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（四）未按规定采取布设围油栏或者其他防治污染替代措施的；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（五）采取冲</w:t>
            </w:r>
            <w:proofErr w:type="gramStart"/>
            <w:r>
              <w:rPr>
                <w:rFonts w:ascii="仿宋_GB2312" w:eastAsia="仿宋_GB2312" w:hAnsi="仿宋_GB2312" w:cs="仿宋_GB2312" w:hint="eastAsia"/>
                <w:sz w:val="21"/>
                <w:szCs w:val="21"/>
                <w:lang/>
              </w:rPr>
              <w:t>滩方式</w:t>
            </w:r>
            <w:proofErr w:type="gramEnd"/>
            <w:r>
              <w:rPr>
                <w:rFonts w:ascii="仿宋_GB2312" w:eastAsia="仿宋_GB2312" w:hAnsi="仿宋_GB2312" w:cs="仿宋_GB2312" w:hint="eastAsia"/>
                <w:sz w:val="21"/>
                <w:szCs w:val="21"/>
                <w:lang/>
              </w:rPr>
              <w:t>进行船舶拆解作业的。”</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w:t>
            </w:r>
          </w:p>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处罚</w:t>
            </w:r>
          </w:p>
        </w:tc>
        <w:tc>
          <w:tcPr>
            <w:tcW w:w="87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252"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25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252"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556"/>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942"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816"/>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942"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原因：根据《中华人民共和国防治船舶污染内河水域环境管理规定》（交通运输部令2022年第26号），增加此事项</w:t>
            </w:r>
          </w:p>
        </w:tc>
      </w:tr>
    </w:tbl>
    <w:p w:rsidR="0059130C" w:rsidRDefault="0059130C">
      <w:pPr>
        <w:spacing w:line="240" w:lineRule="exact"/>
        <w:rPr>
          <w:rFonts w:ascii="仿宋_GB2312" w:eastAsia="仿宋_GB2312" w:hAnsi="仿宋_GB2312" w:cs="仿宋_GB2312"/>
          <w:szCs w:val="21"/>
        </w:rPr>
      </w:pPr>
    </w:p>
    <w:tbl>
      <w:tblPr>
        <w:tblW w:w="14546" w:type="dxa"/>
        <w:tblLayout w:type="fixed"/>
        <w:tblCellMar>
          <w:left w:w="15" w:type="dxa"/>
          <w:right w:w="15" w:type="dxa"/>
        </w:tblCellMar>
        <w:tblLook w:val="04A0"/>
      </w:tblPr>
      <w:tblGrid>
        <w:gridCol w:w="717"/>
        <w:gridCol w:w="2040"/>
        <w:gridCol w:w="4515"/>
        <w:gridCol w:w="675"/>
        <w:gridCol w:w="870"/>
        <w:gridCol w:w="4139"/>
        <w:gridCol w:w="1590"/>
      </w:tblGrid>
      <w:tr w:rsidR="0059130C">
        <w:trPr>
          <w:trHeight w:val="640"/>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51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7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139"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153</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从事有关作业活动的单位，未组织本单位相关作业人员进行专业培训的；船舶污染物接收单位未按规定向船方出具船舶污染物接收单证的；从事散装液体污染危害性货物装卸、过驳作业的，作业双方未按规定填写防污染检查表及落实防污染措施的处罚</w:t>
            </w:r>
          </w:p>
          <w:p w:rsidR="0059130C" w:rsidRDefault="0059130C">
            <w:pPr>
              <w:pStyle w:val="a6"/>
              <w:spacing w:beforeAutospacing="0" w:afterAutospacing="0" w:line="240" w:lineRule="exact"/>
              <w:rPr>
                <w:rFonts w:ascii="仿宋_GB2312" w:eastAsia="仿宋_GB2312" w:hAnsi="仿宋_GB2312" w:cs="仿宋_GB2312"/>
                <w:sz w:val="21"/>
                <w:szCs w:val="21"/>
                <w:lang/>
              </w:rPr>
            </w:pPr>
          </w:p>
        </w:tc>
        <w:tc>
          <w:tcPr>
            <w:tcW w:w="451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中华人民共和国防治船舶污染内河水域环境管理规定》（交通运输部令2022年第26号）第四十八条：“违反本规定第七条、第二十条、第二十五条、第二十六条，有下列情形之一的，由海事管理机构责令停止违法行为，并处以5000元以上1万元以下的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（一）从事有关作业活动的单位，未组织本单位相关作业人员进行专业培训的；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（二）船舶污染物接收单位未按规定向船方出具船舶污染物接收单证的；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（三）从事散装液体污染危害性货物装卸、过驳作业的，作业双方未按规定填写防污染检查表及落实防污染措施的。”</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w:t>
            </w:r>
          </w:p>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处罚</w:t>
            </w:r>
          </w:p>
        </w:tc>
        <w:tc>
          <w:tcPr>
            <w:tcW w:w="87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139"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590"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13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13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13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13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13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13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szCs w:val="21"/>
              </w:rPr>
            </w:pPr>
          </w:p>
        </w:tc>
      </w:tr>
      <w:tr w:rsidR="0059130C">
        <w:trPr>
          <w:trHeight w:val="23"/>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7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139"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szCs w:val="21"/>
              </w:rPr>
            </w:pPr>
          </w:p>
        </w:tc>
      </w:tr>
      <w:tr w:rsidR="0059130C">
        <w:trPr>
          <w:trHeight w:val="556"/>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8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816"/>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8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原因：根据《中华人民共和国防治船舶污染内河水域环境管理规定》（交通运输部令2022年第26号），增加此事项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569" w:type="dxa"/>
        <w:tblLayout w:type="fixed"/>
        <w:tblCellMar>
          <w:left w:w="15" w:type="dxa"/>
          <w:right w:w="15" w:type="dxa"/>
        </w:tblCellMar>
        <w:tblLook w:val="04A0"/>
      </w:tblPr>
      <w:tblGrid>
        <w:gridCol w:w="999"/>
        <w:gridCol w:w="1976"/>
        <w:gridCol w:w="4613"/>
        <w:gridCol w:w="990"/>
        <w:gridCol w:w="945"/>
        <w:gridCol w:w="3685"/>
        <w:gridCol w:w="1361"/>
      </w:tblGrid>
      <w:tr w:rsidR="0059130C">
        <w:trPr>
          <w:trHeight w:val="640"/>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61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9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94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68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154</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船舶未遵守特殊保护水域有关防污染的规定、标准的处罚</w:t>
            </w:r>
          </w:p>
        </w:tc>
        <w:tc>
          <w:tcPr>
            <w:tcW w:w="4613"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中华人民共和国防治船舶污染内河水域环境管理规定》（交通运输部令2022年第26号）第四十九条：“违反本规定第十条，船舶未遵守特殊保护水域有关防污染的规定、标准的，由海事管理机构责令停止违法行为，并处以1万元以上3万元以下的罚款。”</w:t>
            </w:r>
          </w:p>
        </w:tc>
        <w:tc>
          <w:tcPr>
            <w:tcW w:w="990"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94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368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368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368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368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368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368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368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3685"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397"/>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570"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397"/>
        </w:trPr>
        <w:tc>
          <w:tcPr>
            <w:tcW w:w="999"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570"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原因：根据《中华人民共和国防治船舶污染内河水域环境管理规定》（交通运输部令2022年第26号），增加此事项</w:t>
            </w:r>
          </w:p>
        </w:tc>
      </w:tr>
    </w:tbl>
    <w:p w:rsidR="0059130C" w:rsidRDefault="0059130C">
      <w:pPr>
        <w:spacing w:line="240" w:lineRule="exact"/>
        <w:rPr>
          <w:rFonts w:ascii="仿宋_GB2312" w:eastAsia="仿宋_GB2312" w:hAnsi="仿宋_GB2312" w:cs="仿宋_GB2312"/>
          <w:szCs w:val="21"/>
        </w:rPr>
      </w:pPr>
    </w:p>
    <w:tbl>
      <w:tblPr>
        <w:tblW w:w="14739" w:type="dxa"/>
        <w:tblLayout w:type="fixed"/>
        <w:tblCellMar>
          <w:left w:w="15" w:type="dxa"/>
          <w:right w:w="15" w:type="dxa"/>
        </w:tblCellMar>
        <w:tblLook w:val="04A0"/>
      </w:tblPr>
      <w:tblGrid>
        <w:gridCol w:w="999"/>
        <w:gridCol w:w="1976"/>
        <w:gridCol w:w="4613"/>
        <w:gridCol w:w="990"/>
        <w:gridCol w:w="945"/>
        <w:gridCol w:w="3855"/>
        <w:gridCol w:w="1361"/>
      </w:tblGrid>
      <w:tr w:rsidR="0059130C">
        <w:trPr>
          <w:trHeight w:val="640"/>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61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9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94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85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155</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载运污染危害性质不明的货物的处罚</w:t>
            </w:r>
          </w:p>
        </w:tc>
        <w:tc>
          <w:tcPr>
            <w:tcW w:w="4613"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中华人民共和国防治船舶污染内河水域环境管理规定》（交通运输部令2022年第26号）第五十条：“船舶违反本规定第二十三条规定载运污染危害性质不明的货物的，由海事管理机构责令改正，并对船舶处以5000元以上2万元以下的罚款。”</w:t>
            </w:r>
          </w:p>
        </w:tc>
        <w:tc>
          <w:tcPr>
            <w:tcW w:w="990"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94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385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385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385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385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385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385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385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3855"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567"/>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740"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567"/>
        </w:trPr>
        <w:tc>
          <w:tcPr>
            <w:tcW w:w="999"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740"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原因：根据《中华人民共和国防治船舶污染内河水域环境管理规定》（交通运输部令2022年第26号），增加此事项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569" w:type="dxa"/>
        <w:tblLayout w:type="fixed"/>
        <w:tblCellMar>
          <w:left w:w="15" w:type="dxa"/>
          <w:right w:w="15" w:type="dxa"/>
        </w:tblCellMar>
        <w:tblLook w:val="04A0"/>
      </w:tblPr>
      <w:tblGrid>
        <w:gridCol w:w="999"/>
        <w:gridCol w:w="1976"/>
        <w:gridCol w:w="4613"/>
        <w:gridCol w:w="990"/>
        <w:gridCol w:w="945"/>
        <w:gridCol w:w="3685"/>
        <w:gridCol w:w="1361"/>
      </w:tblGrid>
      <w:tr w:rsidR="0059130C">
        <w:trPr>
          <w:trHeight w:val="640"/>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61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9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94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68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156</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船舶发生污染事故，未按规定报告的或者未按规定提交《船舶污染事故报告书》的处罚</w:t>
            </w:r>
          </w:p>
        </w:tc>
        <w:tc>
          <w:tcPr>
            <w:tcW w:w="4613"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中华人民共和国防治船舶污染内河水域环境管理规定》（交通运输部令2022年第26号）第五十一条：“船舶发生污染事故，未按规定报告的或者未按规定提交《船舶污染事故报告书》的，由海事管理机构对船舶处以2万元以上3万元以下的罚款；对直接负责的主管人员和其他直接责任人员处以1万元以上2万元以下的罚款。”</w:t>
            </w:r>
          </w:p>
        </w:tc>
        <w:tc>
          <w:tcPr>
            <w:tcW w:w="990"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94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368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368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368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368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368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368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368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3685"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340"/>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570"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340"/>
        </w:trPr>
        <w:tc>
          <w:tcPr>
            <w:tcW w:w="999"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570"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原因：根据《中华人民共和国防治船舶污染内河水域环境管理规定》（交通运输部令2022年第26号），增加此事项</w:t>
            </w:r>
          </w:p>
        </w:tc>
      </w:tr>
    </w:tbl>
    <w:p w:rsidR="0059130C" w:rsidRDefault="0059130C">
      <w:pPr>
        <w:spacing w:line="240" w:lineRule="exact"/>
        <w:rPr>
          <w:rFonts w:ascii="仿宋_GB2312" w:eastAsia="仿宋_GB2312" w:hAnsi="仿宋_GB2312" w:cs="仿宋_GB2312"/>
          <w:szCs w:val="21"/>
        </w:rPr>
      </w:pPr>
    </w:p>
    <w:tbl>
      <w:tblPr>
        <w:tblW w:w="14128" w:type="dxa"/>
        <w:tblLayout w:type="fixed"/>
        <w:tblCellMar>
          <w:left w:w="15" w:type="dxa"/>
          <w:right w:w="15" w:type="dxa"/>
        </w:tblCellMar>
        <w:tblLook w:val="04A0"/>
      </w:tblPr>
      <w:tblGrid>
        <w:gridCol w:w="999"/>
        <w:gridCol w:w="1976"/>
        <w:gridCol w:w="4053"/>
        <w:gridCol w:w="544"/>
        <w:gridCol w:w="694"/>
        <w:gridCol w:w="4501"/>
        <w:gridCol w:w="1361"/>
      </w:tblGrid>
      <w:tr w:rsidR="0059130C">
        <w:trPr>
          <w:trHeight w:val="640"/>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05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544"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694"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50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157</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高速客船违反本</w:t>
            </w:r>
            <w:proofErr w:type="gramStart"/>
            <w:r>
              <w:rPr>
                <w:rFonts w:ascii="仿宋_GB2312" w:eastAsia="仿宋_GB2312" w:hAnsi="仿宋_GB2312" w:cs="仿宋_GB2312" w:hint="eastAsia"/>
                <w:sz w:val="21"/>
                <w:szCs w:val="21"/>
                <w:lang/>
              </w:rPr>
              <w:t>规则经</w:t>
            </w:r>
            <w:proofErr w:type="gramEnd"/>
            <w:r>
              <w:rPr>
                <w:rFonts w:ascii="仿宋_GB2312" w:eastAsia="仿宋_GB2312" w:hAnsi="仿宋_GB2312" w:cs="仿宋_GB2312" w:hint="eastAsia"/>
                <w:sz w:val="21"/>
                <w:szCs w:val="21"/>
                <w:lang/>
              </w:rPr>
              <w:t>海事管理机构处罚仍不改正的处罚</w:t>
            </w:r>
          </w:p>
        </w:tc>
        <w:tc>
          <w:tcPr>
            <w:tcW w:w="4053"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《中华人民共和国高速客船安全管理规则》（交通运输部令2022年第20号）第三十一条：“高速客船违反本规则经海事管理机构处罚仍不改正的，海事管理机构可责令其停航。”</w:t>
            </w:r>
          </w:p>
        </w:tc>
        <w:tc>
          <w:tcPr>
            <w:tcW w:w="544"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694"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501"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5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54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9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50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5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54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9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50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5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54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9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50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5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54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9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50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5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54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9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50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5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54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9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50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5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54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94"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501"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850"/>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850"/>
        </w:trPr>
        <w:tc>
          <w:tcPr>
            <w:tcW w:w="999"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原因：根据《中华人民共和国高速客船安全管理规则》（交通运输部令2022年第20号），增加此事项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128" w:type="dxa"/>
        <w:tblLayout w:type="fixed"/>
        <w:tblCellMar>
          <w:left w:w="15" w:type="dxa"/>
          <w:right w:w="15" w:type="dxa"/>
        </w:tblCellMar>
        <w:tblLook w:val="04A0"/>
      </w:tblPr>
      <w:tblGrid>
        <w:gridCol w:w="999"/>
        <w:gridCol w:w="1976"/>
        <w:gridCol w:w="4072"/>
        <w:gridCol w:w="694"/>
        <w:gridCol w:w="787"/>
        <w:gridCol w:w="4239"/>
        <w:gridCol w:w="1361"/>
      </w:tblGrid>
      <w:tr w:rsidR="0059130C">
        <w:trPr>
          <w:trHeight w:val="640"/>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07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94"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787"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239"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158</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船员未保持正规了望；未正确履行值班职责的；未正确履行值班职责的；不采用安全航速的；不按照</w:t>
            </w:r>
            <w:proofErr w:type="gramStart"/>
            <w:r>
              <w:rPr>
                <w:rFonts w:ascii="仿宋_GB2312" w:eastAsia="仿宋_GB2312" w:hAnsi="仿宋_GB2312" w:cs="仿宋_GB2312" w:hint="eastAsia"/>
                <w:sz w:val="21"/>
                <w:szCs w:val="21"/>
                <w:lang/>
              </w:rPr>
              <w:t>规定守听航行</w:t>
            </w:r>
            <w:proofErr w:type="gramEnd"/>
            <w:r>
              <w:rPr>
                <w:rFonts w:ascii="仿宋_GB2312" w:eastAsia="仿宋_GB2312" w:hAnsi="仿宋_GB2312" w:cs="仿宋_GB2312" w:hint="eastAsia"/>
                <w:sz w:val="21"/>
                <w:szCs w:val="21"/>
                <w:lang/>
              </w:rPr>
              <w:t>通信的；不按照规定测试、检修船舶设备的；发现或者发生险情、事故、保安事件或者影响航行安全的情况未及时报告的；未按照规定填写或者记载有关船舶法定文书的处罚</w:t>
            </w:r>
          </w:p>
        </w:tc>
        <w:tc>
          <w:tcPr>
            <w:tcW w:w="4072"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中华人民共和国内河船舶船员值班规则》（交通运输部令2020年第15号）第八十九条：“船员有下列行为之一的，依据《中华人民共和国船员条例》第五十二条，由海事管理机构处以1000元以上1万元以下罚款；情节严重的，并给予暂扣船员适任证书6个月以上24个月以下直至吊销船员适任证书的处罚：</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（一）未保持正规了望；</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（二）未正确履行值班职责；</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（三）未按照要求值班交接；</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（四）不采用安全航速；</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（五）不按照</w:t>
            </w:r>
            <w:proofErr w:type="gramStart"/>
            <w:r>
              <w:rPr>
                <w:rFonts w:ascii="仿宋_GB2312" w:eastAsia="仿宋_GB2312" w:hAnsi="仿宋_GB2312" w:cs="仿宋_GB2312" w:hint="eastAsia"/>
                <w:sz w:val="21"/>
                <w:szCs w:val="21"/>
                <w:lang/>
              </w:rPr>
              <w:t>规定守听航行</w:t>
            </w:r>
            <w:proofErr w:type="gramEnd"/>
            <w:r>
              <w:rPr>
                <w:rFonts w:ascii="仿宋_GB2312" w:eastAsia="仿宋_GB2312" w:hAnsi="仿宋_GB2312" w:cs="仿宋_GB2312" w:hint="eastAsia"/>
                <w:sz w:val="21"/>
                <w:szCs w:val="21"/>
                <w:lang/>
              </w:rPr>
              <w:t>通信；</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（六）不按照规定测试、检修船舶设备；</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（七）发现或者发生险情、事故、保安事件或者影响航行安全的情况未及时报告；</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（八）未按照规定填写或者记载有关船舶法定文书。”</w:t>
            </w:r>
          </w:p>
        </w:tc>
        <w:tc>
          <w:tcPr>
            <w:tcW w:w="694"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787"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239"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7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9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8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23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7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9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8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23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7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9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8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23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7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9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8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23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7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9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8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23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7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9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87"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23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7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9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87"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239"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624"/>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624"/>
        </w:trPr>
        <w:tc>
          <w:tcPr>
            <w:tcW w:w="999"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原因：根据《中华人民共和国高速客船安全管理规则》（交通运输部令2020年第15号），增加此事项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128" w:type="dxa"/>
        <w:tblLayout w:type="fixed"/>
        <w:tblCellMar>
          <w:left w:w="15" w:type="dxa"/>
          <w:right w:w="15" w:type="dxa"/>
        </w:tblCellMar>
        <w:tblLook w:val="04A0"/>
      </w:tblPr>
      <w:tblGrid>
        <w:gridCol w:w="999"/>
        <w:gridCol w:w="1976"/>
        <w:gridCol w:w="3809"/>
        <w:gridCol w:w="675"/>
        <w:gridCol w:w="900"/>
        <w:gridCol w:w="4408"/>
        <w:gridCol w:w="1361"/>
      </w:tblGrid>
      <w:tr w:rsidR="0059130C">
        <w:trPr>
          <w:trHeight w:val="640"/>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3809"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90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408"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159</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航行条件复杂和情况紧急时船长未亲自操纵船舶</w:t>
            </w:r>
            <w:proofErr w:type="gramStart"/>
            <w:r>
              <w:rPr>
                <w:rFonts w:ascii="仿宋_GB2312" w:eastAsia="仿宋_GB2312" w:hAnsi="仿宋_GB2312" w:cs="仿宋_GB2312" w:hint="eastAsia"/>
                <w:sz w:val="21"/>
                <w:szCs w:val="21"/>
                <w:lang/>
              </w:rPr>
              <w:t>或者监航的</w:t>
            </w:r>
            <w:proofErr w:type="gramEnd"/>
            <w:r>
              <w:rPr>
                <w:rFonts w:ascii="仿宋_GB2312" w:eastAsia="仿宋_GB2312" w:hAnsi="仿宋_GB2312" w:cs="仿宋_GB2312" w:hint="eastAsia"/>
                <w:sz w:val="21"/>
                <w:szCs w:val="21"/>
                <w:lang/>
              </w:rPr>
              <w:t>；未根据航次任务落实好开航前的各项准备工作的；未按规定保障船员充分休息的；安排船员值班期间承担影响其值班的其他工作的处罚</w:t>
            </w:r>
          </w:p>
          <w:p w:rsidR="0059130C" w:rsidRDefault="0059130C">
            <w:pPr>
              <w:pStyle w:val="a6"/>
              <w:spacing w:beforeAutospacing="0" w:afterAutospacing="0" w:line="240" w:lineRule="exact"/>
              <w:rPr>
                <w:rFonts w:ascii="仿宋_GB2312" w:eastAsia="仿宋_GB2312" w:hAnsi="仿宋_GB2312" w:cs="仿宋_GB2312"/>
                <w:sz w:val="21"/>
                <w:szCs w:val="21"/>
                <w:lang/>
              </w:rPr>
            </w:pPr>
          </w:p>
        </w:tc>
        <w:tc>
          <w:tcPr>
            <w:tcW w:w="3809"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中华人民共和国内河船舶船员值班规则》（交通运输部令2020年第15号）第九十条：“船长有下列情形之一的，依据《中华人民共和国船员条例》第五十三条，由海事管理机构处以2000元以上2万元以下罚款；情节严重的，并给予暂扣船员适任证书6个月以上24个月以下直至吊销船员适任证书的处罚：</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（一）航行条件复杂和情况紧急时未亲自操纵船舶或者监航；</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（二）未根据航次任务落实好开航前的各项准备工作；</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（三）未按规定保障船员充分休息；</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（四）安排船员值班期间承担影响其值班的其他工作。”</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90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408"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809"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0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40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809"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0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40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809"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0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40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809"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0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40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809"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0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40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809"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0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40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809"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0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408"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737"/>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737"/>
        </w:trPr>
        <w:tc>
          <w:tcPr>
            <w:tcW w:w="999"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原因：根据《中华人民共和国内河船舶船员值班规则》（交通运输部令2020年第15号），增加此事项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128" w:type="dxa"/>
        <w:tblLayout w:type="fixed"/>
        <w:tblCellMar>
          <w:left w:w="15" w:type="dxa"/>
          <w:right w:w="15" w:type="dxa"/>
        </w:tblCellMar>
        <w:tblLook w:val="04A0"/>
      </w:tblPr>
      <w:tblGrid>
        <w:gridCol w:w="999"/>
        <w:gridCol w:w="1976"/>
        <w:gridCol w:w="4034"/>
        <w:gridCol w:w="694"/>
        <w:gridCol w:w="825"/>
        <w:gridCol w:w="4239"/>
        <w:gridCol w:w="1361"/>
      </w:tblGrid>
      <w:tr w:rsidR="0059130C">
        <w:trPr>
          <w:trHeight w:val="640"/>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034"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94"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2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239"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160</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隐瞒有关情况或者提供虚假材料，以欺骗或者其他不正当手段取得许可证的处罚</w:t>
            </w:r>
          </w:p>
        </w:tc>
        <w:tc>
          <w:tcPr>
            <w:tcW w:w="4034"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中华人民共和国水上水下作业和活动通航安全管理规定》（交通运输部令2021年第24号）第三十条：“违反本规定，隐瞒有关情况或者提供虚假材料，以欺骗或者其他不正当手段取得许可证的，由海事管理机构撤销其水上水下作业或者活动许可，收回其许可证，处5000元以上3万元以下的罚款。”</w:t>
            </w:r>
          </w:p>
        </w:tc>
        <w:tc>
          <w:tcPr>
            <w:tcW w:w="694"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82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239"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34"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9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23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34"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9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23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34"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9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23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34"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9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23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34"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9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23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34"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94"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23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34"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9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25"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239"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567"/>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567"/>
        </w:trPr>
        <w:tc>
          <w:tcPr>
            <w:tcW w:w="999"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原因：根据《中华人民共和国内河船舶船员值班规则》（交通运输部令2021年第24号），增加此事项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626" w:type="dxa"/>
        <w:tblLayout w:type="fixed"/>
        <w:tblCellMar>
          <w:left w:w="15" w:type="dxa"/>
          <w:right w:w="15" w:type="dxa"/>
        </w:tblCellMar>
        <w:tblLook w:val="04A0"/>
      </w:tblPr>
      <w:tblGrid>
        <w:gridCol w:w="999"/>
        <w:gridCol w:w="1976"/>
        <w:gridCol w:w="4613"/>
        <w:gridCol w:w="990"/>
        <w:gridCol w:w="945"/>
        <w:gridCol w:w="3742"/>
        <w:gridCol w:w="1361"/>
      </w:tblGrid>
      <w:tr w:rsidR="0059130C">
        <w:trPr>
          <w:trHeight w:val="640"/>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61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9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94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74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611"/>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161</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船舶、海上设施未取得许可证或者使用涂改、非法受让的许可证从事施工作业的；未按照许可明确的作业方案、保障措施、应急预案和责任制度相关要求开展施工作业的；超出核定的安全作业区进行施工作业的；从事可能影响海上交通安全的水上水下活动，未按规定提前报告海事管理机构的处罚</w:t>
            </w:r>
          </w:p>
          <w:p w:rsidR="0059130C" w:rsidRDefault="0059130C">
            <w:pPr>
              <w:pStyle w:val="a6"/>
              <w:spacing w:beforeAutospacing="0" w:afterAutospacing="0" w:line="240" w:lineRule="exact"/>
              <w:rPr>
                <w:rFonts w:ascii="仿宋_GB2312" w:eastAsia="仿宋_GB2312" w:hAnsi="仿宋_GB2312" w:cs="仿宋_GB2312"/>
                <w:sz w:val="21"/>
                <w:szCs w:val="21"/>
                <w:lang/>
              </w:rPr>
            </w:pPr>
          </w:p>
          <w:p w:rsidR="0059130C" w:rsidRDefault="0059130C">
            <w:pPr>
              <w:pStyle w:val="a6"/>
              <w:spacing w:beforeAutospacing="0" w:afterAutospacing="0" w:line="240" w:lineRule="exact"/>
              <w:rPr>
                <w:rFonts w:ascii="仿宋_GB2312" w:eastAsia="仿宋_GB2312" w:hAnsi="仿宋_GB2312" w:cs="仿宋_GB2312"/>
                <w:sz w:val="21"/>
                <w:szCs w:val="21"/>
                <w:lang/>
              </w:rPr>
            </w:pPr>
          </w:p>
        </w:tc>
        <w:tc>
          <w:tcPr>
            <w:tcW w:w="4613"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中华人民共和国水上水下作业和活动通航安全管理规定》（交通运输部令2021年第24号）第三十一条：“在管辖海域内有下列情形之一的，海事管理机构应当责令改正，对违法船舶、海上设施的所有人、经营人或者管理人处3万元以上30万元以下的罚款，对船长、责任船员处3000元以上3万元以下的罚款，或者暂扣船员适任证书6个月至12个月；情节严重的，吊销船长、责任船员的船员适任证书。</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（一）船舶、海上设施未取得许可证或者使用涂改、非法受让的许可证从事施工作业的；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（二）未按照许可明确的作业方案、保障措施、应急预案和责任制度相关要求开展施工作业的；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（三）超出核定的安全作业区进行施工作业的。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从事可能影响海上交通安全的水上水下活动，未按规定提前报告海事管理机构的，由海事管理机构对违法船舶、海上设施的所有人、经营人或者管理人处1万元以上3万元以下的罚款，对船长、责任船员处2000元以上2万元以下的罚款。”</w:t>
            </w:r>
          </w:p>
        </w:tc>
        <w:tc>
          <w:tcPr>
            <w:tcW w:w="990"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94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3742"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915"/>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809"/>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675"/>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790"/>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618"/>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654"/>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326"/>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3742"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397"/>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627"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397"/>
        </w:trPr>
        <w:tc>
          <w:tcPr>
            <w:tcW w:w="999"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627"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原因：根据《中华人民共和国水上水下作业和活动通航安全管理规定》（交通运输部令2021年第24号），增加此事项</w:t>
            </w:r>
          </w:p>
        </w:tc>
      </w:tr>
    </w:tbl>
    <w:p w:rsidR="0059130C" w:rsidRDefault="0059130C">
      <w:pPr>
        <w:spacing w:line="240" w:lineRule="exact"/>
        <w:rPr>
          <w:rFonts w:ascii="仿宋_GB2312" w:eastAsia="仿宋_GB2312" w:hAnsi="仿宋_GB2312" w:cs="仿宋_GB2312"/>
          <w:szCs w:val="21"/>
        </w:rPr>
      </w:pPr>
    </w:p>
    <w:tbl>
      <w:tblPr>
        <w:tblW w:w="14682" w:type="dxa"/>
        <w:tblLayout w:type="fixed"/>
        <w:tblCellMar>
          <w:left w:w="15" w:type="dxa"/>
          <w:right w:w="15" w:type="dxa"/>
        </w:tblCellMar>
        <w:tblLook w:val="04A0"/>
      </w:tblPr>
      <w:tblGrid>
        <w:gridCol w:w="999"/>
        <w:gridCol w:w="1976"/>
        <w:gridCol w:w="4613"/>
        <w:gridCol w:w="990"/>
        <w:gridCol w:w="945"/>
        <w:gridCol w:w="3798"/>
        <w:gridCol w:w="1361"/>
      </w:tblGrid>
      <w:tr w:rsidR="0059130C">
        <w:trPr>
          <w:trHeight w:val="640"/>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61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9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94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798"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162</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在内河通航水域或者岸线上进行水上水下作业或者活动未取得许可证擅自进行水上水下作业或者活动的；使用涂改或者非法受让的许可证进行水上水下作业或者活动的；未按照本规定报备水上水下作业的；擅自扩大作业或者活动水域范围的处罚</w:t>
            </w:r>
          </w:p>
        </w:tc>
        <w:tc>
          <w:tcPr>
            <w:tcW w:w="4613"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中华人民共和国水上水下作业和活动通航安全管理规定》（交通运输部令2021年第24号）第三十二条：“在内河通航水域或者岸线上进行水上水下作业或者活动，有下列情形之一的，海事管理机构应当责令立即停止作业或者活动，责令限期改正，处5000元以上5万元以下的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（一）未取得许可证擅自进行水上水下作业或者活动的；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（二）使用涂改或者非法受让的许可证进行水上水下作业或者活动的；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（三）未按照本规定报备水上水下作业的；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（四）擅自扩大作业或者活动水域范围的。”</w:t>
            </w:r>
          </w:p>
        </w:tc>
        <w:tc>
          <w:tcPr>
            <w:tcW w:w="990"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94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3798"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379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379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379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379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379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379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3798"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510"/>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683"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510"/>
        </w:trPr>
        <w:tc>
          <w:tcPr>
            <w:tcW w:w="999"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683"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原因：根据《中华人民共和国水上水下作业和活动通航安全管理规定》（交通运输部令2021年第24号），增加此事项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128" w:type="dxa"/>
        <w:tblLayout w:type="fixed"/>
        <w:tblCellMar>
          <w:left w:w="15" w:type="dxa"/>
          <w:right w:w="15" w:type="dxa"/>
        </w:tblCellMar>
        <w:tblLook w:val="04A0"/>
      </w:tblPr>
      <w:tblGrid>
        <w:gridCol w:w="999"/>
        <w:gridCol w:w="1976"/>
        <w:gridCol w:w="4034"/>
        <w:gridCol w:w="657"/>
        <w:gridCol w:w="712"/>
        <w:gridCol w:w="4389"/>
        <w:gridCol w:w="1361"/>
      </w:tblGrid>
      <w:tr w:rsidR="0059130C">
        <w:trPr>
          <w:trHeight w:val="640"/>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034"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57"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71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389"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163</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未按有关规定申请发布航行警告、航行通告即行</w:t>
            </w:r>
            <w:proofErr w:type="gramStart"/>
            <w:r>
              <w:rPr>
                <w:rFonts w:ascii="仿宋_GB2312" w:eastAsia="仿宋_GB2312" w:hAnsi="仿宋_GB2312" w:cs="仿宋_GB2312" w:hint="eastAsia"/>
                <w:sz w:val="21"/>
                <w:szCs w:val="21"/>
                <w:lang/>
              </w:rPr>
              <w:t>实施水</w:t>
            </w:r>
            <w:proofErr w:type="gramEnd"/>
            <w:r>
              <w:rPr>
                <w:rFonts w:ascii="仿宋_GB2312" w:eastAsia="仿宋_GB2312" w:hAnsi="仿宋_GB2312" w:cs="仿宋_GB2312" w:hint="eastAsia"/>
                <w:sz w:val="21"/>
                <w:szCs w:val="21"/>
                <w:lang/>
              </w:rPr>
              <w:t>上水下作业或者活动的；水上水下作业或者活动与航行警告、航行通告中公告的内容不符的处罚</w:t>
            </w:r>
          </w:p>
        </w:tc>
        <w:tc>
          <w:tcPr>
            <w:tcW w:w="4034"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《中华人民共和国水上水下作业和活动通航安全管理规定》（交通运输部令2021年第24号）第三十三条：“有下列情形之一的，海事管理机构应当责令停止作业或者活动，可以处2000元以下的罚款：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（一）未按有关规定申请发布航行警告、航行通告即行</w:t>
            </w:r>
            <w:proofErr w:type="gramStart"/>
            <w:r>
              <w:rPr>
                <w:rFonts w:ascii="仿宋_GB2312" w:eastAsia="仿宋_GB2312" w:hAnsi="仿宋_GB2312" w:cs="仿宋_GB2312" w:hint="eastAsia"/>
                <w:sz w:val="21"/>
                <w:szCs w:val="21"/>
                <w:lang/>
              </w:rPr>
              <w:t>实施水</w:t>
            </w:r>
            <w:proofErr w:type="gramEnd"/>
            <w:r>
              <w:rPr>
                <w:rFonts w:ascii="仿宋_GB2312" w:eastAsia="仿宋_GB2312" w:hAnsi="仿宋_GB2312" w:cs="仿宋_GB2312" w:hint="eastAsia"/>
                <w:sz w:val="21"/>
                <w:szCs w:val="21"/>
                <w:lang/>
              </w:rPr>
              <w:t>上水下作业或者活动的；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（二）水上水下作业或者活动与航行警告、航行通告中公告的内容不符的。”</w:t>
            </w:r>
          </w:p>
        </w:tc>
        <w:tc>
          <w:tcPr>
            <w:tcW w:w="657"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712"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389"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34"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57"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1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38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34"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57"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1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38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34"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57"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1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38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34"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57"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1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38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34"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57"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1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38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34"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57"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1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38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034"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57"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12"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389"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624"/>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624"/>
        </w:trPr>
        <w:tc>
          <w:tcPr>
            <w:tcW w:w="999"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原因：根据《中华人民共和国水上水下作业和活动通航安全管理规定》（交通运输部令2021年第24号），增加此事项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128" w:type="dxa"/>
        <w:tblLayout w:type="fixed"/>
        <w:tblCellMar>
          <w:left w:w="15" w:type="dxa"/>
          <w:right w:w="15" w:type="dxa"/>
        </w:tblCellMar>
        <w:tblLook w:val="04A0"/>
      </w:tblPr>
      <w:tblGrid>
        <w:gridCol w:w="999"/>
        <w:gridCol w:w="1976"/>
        <w:gridCol w:w="3566"/>
        <w:gridCol w:w="712"/>
        <w:gridCol w:w="919"/>
        <w:gridCol w:w="4595"/>
        <w:gridCol w:w="1361"/>
      </w:tblGrid>
      <w:tr w:rsidR="0059130C">
        <w:trPr>
          <w:trHeight w:val="640"/>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356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71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919"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59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164</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建设单位、主办单位或者施工单位在管辖海域内未对有碍航行和作业安全的隐患采取设置标志、显示信号等措施的；建设单位、主办单位或者施工单位在内河通航水域或者岸线水上水下作业或者活动，未按照规定采取设置标志、显示信号等措施的处罚</w:t>
            </w:r>
          </w:p>
        </w:tc>
        <w:tc>
          <w:tcPr>
            <w:tcW w:w="356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中华人民共和国水上水下作业和活动通航安全管理规定》（交通运输部令2021年第24号）第三十五条：“违反本规定，建设单位、主办单位或者施工单位在管辖海域内未对有碍航行和作业安全的隐患采取设置标志、显示信号等措施的，海事管理机构应当责令改正，处2万元以上20万元以下的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建设单位、主办单位或者施工单位在内河通航水域或者岸线水上水下作业或者活动，未按照规定采取设置标志、显示信号等措施的，海事管理机构应当责令改正，处5000元以上5万元以下的罚款。”</w:t>
            </w:r>
          </w:p>
        </w:tc>
        <w:tc>
          <w:tcPr>
            <w:tcW w:w="712"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919"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59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56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1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1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5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56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1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1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5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56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1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1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5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56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1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1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5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56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1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1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5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56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12"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19"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5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56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12"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19"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595"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794"/>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794"/>
        </w:trPr>
        <w:tc>
          <w:tcPr>
            <w:tcW w:w="999"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原因：根据《中华人民共和国水上水下作业和活动通航安全管理规定》（交通运输部令2021年第24号），增加此事项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682" w:type="dxa"/>
        <w:tblLayout w:type="fixed"/>
        <w:tblCellMar>
          <w:left w:w="15" w:type="dxa"/>
          <w:right w:w="15" w:type="dxa"/>
        </w:tblCellMar>
        <w:tblLook w:val="04A0"/>
      </w:tblPr>
      <w:tblGrid>
        <w:gridCol w:w="999"/>
        <w:gridCol w:w="1976"/>
        <w:gridCol w:w="4613"/>
        <w:gridCol w:w="990"/>
        <w:gridCol w:w="945"/>
        <w:gridCol w:w="3798"/>
        <w:gridCol w:w="1361"/>
      </w:tblGrid>
      <w:tr w:rsidR="0059130C">
        <w:trPr>
          <w:trHeight w:val="640"/>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61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9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94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798"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508"/>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165</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浮桥渡运企违规行为处罚</w:t>
            </w:r>
          </w:p>
        </w:tc>
        <w:tc>
          <w:tcPr>
            <w:tcW w:w="4613"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河南省浮桥管理办法》（河南省人民政府令2017年第179号）第二十七条：“浮桥渡运企业违反本办法第十四条或者第十六条规定的,由县级以上水路交通管理机构责令限期改正;逾期未改正的,处1000元以上5000元以下的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《河南省浮桥管理办法》（河南省人民政府令2017年第179号）第十四条：“浮桥应当设置非机动车和行人通道、拦车杆、安全通行标牌和限速、限载、限重、限高、限距、限宽等标志牌及人员安全警示标志。</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浮桥两侧应当设置安全可靠的护栏，配备足够的救生、消防、照明设备。浮桥用电线路及其敷设应符合有关技术规定。”</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《河南省浮桥管理办法》（河南省人民政府令2017年第179号）第十六条：“浮桥渡运企业应当按照规定向交通运输行政主管部门报送统计资料。</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浮桥渡运企业应当建立浮桥安全资料档案，并确保档案资料完整、准确、有效。监控视频资料保存期限不得少于30日。”</w:t>
            </w:r>
          </w:p>
        </w:tc>
        <w:tc>
          <w:tcPr>
            <w:tcW w:w="990"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94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3798"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890"/>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379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595"/>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379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815"/>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379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730"/>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379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660"/>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379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1272"/>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379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3798"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397"/>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683"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397"/>
        </w:trPr>
        <w:tc>
          <w:tcPr>
            <w:tcW w:w="999"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683"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原因：根据《河南省浮桥管理办法》（河南省人民政府令2017年第179号），增加此事项</w:t>
            </w:r>
          </w:p>
        </w:tc>
      </w:tr>
    </w:tbl>
    <w:p w:rsidR="0059130C" w:rsidRDefault="0059130C">
      <w:pPr>
        <w:spacing w:line="240" w:lineRule="exact"/>
        <w:rPr>
          <w:rFonts w:ascii="仿宋_GB2312" w:eastAsia="仿宋_GB2312" w:hAnsi="仿宋_GB2312" w:cs="仿宋_GB2312"/>
          <w:szCs w:val="21"/>
        </w:rPr>
      </w:pPr>
    </w:p>
    <w:tbl>
      <w:tblPr>
        <w:tblW w:w="14128" w:type="dxa"/>
        <w:tblLayout w:type="fixed"/>
        <w:tblCellMar>
          <w:left w:w="15" w:type="dxa"/>
          <w:right w:w="15" w:type="dxa"/>
        </w:tblCellMar>
        <w:tblLook w:val="04A0"/>
      </w:tblPr>
      <w:tblGrid>
        <w:gridCol w:w="999"/>
        <w:gridCol w:w="1976"/>
        <w:gridCol w:w="3866"/>
        <w:gridCol w:w="693"/>
        <w:gridCol w:w="713"/>
        <w:gridCol w:w="4520"/>
        <w:gridCol w:w="1361"/>
      </w:tblGrid>
      <w:tr w:rsidR="0059130C">
        <w:trPr>
          <w:trHeight w:val="640"/>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386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9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71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52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166</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浮桥渡运企业未配备拖带船舶和设置视频监控、计量装置的;未建立安全管理制度和配备安全管理人员的;未建立应急机制或者未及时报告浮桥安全事故的;对营运客车、超过浮桥限定吨位的车辆、超限超载车辆、运输剧毒化学品的车辆通过浮桥不予制止,或者不落实车辆单车单向通过要求的处罚</w:t>
            </w:r>
          </w:p>
          <w:p w:rsidR="0059130C" w:rsidRDefault="0059130C">
            <w:pPr>
              <w:pStyle w:val="a6"/>
              <w:spacing w:beforeAutospacing="0" w:afterAutospacing="0" w:line="240" w:lineRule="exact"/>
              <w:rPr>
                <w:rFonts w:ascii="仿宋_GB2312" w:eastAsia="仿宋_GB2312" w:hAnsi="仿宋_GB2312" w:cs="仿宋_GB2312"/>
                <w:sz w:val="21"/>
                <w:szCs w:val="21"/>
                <w:lang/>
              </w:rPr>
            </w:pPr>
          </w:p>
        </w:tc>
        <w:tc>
          <w:tcPr>
            <w:tcW w:w="386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《河南省浮桥管理办法》（河南省人民政府令2017年第179号）第二十八条：“浮桥渡运企业违反本办法,有下列行为之一的,由县级以上水路交通管理机构责令改正,并处2000元以上1万元以下的罚款: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w:t>
            </w:r>
            <w:proofErr w:type="gramStart"/>
            <w:r>
              <w:rPr>
                <w:rFonts w:ascii="仿宋_GB2312" w:eastAsia="仿宋_GB2312" w:hAnsi="仿宋_GB2312" w:cs="仿宋_GB2312" w:hint="eastAsia"/>
                <w:sz w:val="21"/>
                <w:szCs w:val="21"/>
                <w:lang/>
              </w:rPr>
              <w:t>一</w:t>
            </w:r>
            <w:proofErr w:type="gramEnd"/>
            <w:r>
              <w:rPr>
                <w:rFonts w:ascii="仿宋_GB2312" w:eastAsia="仿宋_GB2312" w:hAnsi="仿宋_GB2312" w:cs="仿宋_GB2312" w:hint="eastAsia"/>
                <w:sz w:val="21"/>
                <w:szCs w:val="21"/>
                <w:lang/>
              </w:rPr>
              <w:t>)未配备拖带船舶和设置视频监控、计量装置的;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(二)未建立安全管理制度和配备安全管理人员的;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(三)未建立应急机制或者未及时报告浮桥安全事故的;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(四)对营运客车、超过浮桥限定吨位的车辆、超限超载车辆、运输剧毒化学品的车辆通过浮桥不予制止,或者不落实车辆单车单向通过要求的。”</w:t>
            </w:r>
          </w:p>
        </w:tc>
        <w:tc>
          <w:tcPr>
            <w:tcW w:w="693"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713"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52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86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9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1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52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86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9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1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52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86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9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1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52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86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9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1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52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86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9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1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52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86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9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1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52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86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9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13"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520"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794"/>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794"/>
        </w:trPr>
        <w:tc>
          <w:tcPr>
            <w:tcW w:w="999"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原因：根据《河南省浮桥管理办法》（河南省人民政府令2017年第179号），增加此事项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626" w:type="dxa"/>
        <w:tblLayout w:type="fixed"/>
        <w:tblCellMar>
          <w:left w:w="15" w:type="dxa"/>
          <w:right w:w="15" w:type="dxa"/>
        </w:tblCellMar>
        <w:tblLook w:val="04A0"/>
      </w:tblPr>
      <w:tblGrid>
        <w:gridCol w:w="999"/>
        <w:gridCol w:w="1976"/>
        <w:gridCol w:w="4613"/>
        <w:gridCol w:w="990"/>
        <w:gridCol w:w="945"/>
        <w:gridCol w:w="3742"/>
        <w:gridCol w:w="1361"/>
      </w:tblGrid>
      <w:tr w:rsidR="0059130C">
        <w:trPr>
          <w:trHeight w:val="640"/>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61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9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94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74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167</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超载运输货物、旅客,或者违反国家规定运输禁运、限运的货物的;跨航区、航线运输的;运载牛、马等大牲畜时,同时搭载其他乘客;运载机动车辆时,未进行人车分离的处罚</w:t>
            </w:r>
          </w:p>
          <w:p w:rsidR="0059130C" w:rsidRDefault="0059130C">
            <w:pPr>
              <w:pStyle w:val="a6"/>
              <w:spacing w:beforeAutospacing="0" w:afterAutospacing="0" w:line="240" w:lineRule="exact"/>
              <w:rPr>
                <w:rFonts w:ascii="仿宋_GB2312" w:eastAsia="仿宋_GB2312" w:hAnsi="仿宋_GB2312" w:cs="仿宋_GB2312"/>
                <w:sz w:val="21"/>
                <w:szCs w:val="21"/>
                <w:lang/>
              </w:rPr>
            </w:pPr>
          </w:p>
        </w:tc>
        <w:tc>
          <w:tcPr>
            <w:tcW w:w="4613"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河南省水路交通管理办法》（河南省人民政府令2011年第138号）第三十六条：“违反本办法规定,有下列行为之一的,由交通运输执法人员按照规定采取相应的强制措施,及时纠正违法行为,消除安全隐患;对船舶经营人或者所有人由县级以上交通运输行政主管部门处以500元以上2000元以下的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w:t>
            </w:r>
            <w:proofErr w:type="gramStart"/>
            <w:r>
              <w:rPr>
                <w:rFonts w:ascii="仿宋_GB2312" w:eastAsia="仿宋_GB2312" w:hAnsi="仿宋_GB2312" w:cs="仿宋_GB2312" w:hint="eastAsia"/>
                <w:sz w:val="21"/>
                <w:szCs w:val="21"/>
                <w:lang/>
              </w:rPr>
              <w:t>一</w:t>
            </w:r>
            <w:proofErr w:type="gramEnd"/>
            <w:r>
              <w:rPr>
                <w:rFonts w:ascii="仿宋_GB2312" w:eastAsia="仿宋_GB2312" w:hAnsi="仿宋_GB2312" w:cs="仿宋_GB2312" w:hint="eastAsia"/>
                <w:sz w:val="21"/>
                <w:szCs w:val="21"/>
                <w:lang/>
              </w:rPr>
              <w:t>)超载运输货物、旅客,或者违反国家规定运输禁运、限运的货物的;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(二)跨航区、航线运输的;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(三)运载牛、马等大牲畜时,同时搭载其他乘客;运载机动车辆时,未进行人车分离的。”</w:t>
            </w:r>
          </w:p>
        </w:tc>
        <w:tc>
          <w:tcPr>
            <w:tcW w:w="990"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94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3742"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3742"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510"/>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627"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510"/>
        </w:trPr>
        <w:tc>
          <w:tcPr>
            <w:tcW w:w="999"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627"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原因：根据《河南省水路交通管理办法》（河南省人民政府令2011年第138号），增加此事项</w:t>
            </w:r>
          </w:p>
        </w:tc>
      </w:tr>
    </w:tbl>
    <w:p w:rsidR="0059130C" w:rsidRDefault="0059130C">
      <w:pPr>
        <w:spacing w:line="240" w:lineRule="exact"/>
        <w:rPr>
          <w:rFonts w:ascii="仿宋_GB2312" w:eastAsia="仿宋_GB2312" w:hAnsi="仿宋_GB2312" w:cs="仿宋_GB2312"/>
          <w:szCs w:val="21"/>
        </w:rPr>
      </w:pPr>
    </w:p>
    <w:tbl>
      <w:tblPr>
        <w:tblW w:w="14128" w:type="dxa"/>
        <w:tblLayout w:type="fixed"/>
        <w:tblCellMar>
          <w:left w:w="15" w:type="dxa"/>
          <w:right w:w="15" w:type="dxa"/>
        </w:tblCellMar>
        <w:tblLook w:val="04A0"/>
      </w:tblPr>
      <w:tblGrid>
        <w:gridCol w:w="999"/>
        <w:gridCol w:w="1976"/>
        <w:gridCol w:w="3828"/>
        <w:gridCol w:w="750"/>
        <w:gridCol w:w="863"/>
        <w:gridCol w:w="4351"/>
        <w:gridCol w:w="1361"/>
      </w:tblGrid>
      <w:tr w:rsidR="0059130C">
        <w:trPr>
          <w:trHeight w:val="640"/>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3828"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75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86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35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168</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夜航或者在浓雾、暴雨、大风等达不到适航要求的条件下航行的;非客运船舶载客的;不具备驾驶资格的人员驾驶船舶的处罚</w:t>
            </w:r>
          </w:p>
          <w:p w:rsidR="0059130C" w:rsidRDefault="0059130C">
            <w:pPr>
              <w:pStyle w:val="a6"/>
              <w:spacing w:beforeAutospacing="0" w:afterAutospacing="0" w:line="240" w:lineRule="exact"/>
              <w:rPr>
                <w:rFonts w:ascii="仿宋_GB2312" w:eastAsia="仿宋_GB2312" w:hAnsi="仿宋_GB2312" w:cs="仿宋_GB2312"/>
                <w:sz w:val="21"/>
                <w:szCs w:val="21"/>
                <w:lang/>
              </w:rPr>
            </w:pPr>
          </w:p>
          <w:p w:rsidR="0059130C" w:rsidRDefault="0059130C">
            <w:pPr>
              <w:pStyle w:val="a6"/>
              <w:spacing w:beforeAutospacing="0" w:afterAutospacing="0" w:line="240" w:lineRule="exact"/>
              <w:rPr>
                <w:rFonts w:ascii="仿宋_GB2312" w:eastAsia="仿宋_GB2312" w:hAnsi="仿宋_GB2312" w:cs="仿宋_GB2312"/>
                <w:sz w:val="21"/>
                <w:szCs w:val="21"/>
                <w:lang/>
              </w:rPr>
            </w:pPr>
          </w:p>
        </w:tc>
        <w:tc>
          <w:tcPr>
            <w:tcW w:w="3828"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河南省水路交通管理办法》（河南省人民政府令2011年第138号）第三十七条：“违反本办法规定,有下列行为之一的,由交通运输执法人员按照规定采取相应的强制措施,及时纠正违法行为,消除安全隐患;对船舶经营人或者所有人由县级以上交通运输行政主管部门处以2000元以上10000元以下的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w:t>
            </w:r>
            <w:proofErr w:type="gramStart"/>
            <w:r>
              <w:rPr>
                <w:rFonts w:ascii="仿宋_GB2312" w:eastAsia="仿宋_GB2312" w:hAnsi="仿宋_GB2312" w:cs="仿宋_GB2312" w:hint="eastAsia"/>
                <w:sz w:val="21"/>
                <w:szCs w:val="21"/>
                <w:lang/>
              </w:rPr>
              <w:t>一</w:t>
            </w:r>
            <w:proofErr w:type="gramEnd"/>
            <w:r>
              <w:rPr>
                <w:rFonts w:ascii="仿宋_GB2312" w:eastAsia="仿宋_GB2312" w:hAnsi="仿宋_GB2312" w:cs="仿宋_GB2312" w:hint="eastAsia"/>
                <w:sz w:val="21"/>
                <w:szCs w:val="21"/>
                <w:lang/>
              </w:rPr>
              <w:t>)夜航或者在浓雾、暴雨、大风等达不到适航要求的条件下航行的;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(二)非客运船舶载客的;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(三)不具备驾驶资格的人员驾驶船舶的。”</w:t>
            </w:r>
          </w:p>
        </w:tc>
        <w:tc>
          <w:tcPr>
            <w:tcW w:w="750"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863"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351"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82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5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6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35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82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5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6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35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82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5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6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35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82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5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6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35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82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5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6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35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82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5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6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35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82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5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863"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351"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680"/>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680"/>
        </w:trPr>
        <w:tc>
          <w:tcPr>
            <w:tcW w:w="999"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原因：根据《河南省水路交通管理办法》（河南省人民政府令2011年第138号），增加此事项</w:t>
            </w:r>
          </w:p>
        </w:tc>
      </w:tr>
    </w:tbl>
    <w:p w:rsidR="0059130C" w:rsidRDefault="0059130C">
      <w:pPr>
        <w:spacing w:line="240" w:lineRule="exact"/>
        <w:rPr>
          <w:rFonts w:ascii="仿宋_GB2312" w:eastAsia="仿宋_GB2312" w:hAnsi="仿宋_GB2312" w:cs="仿宋_GB2312"/>
          <w:szCs w:val="21"/>
        </w:rPr>
      </w:pPr>
    </w:p>
    <w:tbl>
      <w:tblPr>
        <w:tblW w:w="14128" w:type="dxa"/>
        <w:tblLayout w:type="fixed"/>
        <w:tblCellMar>
          <w:left w:w="15" w:type="dxa"/>
          <w:right w:w="15" w:type="dxa"/>
        </w:tblCellMar>
        <w:tblLook w:val="04A0"/>
      </w:tblPr>
      <w:tblGrid>
        <w:gridCol w:w="999"/>
        <w:gridCol w:w="1976"/>
        <w:gridCol w:w="3828"/>
        <w:gridCol w:w="675"/>
        <w:gridCol w:w="694"/>
        <w:gridCol w:w="4595"/>
        <w:gridCol w:w="1361"/>
      </w:tblGrid>
      <w:tr w:rsidR="0059130C">
        <w:trPr>
          <w:trHeight w:val="640"/>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3828"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694"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59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169</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项目单位将工程发包给不具有相应资质等级的勘察、设计、施工、工程监理单位的处罚</w:t>
            </w:r>
          </w:p>
        </w:tc>
        <w:tc>
          <w:tcPr>
            <w:tcW w:w="3828"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水运建设市场监督管理办法》（交通运输部令2021年第14号）第三十六条：“违反本办法规定，项目单位将工程发包给不具有相应资质等级的勘察、设计、施工、工程监理单位的，依照《建设工程质量管理条例》第五十四条规定，责令改正，按照以下标准处以罚款： </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　　（一）项目单位选择超越资质等级的勘察、设计、施工、工程监理单位进行工程建设的，处50万元以上80万元以下的罚款； </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　　（二）项目单位选择无资质的勘察、设计、施工、工程监理单位进行工程建设的，处80万元以上100万元以下的罚款。”</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694"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59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82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9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5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82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9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5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82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9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5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82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9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5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82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9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5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82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94"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59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82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94"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595"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794"/>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794"/>
        </w:trPr>
        <w:tc>
          <w:tcPr>
            <w:tcW w:w="999"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原因：根据《水运建设市场监督管理办法》（交通运输部令2021年第14号），增加此事项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626" w:type="dxa"/>
        <w:tblLayout w:type="fixed"/>
        <w:tblCellMar>
          <w:left w:w="15" w:type="dxa"/>
          <w:right w:w="15" w:type="dxa"/>
        </w:tblCellMar>
        <w:tblLook w:val="04A0"/>
      </w:tblPr>
      <w:tblGrid>
        <w:gridCol w:w="999"/>
        <w:gridCol w:w="1976"/>
        <w:gridCol w:w="4613"/>
        <w:gridCol w:w="990"/>
        <w:gridCol w:w="945"/>
        <w:gridCol w:w="3742"/>
        <w:gridCol w:w="1361"/>
      </w:tblGrid>
      <w:tr w:rsidR="0059130C">
        <w:trPr>
          <w:trHeight w:val="640"/>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61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9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94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74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170</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承包单位超越资质等级承揽工程的处罚</w:t>
            </w:r>
          </w:p>
        </w:tc>
        <w:tc>
          <w:tcPr>
            <w:tcW w:w="4613"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水运建设市场监督管理办法》（交通运输部令2021年第14号）第三十七条：“违反本办法规定，承包单位超越资质等级承揽工程的，依照《建设工程质量管理条例》第六十条规定，责令停止违法行为，按照以下标准处以罚款；有违法所得的，予以没收： </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　　（一）工程尚未开工建设的，对勘察、设计单位或者工程监理单位</w:t>
            </w:r>
            <w:proofErr w:type="gramStart"/>
            <w:r>
              <w:rPr>
                <w:rFonts w:ascii="仿宋_GB2312" w:eastAsia="仿宋_GB2312" w:hAnsi="仿宋_GB2312" w:cs="仿宋_GB2312" w:hint="eastAsia"/>
                <w:sz w:val="21"/>
                <w:szCs w:val="21"/>
                <w:lang/>
              </w:rPr>
              <w:t>处合同</w:t>
            </w:r>
            <w:proofErr w:type="gramEnd"/>
            <w:r>
              <w:rPr>
                <w:rFonts w:ascii="仿宋_GB2312" w:eastAsia="仿宋_GB2312" w:hAnsi="仿宋_GB2312" w:cs="仿宋_GB2312" w:hint="eastAsia"/>
                <w:sz w:val="21"/>
                <w:szCs w:val="21"/>
                <w:lang/>
              </w:rPr>
              <w:t xml:space="preserve">约定的勘察费、设计费或者监理酬金1倍的罚款；对施工单位处工程合同价款2%的罚款； </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　　（二）工程已开工建设的，对勘察、设计单位或者工程监理单位</w:t>
            </w:r>
            <w:proofErr w:type="gramStart"/>
            <w:r>
              <w:rPr>
                <w:rFonts w:ascii="仿宋_GB2312" w:eastAsia="仿宋_GB2312" w:hAnsi="仿宋_GB2312" w:cs="仿宋_GB2312" w:hint="eastAsia"/>
                <w:sz w:val="21"/>
                <w:szCs w:val="21"/>
                <w:lang/>
              </w:rPr>
              <w:t>处合同</w:t>
            </w:r>
            <w:proofErr w:type="gramEnd"/>
            <w:r>
              <w:rPr>
                <w:rFonts w:ascii="仿宋_GB2312" w:eastAsia="仿宋_GB2312" w:hAnsi="仿宋_GB2312" w:cs="仿宋_GB2312" w:hint="eastAsia"/>
                <w:sz w:val="21"/>
                <w:szCs w:val="21"/>
                <w:lang/>
              </w:rPr>
              <w:t xml:space="preserve">约定的勘察费、设计费或者监理酬金1倍以上2倍以下的罚款；对施工单位处工程合同价款2%以上4%以下的罚款。 </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　　未取得资质证书承揽工程的，予以取缔，依照前款规定处以罚款；有违法所得的，予以没收。”</w:t>
            </w:r>
          </w:p>
        </w:tc>
        <w:tc>
          <w:tcPr>
            <w:tcW w:w="990"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94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3742"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3742"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510"/>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627"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510"/>
        </w:trPr>
        <w:tc>
          <w:tcPr>
            <w:tcW w:w="999"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627"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原因：根据《水运建设市场监督管理办法》（交通运输部令2021年第14号），增加此事项</w:t>
            </w:r>
          </w:p>
        </w:tc>
      </w:tr>
    </w:tbl>
    <w:p w:rsidR="0059130C" w:rsidRDefault="0059130C">
      <w:pPr>
        <w:spacing w:line="240" w:lineRule="exact"/>
        <w:rPr>
          <w:rFonts w:ascii="仿宋_GB2312" w:eastAsia="仿宋_GB2312" w:hAnsi="仿宋_GB2312" w:cs="仿宋_GB2312"/>
          <w:szCs w:val="21"/>
        </w:rPr>
      </w:pPr>
    </w:p>
    <w:tbl>
      <w:tblPr>
        <w:tblW w:w="14569" w:type="dxa"/>
        <w:tblLayout w:type="fixed"/>
        <w:tblCellMar>
          <w:left w:w="15" w:type="dxa"/>
          <w:right w:w="15" w:type="dxa"/>
        </w:tblCellMar>
        <w:tblLook w:val="04A0"/>
      </w:tblPr>
      <w:tblGrid>
        <w:gridCol w:w="999"/>
        <w:gridCol w:w="1976"/>
        <w:gridCol w:w="4613"/>
        <w:gridCol w:w="990"/>
        <w:gridCol w:w="945"/>
        <w:gridCol w:w="3685"/>
        <w:gridCol w:w="1361"/>
      </w:tblGrid>
      <w:tr w:rsidR="0059130C">
        <w:trPr>
          <w:trHeight w:val="640"/>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61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9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94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68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171</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勘察、设计、施工、工程监理单位允许其他单位或者个人以本单位名义承揽工程的处罚</w:t>
            </w:r>
          </w:p>
        </w:tc>
        <w:tc>
          <w:tcPr>
            <w:tcW w:w="4613"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水运建设市场监督管理办法》（交通运输部令2021年第14号）第三十八条：“违反本办法规定，勘察、设计、施工、工程监理单位允许其他单位或者个人以本单位名义承揽工程的，依照《建设工程质量管理条例》第六十一条规定，责令改正，没收违法所得，按照以下标准处以罚款： </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　　（一）勘察、设计、施工、工程监理单位允许有相应资质并符合本工程建设要求的单位或者个人以本单位名义承揽工程的，对勘察、设计单位或者工程监理单位</w:t>
            </w:r>
            <w:proofErr w:type="gramStart"/>
            <w:r>
              <w:rPr>
                <w:rFonts w:ascii="仿宋_GB2312" w:eastAsia="仿宋_GB2312" w:hAnsi="仿宋_GB2312" w:cs="仿宋_GB2312" w:hint="eastAsia"/>
                <w:sz w:val="21"/>
                <w:szCs w:val="21"/>
                <w:lang/>
              </w:rPr>
              <w:t>处合同</w:t>
            </w:r>
            <w:proofErr w:type="gramEnd"/>
            <w:r>
              <w:rPr>
                <w:rFonts w:ascii="仿宋_GB2312" w:eastAsia="仿宋_GB2312" w:hAnsi="仿宋_GB2312" w:cs="仿宋_GB2312" w:hint="eastAsia"/>
                <w:sz w:val="21"/>
                <w:szCs w:val="21"/>
                <w:lang/>
              </w:rPr>
              <w:t xml:space="preserve">约定的勘察费、设计费或者监理酬金1倍以上1.5倍以下的罚款；对施工单位处工程合同价款2%以上3%以下的罚款； </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　　（二）勘察、设计、施工、工程监理单位允许无相应资质的单位或者个人以本单位名义承揽工程的，对勘察、设计单位或者工程监理单位</w:t>
            </w:r>
            <w:proofErr w:type="gramStart"/>
            <w:r>
              <w:rPr>
                <w:rFonts w:ascii="仿宋_GB2312" w:eastAsia="仿宋_GB2312" w:hAnsi="仿宋_GB2312" w:cs="仿宋_GB2312" w:hint="eastAsia"/>
                <w:sz w:val="21"/>
                <w:szCs w:val="21"/>
                <w:lang/>
              </w:rPr>
              <w:t>处合同</w:t>
            </w:r>
            <w:proofErr w:type="gramEnd"/>
            <w:r>
              <w:rPr>
                <w:rFonts w:ascii="仿宋_GB2312" w:eastAsia="仿宋_GB2312" w:hAnsi="仿宋_GB2312" w:cs="仿宋_GB2312" w:hint="eastAsia"/>
                <w:sz w:val="21"/>
                <w:szCs w:val="21"/>
                <w:lang/>
              </w:rPr>
              <w:t>约定的勘察费、设计费或者监理酬金1.5倍以上2倍以下的罚款；对施工单位处工程合同价款3%以上4%以下的罚款。 ”</w:t>
            </w:r>
          </w:p>
        </w:tc>
        <w:tc>
          <w:tcPr>
            <w:tcW w:w="990"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94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368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368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368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368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368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368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368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3685"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397"/>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570"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397"/>
        </w:trPr>
        <w:tc>
          <w:tcPr>
            <w:tcW w:w="999"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570"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原因：根据《水运建设市场监督管理办法》（交通运输部令2021年第14号），增加此事项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626" w:type="dxa"/>
        <w:tblLayout w:type="fixed"/>
        <w:tblCellMar>
          <w:left w:w="15" w:type="dxa"/>
          <w:right w:w="15" w:type="dxa"/>
        </w:tblCellMar>
        <w:tblLook w:val="04A0"/>
      </w:tblPr>
      <w:tblGrid>
        <w:gridCol w:w="999"/>
        <w:gridCol w:w="1976"/>
        <w:gridCol w:w="4613"/>
        <w:gridCol w:w="990"/>
        <w:gridCol w:w="945"/>
        <w:gridCol w:w="3742"/>
        <w:gridCol w:w="1361"/>
      </w:tblGrid>
      <w:tr w:rsidR="0059130C">
        <w:trPr>
          <w:trHeight w:val="640"/>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61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9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94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74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172</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项目单位未取得施工许可证或者开工报告未经批准，擅自施工的处罚</w:t>
            </w:r>
          </w:p>
        </w:tc>
        <w:tc>
          <w:tcPr>
            <w:tcW w:w="4613"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水运建设市场监督管理办法》（交通运输部令2021年第14号）第三十九条：“违反国家关于基本建设程序相关规定，项目单位未取得施工许可证或者开工报告未经批准，擅自施工的，依据《建设工程质量管理条例》第五十七条规定，责令停止施工，限期改正，按照以下标准处以罚款： </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　　（一）已通过项目审批、核准或者设计审批手续，但是未取得施工许可证或者开工报告未经批准，擅自施工的，处工程合同价款1%以上1.5%以下的罚款； </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　　（二）未取得项目审批、核准或者设计审批，擅自施工的，处工程合同价款1.5%以上2%以下的罚款。 ”</w:t>
            </w:r>
          </w:p>
        </w:tc>
        <w:tc>
          <w:tcPr>
            <w:tcW w:w="990"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94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3742"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3742"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90"/>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627"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90"/>
        </w:trPr>
        <w:tc>
          <w:tcPr>
            <w:tcW w:w="999"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627"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原因：根据《水运建设市场监督管理办法》（交通运输部令2021年第14号），增加此事项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626" w:type="dxa"/>
        <w:tblLayout w:type="fixed"/>
        <w:tblCellMar>
          <w:left w:w="15" w:type="dxa"/>
          <w:right w:w="15" w:type="dxa"/>
        </w:tblCellMar>
        <w:tblLook w:val="04A0"/>
      </w:tblPr>
      <w:tblGrid>
        <w:gridCol w:w="999"/>
        <w:gridCol w:w="1976"/>
        <w:gridCol w:w="4613"/>
        <w:gridCol w:w="990"/>
        <w:gridCol w:w="945"/>
        <w:gridCol w:w="3742"/>
        <w:gridCol w:w="1361"/>
      </w:tblGrid>
      <w:tr w:rsidR="0059130C">
        <w:trPr>
          <w:trHeight w:val="640"/>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61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9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94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74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173</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项目单位明示或者暗示设计、施工单位违反工程建设强制性标准、降低工程质量的；勘察、设计单位未执行工程建设强制性标准的；施工单位不按照工程设计图纸或者施工技术标准施工的；工程监理单位与建设单位或者施工单位串通，弄虚作假、降低工程质量的处罚</w:t>
            </w:r>
          </w:p>
        </w:tc>
        <w:tc>
          <w:tcPr>
            <w:tcW w:w="4613"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水运建设市场监督管理办法》（交通运输部令2021年第14号）第四十条：“违反国家相关规定和本办法规定，项目单位明示或者暗示设计、施工单位违反工程建设强制性标准、降低工程质量的，勘察、设计单位未执行工程建设强制性标准的，施工单位不按照工程设计图纸或者施工技术标准施工的，工程监理单位与建设单位或者施工单位串通，弄虚作假、降低工程质量的，依照《建设工程质量管理条例》第五十六条、第六十三条、第六十四条、第六十七条规</w:t>
            </w:r>
            <w:proofErr w:type="gramStart"/>
            <w:r>
              <w:rPr>
                <w:rFonts w:ascii="仿宋_GB2312" w:eastAsia="仿宋_GB2312" w:hAnsi="仿宋_GB2312" w:cs="仿宋_GB2312" w:hint="eastAsia"/>
                <w:sz w:val="21"/>
                <w:szCs w:val="21"/>
                <w:lang/>
              </w:rPr>
              <w:t>定作</w:t>
            </w:r>
            <w:proofErr w:type="gramEnd"/>
            <w:r>
              <w:rPr>
                <w:rFonts w:ascii="仿宋_GB2312" w:eastAsia="仿宋_GB2312" w:hAnsi="仿宋_GB2312" w:cs="仿宋_GB2312" w:hint="eastAsia"/>
                <w:sz w:val="21"/>
                <w:szCs w:val="21"/>
                <w:lang/>
              </w:rPr>
              <w:t xml:space="preserve">出罚款决定的，按照以下标准处罚： </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　　（一）工程尚未开工建设的，对项目单位处20万元以上30万元以下的罚款；对勘察、设计单位处10万元以上20万元以下的罚款； </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　　（二）工程已开工建设的，对项目单位处30万元以上50万元以下的罚款；对勘察、设计单位处20万元以上30万元以下的罚款；对施工单位处工程合同价款2%以上4%以下的罚款；对工程监理单位处50万元以上100万元以下的罚款。 ”</w:t>
            </w:r>
          </w:p>
        </w:tc>
        <w:tc>
          <w:tcPr>
            <w:tcW w:w="990"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94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3742"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3742"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90"/>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627"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90"/>
        </w:trPr>
        <w:tc>
          <w:tcPr>
            <w:tcW w:w="999"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627"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原因：根据《水运建设市场监督管理办法》（交通运输部令2021年第14号），增加此事项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569" w:type="dxa"/>
        <w:tblLayout w:type="fixed"/>
        <w:tblCellMar>
          <w:left w:w="15" w:type="dxa"/>
          <w:right w:w="15" w:type="dxa"/>
        </w:tblCellMar>
        <w:tblLook w:val="04A0"/>
      </w:tblPr>
      <w:tblGrid>
        <w:gridCol w:w="766"/>
        <w:gridCol w:w="1968"/>
        <w:gridCol w:w="4854"/>
        <w:gridCol w:w="990"/>
        <w:gridCol w:w="945"/>
        <w:gridCol w:w="3685"/>
        <w:gridCol w:w="1361"/>
      </w:tblGrid>
      <w:tr w:rsidR="0059130C">
        <w:trPr>
          <w:trHeight w:val="640"/>
        </w:trPr>
        <w:tc>
          <w:tcPr>
            <w:tcW w:w="766"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1968"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854"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9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94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68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766"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174</w:t>
            </w:r>
          </w:p>
        </w:tc>
        <w:tc>
          <w:tcPr>
            <w:tcW w:w="1968"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招标人不满足本办法第八条规定的条件而进行招标的；不按照本办法规定</w:t>
            </w:r>
            <w:proofErr w:type="gramStart"/>
            <w:r>
              <w:rPr>
                <w:rFonts w:ascii="仿宋_GB2312" w:eastAsia="仿宋_GB2312" w:hAnsi="仿宋_GB2312" w:cs="仿宋_GB2312" w:hint="eastAsia"/>
                <w:sz w:val="21"/>
                <w:szCs w:val="21"/>
                <w:lang/>
              </w:rPr>
              <w:t>将资格</w:t>
            </w:r>
            <w:proofErr w:type="gramEnd"/>
            <w:r>
              <w:rPr>
                <w:rFonts w:ascii="仿宋_GB2312" w:eastAsia="仿宋_GB2312" w:hAnsi="仿宋_GB2312" w:cs="仿宋_GB2312" w:hint="eastAsia"/>
                <w:sz w:val="21"/>
                <w:szCs w:val="21"/>
                <w:lang/>
              </w:rPr>
              <w:t>预审文件、招标文件和招标投标情况的书面报告备案的；邀请招标不依法发出投标邀请书的； 不按照项目审批、核准部门确定的招标范围、招标方式、招标组织形式进行招标的； 不按照本办法规定编制资格预审文件或者招标文件的；由于招标</w:t>
            </w:r>
            <w:proofErr w:type="gramStart"/>
            <w:r>
              <w:rPr>
                <w:rFonts w:ascii="仿宋_GB2312" w:eastAsia="仿宋_GB2312" w:hAnsi="仿宋_GB2312" w:cs="仿宋_GB2312" w:hint="eastAsia"/>
                <w:sz w:val="21"/>
                <w:szCs w:val="21"/>
                <w:lang/>
              </w:rPr>
              <w:t>人原因</w:t>
            </w:r>
            <w:proofErr w:type="gramEnd"/>
            <w:r>
              <w:rPr>
                <w:rFonts w:ascii="仿宋_GB2312" w:eastAsia="仿宋_GB2312" w:hAnsi="仿宋_GB2312" w:cs="仿宋_GB2312" w:hint="eastAsia"/>
                <w:sz w:val="21"/>
                <w:szCs w:val="21"/>
                <w:lang/>
              </w:rPr>
              <w:t xml:space="preserve">导致资格审查报告存在重大偏差且影响资格预审结果的； 挪用投标保证金，增设或者变相增设保证金的；投标人数量不符合法定要求不重新招标的；向评标委员会提供的评标信息不符合本办法规定的；不按照本办法规定公示中标候选人的；招标文件中规定的履约保证金的金额、支付形式不符合本办法规定的处罚 </w:t>
            </w:r>
          </w:p>
          <w:p w:rsidR="0059130C" w:rsidRDefault="0059130C">
            <w:pPr>
              <w:pStyle w:val="a6"/>
              <w:spacing w:beforeAutospacing="0" w:afterAutospacing="0" w:line="240" w:lineRule="exact"/>
              <w:rPr>
                <w:rFonts w:ascii="仿宋_GB2312" w:eastAsia="仿宋_GB2312" w:hAnsi="仿宋_GB2312" w:cs="仿宋_GB2312"/>
                <w:sz w:val="21"/>
                <w:szCs w:val="21"/>
                <w:lang/>
              </w:rPr>
            </w:pPr>
          </w:p>
        </w:tc>
        <w:tc>
          <w:tcPr>
            <w:tcW w:w="4854"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《公路工程建设项目招标投标管理办法》（交通运输部令2015年第24号）第六十八条：“招标人有下列情形之一的，由交通运输主管部门责令改正，可以处三万元以下的罚款： （一）不满足本办法第八条规定的条件而进行招标的； （二）不按照本办法规定</w:t>
            </w:r>
            <w:proofErr w:type="gramStart"/>
            <w:r>
              <w:rPr>
                <w:rFonts w:ascii="仿宋_GB2312" w:eastAsia="仿宋_GB2312" w:hAnsi="仿宋_GB2312" w:cs="仿宋_GB2312" w:hint="eastAsia"/>
                <w:sz w:val="21"/>
                <w:szCs w:val="21"/>
                <w:lang/>
              </w:rPr>
              <w:t>将资格</w:t>
            </w:r>
            <w:proofErr w:type="gramEnd"/>
            <w:r>
              <w:rPr>
                <w:rFonts w:ascii="仿宋_GB2312" w:eastAsia="仿宋_GB2312" w:hAnsi="仿宋_GB2312" w:cs="仿宋_GB2312" w:hint="eastAsia"/>
                <w:sz w:val="21"/>
                <w:szCs w:val="21"/>
                <w:lang/>
              </w:rPr>
              <w:t>预审文件、招标文件和招标投标情况的书面报告备案的； （三）邀请招标不依法发出投标邀请书的； （四）不按照项目审批、核准部门确定的招标范围、招标方式、招标组织形式进行招标的； （五）不按照本办法规定编制资格预审文件或者招标文件的； （六）由于招标</w:t>
            </w:r>
            <w:proofErr w:type="gramStart"/>
            <w:r>
              <w:rPr>
                <w:rFonts w:ascii="仿宋_GB2312" w:eastAsia="仿宋_GB2312" w:hAnsi="仿宋_GB2312" w:cs="仿宋_GB2312" w:hint="eastAsia"/>
                <w:sz w:val="21"/>
                <w:szCs w:val="21"/>
                <w:lang/>
              </w:rPr>
              <w:t>人原因</w:t>
            </w:r>
            <w:proofErr w:type="gramEnd"/>
            <w:r>
              <w:rPr>
                <w:rFonts w:ascii="仿宋_GB2312" w:eastAsia="仿宋_GB2312" w:hAnsi="仿宋_GB2312" w:cs="仿宋_GB2312" w:hint="eastAsia"/>
                <w:sz w:val="21"/>
                <w:szCs w:val="21"/>
                <w:lang/>
              </w:rPr>
              <w:t xml:space="preserve">导致资格审查报告存在重大偏差且影响资格预审结果的； （七）挪用投标保证金，增设或者变相增设保证金的； （八）投标人数量不符合法定要求不重新招标的； （九）向评标委员会提供的评标信息不符合本办法规定的； （十）不按照本办法规定公示中标候选人的； </w:t>
            </w:r>
          </w:p>
          <w:p w:rsidR="0059130C" w:rsidRDefault="002E22CA">
            <w:pPr>
              <w:pStyle w:val="a6"/>
              <w:numPr>
                <w:ilvl w:val="0"/>
                <w:numId w:val="6"/>
              </w:numPr>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招标文件中规定的履约保证金的金额、支付形式不符合本办法规定的。” </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公路工程建设项目招标投标管理办法》（交通运输部令2015年第24号）第八条：“对于按照国家有关规定需要履行项目审批、核准手续的依法必须进行招标的公路工程建设项目，招标人应当按照项目审批、核准部门确定的招标范围、招标方式、招标组织形式开展招标。 </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　　公路工程建设项目履行项目审批或者核准手续后，方可开展勘察设计招标；初步设计文件批准后，方可开展施工监理、设计施工总承包招标；施工图设计文件批准后，方可开展施工招标。 </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　　施工招标采用资格预审方式的，在初步设计文件批准后，可以进行资格预审。”</w:t>
            </w:r>
          </w:p>
        </w:tc>
        <w:tc>
          <w:tcPr>
            <w:tcW w:w="990"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94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368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766"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6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854"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368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766"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6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854"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368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766"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6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854"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368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766"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6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854"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368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766"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6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854"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368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766"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6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854"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368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766"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6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854"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3685"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90"/>
        </w:trPr>
        <w:tc>
          <w:tcPr>
            <w:tcW w:w="766"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803"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90"/>
        </w:trPr>
        <w:tc>
          <w:tcPr>
            <w:tcW w:w="766"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803"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原因：根据《公路工程建设项目招标投标管理办法》（交通运输部令2015年第24号），增加此事项</w:t>
            </w:r>
          </w:p>
        </w:tc>
      </w:tr>
    </w:tbl>
    <w:p w:rsidR="0059130C" w:rsidRDefault="0059130C">
      <w:pPr>
        <w:spacing w:line="240" w:lineRule="exact"/>
        <w:rPr>
          <w:rFonts w:ascii="仿宋_GB2312" w:eastAsia="仿宋_GB2312" w:hAnsi="仿宋_GB2312" w:cs="仿宋_GB2312"/>
          <w:szCs w:val="21"/>
        </w:rPr>
      </w:pPr>
    </w:p>
    <w:tbl>
      <w:tblPr>
        <w:tblW w:w="14128" w:type="dxa"/>
        <w:tblLayout w:type="fixed"/>
        <w:tblCellMar>
          <w:left w:w="15" w:type="dxa"/>
          <w:right w:w="15" w:type="dxa"/>
        </w:tblCellMar>
        <w:tblLook w:val="04A0"/>
      </w:tblPr>
      <w:tblGrid>
        <w:gridCol w:w="999"/>
        <w:gridCol w:w="1976"/>
        <w:gridCol w:w="3903"/>
        <w:gridCol w:w="750"/>
        <w:gridCol w:w="731"/>
        <w:gridCol w:w="4408"/>
        <w:gridCol w:w="1361"/>
      </w:tblGrid>
      <w:tr w:rsidR="0059130C">
        <w:trPr>
          <w:trHeight w:val="640"/>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390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75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73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408"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175</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项目法人对未进行交工验收、交工验收不合格或未备案的工程开放交通进行试运营的处罚</w:t>
            </w:r>
          </w:p>
        </w:tc>
        <w:tc>
          <w:tcPr>
            <w:tcW w:w="3903"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公路工程竣（交）工验收办法》（交通运输部令2004年第3号）第二十六条：“项目法人违反本办法规定，对未进行交工验收、交工验收不合格或未备案的工程开放交通进行试运营的，由交通主管部门责令停止试运营，并予以警告处罚。”</w:t>
            </w:r>
          </w:p>
        </w:tc>
        <w:tc>
          <w:tcPr>
            <w:tcW w:w="750"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731"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408"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90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5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3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40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90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5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3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40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90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5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3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40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90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5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3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40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90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5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3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40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90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5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3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40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390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5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31"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408"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737"/>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737"/>
        </w:trPr>
        <w:tc>
          <w:tcPr>
            <w:tcW w:w="999"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原因：根据《公路工程竣（交）工验收办法》（交通运输部令2004年第3号），增加此事项</w:t>
            </w:r>
          </w:p>
        </w:tc>
      </w:tr>
    </w:tbl>
    <w:p w:rsidR="0059130C" w:rsidRDefault="0059130C">
      <w:pPr>
        <w:spacing w:line="240" w:lineRule="exact"/>
        <w:rPr>
          <w:rFonts w:ascii="仿宋_GB2312" w:eastAsia="仿宋_GB2312" w:hAnsi="仿宋_GB2312" w:cs="仿宋_GB2312"/>
          <w:szCs w:val="21"/>
        </w:rPr>
      </w:pPr>
    </w:p>
    <w:tbl>
      <w:tblPr>
        <w:tblW w:w="14682" w:type="dxa"/>
        <w:tblLayout w:type="fixed"/>
        <w:tblCellMar>
          <w:left w:w="15" w:type="dxa"/>
          <w:right w:w="15" w:type="dxa"/>
        </w:tblCellMar>
        <w:tblLook w:val="04A0"/>
      </w:tblPr>
      <w:tblGrid>
        <w:gridCol w:w="999"/>
        <w:gridCol w:w="1976"/>
        <w:gridCol w:w="4613"/>
        <w:gridCol w:w="990"/>
        <w:gridCol w:w="945"/>
        <w:gridCol w:w="3798"/>
        <w:gridCol w:w="1361"/>
      </w:tblGrid>
      <w:tr w:rsidR="0059130C">
        <w:trPr>
          <w:trHeight w:val="640"/>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61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9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94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798"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176</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项目法人对试运营期超过3年的公路工程不申请组织竣工验收责令改正后仍不申请组织竣工验收的处罚</w:t>
            </w:r>
          </w:p>
        </w:tc>
        <w:tc>
          <w:tcPr>
            <w:tcW w:w="4613"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公路工程竣（交）工验收办法》（交通运输部令2004年第3号）第二十七条：“项目法人对试运营期超过3年的公路工程不申请组织竣工验收的，由交通主管部门责令改正。对责令改正后仍不申请组织竣工验收的，由交通主管部门责令停止试运营。”</w:t>
            </w:r>
          </w:p>
        </w:tc>
        <w:tc>
          <w:tcPr>
            <w:tcW w:w="990"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94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3798"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379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379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379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379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379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379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3798"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90"/>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683"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90"/>
        </w:trPr>
        <w:tc>
          <w:tcPr>
            <w:tcW w:w="999"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683"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原因：根据《公路工程竣（交）工验收办法》（交通运输部令2004年第3号），增加此事项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569" w:type="dxa"/>
        <w:tblLayout w:type="fixed"/>
        <w:tblCellMar>
          <w:left w:w="15" w:type="dxa"/>
          <w:right w:w="15" w:type="dxa"/>
        </w:tblCellMar>
        <w:tblLook w:val="04A0"/>
      </w:tblPr>
      <w:tblGrid>
        <w:gridCol w:w="999"/>
        <w:gridCol w:w="1976"/>
        <w:gridCol w:w="4613"/>
        <w:gridCol w:w="990"/>
        <w:gridCol w:w="945"/>
        <w:gridCol w:w="3685"/>
        <w:gridCol w:w="1361"/>
      </w:tblGrid>
      <w:tr w:rsidR="0059130C">
        <w:trPr>
          <w:trHeight w:val="640"/>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61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9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94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68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177</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依法必须进行招标的项目的投标人以他人名义投标或者以其他方式弄虚作假，骗取中标的行为尚未构成犯罪的处罚</w:t>
            </w:r>
          </w:p>
        </w:tc>
        <w:tc>
          <w:tcPr>
            <w:tcW w:w="4613"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公路建设市场管理办法》（交通运输部令2015年第11号）第五十条：“投标人以他人名义投标或者以其他方式弄虚作假，骗取中标的，中标无效，给招标人造成损失的，依法承担赔偿责任；构成犯罪的，依法追究刑事责任。 </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　　依法必须进行招标的项目的投标人有前款所</w:t>
            </w:r>
            <w:proofErr w:type="gramStart"/>
            <w:r>
              <w:rPr>
                <w:rFonts w:ascii="仿宋_GB2312" w:eastAsia="仿宋_GB2312" w:hAnsi="仿宋_GB2312" w:cs="仿宋_GB2312" w:hint="eastAsia"/>
                <w:sz w:val="21"/>
                <w:szCs w:val="21"/>
                <w:lang/>
              </w:rPr>
              <w:t>列行</w:t>
            </w:r>
            <w:proofErr w:type="gramEnd"/>
            <w:r>
              <w:rPr>
                <w:rFonts w:ascii="仿宋_GB2312" w:eastAsia="仿宋_GB2312" w:hAnsi="仿宋_GB2312" w:cs="仿宋_GB2312" w:hint="eastAsia"/>
                <w:sz w:val="21"/>
                <w:szCs w:val="21"/>
                <w:lang/>
              </w:rPr>
              <w:t>为尚未构成犯罪的，处中标项目金额5‰以上10‰以下的罚款，对单位直接负责的主管人员和其他直接责任人员</w:t>
            </w:r>
            <w:proofErr w:type="gramStart"/>
            <w:r>
              <w:rPr>
                <w:rFonts w:ascii="仿宋_GB2312" w:eastAsia="仿宋_GB2312" w:hAnsi="仿宋_GB2312" w:cs="仿宋_GB2312" w:hint="eastAsia"/>
                <w:sz w:val="21"/>
                <w:szCs w:val="21"/>
                <w:lang/>
              </w:rPr>
              <w:t>处单位</w:t>
            </w:r>
            <w:proofErr w:type="gramEnd"/>
            <w:r>
              <w:rPr>
                <w:rFonts w:ascii="仿宋_GB2312" w:eastAsia="仿宋_GB2312" w:hAnsi="仿宋_GB2312" w:cs="仿宋_GB2312" w:hint="eastAsia"/>
                <w:sz w:val="21"/>
                <w:szCs w:val="21"/>
                <w:lang/>
              </w:rPr>
              <w:t>罚款数额5%以上10%以下的罚款；有违法所得的，并处没收违法所得；情节严重的，取消其1年至3年内参加依法必须进行招标的项目的投标资格并予以公告。”</w:t>
            </w:r>
          </w:p>
        </w:tc>
        <w:tc>
          <w:tcPr>
            <w:tcW w:w="990"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94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368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368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368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368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368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368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368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3685"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90"/>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570"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90"/>
        </w:trPr>
        <w:tc>
          <w:tcPr>
            <w:tcW w:w="999"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570"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原因：根据《公路建设市场管理办法》（交通运输部令2015年第11号），增加此事项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569" w:type="dxa"/>
        <w:tblLayout w:type="fixed"/>
        <w:tblCellMar>
          <w:left w:w="15" w:type="dxa"/>
          <w:right w:w="15" w:type="dxa"/>
        </w:tblCellMar>
        <w:tblLook w:val="04A0"/>
      </w:tblPr>
      <w:tblGrid>
        <w:gridCol w:w="999"/>
        <w:gridCol w:w="1976"/>
        <w:gridCol w:w="4613"/>
        <w:gridCol w:w="990"/>
        <w:gridCol w:w="945"/>
        <w:gridCol w:w="3685"/>
        <w:gridCol w:w="1361"/>
      </w:tblGrid>
      <w:tr w:rsidR="0059130C">
        <w:trPr>
          <w:trHeight w:val="640"/>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61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9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94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68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178</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承包单位将承包的工程转包或者违法分包的；工程监理单位转让工程监理业务的处罚</w:t>
            </w:r>
          </w:p>
        </w:tc>
        <w:tc>
          <w:tcPr>
            <w:tcW w:w="4613"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公路建设市场管理办法》（交通运输部令2015年第11号）第五十四条：“违反本办法规定，承包单位将承包的工程转包或者违法分包的，责令改正，没收违法所得，对勘察、设计单位处合同约定的勘察费、设计费25%以上50%以下的罚款；对施工单位处工程合同价款5‰以上10‰以下的罚款；可以责令停业整顿，降低资质等级；情节严重的，吊销资质证书。 </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 xml:space="preserve">　　工程监理单位转让工程监理业务的，责令改正，没收违法所得，</w:t>
            </w:r>
            <w:proofErr w:type="gramStart"/>
            <w:r>
              <w:rPr>
                <w:rFonts w:ascii="仿宋_GB2312" w:eastAsia="仿宋_GB2312" w:hAnsi="仿宋_GB2312" w:cs="仿宋_GB2312" w:hint="eastAsia"/>
                <w:sz w:val="21"/>
                <w:szCs w:val="21"/>
                <w:lang/>
              </w:rPr>
              <w:t>处合同</w:t>
            </w:r>
            <w:proofErr w:type="gramEnd"/>
            <w:r>
              <w:rPr>
                <w:rFonts w:ascii="仿宋_GB2312" w:eastAsia="仿宋_GB2312" w:hAnsi="仿宋_GB2312" w:cs="仿宋_GB2312" w:hint="eastAsia"/>
                <w:sz w:val="21"/>
                <w:szCs w:val="21"/>
                <w:lang/>
              </w:rPr>
              <w:t>约定的监理酬金25%以上50%以下的罚款；可以责令停业整顿，降低资质等级；情节严重的，吊销资质证书。”</w:t>
            </w:r>
          </w:p>
        </w:tc>
        <w:tc>
          <w:tcPr>
            <w:tcW w:w="990"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94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368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368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368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368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368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368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368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560"/>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3685"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90"/>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570"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90"/>
        </w:trPr>
        <w:tc>
          <w:tcPr>
            <w:tcW w:w="999"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570"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原因：根据《公路建设市场管理办法》（交通运输部令2015年第11号），增加此事项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569" w:type="dxa"/>
        <w:tblLayout w:type="fixed"/>
        <w:tblCellMar>
          <w:left w:w="15" w:type="dxa"/>
          <w:right w:w="15" w:type="dxa"/>
        </w:tblCellMar>
        <w:tblLook w:val="04A0"/>
      </w:tblPr>
      <w:tblGrid>
        <w:gridCol w:w="999"/>
        <w:gridCol w:w="1976"/>
        <w:gridCol w:w="4613"/>
        <w:gridCol w:w="990"/>
        <w:gridCol w:w="945"/>
        <w:gridCol w:w="3685"/>
        <w:gridCol w:w="1361"/>
      </w:tblGrid>
      <w:tr w:rsidR="0059130C">
        <w:trPr>
          <w:trHeight w:val="640"/>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61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9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94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68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470"/>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179</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从业单位未全面履行安全生产责任，导致重大事故隐患的；未按规定开展设计、施工安全风险评估，或者风险评估结论与实际情况严重不符，导致重大事故隐患未被及时发现的；未按批准的专项施工方案进行施工，导致重大事故隐患的；在已发现的泥石流影响区、滑坡体等危险区域设置施工驻地，导致重大事故隐患的处罚</w:t>
            </w:r>
          </w:p>
          <w:p w:rsidR="0059130C" w:rsidRDefault="0059130C">
            <w:pPr>
              <w:pStyle w:val="a6"/>
              <w:spacing w:beforeAutospacing="0" w:afterAutospacing="0" w:line="240" w:lineRule="exact"/>
              <w:rPr>
                <w:rFonts w:ascii="仿宋_GB2312" w:eastAsia="仿宋_GB2312" w:hAnsi="仿宋_GB2312" w:cs="仿宋_GB2312"/>
                <w:sz w:val="21"/>
                <w:szCs w:val="21"/>
                <w:lang/>
              </w:rPr>
            </w:pPr>
          </w:p>
        </w:tc>
        <w:tc>
          <w:tcPr>
            <w:tcW w:w="4613"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公路水运工程安全生产监督管理办法》（交通运输部令2017年第25号）第五十五条：“从业单位及相关责任人违反本办法规定，有下列行为之一的，责令限期改正；逾期未改正的，对从业单位处1万元以上3万元以下的罚款；构成犯罪的，依法移送司法部门追究刑事责任：</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（一）从业单位未全面履行安全生产责任，导致重大事故隐患的；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（二）未按规定开展设计、施工安全风险评估，或者风险评估结论与实际情况严重不符，导致重大事故隐患未被及时发现的；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（三）未按批准的专项施工方案进行施工，导致重大事故隐患的；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（四）在已发现的泥石流影响区、滑坡体等危险区域设置施工驻地，导致重大事故隐患的。”</w:t>
            </w:r>
          </w:p>
        </w:tc>
        <w:tc>
          <w:tcPr>
            <w:tcW w:w="990"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94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368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778"/>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368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557"/>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368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625"/>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368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587"/>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368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368"/>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368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368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3685"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397"/>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570"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397"/>
        </w:trPr>
        <w:tc>
          <w:tcPr>
            <w:tcW w:w="999"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570"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原因：根据《公路水运工程安全生产监督管理办法》（交通运输部令2017年第25号），增加此事项</w:t>
            </w:r>
          </w:p>
        </w:tc>
      </w:tr>
    </w:tbl>
    <w:p w:rsidR="0059130C" w:rsidRDefault="0059130C">
      <w:pPr>
        <w:spacing w:line="240" w:lineRule="exact"/>
        <w:rPr>
          <w:rFonts w:ascii="仿宋_GB2312" w:eastAsia="仿宋_GB2312" w:hAnsi="仿宋_GB2312" w:cs="仿宋_GB2312"/>
          <w:szCs w:val="21"/>
        </w:rPr>
      </w:pPr>
    </w:p>
    <w:tbl>
      <w:tblPr>
        <w:tblW w:w="14128" w:type="dxa"/>
        <w:tblLayout w:type="fixed"/>
        <w:tblCellMar>
          <w:left w:w="15" w:type="dxa"/>
          <w:right w:w="15" w:type="dxa"/>
        </w:tblCellMar>
        <w:tblLook w:val="04A0"/>
      </w:tblPr>
      <w:tblGrid>
        <w:gridCol w:w="999"/>
        <w:gridCol w:w="1976"/>
        <w:gridCol w:w="4184"/>
        <w:gridCol w:w="619"/>
        <w:gridCol w:w="638"/>
        <w:gridCol w:w="4351"/>
        <w:gridCol w:w="1361"/>
      </w:tblGrid>
      <w:tr w:rsidR="0059130C">
        <w:trPr>
          <w:trHeight w:val="640"/>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184"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19"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638"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35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180</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施工单位未按照规定设置安全生产管理机构或者配备安全生产管理人员的；主要负责人和安全生产管理人员未按照规定经考核合格的处罚</w:t>
            </w:r>
          </w:p>
        </w:tc>
        <w:tc>
          <w:tcPr>
            <w:tcW w:w="4184"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公路水运工程安全生产监督管理办法》（交通运输部令2017年第25号）第五十六条：“施工单位有下列行为之一的，责令限期改正，可以处5万元以下的罚款；逾期未改正的，责令停产停业整顿，并处5万元以上10万元以下的罚款，对其直接负责的主管人员和其他直接责任人员处1万元以上2万元以下的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（一）未按照规定设置安全生产管理机构或者配备安全生产管理人员的；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（二）主要负责人和安全生产管理人员未按照规定经考核合格的。”</w:t>
            </w:r>
          </w:p>
        </w:tc>
        <w:tc>
          <w:tcPr>
            <w:tcW w:w="619"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638"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351"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184"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19"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3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35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184"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19"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3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35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184"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19"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3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35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184"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19"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3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35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184"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19"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3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35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184"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19"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3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351"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184"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19"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638"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351"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850"/>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850"/>
        </w:trPr>
        <w:tc>
          <w:tcPr>
            <w:tcW w:w="999"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原因：根据《公路水运工程安全生产监督管理办法》（交通运输部令2017年第25号），增加此事项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626" w:type="dxa"/>
        <w:tblLayout w:type="fixed"/>
        <w:tblCellMar>
          <w:left w:w="15" w:type="dxa"/>
          <w:right w:w="15" w:type="dxa"/>
        </w:tblCellMar>
        <w:tblLook w:val="04A0"/>
      </w:tblPr>
      <w:tblGrid>
        <w:gridCol w:w="999"/>
        <w:gridCol w:w="1976"/>
        <w:gridCol w:w="4613"/>
        <w:gridCol w:w="990"/>
        <w:gridCol w:w="945"/>
        <w:gridCol w:w="3742"/>
        <w:gridCol w:w="1361"/>
      </w:tblGrid>
      <w:tr w:rsidR="0059130C">
        <w:trPr>
          <w:trHeight w:val="640"/>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61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9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94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74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181</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勘察、设计单位未按照工程建设强制性标准进行勘察、设计的；设计单位未根据勘察成果文件进行工程设计的处罚</w:t>
            </w:r>
          </w:p>
        </w:tc>
        <w:tc>
          <w:tcPr>
            <w:tcW w:w="4613"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公路水运工程质量监督管理规定》（交通运输部令2017年第28号）第三十九条：“违反本规定第十条规定，勘察、设计单位未按照工程建设强制性标准进行勘察、设计的，设计单位未根据勘察成果文件进行工程设计的，依照《建设工程质量管理条例》第六十三条规定，责令改正，按以下标准处以罚款；造成质量事故的，责令停工整顿：</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（一）工程尚未开工建设的，处10万元以上20万元以下的罚款；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（二）工程已开工建设的，处20万元以上30万元以下的罚款。”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《建设工程质量管理条例》（2019年）第六十三条：“违反本条例规定，有下列行为之一的，责令改正，处10万元以上30万元以下的罚款：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w:t>
            </w:r>
            <w:proofErr w:type="gramStart"/>
            <w:r>
              <w:rPr>
                <w:rFonts w:ascii="仿宋_GB2312" w:eastAsia="仿宋_GB2312" w:hAnsi="仿宋_GB2312" w:cs="仿宋_GB2312" w:hint="eastAsia"/>
                <w:sz w:val="21"/>
                <w:szCs w:val="21"/>
                <w:lang/>
              </w:rPr>
              <w:t>一</w:t>
            </w:r>
            <w:proofErr w:type="gramEnd"/>
            <w:r>
              <w:rPr>
                <w:rFonts w:ascii="仿宋_GB2312" w:eastAsia="仿宋_GB2312" w:hAnsi="仿宋_GB2312" w:cs="仿宋_GB2312" w:hint="eastAsia"/>
                <w:sz w:val="21"/>
                <w:szCs w:val="21"/>
                <w:lang/>
              </w:rPr>
              <w:t>)勘察单位未按照工程建设强制性标准进行勘察的；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(二)设计单位未根据勘察成果文件进行工程设计的；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(三)设计单位指定建筑材料、建筑构配件的生产厂、供应商的；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(四)设计单位未按照工程建设强制性标准进行设计的。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有前款所</w:t>
            </w:r>
            <w:proofErr w:type="gramStart"/>
            <w:r>
              <w:rPr>
                <w:rFonts w:ascii="仿宋_GB2312" w:eastAsia="仿宋_GB2312" w:hAnsi="仿宋_GB2312" w:cs="仿宋_GB2312" w:hint="eastAsia"/>
                <w:sz w:val="21"/>
                <w:szCs w:val="21"/>
                <w:lang/>
              </w:rPr>
              <w:t>列行</w:t>
            </w:r>
            <w:proofErr w:type="gramEnd"/>
            <w:r>
              <w:rPr>
                <w:rFonts w:ascii="仿宋_GB2312" w:eastAsia="仿宋_GB2312" w:hAnsi="仿宋_GB2312" w:cs="仿宋_GB2312" w:hint="eastAsia"/>
                <w:sz w:val="21"/>
                <w:szCs w:val="21"/>
                <w:lang/>
              </w:rPr>
              <w:t>为，造成工程质量事故的，责令停业整顿，降低资质等级；情节严重的，吊销资质证书；造成损失的，依法承担赔偿责任。”</w:t>
            </w:r>
          </w:p>
        </w:tc>
        <w:tc>
          <w:tcPr>
            <w:tcW w:w="990"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94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3742"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3742"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454"/>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627"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454"/>
        </w:trPr>
        <w:tc>
          <w:tcPr>
            <w:tcW w:w="999"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627"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原因：根据《公路水运工程质量监督管理规定》（交通运输部令2017年第28号），增加此事项</w:t>
            </w:r>
          </w:p>
        </w:tc>
      </w:tr>
    </w:tbl>
    <w:p w:rsidR="0059130C" w:rsidRDefault="0059130C">
      <w:pPr>
        <w:spacing w:line="240" w:lineRule="exact"/>
        <w:rPr>
          <w:rFonts w:ascii="仿宋_GB2312" w:eastAsia="仿宋_GB2312" w:hAnsi="仿宋_GB2312" w:cs="仿宋_GB2312"/>
          <w:szCs w:val="21"/>
        </w:rPr>
      </w:pPr>
    </w:p>
    <w:tbl>
      <w:tblPr>
        <w:tblW w:w="14569" w:type="dxa"/>
        <w:tblLayout w:type="fixed"/>
        <w:tblCellMar>
          <w:left w:w="15" w:type="dxa"/>
          <w:right w:w="15" w:type="dxa"/>
        </w:tblCellMar>
        <w:tblLook w:val="04A0"/>
      </w:tblPr>
      <w:tblGrid>
        <w:gridCol w:w="999"/>
        <w:gridCol w:w="1976"/>
        <w:gridCol w:w="4613"/>
        <w:gridCol w:w="990"/>
        <w:gridCol w:w="945"/>
        <w:gridCol w:w="3685"/>
        <w:gridCol w:w="1361"/>
      </w:tblGrid>
      <w:tr w:rsidR="0059130C">
        <w:trPr>
          <w:trHeight w:val="640"/>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61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9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94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68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182</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施工单位不按照工程设计图纸或者施工技术标准施工的处罚</w:t>
            </w:r>
          </w:p>
        </w:tc>
        <w:tc>
          <w:tcPr>
            <w:tcW w:w="4613"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公路水运工程质量监督管理规定》（交通运输部令2017年第28号）第四十条：“违反本规定第十四条规定，施工单位不按照工程设计图纸或者施工技术标准施工的，依照《建设工程质量管理条例》第六十四条规定，责令改正，按以下标准处以罚款；情节严重的，责令停工整顿：</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（一）未造成工程质量事故的，处所涉及单位工程合同价款2%的罚款；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（二）造成工程质量一般事故的，处所涉及单位工程合同价款2%以上3%以下的罚款；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（三）造成工程质量较大及以上等级事故的，处所涉及单位工程合同价款3%以上4%以下的罚款。”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建设工程质量管理条例》（2019年）第六十四条：“违反本条例规定，施工单位在施工中偷工减料的，使用不合格的建筑材料、建筑构配件和设备的，或者有不按照工程设计图纸或者施工技术标准施工的其他行为的，责令改正，处工程合同价款2%以上4%以下的罚款；造成建设工程质量不符合规定的质量标准的，负责返工、修理，并赔偿因此造成的损失；情节严重的，责令停业整顿，降低资质等级或者吊销资质证书。”</w:t>
            </w:r>
          </w:p>
        </w:tc>
        <w:tc>
          <w:tcPr>
            <w:tcW w:w="990"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94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368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368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368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368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368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368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368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3685"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90"/>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570"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90"/>
        </w:trPr>
        <w:tc>
          <w:tcPr>
            <w:tcW w:w="999"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570"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原因：根据《公路水运工程质量监督管理规定》（交通运输部令2017年第28号），增加此事项</w:t>
            </w:r>
          </w:p>
        </w:tc>
      </w:tr>
    </w:tbl>
    <w:p w:rsidR="0059130C" w:rsidRDefault="0059130C">
      <w:pPr>
        <w:spacing w:line="240" w:lineRule="exact"/>
        <w:rPr>
          <w:rFonts w:ascii="仿宋_GB2312" w:eastAsia="仿宋_GB2312" w:hAnsi="仿宋_GB2312" w:cs="仿宋_GB2312"/>
          <w:szCs w:val="21"/>
        </w:rPr>
      </w:pPr>
    </w:p>
    <w:tbl>
      <w:tblPr>
        <w:tblW w:w="14626" w:type="dxa"/>
        <w:tblLayout w:type="fixed"/>
        <w:tblCellMar>
          <w:left w:w="15" w:type="dxa"/>
          <w:right w:w="15" w:type="dxa"/>
        </w:tblCellMar>
        <w:tblLook w:val="04A0"/>
      </w:tblPr>
      <w:tblGrid>
        <w:gridCol w:w="999"/>
        <w:gridCol w:w="1976"/>
        <w:gridCol w:w="4613"/>
        <w:gridCol w:w="990"/>
        <w:gridCol w:w="945"/>
        <w:gridCol w:w="3742"/>
        <w:gridCol w:w="1361"/>
      </w:tblGrid>
      <w:tr w:rsidR="0059130C">
        <w:trPr>
          <w:trHeight w:val="640"/>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61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9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94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74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183</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施工单位未按规定对原材料、混合料、构配件等进行检验的处罚</w:t>
            </w:r>
          </w:p>
        </w:tc>
        <w:tc>
          <w:tcPr>
            <w:tcW w:w="4613"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公路水运工程质量监督管理规定》（交通运输部令2017年第28号）第四十一条：“违反本规定第十四条规定，施工单位未按规定对原材料、混合料、构配件等进行检验的，依照《建设工程质量管理条例》第六十五条规定，责令改正，按以下标准处以罚款；情节严重的，责令停工整顿：</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（一）未造成工程质量事故的，处10万元以上15万元以下的罚款；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（二）造成工程质量事故的，处15万元以上20万元以下的罚款。”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建设工程质量管理条例》（2019年）第六十五条：“违反本条例规定，施工单位未对建筑材料、建筑构配件、设备和商品混凝土进行检验，或者未对涉及结构安全的试块、试件以及有关材料取样检测的，责令改正，处10万元以上20万元以下的罚款；情节严重的，责令停业整顿，降低资质等级或者吊销资质证书；造成损失的，依法承担赔偿责任。”</w:t>
            </w:r>
          </w:p>
        </w:tc>
        <w:tc>
          <w:tcPr>
            <w:tcW w:w="990"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94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3742"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3742"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454"/>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627"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454"/>
        </w:trPr>
        <w:tc>
          <w:tcPr>
            <w:tcW w:w="999"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627"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原因：根据《公路水运工程质量监督管理规定》（交通运输部令2017年第28号），增加此事项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512" w:type="dxa"/>
        <w:tblLayout w:type="fixed"/>
        <w:tblCellMar>
          <w:left w:w="15" w:type="dxa"/>
          <w:right w:w="15" w:type="dxa"/>
        </w:tblCellMar>
        <w:tblLook w:val="04A0"/>
      </w:tblPr>
      <w:tblGrid>
        <w:gridCol w:w="999"/>
        <w:gridCol w:w="1976"/>
        <w:gridCol w:w="4613"/>
        <w:gridCol w:w="990"/>
        <w:gridCol w:w="945"/>
        <w:gridCol w:w="3628"/>
        <w:gridCol w:w="1361"/>
      </w:tblGrid>
      <w:tr w:rsidR="0059130C">
        <w:trPr>
          <w:trHeight w:val="640"/>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61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9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94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628"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184</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施工单位对施工中出现的质量问题或者验收不合格的工程，未进行返工处理或者拖延返工处理的；施工单位对保修范围和保修期限内发生质量问题的工程，不履行保修义务或者拖延履行保修义务的处罚</w:t>
            </w:r>
          </w:p>
        </w:tc>
        <w:tc>
          <w:tcPr>
            <w:tcW w:w="4613"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公路水运工程质量监督管理规定》（交通运输部令2017年第28号）第四十二条：“违反本规定第十五条规定，施工单位对施工中出现的质量问题或者验收不合格的工程，未进行返工处理或者拖延返工处理的，责令改正，处1万元以上3万元以下的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施工单位对保修范围和保修期限内发生质量问题的工程，不履行保修义务或者拖延履行保修义务的，依照《建设工程质量管理条例》第六十六条规定，责令改正，按以下标准处以罚款：（一）未造成工程质量事故的，处10万元以上15万元以下的罚款；（二）造成工程质量事故的，处15万元以上20万元以下的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公路水运工程质量监督管理规定》（交通运输部令2017年第28号）第十五条：“施工单位应当加强施工过程质量控制，并形成完整、可追溯的施工质量管理资料，主体工程的隐蔽部位施工还应当保留影像资料。对施工中出现的质量问题或者验收不合格的工程，应当负责返工处理；对在保修范围和保修期限内发生质量问题的工程，应当履行保修义务。”</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建设工程质量管理条例》（2019年）第六十六条：“违反本条例规定，施工单位不履行保修义务或者拖延履行保修义务的，责令改正，处10万元以上20万元以下的罚款，并对在保修期内因质量缺陷造成的损失承担赔偿责任。”</w:t>
            </w:r>
          </w:p>
        </w:tc>
        <w:tc>
          <w:tcPr>
            <w:tcW w:w="990"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94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3628"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362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362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362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362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362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362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3628"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90"/>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513"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90"/>
        </w:trPr>
        <w:tc>
          <w:tcPr>
            <w:tcW w:w="999"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513"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原因：根据《公路水运工程质量监督管理规定》（交通运输部令2017年第28号），增加此事项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399" w:type="dxa"/>
        <w:tblLayout w:type="fixed"/>
        <w:tblCellMar>
          <w:left w:w="15" w:type="dxa"/>
          <w:right w:w="15" w:type="dxa"/>
        </w:tblCellMar>
        <w:tblLook w:val="04A0"/>
      </w:tblPr>
      <w:tblGrid>
        <w:gridCol w:w="999"/>
        <w:gridCol w:w="1976"/>
        <w:gridCol w:w="4613"/>
        <w:gridCol w:w="990"/>
        <w:gridCol w:w="945"/>
        <w:gridCol w:w="3515"/>
        <w:gridCol w:w="1361"/>
      </w:tblGrid>
      <w:tr w:rsidR="0059130C">
        <w:trPr>
          <w:trHeight w:val="640"/>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61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9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94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51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185</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监理单位在监理工作中弄虚作假、降低工程质量的，或者将不合格的建设工程、建筑材料、建筑构配件和设备按照合格签字的处罚</w:t>
            </w:r>
          </w:p>
        </w:tc>
        <w:tc>
          <w:tcPr>
            <w:tcW w:w="4613"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公路水运工程质量监督管理规定》（交通运输部令2017年第28号）第四十三条：“违反本规定第十七条规定，监理单位在监理工作中弄虚作假、降低工程质量的，或者将不合格的建设工程、建筑材料、建筑构配件和设备按照合格签字的，依照《建设工程质量管理条例》第六十七条规定，责令改正，按以下标准处以罚款，降低资质等级或者吊销资质证书；有违法所得的，予以没收：</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（一）未造成工程质量事故的，处50万元以上60万元以下的罚款；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（二）造成工程质量一般事故的，处60万元以上70万元以下的罚款；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（三）造成工程质量较大事故的，处70万元以上80万元以下的罚款；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（四）造成工程质量重大及以上等级事故的，处80万元以上100万元以下的罚款。”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建设工程质量管理条例》（2019年）第六十七条：“工程监理单位有下列行为之一的，责令改正，处50万元以上100万元以下的罚款，降低资质等级或者吊销资质证书；有违法所得的，予以没收；造成损失的，承担连带赔偿责任：</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w:t>
            </w:r>
            <w:proofErr w:type="gramStart"/>
            <w:r>
              <w:rPr>
                <w:rFonts w:ascii="仿宋_GB2312" w:eastAsia="仿宋_GB2312" w:hAnsi="仿宋_GB2312" w:cs="仿宋_GB2312" w:hint="eastAsia"/>
                <w:sz w:val="21"/>
                <w:szCs w:val="21"/>
                <w:lang/>
              </w:rPr>
              <w:t>一</w:t>
            </w:r>
            <w:proofErr w:type="gramEnd"/>
            <w:r>
              <w:rPr>
                <w:rFonts w:ascii="仿宋_GB2312" w:eastAsia="仿宋_GB2312" w:hAnsi="仿宋_GB2312" w:cs="仿宋_GB2312" w:hint="eastAsia"/>
                <w:sz w:val="21"/>
                <w:szCs w:val="21"/>
                <w:lang/>
              </w:rPr>
              <w:t>)与建设单位或者施工单位串通，弄虚作假、降低工程质量的；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(二)将不合格的建设工程、建筑材料、建筑构配件和设备按照合格签字的。”</w:t>
            </w:r>
          </w:p>
        </w:tc>
        <w:tc>
          <w:tcPr>
            <w:tcW w:w="990"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94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351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351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351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351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351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351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351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3515"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170"/>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400"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170"/>
        </w:trPr>
        <w:tc>
          <w:tcPr>
            <w:tcW w:w="999"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400"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原因：根据《公路水运工程质量监督管理规定》（交通运输部令2017年第28号），增加此事项</w:t>
            </w:r>
          </w:p>
        </w:tc>
      </w:tr>
    </w:tbl>
    <w:p w:rsidR="0059130C" w:rsidRDefault="0059130C">
      <w:pPr>
        <w:spacing w:line="240" w:lineRule="exact"/>
        <w:rPr>
          <w:rFonts w:ascii="仿宋_GB2312" w:eastAsia="仿宋_GB2312" w:hAnsi="仿宋_GB2312" w:cs="仿宋_GB2312"/>
          <w:szCs w:val="21"/>
        </w:rPr>
      </w:pPr>
    </w:p>
    <w:tbl>
      <w:tblPr>
        <w:tblW w:w="14626" w:type="dxa"/>
        <w:tblLayout w:type="fixed"/>
        <w:tblCellMar>
          <w:left w:w="15" w:type="dxa"/>
          <w:right w:w="15" w:type="dxa"/>
        </w:tblCellMar>
        <w:tblLook w:val="04A0"/>
      </w:tblPr>
      <w:tblGrid>
        <w:gridCol w:w="999"/>
        <w:gridCol w:w="1976"/>
        <w:gridCol w:w="4613"/>
        <w:gridCol w:w="990"/>
        <w:gridCol w:w="945"/>
        <w:gridCol w:w="3742"/>
        <w:gridCol w:w="1361"/>
      </w:tblGrid>
      <w:tr w:rsidR="0059130C">
        <w:trPr>
          <w:trHeight w:val="640"/>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61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9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94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74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186</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设立工地临时实验室的单位弄虚作假、出具虚假数据报告的处罚</w:t>
            </w:r>
          </w:p>
        </w:tc>
        <w:tc>
          <w:tcPr>
            <w:tcW w:w="4613"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公路水运工程质量监督管理规定》（交通运输部令2017年第28号）第四十四条：“违反本规定第十八条规定，设立工地临时实验室的单位弄虚作假、出具虚假数据报告的，责令改正，处1万元以上3万元以下的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公路水运工程质量监督管理规定》（交通运输部令2017年第28号）第十八条：“施工、监理单位应当按照合同约定设立工地临时试验室，严格按照工程技术标准、检测规范和规程，在核定的试验检测参数范围内开展试验检测活动。</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施工、监理单位应当对其设立的工地临时试验室所出具的试验检测数据和报告的真实性、客观性、准确性负责。”</w:t>
            </w:r>
          </w:p>
        </w:tc>
        <w:tc>
          <w:tcPr>
            <w:tcW w:w="990"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94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3742"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3742"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510"/>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627"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510"/>
        </w:trPr>
        <w:tc>
          <w:tcPr>
            <w:tcW w:w="999"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627"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原因：根据《公路水运工程质量监督管理规定》（交通运输部令2017年第28号），增加此事项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128" w:type="dxa"/>
        <w:jc w:val="center"/>
        <w:tblLayout w:type="fixed"/>
        <w:tblCellMar>
          <w:left w:w="15" w:type="dxa"/>
          <w:right w:w="15" w:type="dxa"/>
        </w:tblCellMar>
        <w:tblLook w:val="04A0"/>
      </w:tblPr>
      <w:tblGrid>
        <w:gridCol w:w="672"/>
        <w:gridCol w:w="712"/>
        <w:gridCol w:w="6204"/>
        <w:gridCol w:w="509"/>
        <w:gridCol w:w="525"/>
        <w:gridCol w:w="4145"/>
        <w:gridCol w:w="1361"/>
      </w:tblGrid>
      <w:tr w:rsidR="0059130C">
        <w:trPr>
          <w:trHeight w:val="640"/>
          <w:jc w:val="center"/>
        </w:trPr>
        <w:tc>
          <w:tcPr>
            <w:tcW w:w="672"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71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名称</w:t>
            </w:r>
          </w:p>
        </w:tc>
        <w:tc>
          <w:tcPr>
            <w:tcW w:w="6204"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509"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52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14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jc w:val="center"/>
        </w:trPr>
        <w:tc>
          <w:tcPr>
            <w:tcW w:w="672"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187</w:t>
            </w:r>
          </w:p>
        </w:tc>
        <w:tc>
          <w:tcPr>
            <w:tcW w:w="712"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建设单位未按照规定办理工程质量监督手续的处罚</w:t>
            </w:r>
          </w:p>
        </w:tc>
        <w:tc>
          <w:tcPr>
            <w:tcW w:w="6204"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公路水运工程质量监督管理规定》（交通运输部令2017年第28号）第四十五条：“违反本规定第二十二条规定，建设单位未按照规定办理工程质量监督手续的，依照《建设工程质量管理条例》第五十六条规定，责令改正，按以下标准处以罚款：（一）未造成工程质量事故的，处20万元以上30万元以下的罚款；（二）造成工程质量一般事故的，处30万元以上40万元以下的罚款；（三）造成工程质量较大及以上等级事故的，处40万元以上50万元以下的罚款。”</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《建设工程质量管理条例》（2019年）第五十六条：“违反本条例规定，建设单位有下列行为之一的，责令改正，处20万元以上50万元以下的罚款：(</w:t>
            </w:r>
            <w:proofErr w:type="gramStart"/>
            <w:r>
              <w:rPr>
                <w:rFonts w:ascii="仿宋_GB2312" w:eastAsia="仿宋_GB2312" w:hAnsi="仿宋_GB2312" w:cs="仿宋_GB2312" w:hint="eastAsia"/>
                <w:sz w:val="21"/>
                <w:szCs w:val="21"/>
                <w:lang/>
              </w:rPr>
              <w:t>一</w:t>
            </w:r>
            <w:proofErr w:type="gramEnd"/>
            <w:r>
              <w:rPr>
                <w:rFonts w:ascii="仿宋_GB2312" w:eastAsia="仿宋_GB2312" w:hAnsi="仿宋_GB2312" w:cs="仿宋_GB2312" w:hint="eastAsia"/>
                <w:sz w:val="21"/>
                <w:szCs w:val="21"/>
                <w:lang/>
              </w:rPr>
              <w:t>)迫使承包方以低于成本的价格竞标的；(二)任意压缩合理工期的；(三)明示或者暗示设计单位或者施工单位违反工程建设强制性标准，降低工程质量的；”(四)施工图设计文件未经审查或者审查不合格，擅自施工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(五)建设项目必须实行工程监理而未实行工程监理的；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(六)未按照国家规定办理工程质量监督手续的；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(七)明示或者暗示施工单位使用不合格的建筑材料、建筑构配件和设备的；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(八)未按照国家规定将竣工验收报告、有关认可文件或者准许使用文件报送备案的。</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《公路水运工程质量监督管理规定》（交通运输部令2017年第28号）第二十二条：“交通运输主管部门或者其委托的建设工程质量监督机构依法要求建设单位按规定办理质量监督手续。</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建设单位应当按照国家规定向交通运输主管部门或者其委托的建设工程质量监督机构提交以下材料，办理工程质量监督手续：（一）公路水运工程质量监督管理登记表；（二）交通运输主管部门批复的施工图设计文件；（三）施工、监理合同及招投标文件；（四）建设单位现场管理机构、人员、质量保证体系等文件；（五）本单位以及勘察、设计、施工、监理、试验检测等单位对其项目负责人、质量负责人的书面授权委托书、质量保证体系等文件；（六）依法要求提供的其他相关材料。”</w:t>
            </w:r>
          </w:p>
        </w:tc>
        <w:tc>
          <w:tcPr>
            <w:tcW w:w="509"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52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14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jc w:val="center"/>
        </w:trPr>
        <w:tc>
          <w:tcPr>
            <w:tcW w:w="672"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71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6204"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509"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5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1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672"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71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6204"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509"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5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1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672"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71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6204"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509"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5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1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672"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71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6204"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509"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5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1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672"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71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6204"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509"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5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1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672"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71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6204"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509"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52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1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672"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71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6204"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509"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525"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145"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454"/>
          <w:jc w:val="center"/>
        </w:trPr>
        <w:tc>
          <w:tcPr>
            <w:tcW w:w="672"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456"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454"/>
          <w:jc w:val="center"/>
        </w:trPr>
        <w:tc>
          <w:tcPr>
            <w:tcW w:w="672"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456"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原因：根据《公路水运工程质量监督管理规定》（交通运输部令2017年第28号），增加此事项</w:t>
            </w:r>
          </w:p>
        </w:tc>
      </w:tr>
    </w:tbl>
    <w:p w:rsidR="0059130C" w:rsidRDefault="0059130C">
      <w:pPr>
        <w:spacing w:line="240" w:lineRule="exact"/>
        <w:rPr>
          <w:rFonts w:ascii="仿宋_GB2312" w:eastAsia="仿宋_GB2312" w:hAnsi="仿宋_GB2312" w:cs="仿宋_GB2312"/>
          <w:szCs w:val="21"/>
        </w:rPr>
      </w:pPr>
    </w:p>
    <w:tbl>
      <w:tblPr>
        <w:tblW w:w="14128" w:type="dxa"/>
        <w:jc w:val="center"/>
        <w:tblLayout w:type="fixed"/>
        <w:tblCellMar>
          <w:left w:w="15" w:type="dxa"/>
          <w:right w:w="15" w:type="dxa"/>
        </w:tblCellMar>
        <w:tblLook w:val="04A0"/>
      </w:tblPr>
      <w:tblGrid>
        <w:gridCol w:w="747"/>
        <w:gridCol w:w="1012"/>
        <w:gridCol w:w="4707"/>
        <w:gridCol w:w="750"/>
        <w:gridCol w:w="768"/>
        <w:gridCol w:w="4783"/>
        <w:gridCol w:w="1361"/>
      </w:tblGrid>
      <w:tr w:rsidR="0059130C">
        <w:trPr>
          <w:trHeight w:val="640"/>
          <w:jc w:val="center"/>
        </w:trPr>
        <w:tc>
          <w:tcPr>
            <w:tcW w:w="74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101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707"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75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768"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78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jc w:val="center"/>
        </w:trPr>
        <w:tc>
          <w:tcPr>
            <w:tcW w:w="74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188</w:t>
            </w:r>
          </w:p>
        </w:tc>
        <w:tc>
          <w:tcPr>
            <w:tcW w:w="1012"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施工图设计未经审查或者审查不合格，擅自施工的处罚</w:t>
            </w:r>
          </w:p>
        </w:tc>
        <w:tc>
          <w:tcPr>
            <w:tcW w:w="4707"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航道工程建设管理规定》（交通运输部令2019年第44号）第七十六条：“施工图设计未经审查或者审查不合格，擅自施工的，由具体负责监督管理的交通运输主管部门责令改正，处20万元以上50万元以下的罚款。”</w:t>
            </w:r>
          </w:p>
        </w:tc>
        <w:tc>
          <w:tcPr>
            <w:tcW w:w="750"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768"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783"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jc w:val="center"/>
        </w:trPr>
        <w:tc>
          <w:tcPr>
            <w:tcW w:w="74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01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70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5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6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78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74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01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70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5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6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78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74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01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70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5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6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78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74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01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70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5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6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78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74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01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70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5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6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78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74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01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70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5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68"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78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jc w:val="center"/>
        </w:trPr>
        <w:tc>
          <w:tcPr>
            <w:tcW w:w="74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012"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707"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75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68"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783"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850"/>
          <w:jc w:val="center"/>
        </w:trPr>
        <w:tc>
          <w:tcPr>
            <w:tcW w:w="74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381"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850"/>
          <w:jc w:val="center"/>
        </w:trPr>
        <w:tc>
          <w:tcPr>
            <w:tcW w:w="747"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381"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原因：根据《航道工程建设管理规定》（交通运输部令2019年第44号），增加此事项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626" w:type="dxa"/>
        <w:tblLayout w:type="fixed"/>
        <w:tblCellMar>
          <w:left w:w="15" w:type="dxa"/>
          <w:right w:w="15" w:type="dxa"/>
        </w:tblCellMar>
        <w:tblLook w:val="04A0"/>
      </w:tblPr>
      <w:tblGrid>
        <w:gridCol w:w="999"/>
        <w:gridCol w:w="1976"/>
        <w:gridCol w:w="4613"/>
        <w:gridCol w:w="990"/>
        <w:gridCol w:w="945"/>
        <w:gridCol w:w="3742"/>
        <w:gridCol w:w="1361"/>
      </w:tblGrid>
      <w:tr w:rsidR="0059130C">
        <w:trPr>
          <w:trHeight w:val="640"/>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61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9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94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74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189</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航道工程建设项目未组织竣工验收或者验收不合格，项目单位擅自交付使用的处罚</w:t>
            </w:r>
          </w:p>
        </w:tc>
        <w:tc>
          <w:tcPr>
            <w:tcW w:w="4613"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航道工程建设管理规定》（交通运输部令2019年第44号）第七十七条：“航道工程建设项目未组织竣工验收或者验收不合格，项目单位擅自交付使用的，由具体负责监督管理的交通运输主管部门责令改正，处工程合同价款2%以上4%以下的罚款。”</w:t>
            </w:r>
          </w:p>
        </w:tc>
        <w:tc>
          <w:tcPr>
            <w:tcW w:w="990"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94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3742"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374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3742"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510"/>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627"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510"/>
        </w:trPr>
        <w:tc>
          <w:tcPr>
            <w:tcW w:w="999"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627"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原因：根据《航道工程建设管理规定》（交通运输部令2019年第44号），增加此事项</w:t>
            </w:r>
          </w:p>
        </w:tc>
      </w:tr>
    </w:tbl>
    <w:p w:rsidR="0059130C" w:rsidRDefault="0059130C">
      <w:pPr>
        <w:spacing w:line="240" w:lineRule="exact"/>
        <w:rPr>
          <w:rFonts w:ascii="仿宋_GB2312" w:eastAsia="仿宋_GB2312" w:hAnsi="仿宋_GB2312" w:cs="仿宋_GB2312"/>
          <w:szCs w:val="21"/>
        </w:rPr>
      </w:pPr>
    </w:p>
    <w:tbl>
      <w:tblPr>
        <w:tblW w:w="14456" w:type="dxa"/>
        <w:tblLayout w:type="fixed"/>
        <w:tblCellMar>
          <w:left w:w="15" w:type="dxa"/>
          <w:right w:w="15" w:type="dxa"/>
        </w:tblCellMar>
        <w:tblLook w:val="04A0"/>
      </w:tblPr>
      <w:tblGrid>
        <w:gridCol w:w="999"/>
        <w:gridCol w:w="1976"/>
        <w:gridCol w:w="4613"/>
        <w:gridCol w:w="990"/>
        <w:gridCol w:w="945"/>
        <w:gridCol w:w="3572"/>
        <w:gridCol w:w="1361"/>
      </w:tblGrid>
      <w:tr w:rsidR="0059130C">
        <w:trPr>
          <w:trHeight w:val="640"/>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仿宋_GB2312" w:eastAsia="仿宋_GB2312" w:hAnsi="仿宋_GB2312" w:cs="仿宋_GB2312"/>
                <w:szCs w:val="21"/>
              </w:rPr>
            </w:pPr>
            <w:r>
              <w:rPr>
                <w:rFonts w:ascii="仿宋_GB2312" w:eastAsia="仿宋_GB2312" w:hAnsi="仿宋_GB2312" w:cs="仿宋_GB2312" w:hint="eastAsia"/>
                <w:szCs w:val="21"/>
              </w:rPr>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项目名称</w:t>
            </w:r>
          </w:p>
        </w:tc>
        <w:tc>
          <w:tcPr>
            <w:tcW w:w="461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实施依据</w:t>
            </w:r>
          </w:p>
        </w:tc>
        <w:tc>
          <w:tcPr>
            <w:tcW w:w="9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职权</w:t>
            </w:r>
          </w:p>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类别</w:t>
            </w:r>
          </w:p>
        </w:tc>
        <w:tc>
          <w:tcPr>
            <w:tcW w:w="94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办理</w:t>
            </w:r>
          </w:p>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环节</w:t>
            </w:r>
          </w:p>
        </w:tc>
        <w:tc>
          <w:tcPr>
            <w:tcW w:w="357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责任股室</w:t>
            </w:r>
          </w:p>
        </w:tc>
      </w:tr>
      <w:tr w:rsidR="0059130C">
        <w:trPr>
          <w:trHeight w:val="23"/>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190</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超越许可事项，从事道路客运经营的处罚</w:t>
            </w:r>
          </w:p>
        </w:tc>
        <w:tc>
          <w:tcPr>
            <w:tcW w:w="4613"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道路旅客运输及客运站管理规定》（交通运输部令2022年第33号）第九十三条第一项：“违反本规定，有下列行为之一的，由交通运输主管部门责令停止经营；有违法所得的，没收违法所得，处违法所得2倍以上10倍以下的罚款；没有违法所得或者违法所得不足2万元的，处3万元以上10万元以下的罚款；构成犯罪的，依法追究刑事责任：</w:t>
            </w:r>
          </w:p>
          <w:p w:rsidR="0059130C" w:rsidRDefault="002E22CA">
            <w:pPr>
              <w:pStyle w:val="a6"/>
              <w:spacing w:beforeAutospacing="0" w:afterAutospacing="0" w:line="240" w:lineRule="exact"/>
              <w:rPr>
                <w:rFonts w:ascii="仿宋_GB2312" w:eastAsia="仿宋_GB2312" w:hAnsi="仿宋_GB2312" w:cs="仿宋_GB2312"/>
                <w:sz w:val="21"/>
                <w:szCs w:val="21"/>
                <w:lang/>
              </w:rPr>
            </w:pPr>
            <w:r>
              <w:rPr>
                <w:rFonts w:ascii="仿宋_GB2312" w:eastAsia="仿宋_GB2312" w:hAnsi="仿宋_GB2312" w:cs="仿宋_GB2312" w:hint="eastAsia"/>
                <w:sz w:val="21"/>
                <w:szCs w:val="21"/>
                <w:lang/>
              </w:rPr>
              <w:t>（四）超越许可事项，从事道路客运经营的.”</w:t>
            </w:r>
          </w:p>
        </w:tc>
        <w:tc>
          <w:tcPr>
            <w:tcW w:w="990"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945"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3572"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357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357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357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357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357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3572"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3572"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90"/>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457"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90"/>
        </w:trPr>
        <w:tc>
          <w:tcPr>
            <w:tcW w:w="999"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457"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原因：根据《道路旅客运输及客运站管理规定》（交通运输部令2022年第33号），增加此事项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512" w:type="dxa"/>
        <w:tblLayout w:type="fixed"/>
        <w:tblCellMar>
          <w:left w:w="15" w:type="dxa"/>
          <w:right w:w="15" w:type="dxa"/>
        </w:tblCellMar>
        <w:tblLook w:val="04A0"/>
      </w:tblPr>
      <w:tblGrid>
        <w:gridCol w:w="999"/>
        <w:gridCol w:w="1976"/>
        <w:gridCol w:w="4613"/>
        <w:gridCol w:w="640"/>
        <w:gridCol w:w="750"/>
        <w:gridCol w:w="4173"/>
        <w:gridCol w:w="1361"/>
      </w:tblGrid>
      <w:tr w:rsidR="0059130C">
        <w:trPr>
          <w:trHeight w:val="640"/>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61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6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75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417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23"/>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191</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overflowPunct w:val="0"/>
              <w:snapToGrid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货运站经营者允许无证经营的车辆进站从事经营活动以及超载车辆、未经安全检查的车辆出站或者无正当理由拒绝道路运输车辆进站从事经营活动的处罚</w:t>
            </w:r>
          </w:p>
          <w:p w:rsidR="0059130C" w:rsidRDefault="0059130C">
            <w:pPr>
              <w:overflowPunct w:val="0"/>
              <w:snapToGrid w:val="0"/>
              <w:spacing w:line="240" w:lineRule="exact"/>
              <w:rPr>
                <w:rFonts w:ascii="仿宋_GB2312" w:eastAsia="仿宋_GB2312" w:hAnsi="仿宋_GB2312" w:cs="仿宋_GB2312"/>
                <w:kern w:val="0"/>
                <w:szCs w:val="21"/>
                <w:lang/>
              </w:rPr>
            </w:pPr>
          </w:p>
        </w:tc>
        <w:tc>
          <w:tcPr>
            <w:tcW w:w="4613" w:type="dxa"/>
            <w:vMerge w:val="restart"/>
            <w:tcBorders>
              <w:top w:val="single" w:sz="4" w:space="0" w:color="000000"/>
              <w:left w:val="single" w:sz="4" w:space="0" w:color="000000"/>
              <w:right w:val="single" w:sz="4" w:space="0" w:color="000000"/>
            </w:tcBorders>
            <w:vAlign w:val="center"/>
          </w:tcPr>
          <w:p w:rsidR="0059130C" w:rsidRDefault="002E22CA">
            <w:pPr>
              <w:overflowPunct w:val="0"/>
              <w:snapToGrid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中华人民共和国道路运输条例》（国务院令第764号）第七十条：”违反本条例的规定，道路旅客运输站（场）经营者允许无证经营的车辆进站从事经营活动以及超载车辆、未经安全检查的车辆出站或者无正当理由拒绝道路运输车辆进站从事经营活动的，由县级以上地方人民政府交通运输主管部门责令改正，处1万元以上3万元以下的罚款。</w:t>
            </w:r>
          </w:p>
          <w:p w:rsidR="0059130C" w:rsidRDefault="002E22CA">
            <w:pPr>
              <w:overflowPunct w:val="0"/>
              <w:snapToGrid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道路货物运输站（场）经营者有前款违法情形的，由县级以上地方人民政府交通运输主管部门责令改正，处3000元以上3万元以下的罚款。”</w:t>
            </w:r>
          </w:p>
          <w:p w:rsidR="0059130C" w:rsidRDefault="002E22CA">
            <w:pPr>
              <w:overflowPunct w:val="0"/>
              <w:snapToGrid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道路货物运输及站场管理规定》（交通运输部令2022年第30号）第六十六条：“违反本规定，货运站经营者允许无证经营的车辆进站从事经营活动以及超载车辆、未经安全检查的车辆出站或者无正当理由拒绝道路运输车辆进站从事经营活动的，由交通运输主管部门责令改正，处1万元以上3万元以下的罚款。”</w:t>
            </w:r>
          </w:p>
        </w:tc>
        <w:tc>
          <w:tcPr>
            <w:tcW w:w="640"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行政处罚</w:t>
            </w:r>
          </w:p>
        </w:tc>
        <w:tc>
          <w:tcPr>
            <w:tcW w:w="750"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173" w:type="dxa"/>
            <w:tcBorders>
              <w:top w:val="single" w:sz="4" w:space="0" w:color="000000"/>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1.</w:t>
            </w:r>
            <w:r>
              <w:rPr>
                <w:rFonts w:ascii="仿宋_GB2312" w:eastAsia="仿宋_GB2312" w:hAnsi="仿宋_GB2312" w:cs="仿宋_GB2312" w:hint="eastAsia"/>
                <w:kern w:val="0"/>
                <w:szCs w:val="21"/>
              </w:rPr>
              <w:t>立案责任：检查中发现或者接到举报投诉的违法行为、有关部门移送的此类行违法案件，予以审查，决定是否立案。</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4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5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17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2.调查责任：对立案的案件，案件承办人员及时、全面、客观、公正地调查收集与案件有关的证据，查明事实，必要时可进行现场检查。与当事人有直接利害关系的予以回避。执法人员不得少于两人，调查时应出示执法证件，允许当事人辩解陈述。</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4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5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17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3、</w:t>
            </w:r>
            <w:r>
              <w:rPr>
                <w:rFonts w:ascii="仿宋_GB2312" w:eastAsia="仿宋_GB2312" w:hAnsi="仿宋_GB2312" w:cs="仿宋_GB2312" w:hint="eastAsia"/>
                <w:kern w:val="0"/>
                <w:szCs w:val="21"/>
              </w:rPr>
              <w:t>审查责任：对案件违法事实、证据、调查取证程序、法律适用、处罚种类和幅度、当事人陈述和申辩理由等方面进行审查，提出处理意见。</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4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5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17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4、</w:t>
            </w:r>
            <w:r>
              <w:rPr>
                <w:rFonts w:ascii="仿宋_GB2312" w:eastAsia="仿宋_GB2312" w:hAnsi="仿宋_GB2312" w:cs="仿宋_GB2312" w:hint="eastAsia"/>
                <w:kern w:val="0"/>
                <w:szCs w:val="21"/>
              </w:rPr>
              <w:t>告知责任：在做出行政处罚决定前，书面告知当事人拟作出处罚决定的事实、理由、依据、处罚内容，以及当事人享有的陈述权、申辩权或听证权。</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4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5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17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5、</w:t>
            </w:r>
            <w:r>
              <w:rPr>
                <w:rFonts w:ascii="仿宋_GB2312" w:eastAsia="仿宋_GB2312" w:hAnsi="仿宋_GB2312" w:cs="仿宋_GB2312" w:hint="eastAsia"/>
                <w:kern w:val="0"/>
                <w:szCs w:val="21"/>
              </w:rPr>
              <w:t>决定责任：依法需要给予行政处罚的，应制作《行政处罚决定书》，载明违法事实和证据、处罚依据和内容、申请行政复议或提起行政诉讼的途径和期限等内容。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4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5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17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6、送达阶段责任：在规定期限内将行政处罚决定书送达当事人。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2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4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50"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173" w:type="dxa"/>
            <w:tcBorders>
              <w:top w:val="single" w:sz="4" w:space="0" w:color="auto"/>
              <w:left w:val="single" w:sz="4" w:space="0" w:color="000000"/>
              <w:bottom w:val="single" w:sz="4" w:space="0" w:color="auto"/>
              <w:right w:val="single" w:sz="4" w:space="0" w:color="000000"/>
            </w:tcBorders>
            <w:vAlign w:val="center"/>
          </w:tcPr>
          <w:p w:rsidR="0059130C" w:rsidRDefault="002E22CA">
            <w:pPr>
              <w:spacing w:line="240" w:lineRule="exact"/>
              <w:jc w:val="left"/>
              <w:rPr>
                <w:rFonts w:ascii="仿宋_GB2312" w:eastAsia="仿宋_GB2312" w:hAnsi="仿宋_GB2312" w:cs="仿宋_GB2312"/>
                <w:kern w:val="0"/>
                <w:szCs w:val="21"/>
                <w:lang/>
              </w:rPr>
            </w:pPr>
            <w:r>
              <w:rPr>
                <w:rFonts w:ascii="仿宋_GB2312" w:eastAsia="仿宋_GB2312" w:hAnsi="仿宋_GB2312" w:cs="仿宋_GB2312" w:hint="eastAsia"/>
                <w:szCs w:val="21"/>
              </w:rPr>
              <w:t>7、执行阶段责任：</w:t>
            </w:r>
            <w:r>
              <w:rPr>
                <w:rFonts w:ascii="仿宋_GB2312" w:eastAsia="仿宋_GB2312" w:hAnsi="仿宋_GB2312" w:cs="仿宋_GB2312" w:hint="eastAsia"/>
                <w:kern w:val="0"/>
                <w:szCs w:val="21"/>
              </w:rPr>
              <w:t>监督当事人在决定的期限内，履行生效的行政处罚决定。当事人在法定期限内不申请行政复议或提起行政诉讼，又不履行的，可依法采取强制执行或者申请人民法院强制执行。</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703"/>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64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75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173" w:type="dxa"/>
            <w:tcBorders>
              <w:top w:val="single" w:sz="4" w:space="0" w:color="auto"/>
              <w:left w:val="single" w:sz="4" w:space="0" w:color="000000"/>
              <w:bottom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szCs w:val="21"/>
              </w:rPr>
              <w:t>8、其他法律法规规章文件规定履行的责任。</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90"/>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513"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90"/>
        </w:trPr>
        <w:tc>
          <w:tcPr>
            <w:tcW w:w="999"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513"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原因：根据《中华人民共和国道路运输条例》（国务院令第764号）《道路货物运输及站场管理规定》（交通运输部令2022年第30号），增加此事项</w:t>
            </w:r>
          </w:p>
        </w:tc>
      </w:tr>
    </w:tbl>
    <w:p w:rsidR="0059130C" w:rsidRDefault="002E22CA">
      <w:pPr>
        <w:spacing w:line="240" w:lineRule="exact"/>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br w:type="page"/>
      </w:r>
    </w:p>
    <w:tbl>
      <w:tblPr>
        <w:tblW w:w="14128" w:type="dxa"/>
        <w:tblLayout w:type="fixed"/>
        <w:tblCellMar>
          <w:left w:w="15" w:type="dxa"/>
          <w:right w:w="15" w:type="dxa"/>
        </w:tblCellMar>
        <w:tblLook w:val="04A0"/>
      </w:tblPr>
      <w:tblGrid>
        <w:gridCol w:w="634"/>
        <w:gridCol w:w="788"/>
        <w:gridCol w:w="7950"/>
        <w:gridCol w:w="469"/>
        <w:gridCol w:w="487"/>
        <w:gridCol w:w="2439"/>
        <w:gridCol w:w="1361"/>
      </w:tblGrid>
      <w:tr w:rsidR="0059130C">
        <w:trPr>
          <w:trHeight w:val="640"/>
        </w:trPr>
        <w:tc>
          <w:tcPr>
            <w:tcW w:w="634"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788"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名称</w:t>
            </w:r>
          </w:p>
        </w:tc>
        <w:tc>
          <w:tcPr>
            <w:tcW w:w="795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469"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487"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2439"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1362"/>
        </w:trPr>
        <w:tc>
          <w:tcPr>
            <w:tcW w:w="634"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192</w:t>
            </w:r>
          </w:p>
        </w:tc>
        <w:tc>
          <w:tcPr>
            <w:tcW w:w="788" w:type="dxa"/>
            <w:vMerge w:val="restart"/>
            <w:tcBorders>
              <w:top w:val="single" w:sz="4" w:space="0" w:color="000000"/>
              <w:left w:val="single" w:sz="4" w:space="0" w:color="000000"/>
              <w:right w:val="single" w:sz="4" w:space="0" w:color="000000"/>
            </w:tcBorders>
            <w:vAlign w:val="center"/>
          </w:tcPr>
          <w:p w:rsidR="0059130C" w:rsidRDefault="002E22CA">
            <w:pPr>
              <w:overflowPunct w:val="0"/>
              <w:snapToGrid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对从事国内水路运输业务的“三资”企业经营资质情况的监管：不满足从事国内水路运输业务的“三资”企业经营资质条件的行政检查</w:t>
            </w:r>
          </w:p>
        </w:tc>
        <w:tc>
          <w:tcPr>
            <w:tcW w:w="7950" w:type="dxa"/>
            <w:vMerge w:val="restart"/>
            <w:tcBorders>
              <w:top w:val="single" w:sz="4" w:space="0" w:color="000000"/>
              <w:left w:val="single" w:sz="4" w:space="0" w:color="000000"/>
              <w:right w:val="single" w:sz="4" w:space="0" w:color="000000"/>
            </w:tcBorders>
            <w:vAlign w:val="center"/>
          </w:tcPr>
          <w:p w:rsidR="0059130C" w:rsidRDefault="002E22CA">
            <w:pPr>
              <w:overflowPunct w:val="0"/>
              <w:snapToGrid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 xml:space="preserve"> 《中华人民共和国水路运输服务业管理规定》（中华人民共和国交通运输部令2009年 第5号）第八条第二款：</w:t>
            </w:r>
            <w:proofErr w:type="gramStart"/>
            <w:r>
              <w:rPr>
                <w:rFonts w:ascii="仿宋_GB2312" w:eastAsia="仿宋_GB2312" w:hAnsi="仿宋_GB2312" w:cs="仿宋_GB2312" w:hint="eastAsia"/>
                <w:kern w:val="0"/>
                <w:szCs w:val="21"/>
                <w:lang/>
              </w:rPr>
              <w:t>“</w:t>
            </w:r>
            <w:proofErr w:type="gramEnd"/>
            <w:r>
              <w:rPr>
                <w:rFonts w:ascii="仿宋_GB2312" w:eastAsia="仿宋_GB2312" w:hAnsi="仿宋_GB2312" w:cs="仿宋_GB2312" w:hint="eastAsia"/>
                <w:kern w:val="0"/>
                <w:szCs w:val="21"/>
                <w:lang/>
              </w:rPr>
              <w:t>外资企业、中外合资企业、中外合作企业（以下简称“三资企业”）经营水路运输服务业</w:t>
            </w:r>
            <w:proofErr w:type="gramStart"/>
            <w:r>
              <w:rPr>
                <w:rFonts w:ascii="仿宋_GB2312" w:eastAsia="仿宋_GB2312" w:hAnsi="仿宋_GB2312" w:cs="仿宋_GB2312" w:hint="eastAsia"/>
                <w:kern w:val="0"/>
                <w:szCs w:val="21"/>
                <w:lang/>
              </w:rPr>
              <w:t>务</w:t>
            </w:r>
            <w:proofErr w:type="gramEnd"/>
            <w:r>
              <w:rPr>
                <w:rFonts w:ascii="仿宋_GB2312" w:eastAsia="仿宋_GB2312" w:hAnsi="仿宋_GB2312" w:cs="仿宋_GB2312" w:hint="eastAsia"/>
                <w:kern w:val="0"/>
                <w:szCs w:val="21"/>
                <w:lang/>
              </w:rPr>
              <w:t>，应当经国务院交通运输主管部门批准。”</w:t>
            </w:r>
          </w:p>
          <w:p w:rsidR="0059130C" w:rsidRDefault="002E22CA">
            <w:pPr>
              <w:overflowPunct w:val="0"/>
              <w:snapToGrid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《国内水路运输管理规定》（2014年1月3日交通运输部发布 根据2015年5月12日交通运输部《关于修改〈国内水路运输管理规定〉的决定》第一次修正 根据2016年12月10日交通运输部《关于修改〈国内水路运输管理规定〉的决定》第二次修正 根据2020年2月24日交通运输部《关于修改〈国内水路运输管理规定〉的决定》第三次修正）</w:t>
            </w:r>
          </w:p>
          <w:p w:rsidR="0059130C" w:rsidRDefault="002E22CA">
            <w:pPr>
              <w:overflowPunct w:val="0"/>
              <w:snapToGrid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第四章　外商投资企业和外国籍船舶的特别规定</w:t>
            </w:r>
          </w:p>
          <w:p w:rsidR="0059130C" w:rsidRDefault="002E22CA">
            <w:pPr>
              <w:overflowPunct w:val="0"/>
              <w:snapToGrid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第三十六条　外商投资企业申请从事水路运输，除满足本规定第五条规定的经营资质条件外，还应当符合下列条件：</w:t>
            </w:r>
          </w:p>
          <w:p w:rsidR="0059130C" w:rsidRDefault="002E22CA">
            <w:pPr>
              <w:overflowPunct w:val="0"/>
              <w:snapToGrid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（一）拟经营的范围内，国内水路运输经营者无法满足需求；</w:t>
            </w:r>
          </w:p>
          <w:p w:rsidR="0059130C" w:rsidRDefault="002E22CA">
            <w:pPr>
              <w:overflowPunct w:val="0"/>
              <w:snapToGrid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（二）应当具有经营水路运输业务的良好业绩和运营记录。</w:t>
            </w:r>
          </w:p>
          <w:p w:rsidR="0059130C" w:rsidRDefault="002E22CA">
            <w:pPr>
              <w:overflowPunct w:val="0"/>
              <w:snapToGrid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第三十七条　具有许可权限的部门可以根据国内水路运输实际情况，决定是否准许外商投资企业经营国内水路运输。</w:t>
            </w:r>
          </w:p>
          <w:p w:rsidR="0059130C" w:rsidRDefault="002E22CA">
            <w:pPr>
              <w:overflowPunct w:val="0"/>
              <w:snapToGrid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经批准取得水路运输经营许可的外商投资企业外方投资者或者外方投资股比等事项发生变化的，应当报原许可机关批准。原许可机关发现外商投资企业不再符合本规定要求的，应当撤销其水路运输经营资质。</w:t>
            </w:r>
          </w:p>
          <w:p w:rsidR="0059130C" w:rsidRDefault="002E22CA">
            <w:pPr>
              <w:overflowPunct w:val="0"/>
              <w:snapToGrid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第三十八条　符合下列情形并经交通运输部批准，水路运输经营者可以租用外国籍船舶在中华人民共和国港口之间从事不超过两个连续航次或者期限为30日的临时运输：</w:t>
            </w:r>
          </w:p>
          <w:p w:rsidR="0059130C" w:rsidRDefault="002E22CA">
            <w:pPr>
              <w:overflowPunct w:val="0"/>
              <w:snapToGrid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（一）没有满足所申请的运输要求的中国籍船舶；</w:t>
            </w:r>
          </w:p>
          <w:p w:rsidR="0059130C" w:rsidRDefault="002E22CA">
            <w:pPr>
              <w:overflowPunct w:val="0"/>
              <w:snapToGrid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（二）停靠的港口或者水域为对外开放的港口或者水域。</w:t>
            </w:r>
          </w:p>
          <w:p w:rsidR="0059130C" w:rsidRDefault="002E22CA">
            <w:pPr>
              <w:overflowPunct w:val="0"/>
              <w:snapToGrid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第三十九条　租用外国籍船舶从事临时运输的水路运输经营者，应当向交通运输部提交申请书、运输合同、拟使用的外籍船舶及船舶登记证书、船舶检验证书等相关证书和能够证明符合本</w:t>
            </w:r>
            <w:proofErr w:type="gramStart"/>
            <w:r>
              <w:rPr>
                <w:rFonts w:ascii="仿宋_GB2312" w:eastAsia="仿宋_GB2312" w:hAnsi="仿宋_GB2312" w:cs="仿宋_GB2312" w:hint="eastAsia"/>
                <w:kern w:val="0"/>
                <w:szCs w:val="21"/>
                <w:lang/>
              </w:rPr>
              <w:t>规定规定</w:t>
            </w:r>
            <w:proofErr w:type="gramEnd"/>
            <w:r>
              <w:rPr>
                <w:rFonts w:ascii="仿宋_GB2312" w:eastAsia="仿宋_GB2312" w:hAnsi="仿宋_GB2312" w:cs="仿宋_GB2312" w:hint="eastAsia"/>
                <w:kern w:val="0"/>
                <w:szCs w:val="21"/>
                <w:lang/>
              </w:rPr>
              <w:t>情形的相关材料。申请书应当说明申请事由、承运的货物、运输航次或者期限、停靠港口。</w:t>
            </w:r>
          </w:p>
          <w:p w:rsidR="0059130C" w:rsidRDefault="002E22CA">
            <w:pPr>
              <w:overflowPunct w:val="0"/>
              <w:snapToGrid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交通运输部应当自受理申请之日起15个工作日内，对申请事项进行审核。对符合规定条件的，</w:t>
            </w:r>
            <w:proofErr w:type="gramStart"/>
            <w:r>
              <w:rPr>
                <w:rFonts w:ascii="仿宋_GB2312" w:eastAsia="仿宋_GB2312" w:hAnsi="仿宋_GB2312" w:cs="仿宋_GB2312" w:hint="eastAsia"/>
                <w:kern w:val="0"/>
                <w:szCs w:val="21"/>
                <w:lang/>
              </w:rPr>
              <w:t>作出</w:t>
            </w:r>
            <w:proofErr w:type="gramEnd"/>
            <w:r>
              <w:rPr>
                <w:rFonts w:ascii="仿宋_GB2312" w:eastAsia="仿宋_GB2312" w:hAnsi="仿宋_GB2312" w:cs="仿宋_GB2312" w:hint="eastAsia"/>
                <w:kern w:val="0"/>
                <w:szCs w:val="21"/>
                <w:lang/>
              </w:rPr>
              <w:t>许可决定并且颁发许可文件；对不符合条件的，不予许可，并书面通知申请人不予许可的理由。</w:t>
            </w:r>
          </w:p>
          <w:p w:rsidR="0059130C" w:rsidRDefault="002E22CA">
            <w:pPr>
              <w:overflowPunct w:val="0"/>
              <w:snapToGrid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第四十条 临时从事水路运输的外国籍船舶，应当遵守水路运输管理的有关规定，按照批准的范围和期限进行运输。</w:t>
            </w:r>
          </w:p>
        </w:tc>
        <w:tc>
          <w:tcPr>
            <w:tcW w:w="469"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行政检查</w:t>
            </w:r>
          </w:p>
        </w:tc>
        <w:tc>
          <w:tcPr>
            <w:tcW w:w="487" w:type="dxa"/>
            <w:tcBorders>
              <w:top w:val="single" w:sz="4" w:space="0" w:color="000000"/>
              <w:left w:val="single" w:sz="4" w:space="0" w:color="000000"/>
              <w:bottom w:val="single" w:sz="4" w:space="0" w:color="auto"/>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受理</w:t>
            </w:r>
          </w:p>
        </w:tc>
        <w:tc>
          <w:tcPr>
            <w:tcW w:w="2439" w:type="dxa"/>
            <w:tcBorders>
              <w:top w:val="single" w:sz="4" w:space="0" w:color="000000"/>
              <w:left w:val="single" w:sz="4" w:space="0" w:color="000000"/>
              <w:bottom w:val="single" w:sz="4" w:space="0" w:color="auto"/>
              <w:right w:val="single" w:sz="4" w:space="0" w:color="000000"/>
            </w:tcBorders>
            <w:vAlign w:val="center"/>
          </w:tcPr>
          <w:p w:rsidR="0059130C" w:rsidRDefault="002E22CA">
            <w:pPr>
              <w:widowControl/>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1.受理责任：受理社会团体报送的年度检查报告书，对其材料的齐全性、内容的完整性进行查验。符合要求的，直接受理。不符合要求的，一次性告之原因及所补材料。</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1102"/>
        </w:trPr>
        <w:tc>
          <w:tcPr>
            <w:tcW w:w="634"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78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795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469"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87" w:type="dxa"/>
            <w:tcBorders>
              <w:top w:val="single" w:sz="4" w:space="0" w:color="auto"/>
              <w:left w:val="single" w:sz="4" w:space="0" w:color="000000"/>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审查</w:t>
            </w:r>
          </w:p>
        </w:tc>
        <w:tc>
          <w:tcPr>
            <w:tcW w:w="2439" w:type="dxa"/>
            <w:tcBorders>
              <w:top w:val="single" w:sz="4" w:space="0" w:color="auto"/>
              <w:left w:val="single" w:sz="4" w:space="0" w:color="000000"/>
              <w:bottom w:val="single" w:sz="4" w:space="0" w:color="auto"/>
              <w:right w:val="single" w:sz="4" w:space="0" w:color="000000"/>
            </w:tcBorders>
            <w:vAlign w:val="center"/>
          </w:tcPr>
          <w:p w:rsidR="0059130C" w:rsidRDefault="002E22CA">
            <w:pPr>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2.审查责任：对社会团体提交的年度检查报告书进行初审，提出初审意见，报分管领导签批。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1210"/>
        </w:trPr>
        <w:tc>
          <w:tcPr>
            <w:tcW w:w="634"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78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795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469"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87" w:type="dxa"/>
            <w:tcBorders>
              <w:top w:val="single" w:sz="4" w:space="0" w:color="auto"/>
              <w:left w:val="single" w:sz="4" w:space="0" w:color="000000"/>
              <w:bottom w:val="single" w:sz="4" w:space="0" w:color="auto"/>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决定</w:t>
            </w:r>
          </w:p>
        </w:tc>
        <w:tc>
          <w:tcPr>
            <w:tcW w:w="2439" w:type="dxa"/>
            <w:tcBorders>
              <w:top w:val="single" w:sz="4" w:space="0" w:color="auto"/>
              <w:left w:val="single" w:sz="4" w:space="0" w:color="000000"/>
              <w:bottom w:val="single" w:sz="4" w:space="0" w:color="auto"/>
              <w:right w:val="single" w:sz="4" w:space="0" w:color="000000"/>
            </w:tcBorders>
            <w:vAlign w:val="center"/>
          </w:tcPr>
          <w:p w:rsidR="0059130C" w:rsidRDefault="002E22CA">
            <w:pPr>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3.决定责任：</w:t>
            </w:r>
            <w:proofErr w:type="gramStart"/>
            <w:r>
              <w:rPr>
                <w:rFonts w:ascii="仿宋_GB2312" w:eastAsia="仿宋_GB2312" w:hAnsi="仿宋_GB2312" w:cs="仿宋_GB2312" w:hint="eastAsia"/>
                <w:kern w:val="0"/>
                <w:szCs w:val="21"/>
              </w:rPr>
              <w:t>作出</w:t>
            </w:r>
            <w:proofErr w:type="gramEnd"/>
            <w:r>
              <w:rPr>
                <w:rFonts w:ascii="仿宋_GB2312" w:eastAsia="仿宋_GB2312" w:hAnsi="仿宋_GB2312" w:cs="仿宋_GB2312" w:hint="eastAsia"/>
                <w:kern w:val="0"/>
                <w:szCs w:val="21"/>
              </w:rPr>
              <w:t>年度检查结论。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715"/>
        </w:trPr>
        <w:tc>
          <w:tcPr>
            <w:tcW w:w="634"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78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795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469"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87" w:type="dxa"/>
            <w:tcBorders>
              <w:top w:val="single" w:sz="4" w:space="0" w:color="auto"/>
              <w:left w:val="single" w:sz="4" w:space="0" w:color="000000"/>
              <w:bottom w:val="single" w:sz="4" w:space="0" w:color="auto"/>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送达</w:t>
            </w:r>
          </w:p>
        </w:tc>
        <w:tc>
          <w:tcPr>
            <w:tcW w:w="2439" w:type="dxa"/>
            <w:tcBorders>
              <w:top w:val="single" w:sz="4" w:space="0" w:color="auto"/>
              <w:left w:val="single" w:sz="4" w:space="0" w:color="000000"/>
              <w:bottom w:val="single" w:sz="4" w:space="0" w:color="auto"/>
              <w:right w:val="single" w:sz="4" w:space="0" w:color="000000"/>
            </w:tcBorders>
            <w:vAlign w:val="center"/>
          </w:tcPr>
          <w:p w:rsidR="0059130C" w:rsidRDefault="002E22CA">
            <w:pPr>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4.送达责任：服务窗口根据网上平台指令，送达年度检查报告书。</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799"/>
        </w:trPr>
        <w:tc>
          <w:tcPr>
            <w:tcW w:w="634"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788"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795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469"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487" w:type="dxa"/>
            <w:tcBorders>
              <w:top w:val="single" w:sz="4" w:space="0" w:color="auto"/>
              <w:left w:val="single" w:sz="4" w:space="0" w:color="000000"/>
              <w:bottom w:val="single" w:sz="4" w:space="0" w:color="000000"/>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事后管理</w:t>
            </w:r>
          </w:p>
        </w:tc>
        <w:tc>
          <w:tcPr>
            <w:tcW w:w="2439" w:type="dxa"/>
            <w:tcBorders>
              <w:top w:val="single" w:sz="4" w:space="0" w:color="auto"/>
              <w:left w:val="single" w:sz="4" w:space="0" w:color="000000"/>
              <w:bottom w:val="single" w:sz="4" w:space="0" w:color="000000"/>
              <w:right w:val="single" w:sz="4" w:space="0" w:color="000000"/>
            </w:tcBorders>
            <w:vAlign w:val="center"/>
          </w:tcPr>
          <w:p w:rsidR="0059130C" w:rsidRDefault="002E22CA">
            <w:pPr>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5.事后管理责任：对</w:t>
            </w:r>
            <w:proofErr w:type="gramStart"/>
            <w:r>
              <w:rPr>
                <w:rFonts w:ascii="仿宋_GB2312" w:eastAsia="仿宋_GB2312" w:hAnsi="仿宋_GB2312" w:cs="仿宋_GB2312" w:hint="eastAsia"/>
                <w:kern w:val="0"/>
                <w:szCs w:val="21"/>
              </w:rPr>
              <w:t>作出</w:t>
            </w:r>
            <w:proofErr w:type="gramEnd"/>
            <w:r>
              <w:rPr>
                <w:rFonts w:ascii="仿宋_GB2312" w:eastAsia="仿宋_GB2312" w:hAnsi="仿宋_GB2312" w:cs="仿宋_GB2312" w:hint="eastAsia"/>
                <w:kern w:val="0"/>
                <w:szCs w:val="21"/>
              </w:rPr>
              <w:t>年度检查结论的材料归档和信息公开。</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397"/>
        </w:trPr>
        <w:tc>
          <w:tcPr>
            <w:tcW w:w="634"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494"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397"/>
        </w:trPr>
        <w:tc>
          <w:tcPr>
            <w:tcW w:w="634"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494"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原因：将原事项</w:t>
            </w:r>
            <w:proofErr w:type="gramStart"/>
            <w:r w:rsidR="002E22CA">
              <w:rPr>
                <w:rFonts w:ascii="仿宋_GB2312" w:eastAsia="仿宋_GB2312" w:hAnsi="仿宋_GB2312" w:cs="仿宋_GB2312" w:hint="eastAsia"/>
                <w:szCs w:val="21"/>
              </w:rPr>
              <w:t>“</w:t>
            </w:r>
            <w:proofErr w:type="gramEnd"/>
            <w:r w:rsidR="002E22CA">
              <w:rPr>
                <w:rFonts w:ascii="仿宋_GB2312" w:eastAsia="仿宋_GB2312" w:hAnsi="仿宋_GB2312" w:cs="仿宋_GB2312" w:hint="eastAsia"/>
                <w:szCs w:val="21"/>
              </w:rPr>
              <w:t>对从事国内水路运输业务的“三资”企业经营资质情况的监管：不满足从事国内水路运输业务的“三资”企业经营资质条件的行政检查、行政处罚</w:t>
            </w:r>
            <w:proofErr w:type="gramStart"/>
            <w:r w:rsidR="002E22CA">
              <w:rPr>
                <w:rFonts w:ascii="仿宋_GB2312" w:eastAsia="仿宋_GB2312" w:hAnsi="仿宋_GB2312" w:cs="仿宋_GB2312" w:hint="eastAsia"/>
                <w:szCs w:val="21"/>
              </w:rPr>
              <w:t>”</w:t>
            </w:r>
            <w:proofErr w:type="gramEnd"/>
            <w:r w:rsidR="002E22CA">
              <w:rPr>
                <w:rFonts w:ascii="仿宋_GB2312" w:eastAsia="仿宋_GB2312" w:hAnsi="仿宋_GB2312" w:cs="仿宋_GB2312" w:hint="eastAsia"/>
                <w:szCs w:val="21"/>
              </w:rPr>
              <w:t>，分别调整为行政处罚一项、行政检查一项</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128" w:type="dxa"/>
        <w:tblLayout w:type="fixed"/>
        <w:tblCellMar>
          <w:left w:w="15" w:type="dxa"/>
          <w:right w:w="15" w:type="dxa"/>
        </w:tblCellMar>
        <w:tblLook w:val="04A0"/>
      </w:tblPr>
      <w:tblGrid>
        <w:gridCol w:w="999"/>
        <w:gridCol w:w="1976"/>
        <w:gridCol w:w="4613"/>
        <w:gridCol w:w="990"/>
        <w:gridCol w:w="945"/>
        <w:gridCol w:w="3244"/>
        <w:gridCol w:w="1361"/>
      </w:tblGrid>
      <w:tr w:rsidR="0059130C">
        <w:trPr>
          <w:trHeight w:val="640"/>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61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9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94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244"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807"/>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193</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overflowPunct w:val="0"/>
              <w:snapToGrid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对港口理货业务经营人违规兼营货物装卸经营业务、仓储经营业务行为的行政检查</w:t>
            </w:r>
          </w:p>
        </w:tc>
        <w:tc>
          <w:tcPr>
            <w:tcW w:w="4613" w:type="dxa"/>
            <w:vMerge w:val="restart"/>
            <w:tcBorders>
              <w:top w:val="single" w:sz="4" w:space="0" w:color="000000"/>
              <w:left w:val="single" w:sz="4" w:space="0" w:color="000000"/>
              <w:right w:val="single" w:sz="4" w:space="0" w:color="000000"/>
            </w:tcBorders>
            <w:vAlign w:val="center"/>
          </w:tcPr>
          <w:p w:rsidR="0059130C" w:rsidRDefault="002E22CA">
            <w:pPr>
              <w:overflowPunct w:val="0"/>
              <w:snapToGrid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《中华人民共和国港口法》（2018年12月29日主席令第23号）第四十二条：“港口行政管理部门依据职责对本法执行情况实施监督检查。</w:t>
            </w:r>
          </w:p>
          <w:p w:rsidR="0059130C" w:rsidRDefault="002E22CA">
            <w:pPr>
              <w:overflowPunct w:val="0"/>
              <w:snapToGrid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港口行政管理部门的监督检查人员依法实施监督检查时，有权向被检查单位和有关人员了解有关情况，并可查阅、复制有关资料。</w:t>
            </w:r>
          </w:p>
          <w:p w:rsidR="0059130C" w:rsidRDefault="002E22CA">
            <w:pPr>
              <w:overflowPunct w:val="0"/>
              <w:snapToGrid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监督检查人员对检查中知悉的商业秘密，应当保密。</w:t>
            </w:r>
          </w:p>
          <w:p w:rsidR="0059130C" w:rsidRDefault="002E22CA">
            <w:pPr>
              <w:overflowPunct w:val="0"/>
              <w:snapToGrid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监督检查人员实施监督检查时，应当出示执法证件。”</w:t>
            </w:r>
          </w:p>
          <w:p w:rsidR="0059130C" w:rsidRDefault="002E22CA">
            <w:pPr>
              <w:overflowPunct w:val="0"/>
              <w:snapToGrid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中华人民共和国港口法》（2018年12月29日主席令第23号）第四十八条第一款第三项：“有下列行为之一的，由港口行政管理部门责令停止违法经营，没收违法所得；违法所得十万元以上的，并处违法所得二倍以上五倍以下罚款；违法所得不足十万元的，处五万元以上二十万元以下罚款：……（三）港口理货业务经营人兼营货物装卸经营业务、仓储经营业务的。”</w:t>
            </w:r>
          </w:p>
          <w:p w:rsidR="0059130C" w:rsidRDefault="002E22CA">
            <w:pPr>
              <w:overflowPunct w:val="0"/>
              <w:snapToGrid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《中华人民共和国港口法》（2018年12月29日主席令第23号）第四十八条第二款：“有前款第（三）项行为，情节严重的，由有关主管部门吊销港口理货业务经营许可证。”</w:t>
            </w:r>
          </w:p>
          <w:p w:rsidR="0059130C" w:rsidRDefault="002E22CA">
            <w:pPr>
              <w:overflowPunct w:val="0"/>
              <w:snapToGrid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港口经营管理规定》（中华人民共和国交通运输部令2020年第21号）第四十一条第二项：“有下列行为之一的，由港口行政管理部门责令停止违法经营，没收违法所得；违法所得10万元以上的，并处违法所得2倍以上5倍以下罚款；违法所得不足10万元的，处5万元以上20万元以下罚款：（二）港口理货业务经营人兼营货物装卸经营业务、仓储经营业务的。”</w:t>
            </w:r>
          </w:p>
        </w:tc>
        <w:tc>
          <w:tcPr>
            <w:tcW w:w="990"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行政检查</w:t>
            </w:r>
          </w:p>
        </w:tc>
        <w:tc>
          <w:tcPr>
            <w:tcW w:w="945" w:type="dxa"/>
            <w:tcBorders>
              <w:top w:val="single" w:sz="4" w:space="0" w:color="000000"/>
              <w:left w:val="single" w:sz="4" w:space="0" w:color="000000"/>
              <w:bottom w:val="single" w:sz="4" w:space="0" w:color="auto"/>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受理</w:t>
            </w:r>
          </w:p>
        </w:tc>
        <w:tc>
          <w:tcPr>
            <w:tcW w:w="3244" w:type="dxa"/>
            <w:tcBorders>
              <w:top w:val="single" w:sz="4" w:space="0" w:color="000000"/>
              <w:left w:val="single" w:sz="4" w:space="0" w:color="000000"/>
              <w:bottom w:val="single" w:sz="4" w:space="0" w:color="auto"/>
              <w:right w:val="single" w:sz="4" w:space="0" w:color="000000"/>
            </w:tcBorders>
            <w:vAlign w:val="center"/>
          </w:tcPr>
          <w:p w:rsidR="0059130C" w:rsidRDefault="002E22CA">
            <w:pPr>
              <w:widowControl/>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1.受理责任：受理社会团体报送的年度检查报告书，对其材料的齐全性、内容的完整性进行查验。符合要求的，直接受理。不符合要求的，一次性告之原因及所补材料。</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1102"/>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审查</w:t>
            </w:r>
          </w:p>
        </w:tc>
        <w:tc>
          <w:tcPr>
            <w:tcW w:w="3244" w:type="dxa"/>
            <w:tcBorders>
              <w:top w:val="single" w:sz="4" w:space="0" w:color="auto"/>
              <w:left w:val="single" w:sz="4" w:space="0" w:color="000000"/>
              <w:bottom w:val="single" w:sz="4" w:space="0" w:color="auto"/>
              <w:right w:val="single" w:sz="4" w:space="0" w:color="000000"/>
            </w:tcBorders>
            <w:vAlign w:val="center"/>
          </w:tcPr>
          <w:p w:rsidR="0059130C" w:rsidRDefault="002E22CA">
            <w:pPr>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2.审查责任：对社会团体提交的年度检查报告书进行初审，提出初审意见，报分管领导签批。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917"/>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决定</w:t>
            </w:r>
          </w:p>
        </w:tc>
        <w:tc>
          <w:tcPr>
            <w:tcW w:w="3244" w:type="dxa"/>
            <w:tcBorders>
              <w:top w:val="single" w:sz="4" w:space="0" w:color="auto"/>
              <w:left w:val="single" w:sz="4" w:space="0" w:color="000000"/>
              <w:bottom w:val="single" w:sz="4" w:space="0" w:color="auto"/>
              <w:right w:val="single" w:sz="4" w:space="0" w:color="000000"/>
            </w:tcBorders>
            <w:vAlign w:val="center"/>
          </w:tcPr>
          <w:p w:rsidR="0059130C" w:rsidRDefault="002E22CA">
            <w:pPr>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3.决定责任：</w:t>
            </w:r>
            <w:proofErr w:type="gramStart"/>
            <w:r>
              <w:rPr>
                <w:rFonts w:ascii="仿宋_GB2312" w:eastAsia="仿宋_GB2312" w:hAnsi="仿宋_GB2312" w:cs="仿宋_GB2312" w:hint="eastAsia"/>
                <w:kern w:val="0"/>
                <w:szCs w:val="21"/>
              </w:rPr>
              <w:t>作出</w:t>
            </w:r>
            <w:proofErr w:type="gramEnd"/>
            <w:r>
              <w:rPr>
                <w:rFonts w:ascii="仿宋_GB2312" w:eastAsia="仿宋_GB2312" w:hAnsi="仿宋_GB2312" w:cs="仿宋_GB2312" w:hint="eastAsia"/>
                <w:kern w:val="0"/>
                <w:szCs w:val="21"/>
              </w:rPr>
              <w:t>年度检查结论。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1102"/>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送达</w:t>
            </w:r>
          </w:p>
        </w:tc>
        <w:tc>
          <w:tcPr>
            <w:tcW w:w="3244" w:type="dxa"/>
            <w:tcBorders>
              <w:top w:val="single" w:sz="4" w:space="0" w:color="auto"/>
              <w:left w:val="single" w:sz="4" w:space="0" w:color="000000"/>
              <w:bottom w:val="single" w:sz="4" w:space="0" w:color="auto"/>
              <w:right w:val="single" w:sz="4" w:space="0" w:color="000000"/>
            </w:tcBorders>
            <w:vAlign w:val="center"/>
          </w:tcPr>
          <w:p w:rsidR="0059130C" w:rsidRDefault="002E22CA">
            <w:pPr>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4.送达责任：服务窗口根据网上平台指令，送达年度检查报告书。</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849"/>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000000"/>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事后管理</w:t>
            </w:r>
          </w:p>
        </w:tc>
        <w:tc>
          <w:tcPr>
            <w:tcW w:w="3244" w:type="dxa"/>
            <w:tcBorders>
              <w:top w:val="single" w:sz="4" w:space="0" w:color="auto"/>
              <w:left w:val="single" w:sz="4" w:space="0" w:color="000000"/>
              <w:bottom w:val="single" w:sz="4" w:space="0" w:color="000000"/>
              <w:right w:val="single" w:sz="4" w:space="0" w:color="000000"/>
            </w:tcBorders>
            <w:vAlign w:val="center"/>
          </w:tcPr>
          <w:p w:rsidR="0059130C" w:rsidRDefault="002E22CA">
            <w:pPr>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5.事后管理责任：对</w:t>
            </w:r>
            <w:proofErr w:type="gramStart"/>
            <w:r>
              <w:rPr>
                <w:rFonts w:ascii="仿宋_GB2312" w:eastAsia="仿宋_GB2312" w:hAnsi="仿宋_GB2312" w:cs="仿宋_GB2312" w:hint="eastAsia"/>
                <w:kern w:val="0"/>
                <w:szCs w:val="21"/>
              </w:rPr>
              <w:t>作出</w:t>
            </w:r>
            <w:proofErr w:type="gramEnd"/>
            <w:r>
              <w:rPr>
                <w:rFonts w:ascii="仿宋_GB2312" w:eastAsia="仿宋_GB2312" w:hAnsi="仿宋_GB2312" w:cs="仿宋_GB2312" w:hint="eastAsia"/>
                <w:kern w:val="0"/>
                <w:szCs w:val="21"/>
              </w:rPr>
              <w:t>年度检查结论的材料归档和信息公开。</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624"/>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624"/>
        </w:trPr>
        <w:tc>
          <w:tcPr>
            <w:tcW w:w="999"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原因：将原事项“对港口理货业务经营人违规兼营货物装卸经营业务、仓储经营业务行为的行政检查、行政处罚”，分别调整为行政处罚一项、行政检查一项</w:t>
            </w:r>
          </w:p>
        </w:tc>
      </w:tr>
    </w:tbl>
    <w:p w:rsidR="0059130C" w:rsidRDefault="0059130C">
      <w:pPr>
        <w:spacing w:line="240" w:lineRule="exact"/>
        <w:rPr>
          <w:rFonts w:ascii="仿宋_GB2312" w:eastAsia="仿宋_GB2312" w:hAnsi="仿宋_GB2312" w:cs="仿宋_GB2312"/>
          <w:szCs w:val="21"/>
        </w:rPr>
      </w:pPr>
    </w:p>
    <w:tbl>
      <w:tblPr>
        <w:tblW w:w="14128" w:type="dxa"/>
        <w:tblLayout w:type="fixed"/>
        <w:tblCellMar>
          <w:left w:w="15" w:type="dxa"/>
          <w:right w:w="15" w:type="dxa"/>
        </w:tblCellMar>
        <w:tblLook w:val="04A0"/>
      </w:tblPr>
      <w:tblGrid>
        <w:gridCol w:w="999"/>
        <w:gridCol w:w="1976"/>
        <w:gridCol w:w="4613"/>
        <w:gridCol w:w="990"/>
        <w:gridCol w:w="945"/>
        <w:gridCol w:w="3244"/>
        <w:gridCol w:w="1361"/>
      </w:tblGrid>
      <w:tr w:rsidR="0059130C">
        <w:trPr>
          <w:trHeight w:val="640"/>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61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9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94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244"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1304"/>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194</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overflowPunct w:val="0"/>
              <w:snapToGrid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对经营港口理货业务备案的行政检查</w:t>
            </w:r>
          </w:p>
        </w:tc>
        <w:tc>
          <w:tcPr>
            <w:tcW w:w="4613" w:type="dxa"/>
            <w:vMerge w:val="restart"/>
            <w:tcBorders>
              <w:top w:val="single" w:sz="4" w:space="0" w:color="000000"/>
              <w:left w:val="single" w:sz="4" w:space="0" w:color="000000"/>
              <w:right w:val="single" w:sz="4" w:space="0" w:color="000000"/>
            </w:tcBorders>
            <w:vAlign w:val="center"/>
          </w:tcPr>
          <w:p w:rsidR="0059130C" w:rsidRDefault="002E22CA">
            <w:pPr>
              <w:overflowPunct w:val="0"/>
              <w:snapToGrid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 xml:space="preserve">  《中华人民共和国港口法》（2018年12月29日主席令第23号）第二十五条：“经营港口理货业务，应当按照规定取得许可。实施港口理货业务经营许可，应当遵循公开、公正、公平的原则。具体办法由国务院交通主管部门规定。</w:t>
            </w:r>
          </w:p>
          <w:p w:rsidR="0059130C" w:rsidRDefault="002E22CA">
            <w:pPr>
              <w:overflowPunct w:val="0"/>
              <w:snapToGrid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港口理货业务经营人应当公正、准确地办理理货业务；不得兼营本法第二十二条第三款规定的货物装卸经营业务和仓储经营业务。”</w:t>
            </w:r>
          </w:p>
          <w:p w:rsidR="0059130C" w:rsidRDefault="002E22CA">
            <w:pPr>
              <w:overflowPunct w:val="0"/>
              <w:snapToGrid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《中华人民共和国港口法》（2018年12月29日主席令第23号）第四十八条第二项：“ 有下列行为之一的，由港口行政管理部门责令停止违法经营，没收违法所得；违法所得十万元以上的，并处违法所得二倍以上五倍以下罚款；违法所得不足十万元的，处五万元以上二十万元以下罚款：……（二）未经依法许可，经营港口理货业务的。”</w:t>
            </w:r>
          </w:p>
          <w:p w:rsidR="0059130C" w:rsidRDefault="0059130C">
            <w:pPr>
              <w:overflowPunct w:val="0"/>
              <w:snapToGrid w:val="0"/>
              <w:spacing w:line="240" w:lineRule="exact"/>
              <w:rPr>
                <w:rFonts w:ascii="仿宋_GB2312" w:eastAsia="仿宋_GB2312" w:hAnsi="仿宋_GB2312" w:cs="仿宋_GB2312"/>
                <w:kern w:val="0"/>
                <w:szCs w:val="21"/>
                <w:lang/>
              </w:rPr>
            </w:pPr>
          </w:p>
        </w:tc>
        <w:tc>
          <w:tcPr>
            <w:tcW w:w="990"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行政检查</w:t>
            </w:r>
          </w:p>
        </w:tc>
        <w:tc>
          <w:tcPr>
            <w:tcW w:w="945" w:type="dxa"/>
            <w:tcBorders>
              <w:top w:val="single" w:sz="4" w:space="0" w:color="000000"/>
              <w:left w:val="single" w:sz="4" w:space="0" w:color="000000"/>
              <w:bottom w:val="single" w:sz="4" w:space="0" w:color="auto"/>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受理</w:t>
            </w:r>
          </w:p>
        </w:tc>
        <w:tc>
          <w:tcPr>
            <w:tcW w:w="3244" w:type="dxa"/>
            <w:tcBorders>
              <w:top w:val="single" w:sz="4" w:space="0" w:color="000000"/>
              <w:left w:val="single" w:sz="4" w:space="0" w:color="000000"/>
              <w:bottom w:val="single" w:sz="4" w:space="0" w:color="auto"/>
              <w:right w:val="single" w:sz="4" w:space="0" w:color="000000"/>
            </w:tcBorders>
            <w:vAlign w:val="center"/>
          </w:tcPr>
          <w:p w:rsidR="0059130C" w:rsidRDefault="002E22CA">
            <w:pPr>
              <w:widowControl/>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1.受理责任：受理社会团体报送的年度检查报告书，对其材料的齐全性、内容的完整性进行查验。符合要求的，直接受理。不符合要求的，一次性告之原因及所补材料。</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1304"/>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审查</w:t>
            </w:r>
          </w:p>
        </w:tc>
        <w:tc>
          <w:tcPr>
            <w:tcW w:w="3244" w:type="dxa"/>
            <w:tcBorders>
              <w:top w:val="single" w:sz="4" w:space="0" w:color="auto"/>
              <w:left w:val="single" w:sz="4" w:space="0" w:color="000000"/>
              <w:bottom w:val="single" w:sz="4" w:space="0" w:color="auto"/>
              <w:right w:val="single" w:sz="4" w:space="0" w:color="000000"/>
            </w:tcBorders>
            <w:vAlign w:val="center"/>
          </w:tcPr>
          <w:p w:rsidR="0059130C" w:rsidRDefault="002E22CA">
            <w:pPr>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2.审查责任：对社会团体提交的年度检查报告书进行初审，提出初审意见，报分管领导签批。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1304"/>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决定</w:t>
            </w:r>
          </w:p>
        </w:tc>
        <w:tc>
          <w:tcPr>
            <w:tcW w:w="3244" w:type="dxa"/>
            <w:tcBorders>
              <w:top w:val="single" w:sz="4" w:space="0" w:color="auto"/>
              <w:left w:val="single" w:sz="4" w:space="0" w:color="000000"/>
              <w:bottom w:val="single" w:sz="4" w:space="0" w:color="auto"/>
              <w:right w:val="single" w:sz="4" w:space="0" w:color="000000"/>
            </w:tcBorders>
            <w:vAlign w:val="center"/>
          </w:tcPr>
          <w:p w:rsidR="0059130C" w:rsidRDefault="002E22CA">
            <w:pPr>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3.决定责任：</w:t>
            </w:r>
            <w:proofErr w:type="gramStart"/>
            <w:r>
              <w:rPr>
                <w:rFonts w:ascii="仿宋_GB2312" w:eastAsia="仿宋_GB2312" w:hAnsi="仿宋_GB2312" w:cs="仿宋_GB2312" w:hint="eastAsia"/>
                <w:kern w:val="0"/>
                <w:szCs w:val="21"/>
              </w:rPr>
              <w:t>作出</w:t>
            </w:r>
            <w:proofErr w:type="gramEnd"/>
            <w:r>
              <w:rPr>
                <w:rFonts w:ascii="仿宋_GB2312" w:eastAsia="仿宋_GB2312" w:hAnsi="仿宋_GB2312" w:cs="仿宋_GB2312" w:hint="eastAsia"/>
                <w:kern w:val="0"/>
                <w:szCs w:val="21"/>
              </w:rPr>
              <w:t>年度检查结论。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1304"/>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送达</w:t>
            </w:r>
          </w:p>
        </w:tc>
        <w:tc>
          <w:tcPr>
            <w:tcW w:w="3244" w:type="dxa"/>
            <w:tcBorders>
              <w:top w:val="single" w:sz="4" w:space="0" w:color="auto"/>
              <w:left w:val="single" w:sz="4" w:space="0" w:color="000000"/>
              <w:bottom w:val="single" w:sz="4" w:space="0" w:color="auto"/>
              <w:right w:val="single" w:sz="4" w:space="0" w:color="000000"/>
            </w:tcBorders>
            <w:vAlign w:val="center"/>
          </w:tcPr>
          <w:p w:rsidR="0059130C" w:rsidRDefault="002E22CA">
            <w:pPr>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4.送达责任：服务窗口根据网上平台指令，送达年度检查报告书。</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1304"/>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000000"/>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事后管理</w:t>
            </w:r>
          </w:p>
        </w:tc>
        <w:tc>
          <w:tcPr>
            <w:tcW w:w="3244" w:type="dxa"/>
            <w:tcBorders>
              <w:top w:val="single" w:sz="4" w:space="0" w:color="auto"/>
              <w:left w:val="single" w:sz="4" w:space="0" w:color="000000"/>
              <w:bottom w:val="single" w:sz="4" w:space="0" w:color="000000"/>
              <w:right w:val="single" w:sz="4" w:space="0" w:color="000000"/>
            </w:tcBorders>
            <w:vAlign w:val="center"/>
          </w:tcPr>
          <w:p w:rsidR="0059130C" w:rsidRDefault="002E22CA">
            <w:pPr>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5.事后管理责任：对</w:t>
            </w:r>
            <w:proofErr w:type="gramStart"/>
            <w:r>
              <w:rPr>
                <w:rFonts w:ascii="仿宋_GB2312" w:eastAsia="仿宋_GB2312" w:hAnsi="仿宋_GB2312" w:cs="仿宋_GB2312" w:hint="eastAsia"/>
                <w:kern w:val="0"/>
                <w:szCs w:val="21"/>
              </w:rPr>
              <w:t>作出</w:t>
            </w:r>
            <w:proofErr w:type="gramEnd"/>
            <w:r>
              <w:rPr>
                <w:rFonts w:ascii="仿宋_GB2312" w:eastAsia="仿宋_GB2312" w:hAnsi="仿宋_GB2312" w:cs="仿宋_GB2312" w:hint="eastAsia"/>
                <w:kern w:val="0"/>
                <w:szCs w:val="21"/>
              </w:rPr>
              <w:t>年度检查结论的材料归档和信息公开。</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964"/>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964"/>
        </w:trPr>
        <w:tc>
          <w:tcPr>
            <w:tcW w:w="999"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原因：将原事项“对经营港口理货业务备案的行政检查、行政处罚”，分别调整为行政处罚一项、行政检查一项</w:t>
            </w:r>
          </w:p>
        </w:tc>
      </w:tr>
    </w:tbl>
    <w:p w:rsidR="0059130C" w:rsidRDefault="002E22CA">
      <w:pPr>
        <w:spacing w:line="240" w:lineRule="exact"/>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br w:type="page"/>
      </w:r>
    </w:p>
    <w:tbl>
      <w:tblPr>
        <w:tblW w:w="14128" w:type="dxa"/>
        <w:tblLayout w:type="fixed"/>
        <w:tblCellMar>
          <w:left w:w="15" w:type="dxa"/>
          <w:right w:w="15" w:type="dxa"/>
        </w:tblCellMar>
        <w:tblLook w:val="04A0"/>
      </w:tblPr>
      <w:tblGrid>
        <w:gridCol w:w="999"/>
        <w:gridCol w:w="1976"/>
        <w:gridCol w:w="4613"/>
        <w:gridCol w:w="990"/>
        <w:gridCol w:w="945"/>
        <w:gridCol w:w="3244"/>
        <w:gridCol w:w="1361"/>
      </w:tblGrid>
      <w:tr w:rsidR="0059130C">
        <w:trPr>
          <w:trHeight w:val="640"/>
        </w:trPr>
        <w:tc>
          <w:tcPr>
            <w:tcW w:w="999"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szCs w:val="21"/>
              </w:rPr>
            </w:pPr>
            <w:r>
              <w:rPr>
                <w:rFonts w:ascii="黑体" w:eastAsia="黑体" w:hAnsi="黑体" w:cs="黑体" w:hint="eastAsia"/>
                <w:szCs w:val="21"/>
              </w:rPr>
              <w:lastRenderedPageBreak/>
              <w:t>序号</w:t>
            </w:r>
          </w:p>
        </w:tc>
        <w:tc>
          <w:tcPr>
            <w:tcW w:w="19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项目名称</w:t>
            </w:r>
          </w:p>
        </w:tc>
        <w:tc>
          <w:tcPr>
            <w:tcW w:w="461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实施依据</w:t>
            </w:r>
          </w:p>
        </w:tc>
        <w:tc>
          <w:tcPr>
            <w:tcW w:w="9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职权</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类别</w:t>
            </w:r>
          </w:p>
        </w:tc>
        <w:tc>
          <w:tcPr>
            <w:tcW w:w="94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办理</w:t>
            </w:r>
          </w:p>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环节</w:t>
            </w:r>
          </w:p>
        </w:tc>
        <w:tc>
          <w:tcPr>
            <w:tcW w:w="3244"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责任事项</w:t>
            </w:r>
          </w:p>
        </w:tc>
        <w:tc>
          <w:tcPr>
            <w:tcW w:w="136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szCs w:val="21"/>
              </w:rPr>
            </w:pPr>
            <w:r>
              <w:rPr>
                <w:rFonts w:ascii="黑体" w:eastAsia="黑体" w:hAnsi="黑体" w:cs="黑体" w:hint="eastAsia"/>
                <w:szCs w:val="21"/>
              </w:rPr>
              <w:t>责任股室</w:t>
            </w:r>
          </w:p>
        </w:tc>
      </w:tr>
      <w:tr w:rsidR="0059130C">
        <w:trPr>
          <w:trHeight w:val="1304"/>
        </w:trPr>
        <w:tc>
          <w:tcPr>
            <w:tcW w:w="999"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195</w:t>
            </w:r>
          </w:p>
        </w:tc>
        <w:tc>
          <w:tcPr>
            <w:tcW w:w="1976" w:type="dxa"/>
            <w:vMerge w:val="restart"/>
            <w:tcBorders>
              <w:top w:val="single" w:sz="4" w:space="0" w:color="000000"/>
              <w:left w:val="single" w:sz="4" w:space="0" w:color="000000"/>
              <w:right w:val="single" w:sz="4" w:space="0" w:color="000000"/>
            </w:tcBorders>
            <w:vAlign w:val="center"/>
          </w:tcPr>
          <w:p w:rsidR="0059130C" w:rsidRDefault="002E22CA">
            <w:pPr>
              <w:overflowPunct w:val="0"/>
              <w:snapToGrid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对外国籍船舶经营国内港口之间的海上运输和拖航的监管：对外国籍船舶经营国内港口之间的海上运输和拖航的行政检查</w:t>
            </w:r>
          </w:p>
        </w:tc>
        <w:tc>
          <w:tcPr>
            <w:tcW w:w="4613" w:type="dxa"/>
            <w:vMerge w:val="restart"/>
            <w:tcBorders>
              <w:top w:val="single" w:sz="4" w:space="0" w:color="000000"/>
              <w:left w:val="single" w:sz="4" w:space="0" w:color="000000"/>
              <w:right w:val="single" w:sz="4" w:space="0" w:color="000000"/>
            </w:tcBorders>
            <w:vAlign w:val="center"/>
          </w:tcPr>
          <w:p w:rsidR="0059130C" w:rsidRDefault="002E22CA">
            <w:pPr>
              <w:overflowPunct w:val="0"/>
              <w:snapToGrid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《中华人民共和国海商法》（中华人民共和国主席令第六十四号）第四条第二款：“非经国务院交通主管部门批准，外国籍船舶不得经营中华人民共和国港口之间的海上运输和拖航。”</w:t>
            </w:r>
          </w:p>
          <w:p w:rsidR="0059130C" w:rsidRDefault="0059130C">
            <w:pPr>
              <w:overflowPunct w:val="0"/>
              <w:snapToGrid w:val="0"/>
              <w:spacing w:line="240" w:lineRule="exact"/>
              <w:rPr>
                <w:rFonts w:ascii="仿宋_GB2312" w:eastAsia="仿宋_GB2312" w:hAnsi="仿宋_GB2312" w:cs="仿宋_GB2312"/>
                <w:kern w:val="0"/>
                <w:szCs w:val="21"/>
                <w:lang/>
              </w:rPr>
            </w:pPr>
          </w:p>
        </w:tc>
        <w:tc>
          <w:tcPr>
            <w:tcW w:w="990"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行政检查</w:t>
            </w:r>
          </w:p>
        </w:tc>
        <w:tc>
          <w:tcPr>
            <w:tcW w:w="945" w:type="dxa"/>
            <w:tcBorders>
              <w:top w:val="single" w:sz="4" w:space="0" w:color="000000"/>
              <w:left w:val="single" w:sz="4" w:space="0" w:color="000000"/>
              <w:bottom w:val="single" w:sz="4" w:space="0" w:color="auto"/>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受理</w:t>
            </w:r>
          </w:p>
        </w:tc>
        <w:tc>
          <w:tcPr>
            <w:tcW w:w="3244" w:type="dxa"/>
            <w:tcBorders>
              <w:top w:val="single" w:sz="4" w:space="0" w:color="000000"/>
              <w:left w:val="single" w:sz="4" w:space="0" w:color="000000"/>
              <w:bottom w:val="single" w:sz="4" w:space="0" w:color="auto"/>
              <w:right w:val="single" w:sz="4" w:space="0" w:color="000000"/>
            </w:tcBorders>
            <w:vAlign w:val="center"/>
          </w:tcPr>
          <w:p w:rsidR="0059130C" w:rsidRDefault="002E22CA">
            <w:pPr>
              <w:widowControl/>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1.受理责任：受理社会团体报送的年度检查报告书，对其材料的齐全性、内容的完整性进行查验。符合要求的，直接受理。不符合要求的，一次性告之原因及所补材料。</w:t>
            </w:r>
          </w:p>
        </w:tc>
        <w:tc>
          <w:tcPr>
            <w:tcW w:w="136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内乡县交通运输综合行政执法大队</w:t>
            </w:r>
          </w:p>
        </w:tc>
      </w:tr>
      <w:tr w:rsidR="0059130C">
        <w:trPr>
          <w:trHeight w:val="1304"/>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审查</w:t>
            </w:r>
          </w:p>
        </w:tc>
        <w:tc>
          <w:tcPr>
            <w:tcW w:w="3244" w:type="dxa"/>
            <w:tcBorders>
              <w:top w:val="single" w:sz="4" w:space="0" w:color="auto"/>
              <w:left w:val="single" w:sz="4" w:space="0" w:color="000000"/>
              <w:bottom w:val="single" w:sz="4" w:space="0" w:color="auto"/>
              <w:right w:val="single" w:sz="4" w:space="0" w:color="000000"/>
            </w:tcBorders>
            <w:vAlign w:val="center"/>
          </w:tcPr>
          <w:p w:rsidR="0059130C" w:rsidRDefault="002E22CA">
            <w:pPr>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2.审查责任：对社会团体提交的年度检查报告书进行初审，提出初审意见，报分管领导签批。</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1304"/>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决定</w:t>
            </w:r>
          </w:p>
        </w:tc>
        <w:tc>
          <w:tcPr>
            <w:tcW w:w="3244" w:type="dxa"/>
            <w:tcBorders>
              <w:top w:val="single" w:sz="4" w:space="0" w:color="auto"/>
              <w:left w:val="single" w:sz="4" w:space="0" w:color="000000"/>
              <w:bottom w:val="single" w:sz="4" w:space="0" w:color="auto"/>
              <w:right w:val="single" w:sz="4" w:space="0" w:color="000000"/>
            </w:tcBorders>
            <w:vAlign w:val="center"/>
          </w:tcPr>
          <w:p w:rsidR="0059130C" w:rsidRDefault="002E22CA">
            <w:pPr>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3.决定责任：</w:t>
            </w:r>
            <w:proofErr w:type="gramStart"/>
            <w:r>
              <w:rPr>
                <w:rFonts w:ascii="仿宋_GB2312" w:eastAsia="仿宋_GB2312" w:hAnsi="仿宋_GB2312" w:cs="仿宋_GB2312" w:hint="eastAsia"/>
                <w:kern w:val="0"/>
                <w:szCs w:val="21"/>
              </w:rPr>
              <w:t>作出</w:t>
            </w:r>
            <w:proofErr w:type="gramEnd"/>
            <w:r>
              <w:rPr>
                <w:rFonts w:ascii="仿宋_GB2312" w:eastAsia="仿宋_GB2312" w:hAnsi="仿宋_GB2312" w:cs="仿宋_GB2312" w:hint="eastAsia"/>
                <w:kern w:val="0"/>
                <w:szCs w:val="21"/>
              </w:rPr>
              <w:t>年度检查结论。</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1304"/>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送达</w:t>
            </w:r>
          </w:p>
        </w:tc>
        <w:tc>
          <w:tcPr>
            <w:tcW w:w="3244" w:type="dxa"/>
            <w:tcBorders>
              <w:top w:val="single" w:sz="4" w:space="0" w:color="auto"/>
              <w:left w:val="single" w:sz="4" w:space="0" w:color="000000"/>
              <w:bottom w:val="single" w:sz="4" w:space="0" w:color="auto"/>
              <w:right w:val="single" w:sz="4" w:space="0" w:color="000000"/>
            </w:tcBorders>
            <w:vAlign w:val="center"/>
          </w:tcPr>
          <w:p w:rsidR="0059130C" w:rsidRDefault="002E22CA">
            <w:pPr>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4.送达责任：服务窗口根据网上平台指令，送达年度检查报告书。</w:t>
            </w:r>
          </w:p>
        </w:tc>
        <w:tc>
          <w:tcPr>
            <w:tcW w:w="1361" w:type="dxa"/>
            <w:vMerge/>
            <w:tcBorders>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1304"/>
        </w:trPr>
        <w:tc>
          <w:tcPr>
            <w:tcW w:w="999"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976"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c>
          <w:tcPr>
            <w:tcW w:w="4613"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szCs w:val="21"/>
              </w:rPr>
            </w:pPr>
          </w:p>
        </w:tc>
        <w:tc>
          <w:tcPr>
            <w:tcW w:w="990"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kern w:val="0"/>
                <w:szCs w:val="21"/>
                <w:lang/>
              </w:rPr>
            </w:pPr>
          </w:p>
        </w:tc>
        <w:tc>
          <w:tcPr>
            <w:tcW w:w="945" w:type="dxa"/>
            <w:tcBorders>
              <w:top w:val="single" w:sz="4" w:space="0" w:color="auto"/>
              <w:left w:val="single" w:sz="4" w:space="0" w:color="000000"/>
              <w:bottom w:val="single" w:sz="4" w:space="0" w:color="000000"/>
              <w:right w:val="single" w:sz="4" w:space="0" w:color="000000"/>
            </w:tcBorders>
            <w:vAlign w:val="center"/>
          </w:tcPr>
          <w:p w:rsidR="0059130C" w:rsidRDefault="002E22CA">
            <w:pPr>
              <w:snapToGrid w:val="0"/>
              <w:spacing w:line="240" w:lineRule="exact"/>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事后管理</w:t>
            </w:r>
          </w:p>
        </w:tc>
        <w:tc>
          <w:tcPr>
            <w:tcW w:w="3244" w:type="dxa"/>
            <w:tcBorders>
              <w:top w:val="single" w:sz="4" w:space="0" w:color="auto"/>
              <w:left w:val="single" w:sz="4" w:space="0" w:color="000000"/>
              <w:bottom w:val="single" w:sz="4" w:space="0" w:color="000000"/>
              <w:right w:val="single" w:sz="4" w:space="0" w:color="000000"/>
            </w:tcBorders>
            <w:vAlign w:val="center"/>
          </w:tcPr>
          <w:p w:rsidR="0059130C" w:rsidRDefault="002E22CA">
            <w:pPr>
              <w:snapToGrid w:val="0"/>
              <w:spacing w:line="240" w:lineRule="exact"/>
              <w:rPr>
                <w:rFonts w:ascii="仿宋_GB2312" w:eastAsia="仿宋_GB2312" w:hAnsi="仿宋_GB2312" w:cs="仿宋_GB2312"/>
                <w:kern w:val="0"/>
                <w:szCs w:val="21"/>
              </w:rPr>
            </w:pPr>
            <w:r>
              <w:rPr>
                <w:rFonts w:ascii="仿宋_GB2312" w:eastAsia="仿宋_GB2312" w:hAnsi="仿宋_GB2312" w:cs="仿宋_GB2312" w:hint="eastAsia"/>
                <w:kern w:val="0"/>
                <w:szCs w:val="21"/>
              </w:rPr>
              <w:t>5.事后管理责任：对</w:t>
            </w:r>
            <w:proofErr w:type="gramStart"/>
            <w:r>
              <w:rPr>
                <w:rFonts w:ascii="仿宋_GB2312" w:eastAsia="仿宋_GB2312" w:hAnsi="仿宋_GB2312" w:cs="仿宋_GB2312" w:hint="eastAsia"/>
                <w:kern w:val="0"/>
                <w:szCs w:val="21"/>
              </w:rPr>
              <w:t>作出</w:t>
            </w:r>
            <w:proofErr w:type="gramEnd"/>
            <w:r>
              <w:rPr>
                <w:rFonts w:ascii="仿宋_GB2312" w:eastAsia="仿宋_GB2312" w:hAnsi="仿宋_GB2312" w:cs="仿宋_GB2312" w:hint="eastAsia"/>
                <w:kern w:val="0"/>
                <w:szCs w:val="21"/>
              </w:rPr>
              <w:t>年度检查结论的材料归档和信息公开。</w:t>
            </w:r>
          </w:p>
        </w:tc>
        <w:tc>
          <w:tcPr>
            <w:tcW w:w="1361"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szCs w:val="21"/>
              </w:rPr>
            </w:pPr>
          </w:p>
        </w:tc>
      </w:tr>
      <w:tr w:rsidR="0059130C">
        <w:trPr>
          <w:trHeight w:val="503"/>
        </w:trPr>
        <w:tc>
          <w:tcPr>
            <w:tcW w:w="999"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情况：新增</w:t>
            </w:r>
          </w:p>
        </w:tc>
      </w:tr>
      <w:tr w:rsidR="0059130C">
        <w:trPr>
          <w:trHeight w:val="90"/>
        </w:trPr>
        <w:tc>
          <w:tcPr>
            <w:tcW w:w="999" w:type="dxa"/>
            <w:vMerge/>
            <w:tcBorders>
              <w:top w:val="single" w:sz="4" w:space="0" w:color="auto"/>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szCs w:val="21"/>
              </w:rPr>
            </w:pPr>
          </w:p>
        </w:tc>
        <w:tc>
          <w:tcPr>
            <w:tcW w:w="1312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w:t>
            </w:r>
            <w:r w:rsidR="002E22CA">
              <w:rPr>
                <w:rFonts w:ascii="仿宋_GB2312" w:eastAsia="仿宋_GB2312" w:hAnsi="仿宋_GB2312" w:cs="仿宋_GB2312" w:hint="eastAsia"/>
                <w:kern w:val="0"/>
                <w:szCs w:val="21"/>
                <w:lang/>
              </w:rPr>
              <w:t>将原事项“对外国籍船舶经营国内港口之间的海上运输和拖航的监管：对外国国际船舶运输经营者经营中国港口之间的船舶运输业务，或者利用租用的中国籍船舶和舱位以及用互换舱位等方式经营中国港口之间的船舶运输业务的处罚；对未经许可或者超越许可范围使用外国籍船舶经营水路运输业务，或者外国的企业、其他经济组织和个人经营或者以租用中国籍船舶或者舱位等方式变相经营水路运输业务行为的行政处罚；对外国籍船舶经营国内港口之间的海上运输和拖航的行政检查”，分别调整为行政处罚一项、行政检查一项</w:t>
            </w:r>
          </w:p>
        </w:tc>
      </w:tr>
    </w:tbl>
    <w:p w:rsidR="0059130C" w:rsidRDefault="002E22CA">
      <w:pPr>
        <w:spacing w:line="240" w:lineRule="exact"/>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br w:type="page"/>
      </w:r>
    </w:p>
    <w:tbl>
      <w:tblPr>
        <w:tblW w:w="14118" w:type="dxa"/>
        <w:tblLayout w:type="fixed"/>
        <w:tblCellMar>
          <w:left w:w="15" w:type="dxa"/>
          <w:right w:w="15" w:type="dxa"/>
        </w:tblCellMar>
        <w:tblLook w:val="04A0"/>
      </w:tblPr>
      <w:tblGrid>
        <w:gridCol w:w="717"/>
        <w:gridCol w:w="1403"/>
        <w:gridCol w:w="2617"/>
        <w:gridCol w:w="1066"/>
        <w:gridCol w:w="1000"/>
        <w:gridCol w:w="5239"/>
        <w:gridCol w:w="2076"/>
      </w:tblGrid>
      <w:tr w:rsidR="0059130C">
        <w:trPr>
          <w:trHeight w:val="550"/>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lastRenderedPageBreak/>
              <w:t>序号</w:t>
            </w:r>
          </w:p>
        </w:tc>
        <w:tc>
          <w:tcPr>
            <w:tcW w:w="140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项目名称</w:t>
            </w:r>
          </w:p>
        </w:tc>
        <w:tc>
          <w:tcPr>
            <w:tcW w:w="2617"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实施依据</w:t>
            </w:r>
          </w:p>
        </w:tc>
        <w:tc>
          <w:tcPr>
            <w:tcW w:w="106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类别</w:t>
            </w:r>
          </w:p>
        </w:tc>
        <w:tc>
          <w:tcPr>
            <w:tcW w:w="100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环节</w:t>
            </w:r>
          </w:p>
        </w:tc>
        <w:tc>
          <w:tcPr>
            <w:tcW w:w="5239"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责任事项</w:t>
            </w:r>
          </w:p>
        </w:tc>
        <w:tc>
          <w:tcPr>
            <w:tcW w:w="207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964"/>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196</w:t>
            </w:r>
          </w:p>
        </w:tc>
        <w:tc>
          <w:tcPr>
            <w:tcW w:w="1403"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color w:val="000000" w:themeColor="text1"/>
                <w:sz w:val="21"/>
                <w:szCs w:val="21"/>
              </w:rPr>
            </w:pPr>
            <w:r>
              <w:rPr>
                <w:rFonts w:ascii="仿宋_GB2312" w:eastAsia="仿宋_GB2312" w:hAnsi="仿宋_GB2312" w:cs="仿宋_GB2312" w:hint="eastAsia"/>
                <w:color w:val="000000" w:themeColor="text1"/>
                <w:spacing w:val="-11"/>
                <w:sz w:val="21"/>
                <w:szCs w:val="21"/>
              </w:rPr>
              <w:t>对</w:t>
            </w:r>
            <w:r>
              <w:rPr>
                <w:rFonts w:ascii="仿宋_GB2312" w:eastAsia="仿宋_GB2312" w:hAnsi="仿宋_GB2312" w:cs="仿宋_GB2312" w:hint="eastAsia"/>
                <w:color w:val="000000" w:themeColor="text1"/>
                <w:sz w:val="21"/>
                <w:szCs w:val="21"/>
              </w:rPr>
              <w:t>机动船舶进行排气污染检测，或者在检测中弄虚作假违法行为的处罚</w:t>
            </w:r>
          </w:p>
        </w:tc>
        <w:tc>
          <w:tcPr>
            <w:tcW w:w="2617"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color w:val="000000" w:themeColor="text1"/>
                <w:sz w:val="21"/>
                <w:szCs w:val="21"/>
              </w:rPr>
            </w:pPr>
            <w:r>
              <w:rPr>
                <w:rFonts w:ascii="仿宋_GB2312" w:eastAsia="仿宋_GB2312" w:hAnsi="仿宋_GB2312" w:cs="仿宋_GB2312" w:hint="eastAsia"/>
                <w:color w:val="000000" w:themeColor="text1"/>
                <w:sz w:val="21"/>
                <w:szCs w:val="21"/>
              </w:rPr>
              <w:t>《中华人民共和国内河海事行政处罚规定》（交通运输部令2019年第11号）第三十八条：“违反《大气污染防治法》第三十五条第二款的规定，未取得海事管理机构的委托，对机动船舶进行排气污染检测，或者在检测中弄虚作假的，依照《大气污染防治法》第五十五条的规定，责令停止违法行为，限期改正，可以处以5万元以下罚款；情节严重的，取消其承担机动船舶年检的资格。”</w:t>
            </w:r>
          </w:p>
        </w:tc>
        <w:tc>
          <w:tcPr>
            <w:tcW w:w="1066"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szCs w:val="21"/>
              </w:rPr>
              <w:t>行政处罚</w:t>
            </w:r>
          </w:p>
        </w:tc>
        <w:tc>
          <w:tcPr>
            <w:tcW w:w="1000" w:type="dxa"/>
            <w:tcBorders>
              <w:top w:val="single" w:sz="4" w:space="0" w:color="000000"/>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c>
          <w:tcPr>
            <w:tcW w:w="5239" w:type="dxa"/>
            <w:tcBorders>
              <w:top w:val="single" w:sz="4" w:space="0" w:color="000000"/>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076" w:type="dxa"/>
            <w:vMerge w:val="restart"/>
            <w:tcBorders>
              <w:top w:val="single" w:sz="4" w:space="0" w:color="000000"/>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r>
      <w:tr w:rsidR="0059130C">
        <w:trPr>
          <w:trHeight w:val="964"/>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4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61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1066"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000"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c>
          <w:tcPr>
            <w:tcW w:w="5239"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076"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r>
      <w:tr w:rsidR="0059130C">
        <w:trPr>
          <w:trHeight w:val="964"/>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4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61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1066"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000"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c>
          <w:tcPr>
            <w:tcW w:w="5239"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076"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r>
      <w:tr w:rsidR="0059130C">
        <w:trPr>
          <w:trHeight w:val="964"/>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4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61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1066"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000"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c>
          <w:tcPr>
            <w:tcW w:w="5239"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076"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r>
      <w:tr w:rsidR="0059130C">
        <w:trPr>
          <w:trHeight w:val="964"/>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4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61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1066"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000"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c>
          <w:tcPr>
            <w:tcW w:w="5239"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076"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r>
      <w:tr w:rsidR="0059130C">
        <w:trPr>
          <w:trHeight w:val="964"/>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4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61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1066"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000"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c>
          <w:tcPr>
            <w:tcW w:w="5239"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076"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r>
      <w:tr w:rsidR="0059130C">
        <w:trPr>
          <w:trHeight w:val="964"/>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4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61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1066"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000"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c>
          <w:tcPr>
            <w:tcW w:w="5239"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076"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r>
      <w:tr w:rsidR="0059130C">
        <w:trPr>
          <w:trHeight w:val="964"/>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4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61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1066"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00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c>
          <w:tcPr>
            <w:tcW w:w="5239"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2076"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kern w:val="0"/>
                <w:szCs w:val="21"/>
                <w:lang/>
              </w:rPr>
            </w:pPr>
          </w:p>
        </w:tc>
      </w:tr>
      <w:tr w:rsidR="0059130C">
        <w:trPr>
          <w:trHeight w:val="376"/>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401"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情况：取消</w:t>
            </w:r>
          </w:p>
        </w:tc>
      </w:tr>
      <w:tr w:rsidR="0059130C">
        <w:trPr>
          <w:trHeight w:val="384"/>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401"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原因：根据《中华人民共和国内河海事行政处罚规定》（交通运输部令2022年第28号），此事项取消。</w:t>
            </w:r>
          </w:p>
        </w:tc>
      </w:tr>
    </w:tbl>
    <w:p w:rsidR="0059130C" w:rsidRDefault="0059130C">
      <w:pPr>
        <w:spacing w:line="240" w:lineRule="exact"/>
        <w:rPr>
          <w:rFonts w:ascii="仿宋_GB2312" w:eastAsia="仿宋_GB2312" w:hAnsi="仿宋_GB2312" w:cs="仿宋_GB2312"/>
          <w:szCs w:val="21"/>
        </w:rPr>
      </w:pPr>
    </w:p>
    <w:tbl>
      <w:tblPr>
        <w:tblW w:w="14460" w:type="dxa"/>
        <w:tblLayout w:type="fixed"/>
        <w:tblCellMar>
          <w:left w:w="15" w:type="dxa"/>
          <w:right w:w="15" w:type="dxa"/>
        </w:tblCellMar>
        <w:tblLook w:val="04A0"/>
      </w:tblPr>
      <w:tblGrid>
        <w:gridCol w:w="717"/>
        <w:gridCol w:w="2040"/>
        <w:gridCol w:w="4515"/>
        <w:gridCol w:w="675"/>
        <w:gridCol w:w="870"/>
        <w:gridCol w:w="3402"/>
        <w:gridCol w:w="2241"/>
      </w:tblGrid>
      <w:tr w:rsidR="0059130C">
        <w:trPr>
          <w:trHeight w:val="907"/>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序号</w:t>
            </w:r>
          </w:p>
        </w:tc>
        <w:tc>
          <w:tcPr>
            <w:tcW w:w="204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项目名称</w:t>
            </w:r>
          </w:p>
        </w:tc>
        <w:tc>
          <w:tcPr>
            <w:tcW w:w="451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实施依据</w:t>
            </w:r>
          </w:p>
        </w:tc>
        <w:tc>
          <w:tcPr>
            <w:tcW w:w="67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类别</w:t>
            </w:r>
          </w:p>
        </w:tc>
        <w:tc>
          <w:tcPr>
            <w:tcW w:w="87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环节</w:t>
            </w:r>
          </w:p>
        </w:tc>
        <w:tc>
          <w:tcPr>
            <w:tcW w:w="3402"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责任事项</w:t>
            </w:r>
          </w:p>
        </w:tc>
        <w:tc>
          <w:tcPr>
            <w:tcW w:w="2241"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907"/>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197</w:t>
            </w:r>
          </w:p>
        </w:tc>
        <w:tc>
          <w:tcPr>
            <w:tcW w:w="2040"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color w:val="000000" w:themeColor="text1"/>
                <w:sz w:val="21"/>
                <w:szCs w:val="21"/>
              </w:rPr>
            </w:pPr>
            <w:r>
              <w:rPr>
                <w:rFonts w:ascii="仿宋_GB2312" w:eastAsia="仿宋_GB2312" w:hAnsi="仿宋_GB2312" w:cs="仿宋_GB2312" w:hint="eastAsia"/>
                <w:color w:val="000000" w:themeColor="text1"/>
                <w:sz w:val="21"/>
                <w:szCs w:val="21"/>
              </w:rPr>
              <w:t>对违反船舶尾气排放及运输有毒气体和粉尘的处罚</w:t>
            </w:r>
          </w:p>
        </w:tc>
        <w:tc>
          <w:tcPr>
            <w:tcW w:w="4515"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color w:val="000000" w:themeColor="text1"/>
                <w:sz w:val="21"/>
                <w:szCs w:val="21"/>
              </w:rPr>
            </w:pPr>
            <w:r>
              <w:rPr>
                <w:rFonts w:ascii="仿宋_GB2312" w:eastAsia="仿宋_GB2312" w:hAnsi="仿宋_GB2312" w:cs="仿宋_GB2312" w:hint="eastAsia"/>
                <w:color w:val="000000" w:themeColor="text1"/>
                <w:sz w:val="21"/>
                <w:szCs w:val="21"/>
              </w:rPr>
              <w:t>《中华人民共和国内河海事行政处罚规定》（交通运输部令2019年第11号）第三十九条：“违反《大气污染防治法》第三十六条、第三十七条第二款、第四十二条有关规定，船舶有下列行为之一的，依照《大气污染防治法》第五十六条的规定，责令停止违法行为，限期改正，并可以处以5万元以下罚款：（一）船舶未采取有效污染防治措施，向大气排放粉尘、恶臭气体或者其他含有有毒物质的气体；（二）船舶未经当地环境保护行政主管部门批准，向大气排放转炉气、电石气、电炉法黄磷尾气、有机烃类尾气；（三）船舶未采取密闭措施或者其他防护措施，运输、装卸或者贮存能够散发有毒有害气体或者粉尘的物质。”</w:t>
            </w:r>
          </w:p>
        </w:tc>
        <w:tc>
          <w:tcPr>
            <w:tcW w:w="675"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870" w:type="dxa"/>
            <w:tcBorders>
              <w:top w:val="single" w:sz="4" w:space="0" w:color="000000"/>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c>
          <w:tcPr>
            <w:tcW w:w="3402" w:type="dxa"/>
            <w:tcBorders>
              <w:top w:val="single" w:sz="4" w:space="0" w:color="000000"/>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241" w:type="dxa"/>
            <w:vMerge w:val="restart"/>
            <w:tcBorders>
              <w:top w:val="single" w:sz="4" w:space="0" w:color="000000"/>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color w:val="000000" w:themeColor="text1"/>
                <w:szCs w:val="21"/>
              </w:rPr>
            </w:pPr>
          </w:p>
        </w:tc>
      </w:tr>
      <w:tr w:rsidR="0059130C">
        <w:trPr>
          <w:trHeight w:val="907"/>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color w:val="000000" w:themeColor="text1"/>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color w:val="000000" w:themeColor="text1"/>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c>
          <w:tcPr>
            <w:tcW w:w="3402"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241"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color w:val="000000" w:themeColor="text1"/>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color w:val="000000" w:themeColor="text1"/>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c>
          <w:tcPr>
            <w:tcW w:w="3402"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241"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color w:val="000000" w:themeColor="text1"/>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color w:val="000000" w:themeColor="text1"/>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c>
          <w:tcPr>
            <w:tcW w:w="3402"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241"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color w:val="000000" w:themeColor="text1"/>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color w:val="000000" w:themeColor="text1"/>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c>
          <w:tcPr>
            <w:tcW w:w="3402"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241"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color w:val="000000" w:themeColor="text1"/>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color w:val="000000" w:themeColor="text1"/>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c>
          <w:tcPr>
            <w:tcW w:w="3402"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241"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color w:val="000000" w:themeColor="text1"/>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color w:val="000000" w:themeColor="text1"/>
                <w:szCs w:val="21"/>
              </w:rPr>
            </w:pPr>
          </w:p>
        </w:tc>
        <w:tc>
          <w:tcPr>
            <w:tcW w:w="675"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870"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c>
          <w:tcPr>
            <w:tcW w:w="3402"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241"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2040"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color w:val="000000" w:themeColor="text1"/>
                <w:szCs w:val="21"/>
              </w:rPr>
            </w:pPr>
          </w:p>
        </w:tc>
        <w:tc>
          <w:tcPr>
            <w:tcW w:w="4515" w:type="dxa"/>
            <w:vMerge/>
            <w:tcBorders>
              <w:left w:val="single" w:sz="4" w:space="0" w:color="000000"/>
              <w:bottom w:val="single" w:sz="4" w:space="0" w:color="000000"/>
              <w:right w:val="single" w:sz="4" w:space="0" w:color="000000"/>
            </w:tcBorders>
            <w:vAlign w:val="center"/>
          </w:tcPr>
          <w:p w:rsidR="0059130C" w:rsidRDefault="0059130C">
            <w:pPr>
              <w:autoSpaceDN w:val="0"/>
              <w:spacing w:line="240" w:lineRule="exact"/>
              <w:textAlignment w:val="center"/>
              <w:rPr>
                <w:rFonts w:ascii="仿宋_GB2312" w:eastAsia="仿宋_GB2312" w:hAnsi="仿宋_GB2312" w:cs="仿宋_GB2312"/>
                <w:color w:val="000000" w:themeColor="text1"/>
                <w:szCs w:val="21"/>
              </w:rPr>
            </w:pPr>
          </w:p>
        </w:tc>
        <w:tc>
          <w:tcPr>
            <w:tcW w:w="675"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870"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szCs w:val="21"/>
              </w:rPr>
            </w:pPr>
          </w:p>
        </w:tc>
        <w:tc>
          <w:tcPr>
            <w:tcW w:w="3402"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2241"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rPr>
          <w:trHeight w:val="385"/>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743"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情况：取消</w:t>
            </w:r>
          </w:p>
        </w:tc>
      </w:tr>
      <w:tr w:rsidR="0059130C">
        <w:trPr>
          <w:trHeight w:val="330"/>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743"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原因：根据《中华人民共和国内河海事行政处罚规定》（交通运输部令2022年第28号），此事项取消。</w:t>
            </w:r>
          </w:p>
        </w:tc>
      </w:tr>
    </w:tbl>
    <w:p w:rsidR="0059130C" w:rsidRDefault="0059130C">
      <w:pPr>
        <w:spacing w:line="240" w:lineRule="exact"/>
        <w:rPr>
          <w:rFonts w:ascii="仿宋_GB2312" w:eastAsia="仿宋_GB2312" w:hAnsi="仿宋_GB2312" w:cs="仿宋_GB2312"/>
          <w:szCs w:val="21"/>
        </w:rPr>
      </w:pPr>
    </w:p>
    <w:tbl>
      <w:tblPr>
        <w:tblW w:w="14178" w:type="dxa"/>
        <w:tblLayout w:type="fixed"/>
        <w:tblCellMar>
          <w:left w:w="15" w:type="dxa"/>
          <w:right w:w="15" w:type="dxa"/>
        </w:tblCellMar>
        <w:tblLook w:val="04A0"/>
      </w:tblPr>
      <w:tblGrid>
        <w:gridCol w:w="717"/>
        <w:gridCol w:w="1603"/>
        <w:gridCol w:w="2567"/>
        <w:gridCol w:w="833"/>
        <w:gridCol w:w="1167"/>
        <w:gridCol w:w="5155"/>
        <w:gridCol w:w="2136"/>
      </w:tblGrid>
      <w:tr w:rsidR="0059130C">
        <w:trPr>
          <w:trHeight w:val="907"/>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序号</w:t>
            </w:r>
          </w:p>
        </w:tc>
        <w:tc>
          <w:tcPr>
            <w:tcW w:w="160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项目名称</w:t>
            </w:r>
          </w:p>
        </w:tc>
        <w:tc>
          <w:tcPr>
            <w:tcW w:w="2567"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实施依据</w:t>
            </w:r>
          </w:p>
        </w:tc>
        <w:tc>
          <w:tcPr>
            <w:tcW w:w="83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类别</w:t>
            </w:r>
          </w:p>
        </w:tc>
        <w:tc>
          <w:tcPr>
            <w:tcW w:w="1167"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环节</w:t>
            </w:r>
          </w:p>
        </w:tc>
        <w:tc>
          <w:tcPr>
            <w:tcW w:w="515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责任事项</w:t>
            </w:r>
          </w:p>
        </w:tc>
        <w:tc>
          <w:tcPr>
            <w:tcW w:w="213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907"/>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198</w:t>
            </w:r>
          </w:p>
        </w:tc>
        <w:tc>
          <w:tcPr>
            <w:tcW w:w="1603"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color w:val="000000" w:themeColor="text1"/>
                <w:sz w:val="21"/>
                <w:szCs w:val="21"/>
              </w:rPr>
            </w:pPr>
            <w:r>
              <w:rPr>
                <w:rFonts w:ascii="仿宋_GB2312" w:eastAsia="仿宋_GB2312" w:hAnsi="仿宋_GB2312" w:cs="仿宋_GB2312" w:hint="eastAsia"/>
                <w:color w:val="000000" w:themeColor="text1"/>
                <w:sz w:val="21"/>
                <w:szCs w:val="21"/>
              </w:rPr>
              <w:t>船舶在城市市区的内河航道航行时，未按照规定使用声响装置的处罚</w:t>
            </w:r>
          </w:p>
        </w:tc>
        <w:tc>
          <w:tcPr>
            <w:tcW w:w="2567"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color w:val="000000" w:themeColor="text1"/>
                <w:sz w:val="21"/>
                <w:szCs w:val="21"/>
              </w:rPr>
            </w:pPr>
            <w:r>
              <w:rPr>
                <w:rFonts w:ascii="仿宋_GB2312" w:eastAsia="仿宋_GB2312" w:hAnsi="仿宋_GB2312" w:cs="仿宋_GB2312" w:hint="eastAsia"/>
                <w:color w:val="000000" w:themeColor="text1"/>
                <w:sz w:val="21"/>
                <w:szCs w:val="21"/>
              </w:rPr>
              <w:t>《中华人民共和国内河海事行政处罚规定》（交通运输部令2019年第11号）第三十七条：“违反《环境噪声污染防治法》第三十四条的规定，船舶在城市市区的内河航道航行时，未按照规定使用声响装置的，依照《环境噪声污染防治法》第五十七条的规定，对其给予警告或者处以1万元以下的罚款。”</w:t>
            </w:r>
          </w:p>
        </w:tc>
        <w:tc>
          <w:tcPr>
            <w:tcW w:w="833"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1167" w:type="dxa"/>
            <w:tcBorders>
              <w:top w:val="single" w:sz="4" w:space="0" w:color="000000"/>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000000"/>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2136" w:type="dxa"/>
            <w:vMerge w:val="restart"/>
            <w:tcBorders>
              <w:top w:val="single" w:sz="4" w:space="0" w:color="000000"/>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color w:val="000000" w:themeColor="text1"/>
                <w:szCs w:val="21"/>
              </w:rPr>
            </w:pPr>
          </w:p>
        </w:tc>
      </w:tr>
      <w:tr w:rsidR="0059130C">
        <w:trPr>
          <w:trHeight w:val="907"/>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2136"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2136"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2136"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2136"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2136"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2136"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kern w:val="0"/>
                <w:szCs w:val="21"/>
                <w:lang/>
              </w:rPr>
            </w:pPr>
          </w:p>
        </w:tc>
        <w:tc>
          <w:tcPr>
            <w:tcW w:w="2136"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rPr>
          <w:trHeight w:val="334"/>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461"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情况：取消</w:t>
            </w:r>
          </w:p>
        </w:tc>
      </w:tr>
      <w:tr w:rsidR="0059130C">
        <w:trPr>
          <w:trHeight w:val="363"/>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461"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原因：根据《中华人民共和国内河海事行政处罚规定》（交通运输部令2022年第28号），此事项取消。</w:t>
            </w:r>
          </w:p>
        </w:tc>
      </w:tr>
    </w:tbl>
    <w:p w:rsidR="0059130C" w:rsidRDefault="0059130C">
      <w:pPr>
        <w:spacing w:line="240" w:lineRule="exact"/>
        <w:rPr>
          <w:rFonts w:ascii="仿宋_GB2312" w:eastAsia="仿宋_GB2312" w:hAnsi="仿宋_GB2312" w:cs="仿宋_GB2312"/>
          <w:szCs w:val="21"/>
        </w:rPr>
      </w:pPr>
    </w:p>
    <w:tbl>
      <w:tblPr>
        <w:tblW w:w="13806" w:type="dxa"/>
        <w:tblLayout w:type="fixed"/>
        <w:tblCellMar>
          <w:left w:w="15" w:type="dxa"/>
          <w:right w:w="15" w:type="dxa"/>
        </w:tblCellMar>
        <w:tblLook w:val="04A0"/>
      </w:tblPr>
      <w:tblGrid>
        <w:gridCol w:w="717"/>
        <w:gridCol w:w="1603"/>
        <w:gridCol w:w="2567"/>
        <w:gridCol w:w="833"/>
        <w:gridCol w:w="1167"/>
        <w:gridCol w:w="5329"/>
        <w:gridCol w:w="1590"/>
      </w:tblGrid>
      <w:tr w:rsidR="0059130C">
        <w:trPr>
          <w:trHeight w:val="907"/>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序号</w:t>
            </w:r>
          </w:p>
        </w:tc>
        <w:tc>
          <w:tcPr>
            <w:tcW w:w="160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项目名称</w:t>
            </w:r>
          </w:p>
        </w:tc>
        <w:tc>
          <w:tcPr>
            <w:tcW w:w="2567"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实施依据</w:t>
            </w:r>
          </w:p>
        </w:tc>
        <w:tc>
          <w:tcPr>
            <w:tcW w:w="83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类别</w:t>
            </w:r>
          </w:p>
        </w:tc>
        <w:tc>
          <w:tcPr>
            <w:tcW w:w="1167"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环节</w:t>
            </w:r>
          </w:p>
        </w:tc>
        <w:tc>
          <w:tcPr>
            <w:tcW w:w="5329"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907"/>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199</w:t>
            </w:r>
          </w:p>
        </w:tc>
        <w:tc>
          <w:tcPr>
            <w:tcW w:w="1603"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color w:val="000000" w:themeColor="text1"/>
                <w:sz w:val="21"/>
                <w:szCs w:val="21"/>
              </w:rPr>
            </w:pPr>
            <w:r>
              <w:rPr>
                <w:rFonts w:ascii="仿宋_GB2312" w:eastAsia="仿宋_GB2312" w:hAnsi="仿宋_GB2312" w:cs="仿宋_GB2312" w:hint="eastAsia"/>
                <w:sz w:val="21"/>
                <w:szCs w:val="21"/>
              </w:rPr>
              <w:t>客运经营者不按规定携带《道路运输证》的处罚</w:t>
            </w:r>
          </w:p>
        </w:tc>
        <w:tc>
          <w:tcPr>
            <w:tcW w:w="2567"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《中华人民共和国道路运输条例》（国务院令第752号）第六十八条：“ 违反本条例的规定，客运经营者、货运经营者不按照规定携带车辆营运证的，由县级以上地方人民政府交通运输主管部门责令改正，处警告或者20元以上200元以下的罚款。”</w:t>
            </w:r>
          </w:p>
          <w:p w:rsidR="0059130C" w:rsidRDefault="002E22CA">
            <w:pPr>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道路旅客运输及客运站管理规定》（交通运输部令2022年第33号）第九十七条第二款“违反本规定，客运经营者不按照规定随车携带《道路运输证》的，由交通运输主管部门责令改正，处警告或者20元以上200元以下的罚款。”</w:t>
            </w:r>
          </w:p>
          <w:p w:rsidR="0059130C" w:rsidRDefault="0059130C">
            <w:pPr>
              <w:pStyle w:val="a6"/>
              <w:spacing w:beforeAutospacing="0" w:afterAutospacing="0" w:line="240" w:lineRule="exact"/>
              <w:rPr>
                <w:rFonts w:ascii="仿宋_GB2312" w:eastAsia="仿宋_GB2312" w:hAnsi="仿宋_GB2312" w:cs="仿宋_GB2312"/>
                <w:color w:val="000000" w:themeColor="text1"/>
                <w:sz w:val="21"/>
                <w:szCs w:val="21"/>
              </w:rPr>
            </w:pPr>
          </w:p>
        </w:tc>
        <w:tc>
          <w:tcPr>
            <w:tcW w:w="833"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1167" w:type="dxa"/>
            <w:tcBorders>
              <w:top w:val="single" w:sz="4" w:space="0" w:color="000000"/>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329" w:type="dxa"/>
            <w:tcBorders>
              <w:top w:val="single" w:sz="4" w:space="0" w:color="000000"/>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val="restart"/>
            <w:tcBorders>
              <w:top w:val="single" w:sz="4" w:space="0" w:color="000000"/>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color w:val="000000" w:themeColor="text1"/>
                <w:szCs w:val="21"/>
              </w:rPr>
            </w:pPr>
          </w:p>
        </w:tc>
      </w:tr>
      <w:tr w:rsidR="0059130C">
        <w:trPr>
          <w:trHeight w:val="907"/>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329"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329"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329"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329"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329"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329"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329"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kern w:val="0"/>
                <w:szCs w:val="21"/>
                <w:lang/>
              </w:rPr>
            </w:pP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rPr>
          <w:trHeight w:val="334"/>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08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情况：取消</w:t>
            </w:r>
          </w:p>
        </w:tc>
      </w:tr>
      <w:tr w:rsidR="0059130C">
        <w:trPr>
          <w:trHeight w:val="530"/>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08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原因：根据《中华人民共和国道路运输条例》（国务院令第764号），此事项取消。</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3632" w:type="dxa"/>
        <w:jc w:val="center"/>
        <w:tblLayout w:type="fixed"/>
        <w:tblCellMar>
          <w:left w:w="15" w:type="dxa"/>
          <w:right w:w="15" w:type="dxa"/>
        </w:tblCellMar>
        <w:tblLook w:val="04A0"/>
      </w:tblPr>
      <w:tblGrid>
        <w:gridCol w:w="717"/>
        <w:gridCol w:w="1603"/>
        <w:gridCol w:w="2567"/>
        <w:gridCol w:w="833"/>
        <w:gridCol w:w="1167"/>
        <w:gridCol w:w="5155"/>
        <w:gridCol w:w="1590"/>
      </w:tblGrid>
      <w:tr w:rsidR="0059130C">
        <w:trPr>
          <w:trHeight w:val="907"/>
          <w:jc w:val="center"/>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lastRenderedPageBreak/>
              <w:t>序号</w:t>
            </w:r>
          </w:p>
        </w:tc>
        <w:tc>
          <w:tcPr>
            <w:tcW w:w="160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项目名称</w:t>
            </w:r>
          </w:p>
        </w:tc>
        <w:tc>
          <w:tcPr>
            <w:tcW w:w="2567"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实施依据</w:t>
            </w:r>
          </w:p>
        </w:tc>
        <w:tc>
          <w:tcPr>
            <w:tcW w:w="83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类别</w:t>
            </w:r>
          </w:p>
        </w:tc>
        <w:tc>
          <w:tcPr>
            <w:tcW w:w="1167"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环节</w:t>
            </w:r>
          </w:p>
        </w:tc>
        <w:tc>
          <w:tcPr>
            <w:tcW w:w="515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907"/>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200</w:t>
            </w:r>
          </w:p>
        </w:tc>
        <w:tc>
          <w:tcPr>
            <w:tcW w:w="1603"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color w:val="000000" w:themeColor="text1"/>
                <w:sz w:val="21"/>
                <w:szCs w:val="21"/>
              </w:rPr>
            </w:pPr>
            <w:r>
              <w:rPr>
                <w:rFonts w:ascii="仿宋_GB2312" w:eastAsia="仿宋_GB2312" w:hAnsi="仿宋_GB2312" w:cs="仿宋_GB2312" w:hint="eastAsia"/>
                <w:sz w:val="21"/>
                <w:szCs w:val="21"/>
              </w:rPr>
              <w:t>道路货物运输经营者不按规定携带《道路运输证》的处罚</w:t>
            </w:r>
          </w:p>
        </w:tc>
        <w:tc>
          <w:tcPr>
            <w:tcW w:w="2567"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color w:val="000000" w:themeColor="text1"/>
                <w:sz w:val="21"/>
                <w:szCs w:val="21"/>
              </w:rPr>
            </w:pPr>
            <w:r>
              <w:rPr>
                <w:rFonts w:ascii="仿宋_GB2312" w:eastAsia="仿宋_GB2312" w:hAnsi="仿宋_GB2312" w:cs="仿宋_GB2312" w:hint="eastAsia"/>
                <w:color w:val="000000" w:themeColor="text1"/>
                <w:sz w:val="21"/>
                <w:szCs w:val="21"/>
              </w:rPr>
              <w:t>《中华人民共和国道路运输条例》（国务院令第752号）第六十八条：“违反本条例的规定，客运经营者、货运经营者不按照规定携带车辆营运证的，由县级以上地方人民政府交通运输主管部门责令改正，处警告或者20元以上200元以下的罚款。”</w:t>
            </w:r>
          </w:p>
          <w:p w:rsidR="0059130C" w:rsidRDefault="002E22CA">
            <w:pPr>
              <w:pStyle w:val="a6"/>
              <w:spacing w:beforeAutospacing="0" w:afterAutospacing="0" w:line="240" w:lineRule="exact"/>
              <w:rPr>
                <w:rFonts w:ascii="仿宋_GB2312" w:eastAsia="仿宋_GB2312" w:hAnsi="仿宋_GB2312" w:cs="仿宋_GB2312"/>
                <w:color w:val="000000" w:themeColor="text1"/>
                <w:sz w:val="21"/>
                <w:szCs w:val="21"/>
              </w:rPr>
            </w:pPr>
            <w:r>
              <w:rPr>
                <w:rFonts w:ascii="仿宋_GB2312" w:eastAsia="仿宋_GB2312" w:hAnsi="仿宋_GB2312" w:cs="仿宋_GB2312" w:hint="eastAsia"/>
                <w:color w:val="000000" w:themeColor="text1"/>
                <w:sz w:val="21"/>
                <w:szCs w:val="21"/>
              </w:rPr>
              <w:t>《道路货物运输及站场管理规定》（交通运输部令2022年第33号）第六十三条第三款：“违反本规定，道路货物运输经营者不按照规定携带《道路运输证》的，由交通运输主管部门责令改正，处警告或者20元以上200元以下的罚款。”</w:t>
            </w:r>
          </w:p>
          <w:p w:rsidR="0059130C" w:rsidRDefault="0059130C">
            <w:pPr>
              <w:pStyle w:val="a6"/>
              <w:spacing w:beforeAutospacing="0" w:afterAutospacing="0" w:line="240" w:lineRule="exact"/>
              <w:rPr>
                <w:rFonts w:ascii="仿宋_GB2312" w:eastAsia="仿宋_GB2312" w:hAnsi="仿宋_GB2312" w:cs="仿宋_GB2312"/>
                <w:color w:val="000000" w:themeColor="text1"/>
                <w:sz w:val="21"/>
                <w:szCs w:val="21"/>
              </w:rPr>
            </w:pPr>
          </w:p>
        </w:tc>
        <w:tc>
          <w:tcPr>
            <w:tcW w:w="833"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1167" w:type="dxa"/>
            <w:tcBorders>
              <w:top w:val="single" w:sz="4" w:space="0" w:color="000000"/>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000000"/>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val="restart"/>
            <w:tcBorders>
              <w:top w:val="single" w:sz="4" w:space="0" w:color="000000"/>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color w:val="000000" w:themeColor="text1"/>
                <w:szCs w:val="21"/>
              </w:rPr>
            </w:pPr>
          </w:p>
        </w:tc>
      </w:tr>
      <w:tr w:rsidR="0059130C">
        <w:trPr>
          <w:trHeight w:val="907"/>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kern w:val="0"/>
                <w:szCs w:val="21"/>
                <w:lang/>
              </w:rPr>
            </w:pP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rPr>
          <w:trHeight w:val="334"/>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情况：取消</w:t>
            </w:r>
          </w:p>
        </w:tc>
      </w:tr>
      <w:tr w:rsidR="0059130C">
        <w:trPr>
          <w:trHeight w:val="363"/>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原因：根据《中华人民共和国道路运输条例》（国务院令第764号），此事项取消。</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4388" w:type="dxa"/>
        <w:jc w:val="center"/>
        <w:tblLayout w:type="fixed"/>
        <w:tblCellMar>
          <w:left w:w="15" w:type="dxa"/>
          <w:right w:w="15" w:type="dxa"/>
        </w:tblCellMar>
        <w:tblLook w:val="04A0"/>
      </w:tblPr>
      <w:tblGrid>
        <w:gridCol w:w="717"/>
        <w:gridCol w:w="1603"/>
        <w:gridCol w:w="2567"/>
        <w:gridCol w:w="833"/>
        <w:gridCol w:w="1167"/>
        <w:gridCol w:w="5155"/>
        <w:gridCol w:w="2346"/>
      </w:tblGrid>
      <w:tr w:rsidR="0059130C">
        <w:trPr>
          <w:trHeight w:val="907"/>
          <w:jc w:val="center"/>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lastRenderedPageBreak/>
              <w:t>序号</w:t>
            </w:r>
          </w:p>
        </w:tc>
        <w:tc>
          <w:tcPr>
            <w:tcW w:w="160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项目名称</w:t>
            </w:r>
          </w:p>
        </w:tc>
        <w:tc>
          <w:tcPr>
            <w:tcW w:w="2567"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实施依据</w:t>
            </w:r>
          </w:p>
        </w:tc>
        <w:tc>
          <w:tcPr>
            <w:tcW w:w="83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类别</w:t>
            </w:r>
          </w:p>
        </w:tc>
        <w:tc>
          <w:tcPr>
            <w:tcW w:w="1167"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环节</w:t>
            </w:r>
          </w:p>
        </w:tc>
        <w:tc>
          <w:tcPr>
            <w:tcW w:w="515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责任事项</w:t>
            </w:r>
          </w:p>
        </w:tc>
        <w:tc>
          <w:tcPr>
            <w:tcW w:w="234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907"/>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201</w:t>
            </w:r>
          </w:p>
        </w:tc>
        <w:tc>
          <w:tcPr>
            <w:tcW w:w="1603"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color w:val="000000" w:themeColor="text1"/>
                <w:sz w:val="21"/>
                <w:szCs w:val="21"/>
              </w:rPr>
            </w:pPr>
            <w:r>
              <w:rPr>
                <w:rFonts w:ascii="仿宋_GB2312" w:eastAsia="仿宋_GB2312" w:hAnsi="仿宋_GB2312" w:cs="仿宋_GB2312" w:hint="eastAsia"/>
                <w:sz w:val="21"/>
                <w:szCs w:val="21"/>
              </w:rPr>
              <w:t>道路危险品货物运输企业或单位不按规定携带道路运输证的处罚</w:t>
            </w:r>
          </w:p>
        </w:tc>
        <w:tc>
          <w:tcPr>
            <w:tcW w:w="2567" w:type="dxa"/>
            <w:vMerge w:val="restart"/>
            <w:tcBorders>
              <w:top w:val="single" w:sz="4" w:space="0" w:color="000000"/>
              <w:left w:val="single" w:sz="4" w:space="0" w:color="000000"/>
              <w:right w:val="single" w:sz="4" w:space="0" w:color="000000"/>
            </w:tcBorders>
            <w:vAlign w:val="center"/>
          </w:tcPr>
          <w:p w:rsidR="0059130C" w:rsidRDefault="002E22CA">
            <w:pPr>
              <w:overflowPunct w:val="0"/>
              <w:spacing w:line="240" w:lineRule="exact"/>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《中华人民共和国道路运输条例》（国务院令第752号）第六十八条：“ 违反本条例的规定，客运经营者、货运经营者不按照规定携带车辆营运证的，由县级以上地方人民政府交通运输主管部门责令改正，处警告或者20元以上200元以下的罚款。”</w:t>
            </w:r>
          </w:p>
          <w:p w:rsidR="0059130C" w:rsidRDefault="002E22CA">
            <w:pPr>
              <w:pStyle w:val="a6"/>
              <w:spacing w:beforeAutospacing="0" w:afterAutospacing="0" w:line="240" w:lineRule="exact"/>
              <w:rPr>
                <w:rFonts w:ascii="仿宋_GB2312" w:eastAsia="仿宋_GB2312" w:hAnsi="仿宋_GB2312" w:cs="仿宋_GB2312"/>
                <w:color w:val="000000" w:themeColor="text1"/>
                <w:sz w:val="21"/>
                <w:szCs w:val="21"/>
              </w:rPr>
            </w:pPr>
            <w:r>
              <w:rPr>
                <w:rFonts w:ascii="仿宋_GB2312" w:eastAsia="仿宋_GB2312" w:hAnsi="仿宋_GB2312" w:cs="仿宋_GB2312" w:hint="eastAsia"/>
                <w:sz w:val="21"/>
                <w:szCs w:val="21"/>
                <w:lang/>
              </w:rPr>
              <w:t>《道路危险货物运输管理规定》（交通运输部令 2019年第42号）第五十九条：“违反本规定，道路危险货物运输企业或者单位不按照规定随车携带《道路运输证》的，由县级以上道路运输管理机构责令改正，处警告或者20元以上200元以下的罚款。</w:t>
            </w:r>
          </w:p>
        </w:tc>
        <w:tc>
          <w:tcPr>
            <w:tcW w:w="833"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1167" w:type="dxa"/>
            <w:tcBorders>
              <w:top w:val="single" w:sz="4" w:space="0" w:color="000000"/>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000000"/>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2346" w:type="dxa"/>
            <w:vMerge w:val="restart"/>
            <w:tcBorders>
              <w:top w:val="single" w:sz="4" w:space="0" w:color="000000"/>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color w:val="000000" w:themeColor="text1"/>
                <w:szCs w:val="21"/>
              </w:rPr>
            </w:pPr>
          </w:p>
        </w:tc>
      </w:tr>
      <w:tr w:rsidR="0059130C">
        <w:trPr>
          <w:trHeight w:val="907"/>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2346"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2346"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2346"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2346"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2346"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2346"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kern w:val="0"/>
                <w:szCs w:val="21"/>
                <w:lang/>
              </w:rPr>
            </w:pPr>
          </w:p>
        </w:tc>
        <w:tc>
          <w:tcPr>
            <w:tcW w:w="2346"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rPr>
          <w:trHeight w:val="334"/>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671"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情况：取消</w:t>
            </w:r>
          </w:p>
        </w:tc>
      </w:tr>
      <w:tr w:rsidR="0059130C">
        <w:trPr>
          <w:trHeight w:val="363"/>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671"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原因：根据《中华人民共和国道路运输条例》（国务院令第764号），此事项取消。</w:t>
            </w:r>
          </w:p>
        </w:tc>
      </w:tr>
    </w:tbl>
    <w:p w:rsidR="0059130C" w:rsidRDefault="002E22CA">
      <w:pPr>
        <w:spacing w:line="240" w:lineRule="exact"/>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3632" w:type="dxa"/>
        <w:jc w:val="center"/>
        <w:tblLayout w:type="fixed"/>
        <w:tblCellMar>
          <w:left w:w="15" w:type="dxa"/>
          <w:right w:w="15" w:type="dxa"/>
        </w:tblCellMar>
        <w:tblLook w:val="04A0"/>
      </w:tblPr>
      <w:tblGrid>
        <w:gridCol w:w="717"/>
        <w:gridCol w:w="1603"/>
        <w:gridCol w:w="2567"/>
        <w:gridCol w:w="833"/>
        <w:gridCol w:w="1167"/>
        <w:gridCol w:w="5155"/>
        <w:gridCol w:w="1590"/>
      </w:tblGrid>
      <w:tr w:rsidR="0059130C">
        <w:trPr>
          <w:trHeight w:val="794"/>
          <w:jc w:val="center"/>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lastRenderedPageBreak/>
              <w:t>序号</w:t>
            </w:r>
          </w:p>
        </w:tc>
        <w:tc>
          <w:tcPr>
            <w:tcW w:w="160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项目名称</w:t>
            </w:r>
          </w:p>
        </w:tc>
        <w:tc>
          <w:tcPr>
            <w:tcW w:w="2567"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实施依据</w:t>
            </w:r>
          </w:p>
        </w:tc>
        <w:tc>
          <w:tcPr>
            <w:tcW w:w="83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类别</w:t>
            </w:r>
          </w:p>
        </w:tc>
        <w:tc>
          <w:tcPr>
            <w:tcW w:w="1167"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环节</w:t>
            </w:r>
          </w:p>
        </w:tc>
        <w:tc>
          <w:tcPr>
            <w:tcW w:w="515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794"/>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202</w:t>
            </w:r>
          </w:p>
        </w:tc>
        <w:tc>
          <w:tcPr>
            <w:tcW w:w="1603"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color w:val="000000" w:themeColor="text1"/>
                <w:sz w:val="21"/>
                <w:szCs w:val="21"/>
              </w:rPr>
            </w:pPr>
            <w:r>
              <w:rPr>
                <w:rFonts w:ascii="仿宋_GB2312" w:eastAsia="仿宋_GB2312" w:hAnsi="仿宋_GB2312" w:cs="仿宋_GB2312" w:hint="eastAsia"/>
                <w:sz w:val="21"/>
                <w:szCs w:val="21"/>
              </w:rPr>
              <w:t>在村道公路建筑区内修建建筑物、构筑物或者擅自驾驶、埋设管线、电缆等设施的处罚</w:t>
            </w:r>
          </w:p>
        </w:tc>
        <w:tc>
          <w:tcPr>
            <w:tcW w:w="2567"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color w:val="000000" w:themeColor="text1"/>
                <w:sz w:val="21"/>
                <w:szCs w:val="21"/>
              </w:rPr>
            </w:pPr>
            <w:r>
              <w:rPr>
                <w:rFonts w:ascii="仿宋_GB2312" w:eastAsia="仿宋_GB2312" w:hAnsi="仿宋_GB2312" w:cs="仿宋_GB2312" w:hint="eastAsia"/>
                <w:sz w:val="21"/>
                <w:szCs w:val="21"/>
              </w:rPr>
              <w:t xml:space="preserve"> 《河南省农村公路条例》（2010年7月30日河南省第十一届人民代表大会常务委员会第十六次会议通过，公告第33号）第五十四条：违反本条例规定，在村道公路建筑区内修建建筑物、构筑物或者擅自驾驶、埋设管线、电缆等设施的，由县级交通运输行政主管部门责令限期拆除，并处五千元以上三万元以下的罚款。逾期不拆除的，县级交通运输行政主管部门可以委托乡（镇）人民政府组织拆除；因拆除所产生的有关费用由建筑物、构筑物所有人承担。</w:t>
            </w:r>
          </w:p>
        </w:tc>
        <w:tc>
          <w:tcPr>
            <w:tcW w:w="833"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1167" w:type="dxa"/>
            <w:tcBorders>
              <w:top w:val="single" w:sz="4" w:space="0" w:color="000000"/>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000000"/>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val="restart"/>
            <w:tcBorders>
              <w:top w:val="single" w:sz="4" w:space="0" w:color="000000"/>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color w:val="000000" w:themeColor="text1"/>
                <w:szCs w:val="21"/>
              </w:rPr>
            </w:pPr>
          </w:p>
        </w:tc>
      </w:tr>
      <w:tr w:rsidR="0059130C">
        <w:trPr>
          <w:trHeight w:val="794"/>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794"/>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794"/>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794"/>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794"/>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794"/>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794"/>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kern w:val="0"/>
                <w:szCs w:val="21"/>
                <w:lang/>
              </w:rPr>
            </w:pP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rPr>
          <w:trHeight w:val="334"/>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情况：取消</w:t>
            </w:r>
          </w:p>
        </w:tc>
      </w:tr>
      <w:tr w:rsidR="0059130C">
        <w:trPr>
          <w:trHeight w:val="718"/>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原因：根据《南阳市人民政府关于开展乡镇（街道）综合行政执法工作的通知》将“在村道公路建筑区内修建建筑物、构筑物或者擅自驾驶、埋设管线、电缆等设施”的行政处罚权下放乡镇，此事项取消</w:t>
            </w:r>
          </w:p>
        </w:tc>
      </w:tr>
    </w:tbl>
    <w:p w:rsidR="0059130C" w:rsidRDefault="002E22CA">
      <w:pPr>
        <w:autoSpaceDN w:val="0"/>
        <w:snapToGrid w:val="0"/>
        <w:spacing w:line="240" w:lineRule="exact"/>
        <w:textAlignment w:val="center"/>
        <w:rPr>
          <w:rFonts w:ascii="仿宋_GB2312" w:eastAsia="仿宋_GB2312" w:hAnsi="仿宋_GB2312" w:cs="仿宋_GB2312"/>
          <w:szCs w:val="21"/>
        </w:rPr>
      </w:pPr>
      <w:r>
        <w:rPr>
          <w:rFonts w:ascii="仿宋_GB2312" w:eastAsia="仿宋_GB2312" w:hAnsi="仿宋_GB2312" w:cs="仿宋_GB2312" w:hint="eastAsia"/>
          <w:szCs w:val="21"/>
        </w:rPr>
        <w:br w:type="page"/>
      </w:r>
    </w:p>
    <w:tbl>
      <w:tblPr>
        <w:tblW w:w="13632" w:type="dxa"/>
        <w:jc w:val="center"/>
        <w:tblLayout w:type="fixed"/>
        <w:tblCellMar>
          <w:left w:w="15" w:type="dxa"/>
          <w:right w:w="15" w:type="dxa"/>
        </w:tblCellMar>
        <w:tblLook w:val="04A0"/>
      </w:tblPr>
      <w:tblGrid>
        <w:gridCol w:w="783"/>
        <w:gridCol w:w="1537"/>
        <w:gridCol w:w="2567"/>
        <w:gridCol w:w="833"/>
        <w:gridCol w:w="1167"/>
        <w:gridCol w:w="5155"/>
        <w:gridCol w:w="1590"/>
      </w:tblGrid>
      <w:tr w:rsidR="0059130C">
        <w:trPr>
          <w:trHeight w:val="850"/>
          <w:jc w:val="center"/>
        </w:trPr>
        <w:tc>
          <w:tcPr>
            <w:tcW w:w="783"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lastRenderedPageBreak/>
              <w:t>序号</w:t>
            </w:r>
          </w:p>
        </w:tc>
        <w:tc>
          <w:tcPr>
            <w:tcW w:w="1537"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项目名称</w:t>
            </w:r>
          </w:p>
        </w:tc>
        <w:tc>
          <w:tcPr>
            <w:tcW w:w="2567"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实施依据</w:t>
            </w:r>
          </w:p>
        </w:tc>
        <w:tc>
          <w:tcPr>
            <w:tcW w:w="83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类别</w:t>
            </w:r>
          </w:p>
        </w:tc>
        <w:tc>
          <w:tcPr>
            <w:tcW w:w="1167"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环节</w:t>
            </w:r>
          </w:p>
        </w:tc>
        <w:tc>
          <w:tcPr>
            <w:tcW w:w="515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850"/>
          <w:jc w:val="center"/>
        </w:trPr>
        <w:tc>
          <w:tcPr>
            <w:tcW w:w="783"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203</w:t>
            </w:r>
          </w:p>
        </w:tc>
        <w:tc>
          <w:tcPr>
            <w:tcW w:w="1537"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color w:val="000000" w:themeColor="text1"/>
                <w:sz w:val="21"/>
                <w:szCs w:val="21"/>
              </w:rPr>
            </w:pPr>
            <w:r>
              <w:rPr>
                <w:rFonts w:ascii="仿宋_GB2312" w:eastAsia="仿宋_GB2312" w:hAnsi="仿宋_GB2312" w:cs="仿宋_GB2312" w:hint="eastAsia"/>
                <w:sz w:val="21"/>
                <w:szCs w:val="21"/>
              </w:rPr>
              <w:t>对未与船员订立劳动合同向船员用人单位提供船员的处罚</w:t>
            </w:r>
          </w:p>
        </w:tc>
        <w:tc>
          <w:tcPr>
            <w:tcW w:w="2567"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color w:val="000000" w:themeColor="text1"/>
                <w:sz w:val="21"/>
                <w:szCs w:val="21"/>
              </w:rPr>
            </w:pPr>
            <w:r>
              <w:rPr>
                <w:rFonts w:ascii="仿宋_GB2312" w:eastAsia="仿宋_GB2312" w:hAnsi="仿宋_GB2312" w:cs="仿宋_GB2312" w:hint="eastAsia"/>
                <w:sz w:val="21"/>
                <w:szCs w:val="21"/>
              </w:rPr>
              <w:t>《中华人民共和国船员条例》（2019年3月2日国务院令第709号）第六十二条：“违反本条例的规定，船员服务机构在船员用人单位未与船员订立劳动合同的情况下，向船员用人单位提供船员的，由海事管理机构责令改正，处5万元以上25万元以下罚款；情节严重的，给予暂停船员服务6个月以上2年以下直至吊销船员服务许可的处罚。”</w:t>
            </w:r>
          </w:p>
        </w:tc>
        <w:tc>
          <w:tcPr>
            <w:tcW w:w="833"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1167" w:type="dxa"/>
            <w:tcBorders>
              <w:top w:val="single" w:sz="4" w:space="0" w:color="000000"/>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000000"/>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val="restart"/>
            <w:tcBorders>
              <w:top w:val="single" w:sz="4" w:space="0" w:color="000000"/>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color w:val="000000" w:themeColor="text1"/>
                <w:szCs w:val="21"/>
              </w:rPr>
            </w:pPr>
          </w:p>
        </w:tc>
      </w:tr>
      <w:tr w:rsidR="0059130C">
        <w:trPr>
          <w:trHeight w:val="850"/>
          <w:jc w:val="center"/>
        </w:trPr>
        <w:tc>
          <w:tcPr>
            <w:tcW w:w="783"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537"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850"/>
          <w:jc w:val="center"/>
        </w:trPr>
        <w:tc>
          <w:tcPr>
            <w:tcW w:w="783"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537"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850"/>
          <w:jc w:val="center"/>
        </w:trPr>
        <w:tc>
          <w:tcPr>
            <w:tcW w:w="783"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537"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850"/>
          <w:jc w:val="center"/>
        </w:trPr>
        <w:tc>
          <w:tcPr>
            <w:tcW w:w="783"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537"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850"/>
          <w:jc w:val="center"/>
        </w:trPr>
        <w:tc>
          <w:tcPr>
            <w:tcW w:w="783"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537"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850"/>
          <w:jc w:val="center"/>
        </w:trPr>
        <w:tc>
          <w:tcPr>
            <w:tcW w:w="783"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537"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850"/>
          <w:jc w:val="center"/>
        </w:trPr>
        <w:tc>
          <w:tcPr>
            <w:tcW w:w="783"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537"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kern w:val="0"/>
                <w:szCs w:val="21"/>
                <w:lang/>
              </w:rPr>
            </w:pP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rPr>
          <w:trHeight w:val="355"/>
          <w:jc w:val="center"/>
        </w:trPr>
        <w:tc>
          <w:tcPr>
            <w:tcW w:w="783"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84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情况：取消</w:t>
            </w:r>
          </w:p>
        </w:tc>
      </w:tr>
      <w:tr w:rsidR="0059130C">
        <w:trPr>
          <w:trHeight w:val="681"/>
          <w:jc w:val="center"/>
        </w:trPr>
        <w:tc>
          <w:tcPr>
            <w:tcW w:w="783"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849"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原因：根据《中华人民共和国船员条例》（2023年7月20日《国务院关于修改和废止部分行政法规的决定》第七次修订)，此事项取消</w:t>
            </w:r>
          </w:p>
        </w:tc>
      </w:tr>
    </w:tbl>
    <w:p w:rsidR="0059130C" w:rsidRDefault="002E22CA">
      <w:pPr>
        <w:spacing w:line="240" w:lineRule="exact"/>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br w:type="page"/>
      </w:r>
    </w:p>
    <w:tbl>
      <w:tblPr>
        <w:tblW w:w="13632" w:type="dxa"/>
        <w:jc w:val="center"/>
        <w:tblLayout w:type="fixed"/>
        <w:tblCellMar>
          <w:left w:w="15" w:type="dxa"/>
          <w:right w:w="15" w:type="dxa"/>
        </w:tblCellMar>
        <w:tblLook w:val="04A0"/>
      </w:tblPr>
      <w:tblGrid>
        <w:gridCol w:w="717"/>
        <w:gridCol w:w="1603"/>
        <w:gridCol w:w="2567"/>
        <w:gridCol w:w="833"/>
        <w:gridCol w:w="1167"/>
        <w:gridCol w:w="5155"/>
        <w:gridCol w:w="1590"/>
      </w:tblGrid>
      <w:tr w:rsidR="0059130C">
        <w:trPr>
          <w:trHeight w:val="907"/>
          <w:jc w:val="center"/>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lastRenderedPageBreak/>
              <w:t>序号</w:t>
            </w:r>
          </w:p>
        </w:tc>
        <w:tc>
          <w:tcPr>
            <w:tcW w:w="160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项目名称</w:t>
            </w:r>
          </w:p>
        </w:tc>
        <w:tc>
          <w:tcPr>
            <w:tcW w:w="2567"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实施依据</w:t>
            </w:r>
          </w:p>
        </w:tc>
        <w:tc>
          <w:tcPr>
            <w:tcW w:w="83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类别</w:t>
            </w:r>
          </w:p>
        </w:tc>
        <w:tc>
          <w:tcPr>
            <w:tcW w:w="1167"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环节</w:t>
            </w:r>
          </w:p>
        </w:tc>
        <w:tc>
          <w:tcPr>
            <w:tcW w:w="515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907"/>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204</w:t>
            </w:r>
          </w:p>
        </w:tc>
        <w:tc>
          <w:tcPr>
            <w:tcW w:w="1603"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color w:val="000000" w:themeColor="text1"/>
                <w:sz w:val="21"/>
                <w:szCs w:val="21"/>
              </w:rPr>
            </w:pPr>
            <w:r>
              <w:rPr>
                <w:rFonts w:ascii="仿宋_GB2312" w:eastAsia="仿宋_GB2312" w:hAnsi="仿宋_GB2312" w:cs="仿宋_GB2312" w:hint="eastAsia"/>
                <w:sz w:val="21"/>
                <w:szCs w:val="21"/>
              </w:rPr>
              <w:t>货运站经营者对超限、超载车辆配载放行出站的处罚</w:t>
            </w:r>
          </w:p>
        </w:tc>
        <w:tc>
          <w:tcPr>
            <w:tcW w:w="2567"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color w:val="000000" w:themeColor="text1"/>
                <w:sz w:val="21"/>
                <w:szCs w:val="21"/>
              </w:rPr>
            </w:pPr>
            <w:r>
              <w:rPr>
                <w:rFonts w:ascii="仿宋_GB2312" w:eastAsia="仿宋_GB2312" w:hAnsi="仿宋_GB2312" w:cs="仿宋_GB2312" w:hint="eastAsia"/>
                <w:sz w:val="21"/>
                <w:szCs w:val="21"/>
              </w:rPr>
              <w:t>《道路货物运输及站场管理规定》（交通运输部令2019年第17号）第六十三条：“违反本规定，货运站经营者对超限、超载车辆配载，放行出站的，由县级以上道路运输管理机构责令改正，处1万元以上3万元以下的罚款。”</w:t>
            </w:r>
          </w:p>
        </w:tc>
        <w:tc>
          <w:tcPr>
            <w:tcW w:w="833"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1167" w:type="dxa"/>
            <w:tcBorders>
              <w:top w:val="single" w:sz="4" w:space="0" w:color="000000"/>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000000"/>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val="restart"/>
            <w:tcBorders>
              <w:top w:val="single" w:sz="4" w:space="0" w:color="000000"/>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color w:val="000000" w:themeColor="text1"/>
                <w:szCs w:val="21"/>
              </w:rPr>
            </w:pPr>
          </w:p>
        </w:tc>
      </w:tr>
      <w:tr w:rsidR="0059130C">
        <w:trPr>
          <w:trHeight w:val="907"/>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kern w:val="0"/>
                <w:szCs w:val="21"/>
                <w:lang/>
              </w:rPr>
            </w:pP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rPr>
          <w:trHeight w:val="334"/>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情况：取消</w:t>
            </w:r>
          </w:p>
        </w:tc>
      </w:tr>
      <w:tr w:rsidR="0059130C">
        <w:trPr>
          <w:trHeight w:val="419"/>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原因：根据《道路货物运输及站场管理规定》（交通运输部令2022年第30号）此事项取消</w:t>
            </w:r>
          </w:p>
        </w:tc>
      </w:tr>
    </w:tbl>
    <w:p w:rsidR="0059130C" w:rsidRDefault="002E22CA">
      <w:pPr>
        <w:spacing w:line="240" w:lineRule="exact"/>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br w:type="page"/>
      </w:r>
    </w:p>
    <w:tbl>
      <w:tblPr>
        <w:tblW w:w="13632" w:type="dxa"/>
        <w:jc w:val="center"/>
        <w:tblLayout w:type="fixed"/>
        <w:tblCellMar>
          <w:left w:w="15" w:type="dxa"/>
          <w:right w:w="15" w:type="dxa"/>
        </w:tblCellMar>
        <w:tblLook w:val="04A0"/>
      </w:tblPr>
      <w:tblGrid>
        <w:gridCol w:w="616"/>
        <w:gridCol w:w="1704"/>
        <w:gridCol w:w="2567"/>
        <w:gridCol w:w="833"/>
        <w:gridCol w:w="1167"/>
        <w:gridCol w:w="5155"/>
        <w:gridCol w:w="1590"/>
      </w:tblGrid>
      <w:tr w:rsidR="0059130C">
        <w:trPr>
          <w:trHeight w:val="850"/>
          <w:jc w:val="center"/>
        </w:trPr>
        <w:tc>
          <w:tcPr>
            <w:tcW w:w="616"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lastRenderedPageBreak/>
              <w:t>序号</w:t>
            </w:r>
          </w:p>
        </w:tc>
        <w:tc>
          <w:tcPr>
            <w:tcW w:w="1704"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项目名称</w:t>
            </w:r>
          </w:p>
        </w:tc>
        <w:tc>
          <w:tcPr>
            <w:tcW w:w="2567"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实施依据</w:t>
            </w:r>
          </w:p>
        </w:tc>
        <w:tc>
          <w:tcPr>
            <w:tcW w:w="83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类别</w:t>
            </w:r>
          </w:p>
        </w:tc>
        <w:tc>
          <w:tcPr>
            <w:tcW w:w="1167"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环节</w:t>
            </w:r>
          </w:p>
        </w:tc>
        <w:tc>
          <w:tcPr>
            <w:tcW w:w="515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850"/>
          <w:jc w:val="center"/>
        </w:trPr>
        <w:tc>
          <w:tcPr>
            <w:tcW w:w="616"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205</w:t>
            </w:r>
          </w:p>
        </w:tc>
        <w:tc>
          <w:tcPr>
            <w:tcW w:w="1704"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color w:val="000000" w:themeColor="text1"/>
                <w:sz w:val="21"/>
                <w:szCs w:val="21"/>
              </w:rPr>
            </w:pPr>
            <w:r>
              <w:rPr>
                <w:rFonts w:ascii="仿宋_GB2312" w:eastAsia="仿宋_GB2312" w:hAnsi="仿宋_GB2312" w:cs="仿宋_GB2312" w:hint="eastAsia"/>
                <w:sz w:val="21"/>
                <w:szCs w:val="21"/>
              </w:rPr>
              <w:t>客运经营者或者其委托的售票单位、客运站经营者不按规定使用道路运输业专用票证或者转让、倒卖、伪造道路运输业专用票证的</w:t>
            </w:r>
            <w:proofErr w:type="gramStart"/>
            <w:r>
              <w:rPr>
                <w:rFonts w:ascii="仿宋_GB2312" w:eastAsia="仿宋_GB2312" w:hAnsi="仿宋_GB2312" w:cs="仿宋_GB2312" w:hint="eastAsia"/>
                <w:sz w:val="21"/>
                <w:szCs w:val="21"/>
              </w:rPr>
              <w:t>的</w:t>
            </w:r>
            <w:proofErr w:type="gramEnd"/>
            <w:r>
              <w:rPr>
                <w:rFonts w:ascii="仿宋_GB2312" w:eastAsia="仿宋_GB2312" w:hAnsi="仿宋_GB2312" w:cs="仿宋_GB2312" w:hint="eastAsia"/>
                <w:sz w:val="21"/>
                <w:szCs w:val="21"/>
              </w:rPr>
              <w:t>处罚</w:t>
            </w:r>
          </w:p>
        </w:tc>
        <w:tc>
          <w:tcPr>
            <w:tcW w:w="2567"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color w:val="000000" w:themeColor="text1"/>
                <w:sz w:val="21"/>
                <w:szCs w:val="21"/>
              </w:rPr>
            </w:pPr>
            <w:r>
              <w:rPr>
                <w:rFonts w:ascii="仿宋_GB2312" w:eastAsia="仿宋_GB2312" w:hAnsi="仿宋_GB2312" w:cs="仿宋_GB2312" w:hint="eastAsia"/>
                <w:sz w:val="21"/>
                <w:szCs w:val="21"/>
              </w:rPr>
              <w:t>《道路旅客运输及客运站管理规定》（交通运输部令2020年第17号）第九十八条：“违反本规定，客运经营者或者其委托的售票单位、客运站经营者不按规定使用道路运输业专用票证或者转让、倒卖、伪造道路运输业专用票证的，由县级以上道路运输管理机构责令改正，处1000元以上3000元以下的罚款。”</w:t>
            </w:r>
          </w:p>
        </w:tc>
        <w:tc>
          <w:tcPr>
            <w:tcW w:w="833"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1167" w:type="dxa"/>
            <w:tcBorders>
              <w:top w:val="single" w:sz="4" w:space="0" w:color="000000"/>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000000"/>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val="restart"/>
            <w:tcBorders>
              <w:top w:val="single" w:sz="4" w:space="0" w:color="000000"/>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color w:val="000000" w:themeColor="text1"/>
                <w:szCs w:val="21"/>
              </w:rPr>
            </w:pPr>
          </w:p>
        </w:tc>
      </w:tr>
      <w:tr w:rsidR="0059130C">
        <w:trPr>
          <w:trHeight w:val="850"/>
          <w:jc w:val="center"/>
        </w:trPr>
        <w:tc>
          <w:tcPr>
            <w:tcW w:w="616"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70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850"/>
          <w:jc w:val="center"/>
        </w:trPr>
        <w:tc>
          <w:tcPr>
            <w:tcW w:w="616"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70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850"/>
          <w:jc w:val="center"/>
        </w:trPr>
        <w:tc>
          <w:tcPr>
            <w:tcW w:w="616"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70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850"/>
          <w:jc w:val="center"/>
        </w:trPr>
        <w:tc>
          <w:tcPr>
            <w:tcW w:w="616"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70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850"/>
          <w:jc w:val="center"/>
        </w:trPr>
        <w:tc>
          <w:tcPr>
            <w:tcW w:w="616"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70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850"/>
          <w:jc w:val="center"/>
        </w:trPr>
        <w:tc>
          <w:tcPr>
            <w:tcW w:w="616"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70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850"/>
          <w:jc w:val="center"/>
        </w:trPr>
        <w:tc>
          <w:tcPr>
            <w:tcW w:w="616"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704"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kern w:val="0"/>
                <w:szCs w:val="21"/>
                <w:lang/>
              </w:rPr>
            </w:pP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rPr>
          <w:trHeight w:val="334"/>
          <w:jc w:val="center"/>
        </w:trPr>
        <w:tc>
          <w:tcPr>
            <w:tcW w:w="616"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016"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情况：取消</w:t>
            </w:r>
          </w:p>
        </w:tc>
      </w:tr>
      <w:tr w:rsidR="0059130C">
        <w:trPr>
          <w:trHeight w:val="419"/>
          <w:jc w:val="center"/>
        </w:trPr>
        <w:tc>
          <w:tcPr>
            <w:tcW w:w="616"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3016"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原因：根据《道路旅客运输及客运站管理规定》（交通运输部令2022年第33号）此事项取消</w:t>
            </w:r>
          </w:p>
        </w:tc>
      </w:tr>
    </w:tbl>
    <w:p w:rsidR="0059130C" w:rsidRDefault="002E22CA">
      <w:pPr>
        <w:spacing w:line="240" w:lineRule="exact"/>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br w:type="page"/>
      </w:r>
    </w:p>
    <w:p w:rsidR="0059130C" w:rsidRDefault="0059130C">
      <w:pPr>
        <w:pStyle w:val="a0"/>
        <w:spacing w:after="0" w:line="240" w:lineRule="exact"/>
        <w:rPr>
          <w:rFonts w:ascii="仿宋_GB2312" w:eastAsia="仿宋_GB2312" w:hAnsi="仿宋_GB2312" w:cs="仿宋_GB2312"/>
          <w:szCs w:val="21"/>
        </w:rPr>
      </w:pPr>
    </w:p>
    <w:tbl>
      <w:tblPr>
        <w:tblpPr w:leftFromText="180" w:rightFromText="180" w:vertAnchor="text" w:horzAnchor="page" w:tblpXSpec="center" w:tblpY="242"/>
        <w:tblOverlap w:val="never"/>
        <w:tblW w:w="13636" w:type="dxa"/>
        <w:jc w:val="center"/>
        <w:tblLayout w:type="fixed"/>
        <w:tblCellMar>
          <w:left w:w="15" w:type="dxa"/>
          <w:right w:w="15" w:type="dxa"/>
        </w:tblCellMar>
        <w:tblLook w:val="04A0"/>
      </w:tblPr>
      <w:tblGrid>
        <w:gridCol w:w="791"/>
        <w:gridCol w:w="1529"/>
        <w:gridCol w:w="2568"/>
        <w:gridCol w:w="833"/>
        <w:gridCol w:w="1167"/>
        <w:gridCol w:w="5158"/>
        <w:gridCol w:w="1590"/>
      </w:tblGrid>
      <w:tr w:rsidR="0059130C">
        <w:trPr>
          <w:trHeight w:val="794"/>
          <w:jc w:val="center"/>
        </w:trPr>
        <w:tc>
          <w:tcPr>
            <w:tcW w:w="791"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t>序号</w:t>
            </w:r>
          </w:p>
        </w:tc>
        <w:tc>
          <w:tcPr>
            <w:tcW w:w="1529"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项目名称</w:t>
            </w:r>
          </w:p>
        </w:tc>
        <w:tc>
          <w:tcPr>
            <w:tcW w:w="2568"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实施依据</w:t>
            </w:r>
          </w:p>
        </w:tc>
        <w:tc>
          <w:tcPr>
            <w:tcW w:w="83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类别</w:t>
            </w:r>
          </w:p>
        </w:tc>
        <w:tc>
          <w:tcPr>
            <w:tcW w:w="1167"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环节</w:t>
            </w:r>
          </w:p>
        </w:tc>
        <w:tc>
          <w:tcPr>
            <w:tcW w:w="5158"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794"/>
          <w:jc w:val="center"/>
        </w:trPr>
        <w:tc>
          <w:tcPr>
            <w:tcW w:w="791"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206</w:t>
            </w:r>
          </w:p>
        </w:tc>
        <w:tc>
          <w:tcPr>
            <w:tcW w:w="1529"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机动车驾驶员培训机构非法转让、出租机动车驾驶员培训许可证件的处罚</w:t>
            </w:r>
          </w:p>
        </w:tc>
        <w:tc>
          <w:tcPr>
            <w:tcW w:w="2568"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中华人民共和国道路运输条例》（国务院令第752号）第六十六条：“违反本条例的规定，客运经营者、货运经营者、道路运输相关业务经营者非法转让、出租道路运输许可证件的，由县级以上地方人民政府交通运输主管部门责令停止违法行为，收缴有关证件，处2000元以上1万元以下的罚款；有违法所得的，没收违法所得。”</w:t>
            </w:r>
          </w:p>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机动车驾驶员培训管理规定》（交通部令2016年第51号）第四十八条：违反本规定，机动车驾驶员培训机构非法转让、出租机动车驾驶员培训许可证件的，由县级以上道路运输管理机构责令停止违法行为，收缴有关证件，处2000元以上1万元以下的罚款；有违法所得的，没收违法所得。对于接受非法转让、出租的受让方，应当按照第四十七条的规定处罚。”</w:t>
            </w:r>
          </w:p>
          <w:p w:rsidR="0059130C" w:rsidRDefault="0059130C">
            <w:pPr>
              <w:pStyle w:val="a6"/>
              <w:spacing w:beforeAutospacing="0" w:afterAutospacing="0" w:line="240" w:lineRule="exact"/>
              <w:rPr>
                <w:rFonts w:ascii="仿宋_GB2312" w:eastAsia="仿宋_GB2312" w:hAnsi="仿宋_GB2312" w:cs="仿宋_GB2312"/>
                <w:sz w:val="21"/>
                <w:szCs w:val="21"/>
              </w:rPr>
            </w:pPr>
          </w:p>
        </w:tc>
        <w:tc>
          <w:tcPr>
            <w:tcW w:w="833"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1167" w:type="dxa"/>
            <w:tcBorders>
              <w:top w:val="single" w:sz="4" w:space="0" w:color="000000"/>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highlight w:val="yellow"/>
                <w:lang/>
              </w:rPr>
            </w:pPr>
          </w:p>
        </w:tc>
        <w:tc>
          <w:tcPr>
            <w:tcW w:w="5158" w:type="dxa"/>
            <w:tcBorders>
              <w:top w:val="single" w:sz="4" w:space="0" w:color="000000"/>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highlight w:val="yellow"/>
                <w:lang/>
              </w:rPr>
            </w:pPr>
          </w:p>
        </w:tc>
        <w:tc>
          <w:tcPr>
            <w:tcW w:w="1590" w:type="dxa"/>
            <w:vMerge w:val="restart"/>
            <w:tcBorders>
              <w:top w:val="single" w:sz="4" w:space="0" w:color="000000"/>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color w:val="000000" w:themeColor="text1"/>
                <w:szCs w:val="21"/>
                <w:highlight w:val="yellow"/>
              </w:rPr>
            </w:pPr>
          </w:p>
        </w:tc>
      </w:tr>
      <w:tr w:rsidR="0059130C">
        <w:trPr>
          <w:trHeight w:val="794"/>
          <w:jc w:val="center"/>
        </w:trPr>
        <w:tc>
          <w:tcPr>
            <w:tcW w:w="791"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highlight w:val="yellow"/>
              </w:rPr>
            </w:pPr>
          </w:p>
        </w:tc>
        <w:tc>
          <w:tcPr>
            <w:tcW w:w="1529"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highlight w:val="yellow"/>
              </w:rPr>
            </w:pPr>
          </w:p>
        </w:tc>
        <w:tc>
          <w:tcPr>
            <w:tcW w:w="2568"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highlight w:val="yellow"/>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highlight w:val="yellow"/>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highlight w:val="yellow"/>
                <w:lang/>
              </w:rPr>
            </w:pPr>
          </w:p>
        </w:tc>
        <w:tc>
          <w:tcPr>
            <w:tcW w:w="5158"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highlight w:val="yellow"/>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highlight w:val="yellow"/>
              </w:rPr>
            </w:pPr>
          </w:p>
        </w:tc>
      </w:tr>
      <w:tr w:rsidR="0059130C">
        <w:trPr>
          <w:trHeight w:val="794"/>
          <w:jc w:val="center"/>
        </w:trPr>
        <w:tc>
          <w:tcPr>
            <w:tcW w:w="791"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highlight w:val="yellow"/>
              </w:rPr>
            </w:pPr>
          </w:p>
        </w:tc>
        <w:tc>
          <w:tcPr>
            <w:tcW w:w="1529"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highlight w:val="yellow"/>
              </w:rPr>
            </w:pPr>
          </w:p>
        </w:tc>
        <w:tc>
          <w:tcPr>
            <w:tcW w:w="2568"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highlight w:val="yellow"/>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highlight w:val="yellow"/>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highlight w:val="yellow"/>
                <w:lang/>
              </w:rPr>
            </w:pPr>
          </w:p>
        </w:tc>
        <w:tc>
          <w:tcPr>
            <w:tcW w:w="5158"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highlight w:val="yellow"/>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highlight w:val="yellow"/>
              </w:rPr>
            </w:pPr>
          </w:p>
        </w:tc>
      </w:tr>
      <w:tr w:rsidR="0059130C">
        <w:trPr>
          <w:trHeight w:val="794"/>
          <w:jc w:val="center"/>
        </w:trPr>
        <w:tc>
          <w:tcPr>
            <w:tcW w:w="791"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highlight w:val="yellow"/>
              </w:rPr>
            </w:pPr>
          </w:p>
        </w:tc>
        <w:tc>
          <w:tcPr>
            <w:tcW w:w="1529"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highlight w:val="yellow"/>
              </w:rPr>
            </w:pPr>
          </w:p>
        </w:tc>
        <w:tc>
          <w:tcPr>
            <w:tcW w:w="2568"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highlight w:val="yellow"/>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highlight w:val="yellow"/>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highlight w:val="yellow"/>
                <w:lang/>
              </w:rPr>
            </w:pPr>
          </w:p>
        </w:tc>
        <w:tc>
          <w:tcPr>
            <w:tcW w:w="5158"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highlight w:val="yellow"/>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highlight w:val="yellow"/>
              </w:rPr>
            </w:pPr>
          </w:p>
        </w:tc>
      </w:tr>
      <w:tr w:rsidR="0059130C">
        <w:trPr>
          <w:trHeight w:val="794"/>
          <w:jc w:val="center"/>
        </w:trPr>
        <w:tc>
          <w:tcPr>
            <w:tcW w:w="791"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highlight w:val="yellow"/>
              </w:rPr>
            </w:pPr>
          </w:p>
        </w:tc>
        <w:tc>
          <w:tcPr>
            <w:tcW w:w="1529"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highlight w:val="yellow"/>
              </w:rPr>
            </w:pPr>
          </w:p>
        </w:tc>
        <w:tc>
          <w:tcPr>
            <w:tcW w:w="2568"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highlight w:val="yellow"/>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highlight w:val="yellow"/>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highlight w:val="yellow"/>
                <w:lang/>
              </w:rPr>
            </w:pPr>
          </w:p>
        </w:tc>
        <w:tc>
          <w:tcPr>
            <w:tcW w:w="5158"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highlight w:val="yellow"/>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highlight w:val="yellow"/>
              </w:rPr>
            </w:pPr>
          </w:p>
        </w:tc>
      </w:tr>
      <w:tr w:rsidR="0059130C">
        <w:trPr>
          <w:trHeight w:val="794"/>
          <w:jc w:val="center"/>
        </w:trPr>
        <w:tc>
          <w:tcPr>
            <w:tcW w:w="791"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highlight w:val="yellow"/>
              </w:rPr>
            </w:pPr>
          </w:p>
        </w:tc>
        <w:tc>
          <w:tcPr>
            <w:tcW w:w="1529"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highlight w:val="yellow"/>
              </w:rPr>
            </w:pPr>
          </w:p>
        </w:tc>
        <w:tc>
          <w:tcPr>
            <w:tcW w:w="2568"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highlight w:val="yellow"/>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highlight w:val="yellow"/>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highlight w:val="yellow"/>
                <w:lang/>
              </w:rPr>
            </w:pPr>
          </w:p>
        </w:tc>
        <w:tc>
          <w:tcPr>
            <w:tcW w:w="5158"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highlight w:val="yellow"/>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highlight w:val="yellow"/>
              </w:rPr>
            </w:pPr>
          </w:p>
        </w:tc>
      </w:tr>
      <w:tr w:rsidR="0059130C">
        <w:trPr>
          <w:trHeight w:val="794"/>
          <w:jc w:val="center"/>
        </w:trPr>
        <w:tc>
          <w:tcPr>
            <w:tcW w:w="791"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highlight w:val="yellow"/>
              </w:rPr>
            </w:pPr>
          </w:p>
        </w:tc>
        <w:tc>
          <w:tcPr>
            <w:tcW w:w="1529"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highlight w:val="yellow"/>
              </w:rPr>
            </w:pPr>
          </w:p>
        </w:tc>
        <w:tc>
          <w:tcPr>
            <w:tcW w:w="2568"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highlight w:val="yellow"/>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highlight w:val="yellow"/>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highlight w:val="yellow"/>
                <w:lang/>
              </w:rPr>
            </w:pPr>
          </w:p>
        </w:tc>
        <w:tc>
          <w:tcPr>
            <w:tcW w:w="5158"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highlight w:val="yellow"/>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highlight w:val="yellow"/>
              </w:rPr>
            </w:pPr>
          </w:p>
        </w:tc>
      </w:tr>
      <w:tr w:rsidR="0059130C">
        <w:trPr>
          <w:trHeight w:val="794"/>
          <w:jc w:val="center"/>
        </w:trPr>
        <w:tc>
          <w:tcPr>
            <w:tcW w:w="791"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highlight w:val="yellow"/>
              </w:rPr>
            </w:pPr>
          </w:p>
        </w:tc>
        <w:tc>
          <w:tcPr>
            <w:tcW w:w="1529"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highlight w:val="yellow"/>
              </w:rPr>
            </w:pPr>
          </w:p>
        </w:tc>
        <w:tc>
          <w:tcPr>
            <w:tcW w:w="2568"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highlight w:val="yellow"/>
              </w:rPr>
            </w:pPr>
          </w:p>
        </w:tc>
        <w:tc>
          <w:tcPr>
            <w:tcW w:w="83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highlight w:val="yellow"/>
                <w:lang/>
              </w:rPr>
            </w:pPr>
          </w:p>
        </w:tc>
        <w:tc>
          <w:tcPr>
            <w:tcW w:w="1167"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highlight w:val="yellow"/>
                <w:lang/>
              </w:rPr>
            </w:pPr>
          </w:p>
        </w:tc>
        <w:tc>
          <w:tcPr>
            <w:tcW w:w="5158"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kern w:val="0"/>
                <w:szCs w:val="21"/>
                <w:highlight w:val="yellow"/>
                <w:lang/>
              </w:rPr>
            </w:pP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highlight w:val="yellow"/>
              </w:rPr>
            </w:pPr>
          </w:p>
        </w:tc>
      </w:tr>
      <w:tr w:rsidR="0059130C">
        <w:trPr>
          <w:trHeight w:val="344"/>
          <w:jc w:val="center"/>
        </w:trPr>
        <w:tc>
          <w:tcPr>
            <w:tcW w:w="791"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highlight w:val="yellow"/>
              </w:rPr>
            </w:pPr>
          </w:p>
        </w:tc>
        <w:tc>
          <w:tcPr>
            <w:tcW w:w="1284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情况：取消</w:t>
            </w:r>
          </w:p>
        </w:tc>
      </w:tr>
      <w:tr w:rsidR="0059130C">
        <w:trPr>
          <w:trHeight w:val="739"/>
          <w:jc w:val="center"/>
        </w:trPr>
        <w:tc>
          <w:tcPr>
            <w:tcW w:w="791"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color w:val="000000" w:themeColor="text1"/>
                <w:szCs w:val="21"/>
                <w:highlight w:val="yellow"/>
              </w:rPr>
            </w:pPr>
          </w:p>
        </w:tc>
        <w:tc>
          <w:tcPr>
            <w:tcW w:w="1284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原因：根据《中华人民共和国道路运输条例》（国务院令第764号）《交通运输部关于做好机动车驾驶员培训经营备案有关工作的通知》将机动车驾驶员培训许可改为备案，机动车驾驶员培训机构非法转让、出租机动车驾驶员培训许可证件的行为不再进行行政处罚</w:t>
            </w:r>
          </w:p>
        </w:tc>
      </w:tr>
    </w:tbl>
    <w:p w:rsidR="0059130C" w:rsidRDefault="0059130C">
      <w:pPr>
        <w:pStyle w:val="a6"/>
        <w:spacing w:beforeAutospacing="0" w:afterAutospacing="0" w:line="240" w:lineRule="exact"/>
        <w:rPr>
          <w:rFonts w:ascii="仿宋_GB2312" w:eastAsia="仿宋_GB2312" w:hAnsi="仿宋_GB2312" w:cs="仿宋_GB2312"/>
          <w:color w:val="000000" w:themeColor="text1"/>
          <w:sz w:val="21"/>
          <w:szCs w:val="21"/>
          <w:highlight w:val="yellow"/>
        </w:rPr>
      </w:pPr>
    </w:p>
    <w:tbl>
      <w:tblPr>
        <w:tblW w:w="13632" w:type="dxa"/>
        <w:jc w:val="center"/>
        <w:tblLayout w:type="fixed"/>
        <w:tblCellMar>
          <w:left w:w="15" w:type="dxa"/>
          <w:right w:w="15" w:type="dxa"/>
        </w:tblCellMar>
        <w:tblLook w:val="04A0"/>
      </w:tblPr>
      <w:tblGrid>
        <w:gridCol w:w="717"/>
        <w:gridCol w:w="1603"/>
        <w:gridCol w:w="2567"/>
        <w:gridCol w:w="833"/>
        <w:gridCol w:w="1167"/>
        <w:gridCol w:w="5155"/>
        <w:gridCol w:w="1590"/>
      </w:tblGrid>
      <w:tr w:rsidR="0059130C">
        <w:trPr>
          <w:trHeight w:val="850"/>
          <w:jc w:val="center"/>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lastRenderedPageBreak/>
              <w:t>序号</w:t>
            </w:r>
          </w:p>
        </w:tc>
        <w:tc>
          <w:tcPr>
            <w:tcW w:w="160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项目名称</w:t>
            </w:r>
          </w:p>
        </w:tc>
        <w:tc>
          <w:tcPr>
            <w:tcW w:w="2567"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实施依据</w:t>
            </w:r>
          </w:p>
        </w:tc>
        <w:tc>
          <w:tcPr>
            <w:tcW w:w="83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类别</w:t>
            </w:r>
          </w:p>
        </w:tc>
        <w:tc>
          <w:tcPr>
            <w:tcW w:w="1167"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环节</w:t>
            </w:r>
          </w:p>
        </w:tc>
        <w:tc>
          <w:tcPr>
            <w:tcW w:w="5155"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850"/>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207</w:t>
            </w:r>
          </w:p>
        </w:tc>
        <w:tc>
          <w:tcPr>
            <w:tcW w:w="1603"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货运经营者擅自改装已取得车辆营运证的货运车辆的处罚</w:t>
            </w:r>
          </w:p>
        </w:tc>
        <w:tc>
          <w:tcPr>
            <w:tcW w:w="2567"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lang/>
              </w:rPr>
              <w:t>《中华人民共和国道路运输条例》（国务院令第752号）第七十条第二款：“违反本条例的规定，客运经营者、货运经营者擅自改装已取得车辆营运证的车辆的，由县级以上地方人民政府交通运输主管部门责令改正，处5000元以上2万元以下的罚款。”</w:t>
            </w:r>
          </w:p>
        </w:tc>
        <w:tc>
          <w:tcPr>
            <w:tcW w:w="833"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处罚</w:t>
            </w:r>
          </w:p>
        </w:tc>
        <w:tc>
          <w:tcPr>
            <w:tcW w:w="1167" w:type="dxa"/>
            <w:tcBorders>
              <w:top w:val="single" w:sz="4" w:space="0" w:color="000000"/>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000000"/>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val="restart"/>
            <w:tcBorders>
              <w:top w:val="single" w:sz="4" w:space="0" w:color="000000"/>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color w:val="000000" w:themeColor="text1"/>
                <w:szCs w:val="21"/>
              </w:rPr>
            </w:pPr>
          </w:p>
        </w:tc>
      </w:tr>
      <w:tr w:rsidR="0059130C">
        <w:trPr>
          <w:trHeight w:val="85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85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85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85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85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85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850"/>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155"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kern w:val="0"/>
                <w:szCs w:val="21"/>
                <w:lang/>
              </w:rPr>
            </w:pP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rPr>
          <w:trHeight w:val="334"/>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情况：取消</w:t>
            </w:r>
          </w:p>
        </w:tc>
      </w:tr>
      <w:tr w:rsidR="0059130C">
        <w:trPr>
          <w:trHeight w:val="419"/>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15"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原因：根据《中华人民共和国道路运输条例》（国务院令第764号），此事项取消</w:t>
            </w:r>
          </w:p>
        </w:tc>
      </w:tr>
    </w:tbl>
    <w:p w:rsidR="0059130C" w:rsidRDefault="0059130C">
      <w:pPr>
        <w:spacing w:line="240" w:lineRule="exact"/>
        <w:rPr>
          <w:rFonts w:ascii="仿宋_GB2312" w:eastAsia="仿宋_GB2312" w:hAnsi="仿宋_GB2312" w:cs="仿宋_GB2312"/>
          <w:color w:val="000000" w:themeColor="text1"/>
          <w:szCs w:val="21"/>
        </w:rPr>
      </w:pPr>
    </w:p>
    <w:p w:rsidR="0059130C" w:rsidRDefault="0059130C">
      <w:pPr>
        <w:spacing w:line="240" w:lineRule="exact"/>
        <w:rPr>
          <w:rFonts w:ascii="仿宋_GB2312" w:eastAsia="仿宋_GB2312" w:hAnsi="仿宋_GB2312" w:cs="仿宋_GB2312"/>
          <w:color w:val="000000" w:themeColor="text1"/>
          <w:szCs w:val="21"/>
        </w:rPr>
      </w:pPr>
    </w:p>
    <w:p w:rsidR="0059130C" w:rsidRDefault="0059130C">
      <w:pPr>
        <w:spacing w:line="240" w:lineRule="exact"/>
        <w:rPr>
          <w:rFonts w:ascii="仿宋_GB2312" w:eastAsia="仿宋_GB2312" w:hAnsi="仿宋_GB2312" w:cs="仿宋_GB2312"/>
          <w:color w:val="000000" w:themeColor="text1"/>
          <w:szCs w:val="21"/>
        </w:rPr>
      </w:pPr>
    </w:p>
    <w:tbl>
      <w:tblPr>
        <w:tblW w:w="1604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0" w:type="dxa"/>
          <w:right w:w="0" w:type="dxa"/>
        </w:tblCellMar>
        <w:tblLook w:val="04A0"/>
      </w:tblPr>
      <w:tblGrid>
        <w:gridCol w:w="596"/>
        <w:gridCol w:w="1919"/>
        <w:gridCol w:w="1841"/>
        <w:gridCol w:w="650"/>
        <w:gridCol w:w="638"/>
        <w:gridCol w:w="4887"/>
        <w:gridCol w:w="4148"/>
        <w:gridCol w:w="1368"/>
      </w:tblGrid>
      <w:tr w:rsidR="0059130C">
        <w:trPr>
          <w:trHeight w:val="474"/>
          <w:jc w:val="center"/>
        </w:trPr>
        <w:tc>
          <w:tcPr>
            <w:tcW w:w="596" w:type="dxa"/>
            <w:tcBorders>
              <w:top w:val="single" w:sz="12" w:space="0" w:color="000000"/>
              <w:left w:val="single" w:sz="12"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Times New Roman" w:eastAsia="黑体" w:hAnsi="Times New Roman" w:cs="黑体"/>
                <w:szCs w:val="21"/>
              </w:rPr>
            </w:pPr>
            <w:r>
              <w:rPr>
                <w:rFonts w:ascii="Times New Roman" w:eastAsia="黑体" w:hAnsi="Times New Roman" w:cs="黑体" w:hint="eastAsia"/>
                <w:szCs w:val="21"/>
              </w:rPr>
              <w:lastRenderedPageBreak/>
              <w:t>序号</w:t>
            </w:r>
          </w:p>
        </w:tc>
        <w:tc>
          <w:tcPr>
            <w:tcW w:w="1919" w:type="dxa"/>
            <w:tcBorders>
              <w:top w:val="single" w:sz="12"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szCs w:val="21"/>
              </w:rPr>
            </w:pPr>
            <w:r>
              <w:rPr>
                <w:rFonts w:ascii="Times New Roman" w:eastAsia="黑体" w:hAnsi="Times New Roman" w:cs="黑体" w:hint="eastAsia"/>
                <w:kern w:val="0"/>
                <w:szCs w:val="21"/>
                <w:lang/>
              </w:rPr>
              <w:t>项目名称</w:t>
            </w:r>
          </w:p>
        </w:tc>
        <w:tc>
          <w:tcPr>
            <w:tcW w:w="1841" w:type="dxa"/>
            <w:tcBorders>
              <w:top w:val="single" w:sz="12"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szCs w:val="21"/>
              </w:rPr>
            </w:pPr>
            <w:r>
              <w:rPr>
                <w:rFonts w:ascii="Times New Roman" w:eastAsia="黑体" w:hAnsi="Times New Roman" w:cs="黑体" w:hint="eastAsia"/>
                <w:kern w:val="0"/>
                <w:szCs w:val="21"/>
                <w:lang/>
              </w:rPr>
              <w:t>实施依据</w:t>
            </w:r>
          </w:p>
        </w:tc>
        <w:tc>
          <w:tcPr>
            <w:tcW w:w="650" w:type="dxa"/>
            <w:tcBorders>
              <w:top w:val="single" w:sz="12"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szCs w:val="21"/>
              </w:rPr>
            </w:pPr>
            <w:r>
              <w:rPr>
                <w:rFonts w:ascii="Times New Roman" w:eastAsia="黑体" w:hAnsi="Times New Roman" w:cs="黑体" w:hint="eastAsia"/>
                <w:szCs w:val="21"/>
              </w:rPr>
              <w:t>权职类别</w:t>
            </w:r>
          </w:p>
        </w:tc>
        <w:tc>
          <w:tcPr>
            <w:tcW w:w="638" w:type="dxa"/>
            <w:tcBorders>
              <w:top w:val="single" w:sz="12"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szCs w:val="21"/>
              </w:rPr>
            </w:pPr>
            <w:r>
              <w:rPr>
                <w:rFonts w:ascii="Times New Roman" w:eastAsia="黑体" w:hAnsi="Times New Roman" w:cs="黑体" w:hint="eastAsia"/>
                <w:kern w:val="0"/>
                <w:szCs w:val="21"/>
                <w:lang/>
              </w:rPr>
              <w:t>办理环节</w:t>
            </w:r>
          </w:p>
        </w:tc>
        <w:tc>
          <w:tcPr>
            <w:tcW w:w="4887" w:type="dxa"/>
            <w:tcBorders>
              <w:top w:val="single" w:sz="12"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kern w:val="0"/>
                <w:szCs w:val="21"/>
                <w:lang/>
              </w:rPr>
            </w:pPr>
            <w:r>
              <w:rPr>
                <w:rFonts w:ascii="Times New Roman" w:eastAsia="黑体" w:hAnsi="Times New Roman" w:cs="黑体" w:hint="eastAsia"/>
                <w:kern w:val="0"/>
                <w:szCs w:val="21"/>
                <w:lang/>
              </w:rPr>
              <w:t>责任事项</w:t>
            </w:r>
          </w:p>
        </w:tc>
        <w:tc>
          <w:tcPr>
            <w:tcW w:w="4148" w:type="dxa"/>
            <w:tcBorders>
              <w:top w:val="single" w:sz="12" w:space="0" w:color="000000"/>
              <w:left w:val="single" w:sz="6" w:space="0" w:color="000000"/>
              <w:bottom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kern w:val="0"/>
                <w:szCs w:val="21"/>
                <w:lang/>
              </w:rPr>
            </w:pPr>
            <w:r>
              <w:rPr>
                <w:rFonts w:ascii="Times New Roman" w:eastAsia="黑体" w:hAnsi="Times New Roman" w:cs="黑体" w:hint="eastAsia"/>
                <w:kern w:val="0"/>
                <w:szCs w:val="21"/>
                <w:lang/>
              </w:rPr>
              <w:t>追责情形</w:t>
            </w:r>
          </w:p>
        </w:tc>
        <w:tc>
          <w:tcPr>
            <w:tcW w:w="1368" w:type="dxa"/>
            <w:tcBorders>
              <w:top w:val="single" w:sz="12" w:space="0" w:color="000000"/>
              <w:left w:val="single" w:sz="6" w:space="0" w:color="000000"/>
              <w:bottom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kern w:val="0"/>
                <w:szCs w:val="21"/>
                <w:lang/>
              </w:rPr>
            </w:pPr>
            <w:r>
              <w:rPr>
                <w:rFonts w:ascii="Times New Roman" w:eastAsia="黑体" w:hAnsi="Times New Roman" w:cs="黑体" w:hint="eastAsia"/>
                <w:kern w:val="0"/>
                <w:szCs w:val="21"/>
                <w:lang/>
              </w:rPr>
              <w:t>责任处室</w:t>
            </w:r>
          </w:p>
        </w:tc>
      </w:tr>
      <w:tr w:rsidR="0059130C">
        <w:trPr>
          <w:trHeight w:val="454"/>
          <w:jc w:val="center"/>
        </w:trPr>
        <w:tc>
          <w:tcPr>
            <w:tcW w:w="596" w:type="dxa"/>
            <w:vMerge w:val="restart"/>
            <w:tcBorders>
              <w:top w:val="single" w:sz="6" w:space="0" w:color="000000"/>
              <w:left w:val="single" w:sz="12"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szCs w:val="21"/>
              </w:rPr>
            </w:pPr>
            <w:r>
              <w:rPr>
                <w:rFonts w:ascii="仿宋_GB2312" w:eastAsia="仿宋_GB2312" w:hAnsi="仿宋_GB2312" w:cs="仿宋_GB2312" w:hint="eastAsia"/>
                <w:szCs w:val="21"/>
              </w:rPr>
              <w:t>208</w:t>
            </w:r>
          </w:p>
        </w:tc>
        <w:tc>
          <w:tcPr>
            <w:tcW w:w="1919" w:type="dxa"/>
            <w:vMerge w:val="restart"/>
            <w:tcBorders>
              <w:top w:val="single" w:sz="6" w:space="0" w:color="000000"/>
              <w:left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szCs w:val="21"/>
              </w:rPr>
            </w:pPr>
            <w:r>
              <w:rPr>
                <w:rFonts w:ascii="仿宋_GB2312" w:eastAsia="仿宋_GB2312" w:hAnsi="仿宋_GB2312" w:cs="仿宋_GB2312" w:hint="eastAsia"/>
                <w:szCs w:val="21"/>
              </w:rPr>
              <w:t>对在农村公路及其用地范围内设置障碍、挖沟引水、打场晒粮的处罚</w:t>
            </w:r>
          </w:p>
        </w:tc>
        <w:tc>
          <w:tcPr>
            <w:tcW w:w="1841" w:type="dxa"/>
            <w:vMerge w:val="restart"/>
            <w:tcBorders>
              <w:top w:val="single" w:sz="6" w:space="0" w:color="000000"/>
              <w:left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河南省农村公路条例》（2010年7月30日河南省第十一届人民代表大会常务委员会第十六次会议通过，公告第33号）第四十一条：在农村公路及其用地范围内禁止下列行为：（一）设置障碍、挖沟引水、打场晒粮。第五十五条：违反本条例规定，由第四十一条规定行为之一的，由县级交通运输行政主管部门责令停止违法行为，限期改正；逾期不改正的，处二百元以上二千元以下的罚款；给他人造成损害的，应当依法予以赔偿。</w:t>
            </w:r>
          </w:p>
        </w:tc>
        <w:tc>
          <w:tcPr>
            <w:tcW w:w="650" w:type="dxa"/>
            <w:vMerge w:val="restart"/>
            <w:tcBorders>
              <w:top w:val="single" w:sz="6" w:space="0" w:color="000000"/>
              <w:left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行政处罚</w:t>
            </w: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val="restart"/>
            <w:tcBorders>
              <w:top w:val="single" w:sz="6" w:space="0" w:color="000000"/>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val="restart"/>
            <w:tcBorders>
              <w:top w:val="single" w:sz="6" w:space="0" w:color="000000"/>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1285"/>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54"/>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rPr>
                <w:rFonts w:ascii="仿宋_GB2312" w:eastAsia="仿宋_GB2312" w:hAnsi="仿宋_GB2312" w:cs="仿宋_GB2312"/>
                <w:kern w:val="0"/>
                <w:szCs w:val="21"/>
                <w:lang/>
              </w:rPr>
            </w:pPr>
          </w:p>
        </w:tc>
      </w:tr>
      <w:tr w:rsidR="0059130C">
        <w:trPr>
          <w:trHeight w:val="945"/>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54"/>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54"/>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54"/>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30"/>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rPr>
                <w:rFonts w:ascii="仿宋_GB2312" w:eastAsia="仿宋_GB2312" w:hAnsi="仿宋_GB2312" w:cs="仿宋_GB2312"/>
                <w:kern w:val="0"/>
                <w:szCs w:val="21"/>
                <w:lang/>
              </w:rPr>
            </w:pPr>
          </w:p>
        </w:tc>
        <w:tc>
          <w:tcPr>
            <w:tcW w:w="4148" w:type="dxa"/>
            <w:vMerge/>
            <w:tcBorders>
              <w:left w:val="single" w:sz="6" w:space="0" w:color="000000"/>
              <w:bottom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rPr>
                <w:rFonts w:ascii="仿宋_GB2312" w:eastAsia="仿宋_GB2312" w:hAnsi="仿宋_GB2312" w:cs="仿宋_GB2312"/>
                <w:szCs w:val="21"/>
              </w:rPr>
            </w:pPr>
          </w:p>
        </w:tc>
        <w:tc>
          <w:tcPr>
            <w:tcW w:w="1368" w:type="dxa"/>
            <w:vMerge/>
            <w:tcBorders>
              <w:left w:val="single" w:sz="6" w:space="0" w:color="000000"/>
              <w:bottom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54"/>
          <w:jc w:val="center"/>
        </w:trPr>
        <w:tc>
          <w:tcPr>
            <w:tcW w:w="16047" w:type="dxa"/>
            <w:gridSpan w:val="8"/>
            <w:tcBorders>
              <w:top w:val="single" w:sz="6" w:space="0" w:color="000000"/>
              <w:left w:val="single" w:sz="12" w:space="0" w:color="000000"/>
              <w:bottom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E9165C">
            <w:pPr>
              <w:overflowPunct w:val="0"/>
              <w:snapToGrid w:val="0"/>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情况：取消</w:t>
            </w:r>
          </w:p>
        </w:tc>
      </w:tr>
      <w:tr w:rsidR="0059130C">
        <w:trPr>
          <w:trHeight w:val="454"/>
          <w:jc w:val="center"/>
        </w:trPr>
        <w:tc>
          <w:tcPr>
            <w:tcW w:w="16047" w:type="dxa"/>
            <w:gridSpan w:val="8"/>
            <w:tcBorders>
              <w:top w:val="single" w:sz="6" w:space="0" w:color="000000"/>
              <w:left w:val="single" w:sz="12" w:space="0" w:color="000000"/>
              <w:bottom w:val="single" w:sz="12" w:space="0" w:color="000000"/>
              <w:right w:val="single" w:sz="12" w:space="0" w:color="000000"/>
            </w:tcBorders>
            <w:shd w:val="clear" w:color="auto" w:fill="auto"/>
            <w:tcMar>
              <w:top w:w="15" w:type="dxa"/>
              <w:left w:w="15" w:type="dxa"/>
              <w:bottom w:w="0" w:type="dxa"/>
              <w:right w:w="15" w:type="dxa"/>
            </w:tcMar>
            <w:vAlign w:val="center"/>
          </w:tcPr>
          <w:p w:rsidR="0059130C" w:rsidRDefault="00E9165C">
            <w:pPr>
              <w:overflowPunct w:val="0"/>
              <w:snapToGrid w:val="0"/>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原因：南阳市人民政府关于开展乡镇（街道）综合行政执法工作的通知（宛政〔2023〕10号）</w:t>
            </w:r>
          </w:p>
        </w:tc>
      </w:tr>
    </w:tbl>
    <w:p w:rsidR="0059130C" w:rsidRDefault="0059130C">
      <w:pPr>
        <w:spacing w:line="240" w:lineRule="exact"/>
        <w:rPr>
          <w:rFonts w:ascii="仿宋_GB2312" w:eastAsia="仿宋_GB2312" w:hAnsi="仿宋_GB2312" w:cs="仿宋_GB2312"/>
          <w:color w:val="000000" w:themeColor="text1"/>
          <w:szCs w:val="21"/>
        </w:rPr>
      </w:pPr>
    </w:p>
    <w:p w:rsidR="0059130C" w:rsidRDefault="0059130C">
      <w:pPr>
        <w:spacing w:line="240" w:lineRule="exact"/>
        <w:rPr>
          <w:rFonts w:ascii="仿宋_GB2312" w:eastAsia="仿宋_GB2312" w:hAnsi="仿宋_GB2312" w:cs="仿宋_GB2312"/>
          <w:color w:val="000000" w:themeColor="text1"/>
          <w:szCs w:val="21"/>
        </w:rPr>
      </w:pPr>
    </w:p>
    <w:p w:rsidR="0059130C" w:rsidRDefault="0059130C">
      <w:pPr>
        <w:spacing w:line="240" w:lineRule="exact"/>
        <w:rPr>
          <w:rFonts w:ascii="仿宋_GB2312" w:eastAsia="仿宋_GB2312" w:hAnsi="仿宋_GB2312" w:cs="仿宋_GB2312"/>
          <w:color w:val="000000" w:themeColor="text1"/>
          <w:szCs w:val="21"/>
        </w:rPr>
      </w:pPr>
    </w:p>
    <w:p w:rsidR="0059130C" w:rsidRDefault="0059130C">
      <w:pPr>
        <w:spacing w:line="240" w:lineRule="exact"/>
        <w:rPr>
          <w:rFonts w:ascii="仿宋_GB2312" w:eastAsia="仿宋_GB2312" w:hAnsi="仿宋_GB2312" w:cs="仿宋_GB2312"/>
          <w:color w:val="000000" w:themeColor="text1"/>
          <w:szCs w:val="21"/>
        </w:rPr>
      </w:pPr>
    </w:p>
    <w:p w:rsidR="0059130C" w:rsidRDefault="0059130C">
      <w:pPr>
        <w:spacing w:line="240" w:lineRule="exact"/>
        <w:rPr>
          <w:rFonts w:ascii="仿宋_GB2312" w:eastAsia="仿宋_GB2312" w:hAnsi="仿宋_GB2312" w:cs="仿宋_GB2312"/>
          <w:color w:val="000000" w:themeColor="text1"/>
          <w:szCs w:val="21"/>
        </w:rPr>
      </w:pPr>
    </w:p>
    <w:p w:rsidR="0059130C" w:rsidRDefault="0059130C">
      <w:pPr>
        <w:spacing w:line="240" w:lineRule="exact"/>
        <w:rPr>
          <w:rFonts w:ascii="仿宋_GB2312" w:eastAsia="仿宋_GB2312" w:hAnsi="仿宋_GB2312" w:cs="仿宋_GB2312" w:hint="eastAsia"/>
          <w:color w:val="000000" w:themeColor="text1"/>
          <w:szCs w:val="21"/>
        </w:rPr>
      </w:pPr>
    </w:p>
    <w:p w:rsidR="00AA22C1" w:rsidRPr="00AA22C1" w:rsidRDefault="00AA22C1" w:rsidP="00AA22C1">
      <w:pPr>
        <w:pStyle w:val="a0"/>
      </w:pPr>
    </w:p>
    <w:p w:rsidR="0059130C" w:rsidRDefault="0059130C">
      <w:pPr>
        <w:spacing w:line="240" w:lineRule="exact"/>
        <w:rPr>
          <w:rFonts w:ascii="仿宋_GB2312" w:eastAsia="仿宋_GB2312" w:hAnsi="仿宋_GB2312" w:cs="仿宋_GB2312"/>
          <w:color w:val="000000" w:themeColor="text1"/>
          <w:szCs w:val="21"/>
        </w:rPr>
      </w:pPr>
    </w:p>
    <w:tbl>
      <w:tblPr>
        <w:tblW w:w="1604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0" w:type="dxa"/>
          <w:right w:w="0" w:type="dxa"/>
        </w:tblCellMar>
        <w:tblLook w:val="04A0"/>
      </w:tblPr>
      <w:tblGrid>
        <w:gridCol w:w="596"/>
        <w:gridCol w:w="1919"/>
        <w:gridCol w:w="1841"/>
        <w:gridCol w:w="650"/>
        <w:gridCol w:w="638"/>
        <w:gridCol w:w="4887"/>
        <w:gridCol w:w="4148"/>
        <w:gridCol w:w="1368"/>
      </w:tblGrid>
      <w:tr w:rsidR="0059130C">
        <w:trPr>
          <w:trHeight w:val="474"/>
          <w:jc w:val="center"/>
        </w:trPr>
        <w:tc>
          <w:tcPr>
            <w:tcW w:w="596" w:type="dxa"/>
            <w:tcBorders>
              <w:top w:val="single" w:sz="12" w:space="0" w:color="000000"/>
              <w:left w:val="single" w:sz="12"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Times New Roman" w:eastAsia="黑体" w:hAnsi="Times New Roman" w:cs="黑体"/>
                <w:szCs w:val="21"/>
              </w:rPr>
            </w:pPr>
            <w:r>
              <w:rPr>
                <w:rFonts w:ascii="Times New Roman" w:eastAsia="黑体" w:hAnsi="Times New Roman" w:cs="黑体" w:hint="eastAsia"/>
                <w:szCs w:val="21"/>
              </w:rPr>
              <w:t>序号</w:t>
            </w:r>
          </w:p>
        </w:tc>
        <w:tc>
          <w:tcPr>
            <w:tcW w:w="1919" w:type="dxa"/>
            <w:tcBorders>
              <w:top w:val="single" w:sz="12"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szCs w:val="21"/>
              </w:rPr>
            </w:pPr>
            <w:r>
              <w:rPr>
                <w:rFonts w:ascii="Times New Roman" w:eastAsia="黑体" w:hAnsi="Times New Roman" w:cs="黑体" w:hint="eastAsia"/>
                <w:kern w:val="0"/>
                <w:szCs w:val="21"/>
                <w:lang/>
              </w:rPr>
              <w:t>项目名称</w:t>
            </w:r>
          </w:p>
        </w:tc>
        <w:tc>
          <w:tcPr>
            <w:tcW w:w="1841" w:type="dxa"/>
            <w:tcBorders>
              <w:top w:val="single" w:sz="12"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szCs w:val="21"/>
              </w:rPr>
            </w:pPr>
            <w:r>
              <w:rPr>
                <w:rFonts w:ascii="Times New Roman" w:eastAsia="黑体" w:hAnsi="Times New Roman" w:cs="黑体" w:hint="eastAsia"/>
                <w:kern w:val="0"/>
                <w:szCs w:val="21"/>
                <w:lang/>
              </w:rPr>
              <w:t>实施依据</w:t>
            </w:r>
          </w:p>
        </w:tc>
        <w:tc>
          <w:tcPr>
            <w:tcW w:w="650" w:type="dxa"/>
            <w:tcBorders>
              <w:top w:val="single" w:sz="12"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szCs w:val="21"/>
              </w:rPr>
            </w:pPr>
            <w:r>
              <w:rPr>
                <w:rFonts w:ascii="Times New Roman" w:eastAsia="黑体" w:hAnsi="Times New Roman" w:cs="黑体" w:hint="eastAsia"/>
                <w:szCs w:val="21"/>
              </w:rPr>
              <w:t>权职类别</w:t>
            </w:r>
          </w:p>
        </w:tc>
        <w:tc>
          <w:tcPr>
            <w:tcW w:w="638" w:type="dxa"/>
            <w:tcBorders>
              <w:top w:val="single" w:sz="12"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szCs w:val="21"/>
              </w:rPr>
            </w:pPr>
            <w:r>
              <w:rPr>
                <w:rFonts w:ascii="Times New Roman" w:eastAsia="黑体" w:hAnsi="Times New Roman" w:cs="黑体" w:hint="eastAsia"/>
                <w:kern w:val="0"/>
                <w:szCs w:val="21"/>
                <w:lang/>
              </w:rPr>
              <w:t>办理环节</w:t>
            </w:r>
          </w:p>
        </w:tc>
        <w:tc>
          <w:tcPr>
            <w:tcW w:w="4887" w:type="dxa"/>
            <w:tcBorders>
              <w:top w:val="single" w:sz="12"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kern w:val="0"/>
                <w:szCs w:val="21"/>
                <w:lang/>
              </w:rPr>
            </w:pPr>
            <w:r>
              <w:rPr>
                <w:rFonts w:ascii="Times New Roman" w:eastAsia="黑体" w:hAnsi="Times New Roman" w:cs="黑体" w:hint="eastAsia"/>
                <w:kern w:val="0"/>
                <w:szCs w:val="21"/>
                <w:lang/>
              </w:rPr>
              <w:t>责任事项</w:t>
            </w:r>
          </w:p>
        </w:tc>
        <w:tc>
          <w:tcPr>
            <w:tcW w:w="4148" w:type="dxa"/>
            <w:tcBorders>
              <w:top w:val="single" w:sz="12" w:space="0" w:color="000000"/>
              <w:left w:val="single" w:sz="6" w:space="0" w:color="000000"/>
              <w:bottom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kern w:val="0"/>
                <w:szCs w:val="21"/>
                <w:lang/>
              </w:rPr>
            </w:pPr>
            <w:r>
              <w:rPr>
                <w:rFonts w:ascii="Times New Roman" w:eastAsia="黑体" w:hAnsi="Times New Roman" w:cs="黑体" w:hint="eastAsia"/>
                <w:kern w:val="0"/>
                <w:szCs w:val="21"/>
                <w:lang/>
              </w:rPr>
              <w:t>追责情形</w:t>
            </w:r>
          </w:p>
        </w:tc>
        <w:tc>
          <w:tcPr>
            <w:tcW w:w="1368" w:type="dxa"/>
            <w:tcBorders>
              <w:top w:val="single" w:sz="12" w:space="0" w:color="000000"/>
              <w:left w:val="single" w:sz="6" w:space="0" w:color="000000"/>
              <w:bottom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kern w:val="0"/>
                <w:szCs w:val="21"/>
                <w:lang/>
              </w:rPr>
            </w:pPr>
            <w:r>
              <w:rPr>
                <w:rFonts w:ascii="Times New Roman" w:eastAsia="黑体" w:hAnsi="Times New Roman" w:cs="黑体" w:hint="eastAsia"/>
                <w:kern w:val="0"/>
                <w:szCs w:val="21"/>
                <w:lang/>
              </w:rPr>
              <w:t>责任处室</w:t>
            </w:r>
          </w:p>
        </w:tc>
      </w:tr>
      <w:tr w:rsidR="0059130C">
        <w:trPr>
          <w:trHeight w:val="454"/>
          <w:jc w:val="center"/>
        </w:trPr>
        <w:tc>
          <w:tcPr>
            <w:tcW w:w="596" w:type="dxa"/>
            <w:vMerge w:val="restart"/>
            <w:tcBorders>
              <w:top w:val="single" w:sz="6" w:space="0" w:color="000000"/>
              <w:left w:val="single" w:sz="12"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szCs w:val="21"/>
              </w:rPr>
            </w:pPr>
            <w:r>
              <w:rPr>
                <w:rFonts w:cs="仿宋_GB2312" w:hint="eastAsia"/>
                <w:szCs w:val="21"/>
              </w:rPr>
              <w:t>209</w:t>
            </w:r>
          </w:p>
        </w:tc>
        <w:tc>
          <w:tcPr>
            <w:tcW w:w="1919" w:type="dxa"/>
            <w:vMerge w:val="restart"/>
            <w:tcBorders>
              <w:top w:val="single" w:sz="6" w:space="0" w:color="000000"/>
              <w:left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szCs w:val="21"/>
              </w:rPr>
            </w:pPr>
            <w:r>
              <w:rPr>
                <w:rFonts w:ascii="仿宋_GB2312" w:eastAsia="仿宋_GB2312" w:hAnsi="仿宋_GB2312" w:cs="仿宋_GB2312" w:hint="eastAsia"/>
                <w:szCs w:val="21"/>
              </w:rPr>
              <w:t>对在农村公路及其用地范围内从事修车洗车、摆摊设点、集市贸易等经营活动的处罚</w:t>
            </w:r>
          </w:p>
        </w:tc>
        <w:tc>
          <w:tcPr>
            <w:tcW w:w="1841" w:type="dxa"/>
            <w:vMerge w:val="restart"/>
            <w:tcBorders>
              <w:top w:val="single" w:sz="6" w:space="0" w:color="000000"/>
              <w:left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河南省农村公路条例》（2010年7月30日河南省第十一届人民代表大会常务委员会第十六次会议通过，公告第33号）第四十一条：在农村公路及其用地范围内禁止下列行为：（二）从事修车洗车、摆摊设点、集市贸易等经营活动。第五十五条：违反本条例规定，由第四十一条规定行为之一的，由县级交通运输行政主管部门责令停止违法行为，限期改正；逾期不改正的，处二百元以上二千元以下的罚款；给他人造成损害的，应当依法予以赔偿。</w:t>
            </w:r>
          </w:p>
        </w:tc>
        <w:tc>
          <w:tcPr>
            <w:tcW w:w="650" w:type="dxa"/>
            <w:vMerge w:val="restart"/>
            <w:tcBorders>
              <w:top w:val="single" w:sz="6" w:space="0" w:color="000000"/>
              <w:left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行政处罚</w:t>
            </w: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val="restart"/>
            <w:tcBorders>
              <w:top w:val="single" w:sz="6" w:space="0" w:color="000000"/>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val="restart"/>
            <w:tcBorders>
              <w:top w:val="single" w:sz="6" w:space="0" w:color="000000"/>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1285"/>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54"/>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rPr>
                <w:rFonts w:ascii="仿宋_GB2312" w:eastAsia="仿宋_GB2312" w:hAnsi="仿宋_GB2312" w:cs="仿宋_GB2312"/>
                <w:kern w:val="0"/>
                <w:szCs w:val="21"/>
                <w:lang/>
              </w:rPr>
            </w:pPr>
          </w:p>
        </w:tc>
      </w:tr>
      <w:tr w:rsidR="0059130C">
        <w:trPr>
          <w:trHeight w:val="945"/>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54"/>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54"/>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54"/>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30"/>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rPr>
                <w:rFonts w:ascii="仿宋_GB2312" w:eastAsia="仿宋_GB2312" w:hAnsi="仿宋_GB2312" w:cs="仿宋_GB2312"/>
                <w:kern w:val="0"/>
                <w:szCs w:val="21"/>
                <w:lang/>
              </w:rPr>
            </w:pPr>
          </w:p>
        </w:tc>
        <w:tc>
          <w:tcPr>
            <w:tcW w:w="4148" w:type="dxa"/>
            <w:vMerge/>
            <w:tcBorders>
              <w:left w:val="single" w:sz="6" w:space="0" w:color="000000"/>
              <w:bottom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rPr>
                <w:rFonts w:ascii="仿宋_GB2312" w:eastAsia="仿宋_GB2312" w:hAnsi="仿宋_GB2312" w:cs="仿宋_GB2312"/>
                <w:szCs w:val="21"/>
              </w:rPr>
            </w:pPr>
          </w:p>
        </w:tc>
        <w:tc>
          <w:tcPr>
            <w:tcW w:w="1368" w:type="dxa"/>
            <w:vMerge/>
            <w:tcBorders>
              <w:left w:val="single" w:sz="6" w:space="0" w:color="000000"/>
              <w:bottom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54"/>
          <w:jc w:val="center"/>
        </w:trPr>
        <w:tc>
          <w:tcPr>
            <w:tcW w:w="16047" w:type="dxa"/>
            <w:gridSpan w:val="8"/>
            <w:tcBorders>
              <w:top w:val="single" w:sz="6" w:space="0" w:color="000000"/>
              <w:left w:val="single" w:sz="12" w:space="0" w:color="000000"/>
              <w:bottom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E9165C">
            <w:pPr>
              <w:overflowPunct w:val="0"/>
              <w:snapToGrid w:val="0"/>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情况：取消</w:t>
            </w:r>
          </w:p>
        </w:tc>
      </w:tr>
      <w:tr w:rsidR="0059130C">
        <w:trPr>
          <w:trHeight w:val="454"/>
          <w:jc w:val="center"/>
        </w:trPr>
        <w:tc>
          <w:tcPr>
            <w:tcW w:w="16047" w:type="dxa"/>
            <w:gridSpan w:val="8"/>
            <w:tcBorders>
              <w:top w:val="single" w:sz="6" w:space="0" w:color="000000"/>
              <w:left w:val="single" w:sz="12" w:space="0" w:color="000000"/>
              <w:bottom w:val="single" w:sz="12" w:space="0" w:color="000000"/>
              <w:right w:val="single" w:sz="12" w:space="0" w:color="000000"/>
            </w:tcBorders>
            <w:shd w:val="clear" w:color="auto" w:fill="auto"/>
            <w:tcMar>
              <w:top w:w="15" w:type="dxa"/>
              <w:left w:w="15" w:type="dxa"/>
              <w:bottom w:w="0" w:type="dxa"/>
              <w:right w:w="15" w:type="dxa"/>
            </w:tcMar>
            <w:vAlign w:val="center"/>
          </w:tcPr>
          <w:p w:rsidR="0059130C" w:rsidRDefault="00E9165C">
            <w:pPr>
              <w:overflowPunct w:val="0"/>
              <w:snapToGrid w:val="0"/>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原因：南阳市人民政府关于开展乡镇（街道）综合行政执法工作的通知（宛政〔2023〕10号）</w:t>
            </w:r>
          </w:p>
        </w:tc>
      </w:tr>
    </w:tbl>
    <w:p w:rsidR="0059130C" w:rsidRDefault="0059130C">
      <w:pPr>
        <w:spacing w:line="240" w:lineRule="exact"/>
        <w:rPr>
          <w:rFonts w:ascii="仿宋_GB2312" w:eastAsia="仿宋_GB2312" w:hAnsi="仿宋_GB2312" w:cs="仿宋_GB2312"/>
          <w:color w:val="000000" w:themeColor="text1"/>
          <w:szCs w:val="21"/>
        </w:rPr>
      </w:pPr>
    </w:p>
    <w:tbl>
      <w:tblPr>
        <w:tblW w:w="1604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0" w:type="dxa"/>
          <w:right w:w="0" w:type="dxa"/>
        </w:tblCellMar>
        <w:tblLook w:val="04A0"/>
      </w:tblPr>
      <w:tblGrid>
        <w:gridCol w:w="596"/>
        <w:gridCol w:w="1919"/>
        <w:gridCol w:w="1841"/>
        <w:gridCol w:w="650"/>
        <w:gridCol w:w="638"/>
        <w:gridCol w:w="4887"/>
        <w:gridCol w:w="4148"/>
        <w:gridCol w:w="1368"/>
      </w:tblGrid>
      <w:tr w:rsidR="0059130C">
        <w:trPr>
          <w:trHeight w:val="474"/>
          <w:jc w:val="center"/>
        </w:trPr>
        <w:tc>
          <w:tcPr>
            <w:tcW w:w="596" w:type="dxa"/>
            <w:tcBorders>
              <w:top w:val="single" w:sz="12" w:space="0" w:color="000000"/>
              <w:left w:val="single" w:sz="12"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Times New Roman" w:eastAsia="黑体" w:hAnsi="Times New Roman" w:cs="黑体"/>
                <w:szCs w:val="21"/>
              </w:rPr>
            </w:pPr>
            <w:r>
              <w:rPr>
                <w:rFonts w:ascii="Times New Roman" w:eastAsia="黑体" w:hAnsi="Times New Roman" w:cs="黑体" w:hint="eastAsia"/>
                <w:szCs w:val="21"/>
              </w:rPr>
              <w:lastRenderedPageBreak/>
              <w:t>序号</w:t>
            </w:r>
          </w:p>
        </w:tc>
        <w:tc>
          <w:tcPr>
            <w:tcW w:w="1919" w:type="dxa"/>
            <w:tcBorders>
              <w:top w:val="single" w:sz="12"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szCs w:val="21"/>
              </w:rPr>
            </w:pPr>
            <w:r>
              <w:rPr>
                <w:rFonts w:ascii="Times New Roman" w:eastAsia="黑体" w:hAnsi="Times New Roman" w:cs="黑体" w:hint="eastAsia"/>
                <w:kern w:val="0"/>
                <w:szCs w:val="21"/>
                <w:lang/>
              </w:rPr>
              <w:t>项目名称</w:t>
            </w:r>
          </w:p>
        </w:tc>
        <w:tc>
          <w:tcPr>
            <w:tcW w:w="1841" w:type="dxa"/>
            <w:tcBorders>
              <w:top w:val="single" w:sz="12"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szCs w:val="21"/>
              </w:rPr>
            </w:pPr>
            <w:r>
              <w:rPr>
                <w:rFonts w:ascii="Times New Roman" w:eastAsia="黑体" w:hAnsi="Times New Roman" w:cs="黑体" w:hint="eastAsia"/>
                <w:kern w:val="0"/>
                <w:szCs w:val="21"/>
                <w:lang/>
              </w:rPr>
              <w:t>实施依据</w:t>
            </w:r>
          </w:p>
        </w:tc>
        <w:tc>
          <w:tcPr>
            <w:tcW w:w="650" w:type="dxa"/>
            <w:tcBorders>
              <w:top w:val="single" w:sz="12"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szCs w:val="21"/>
              </w:rPr>
            </w:pPr>
            <w:r>
              <w:rPr>
                <w:rFonts w:ascii="Times New Roman" w:eastAsia="黑体" w:hAnsi="Times New Roman" w:cs="黑体" w:hint="eastAsia"/>
                <w:szCs w:val="21"/>
              </w:rPr>
              <w:t>权职类别</w:t>
            </w:r>
          </w:p>
        </w:tc>
        <w:tc>
          <w:tcPr>
            <w:tcW w:w="638" w:type="dxa"/>
            <w:tcBorders>
              <w:top w:val="single" w:sz="12"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szCs w:val="21"/>
              </w:rPr>
            </w:pPr>
            <w:r>
              <w:rPr>
                <w:rFonts w:ascii="Times New Roman" w:eastAsia="黑体" w:hAnsi="Times New Roman" w:cs="黑体" w:hint="eastAsia"/>
                <w:kern w:val="0"/>
                <w:szCs w:val="21"/>
                <w:lang/>
              </w:rPr>
              <w:t>办理环节</w:t>
            </w:r>
          </w:p>
        </w:tc>
        <w:tc>
          <w:tcPr>
            <w:tcW w:w="4887" w:type="dxa"/>
            <w:tcBorders>
              <w:top w:val="single" w:sz="12"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kern w:val="0"/>
                <w:szCs w:val="21"/>
                <w:lang/>
              </w:rPr>
            </w:pPr>
            <w:r>
              <w:rPr>
                <w:rFonts w:ascii="Times New Roman" w:eastAsia="黑体" w:hAnsi="Times New Roman" w:cs="黑体" w:hint="eastAsia"/>
                <w:kern w:val="0"/>
                <w:szCs w:val="21"/>
                <w:lang/>
              </w:rPr>
              <w:t>责任事项</w:t>
            </w:r>
          </w:p>
        </w:tc>
        <w:tc>
          <w:tcPr>
            <w:tcW w:w="4148" w:type="dxa"/>
            <w:tcBorders>
              <w:top w:val="single" w:sz="12" w:space="0" w:color="000000"/>
              <w:left w:val="single" w:sz="6" w:space="0" w:color="000000"/>
              <w:bottom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kern w:val="0"/>
                <w:szCs w:val="21"/>
                <w:lang/>
              </w:rPr>
            </w:pPr>
            <w:r>
              <w:rPr>
                <w:rFonts w:ascii="Times New Roman" w:eastAsia="黑体" w:hAnsi="Times New Roman" w:cs="黑体" w:hint="eastAsia"/>
                <w:kern w:val="0"/>
                <w:szCs w:val="21"/>
                <w:lang/>
              </w:rPr>
              <w:t>追责情形</w:t>
            </w:r>
          </w:p>
        </w:tc>
        <w:tc>
          <w:tcPr>
            <w:tcW w:w="1368" w:type="dxa"/>
            <w:tcBorders>
              <w:top w:val="single" w:sz="12" w:space="0" w:color="000000"/>
              <w:left w:val="single" w:sz="6" w:space="0" w:color="000000"/>
              <w:bottom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kern w:val="0"/>
                <w:szCs w:val="21"/>
                <w:lang/>
              </w:rPr>
            </w:pPr>
            <w:r>
              <w:rPr>
                <w:rFonts w:ascii="Times New Roman" w:eastAsia="黑体" w:hAnsi="Times New Roman" w:cs="黑体" w:hint="eastAsia"/>
                <w:kern w:val="0"/>
                <w:szCs w:val="21"/>
                <w:lang/>
              </w:rPr>
              <w:t>责任处室</w:t>
            </w:r>
          </w:p>
        </w:tc>
      </w:tr>
      <w:tr w:rsidR="0059130C">
        <w:trPr>
          <w:trHeight w:val="454"/>
          <w:jc w:val="center"/>
        </w:trPr>
        <w:tc>
          <w:tcPr>
            <w:tcW w:w="596" w:type="dxa"/>
            <w:vMerge w:val="restart"/>
            <w:tcBorders>
              <w:top w:val="single" w:sz="6" w:space="0" w:color="000000"/>
              <w:left w:val="single" w:sz="12"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szCs w:val="21"/>
              </w:rPr>
            </w:pPr>
            <w:r>
              <w:rPr>
                <w:rFonts w:cs="仿宋_GB2312" w:hint="eastAsia"/>
                <w:szCs w:val="21"/>
              </w:rPr>
              <w:t>210</w:t>
            </w:r>
          </w:p>
        </w:tc>
        <w:tc>
          <w:tcPr>
            <w:tcW w:w="1919" w:type="dxa"/>
            <w:vMerge w:val="restart"/>
            <w:tcBorders>
              <w:top w:val="single" w:sz="6" w:space="0" w:color="000000"/>
              <w:left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szCs w:val="21"/>
              </w:rPr>
            </w:pPr>
            <w:r>
              <w:rPr>
                <w:rFonts w:ascii="仿宋_GB2312" w:eastAsia="仿宋_GB2312" w:hAnsi="仿宋_GB2312" w:cs="仿宋_GB2312" w:hint="eastAsia"/>
                <w:szCs w:val="21"/>
              </w:rPr>
              <w:t>对在农村公路及其用地范围内堆放物料、倾倒垃圾的处罚</w:t>
            </w:r>
          </w:p>
        </w:tc>
        <w:tc>
          <w:tcPr>
            <w:tcW w:w="1841" w:type="dxa"/>
            <w:vMerge w:val="restart"/>
            <w:tcBorders>
              <w:top w:val="single" w:sz="6" w:space="0" w:color="000000"/>
              <w:left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rPr>
                <w:rFonts w:ascii="仿宋_GB2312" w:eastAsia="仿宋_GB2312" w:hAnsi="仿宋_GB2312" w:cs="仿宋_GB2312"/>
                <w:kern w:val="0"/>
                <w:szCs w:val="21"/>
                <w:lang/>
              </w:rPr>
            </w:pPr>
            <w:r>
              <w:rPr>
                <w:rFonts w:ascii="仿宋_GB2312" w:eastAsia="仿宋_GB2312" w:hAnsi="仿宋_GB2312" w:cs="仿宋_GB2312" w:hint="eastAsia"/>
                <w:szCs w:val="21"/>
              </w:rPr>
              <w:t>《河南省农村公路条例》（2010年7月30日河南省第十一届人民代表大会常务委员会第十六次会议通过，公告第33号）第四十一条：在农村公路及其用地范围内禁止下列行为：（三）堆放物料、倾倒垃圾。第五十五条：违反本条例规定，由第四十一条规定行为之一的，由县级交通运输行政主管部门责令停止违法行为，限期改正；逾期不改正的，处二百元以上二千元以下的罚款；给他人造成损害的，应当依法予以赔偿。</w:t>
            </w:r>
          </w:p>
        </w:tc>
        <w:tc>
          <w:tcPr>
            <w:tcW w:w="650" w:type="dxa"/>
            <w:vMerge w:val="restart"/>
            <w:tcBorders>
              <w:top w:val="single" w:sz="6" w:space="0" w:color="000000"/>
              <w:left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行政处罚</w:t>
            </w: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val="restart"/>
            <w:tcBorders>
              <w:top w:val="single" w:sz="6" w:space="0" w:color="000000"/>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val="restart"/>
            <w:tcBorders>
              <w:top w:val="single" w:sz="6" w:space="0" w:color="000000"/>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1285"/>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54"/>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rPr>
                <w:rFonts w:ascii="仿宋_GB2312" w:eastAsia="仿宋_GB2312" w:hAnsi="仿宋_GB2312" w:cs="仿宋_GB2312"/>
                <w:kern w:val="0"/>
                <w:szCs w:val="21"/>
                <w:lang/>
              </w:rPr>
            </w:pPr>
          </w:p>
        </w:tc>
      </w:tr>
      <w:tr w:rsidR="0059130C">
        <w:trPr>
          <w:trHeight w:val="945"/>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54"/>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54"/>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54"/>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30"/>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rPr>
                <w:rFonts w:ascii="仿宋_GB2312" w:eastAsia="仿宋_GB2312" w:hAnsi="仿宋_GB2312" w:cs="仿宋_GB2312"/>
                <w:kern w:val="0"/>
                <w:szCs w:val="21"/>
                <w:lang/>
              </w:rPr>
            </w:pPr>
          </w:p>
        </w:tc>
        <w:tc>
          <w:tcPr>
            <w:tcW w:w="4148" w:type="dxa"/>
            <w:vMerge/>
            <w:tcBorders>
              <w:left w:val="single" w:sz="6" w:space="0" w:color="000000"/>
              <w:bottom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rPr>
                <w:rFonts w:ascii="仿宋_GB2312" w:eastAsia="仿宋_GB2312" w:hAnsi="仿宋_GB2312" w:cs="仿宋_GB2312"/>
                <w:szCs w:val="21"/>
              </w:rPr>
            </w:pPr>
          </w:p>
        </w:tc>
        <w:tc>
          <w:tcPr>
            <w:tcW w:w="1368" w:type="dxa"/>
            <w:vMerge/>
            <w:tcBorders>
              <w:left w:val="single" w:sz="6" w:space="0" w:color="000000"/>
              <w:bottom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54"/>
          <w:jc w:val="center"/>
        </w:trPr>
        <w:tc>
          <w:tcPr>
            <w:tcW w:w="16047" w:type="dxa"/>
            <w:gridSpan w:val="8"/>
            <w:tcBorders>
              <w:top w:val="single" w:sz="6" w:space="0" w:color="000000"/>
              <w:left w:val="single" w:sz="12" w:space="0" w:color="000000"/>
              <w:bottom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E9165C">
            <w:pPr>
              <w:overflowPunct w:val="0"/>
              <w:snapToGrid w:val="0"/>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情况：取消</w:t>
            </w:r>
          </w:p>
        </w:tc>
      </w:tr>
      <w:tr w:rsidR="0059130C">
        <w:trPr>
          <w:trHeight w:val="454"/>
          <w:jc w:val="center"/>
        </w:trPr>
        <w:tc>
          <w:tcPr>
            <w:tcW w:w="16047" w:type="dxa"/>
            <w:gridSpan w:val="8"/>
            <w:tcBorders>
              <w:top w:val="single" w:sz="6" w:space="0" w:color="000000"/>
              <w:left w:val="single" w:sz="12" w:space="0" w:color="000000"/>
              <w:bottom w:val="single" w:sz="12" w:space="0" w:color="000000"/>
              <w:right w:val="single" w:sz="12" w:space="0" w:color="000000"/>
            </w:tcBorders>
            <w:shd w:val="clear" w:color="auto" w:fill="auto"/>
            <w:tcMar>
              <w:top w:w="15" w:type="dxa"/>
              <w:left w:w="15" w:type="dxa"/>
              <w:bottom w:w="0" w:type="dxa"/>
              <w:right w:w="15" w:type="dxa"/>
            </w:tcMar>
            <w:vAlign w:val="center"/>
          </w:tcPr>
          <w:p w:rsidR="0059130C" w:rsidRDefault="00E9165C">
            <w:pPr>
              <w:overflowPunct w:val="0"/>
              <w:snapToGrid w:val="0"/>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原因：南阳市人民政府关于开展乡镇（街道）综合行政执法工作的通知（宛政〔2023〕10号）</w:t>
            </w:r>
          </w:p>
        </w:tc>
      </w:tr>
    </w:tbl>
    <w:p w:rsidR="0059130C" w:rsidRDefault="0059130C">
      <w:pPr>
        <w:spacing w:line="240" w:lineRule="exact"/>
        <w:rPr>
          <w:rFonts w:ascii="仿宋_GB2312" w:eastAsia="仿宋_GB2312" w:hAnsi="仿宋_GB2312" w:cs="仿宋_GB2312"/>
          <w:color w:val="000000" w:themeColor="text1"/>
          <w:szCs w:val="21"/>
        </w:rPr>
      </w:pPr>
    </w:p>
    <w:p w:rsidR="0059130C" w:rsidRDefault="0059130C">
      <w:pPr>
        <w:spacing w:line="240" w:lineRule="exact"/>
        <w:rPr>
          <w:rFonts w:ascii="仿宋_GB2312" w:eastAsia="仿宋_GB2312" w:hAnsi="仿宋_GB2312" w:cs="仿宋_GB2312"/>
          <w:color w:val="000000" w:themeColor="text1"/>
          <w:szCs w:val="21"/>
        </w:rPr>
      </w:pPr>
    </w:p>
    <w:p w:rsidR="0059130C" w:rsidRDefault="0059130C">
      <w:pPr>
        <w:spacing w:line="240" w:lineRule="exact"/>
        <w:rPr>
          <w:rFonts w:ascii="仿宋_GB2312" w:eastAsia="仿宋_GB2312" w:hAnsi="仿宋_GB2312" w:cs="仿宋_GB2312"/>
          <w:color w:val="000000" w:themeColor="text1"/>
          <w:szCs w:val="21"/>
        </w:rPr>
      </w:pPr>
    </w:p>
    <w:p w:rsidR="0059130C" w:rsidRDefault="0059130C">
      <w:pPr>
        <w:spacing w:line="240" w:lineRule="exact"/>
        <w:rPr>
          <w:rFonts w:ascii="仿宋_GB2312" w:eastAsia="仿宋_GB2312" w:hAnsi="仿宋_GB2312" w:cs="仿宋_GB2312"/>
          <w:color w:val="000000" w:themeColor="text1"/>
          <w:szCs w:val="21"/>
        </w:rPr>
      </w:pPr>
    </w:p>
    <w:p w:rsidR="0059130C" w:rsidRDefault="0059130C">
      <w:pPr>
        <w:spacing w:line="240" w:lineRule="exact"/>
        <w:rPr>
          <w:rFonts w:ascii="仿宋_GB2312" w:eastAsia="仿宋_GB2312" w:hAnsi="仿宋_GB2312" w:cs="仿宋_GB2312"/>
          <w:color w:val="000000" w:themeColor="text1"/>
          <w:szCs w:val="21"/>
        </w:rPr>
      </w:pPr>
    </w:p>
    <w:p w:rsidR="0059130C" w:rsidRDefault="0059130C">
      <w:pPr>
        <w:spacing w:line="240" w:lineRule="exact"/>
        <w:rPr>
          <w:rFonts w:ascii="仿宋_GB2312" w:eastAsia="仿宋_GB2312" w:hAnsi="仿宋_GB2312" w:cs="仿宋_GB2312"/>
          <w:color w:val="000000" w:themeColor="text1"/>
          <w:szCs w:val="21"/>
        </w:rPr>
      </w:pPr>
    </w:p>
    <w:tbl>
      <w:tblPr>
        <w:tblW w:w="1604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0" w:type="dxa"/>
          <w:right w:w="0" w:type="dxa"/>
        </w:tblCellMar>
        <w:tblLook w:val="04A0"/>
      </w:tblPr>
      <w:tblGrid>
        <w:gridCol w:w="596"/>
        <w:gridCol w:w="1919"/>
        <w:gridCol w:w="1841"/>
        <w:gridCol w:w="650"/>
        <w:gridCol w:w="638"/>
        <w:gridCol w:w="4887"/>
        <w:gridCol w:w="4148"/>
        <w:gridCol w:w="1368"/>
      </w:tblGrid>
      <w:tr w:rsidR="0059130C">
        <w:trPr>
          <w:trHeight w:val="474"/>
          <w:jc w:val="center"/>
        </w:trPr>
        <w:tc>
          <w:tcPr>
            <w:tcW w:w="596" w:type="dxa"/>
            <w:tcBorders>
              <w:top w:val="single" w:sz="12" w:space="0" w:color="000000"/>
              <w:left w:val="single" w:sz="12"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Times New Roman" w:eastAsia="黑体" w:hAnsi="Times New Roman" w:cs="黑体"/>
                <w:szCs w:val="21"/>
              </w:rPr>
            </w:pPr>
            <w:r>
              <w:rPr>
                <w:rFonts w:ascii="Times New Roman" w:eastAsia="黑体" w:hAnsi="Times New Roman" w:cs="黑体" w:hint="eastAsia"/>
                <w:szCs w:val="21"/>
              </w:rPr>
              <w:lastRenderedPageBreak/>
              <w:t>序号</w:t>
            </w:r>
          </w:p>
        </w:tc>
        <w:tc>
          <w:tcPr>
            <w:tcW w:w="1919" w:type="dxa"/>
            <w:tcBorders>
              <w:top w:val="single" w:sz="12"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szCs w:val="21"/>
              </w:rPr>
            </w:pPr>
            <w:r>
              <w:rPr>
                <w:rFonts w:ascii="Times New Roman" w:eastAsia="黑体" w:hAnsi="Times New Roman" w:cs="黑体" w:hint="eastAsia"/>
                <w:kern w:val="0"/>
                <w:szCs w:val="21"/>
                <w:lang/>
              </w:rPr>
              <w:t>项目名称</w:t>
            </w:r>
          </w:p>
        </w:tc>
        <w:tc>
          <w:tcPr>
            <w:tcW w:w="1841" w:type="dxa"/>
            <w:tcBorders>
              <w:top w:val="single" w:sz="12"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szCs w:val="21"/>
              </w:rPr>
            </w:pPr>
            <w:r>
              <w:rPr>
                <w:rFonts w:ascii="Times New Roman" w:eastAsia="黑体" w:hAnsi="Times New Roman" w:cs="黑体" w:hint="eastAsia"/>
                <w:kern w:val="0"/>
                <w:szCs w:val="21"/>
                <w:lang/>
              </w:rPr>
              <w:t>实施依据</w:t>
            </w:r>
          </w:p>
        </w:tc>
        <w:tc>
          <w:tcPr>
            <w:tcW w:w="650" w:type="dxa"/>
            <w:tcBorders>
              <w:top w:val="single" w:sz="12"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szCs w:val="21"/>
              </w:rPr>
            </w:pPr>
            <w:r>
              <w:rPr>
                <w:rFonts w:ascii="Times New Roman" w:eastAsia="黑体" w:hAnsi="Times New Roman" w:cs="黑体" w:hint="eastAsia"/>
                <w:szCs w:val="21"/>
              </w:rPr>
              <w:t>权职类别</w:t>
            </w:r>
          </w:p>
        </w:tc>
        <w:tc>
          <w:tcPr>
            <w:tcW w:w="638" w:type="dxa"/>
            <w:tcBorders>
              <w:top w:val="single" w:sz="12"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szCs w:val="21"/>
              </w:rPr>
            </w:pPr>
            <w:r>
              <w:rPr>
                <w:rFonts w:ascii="Times New Roman" w:eastAsia="黑体" w:hAnsi="Times New Roman" w:cs="黑体" w:hint="eastAsia"/>
                <w:kern w:val="0"/>
                <w:szCs w:val="21"/>
                <w:lang/>
              </w:rPr>
              <w:t>办理环节</w:t>
            </w:r>
          </w:p>
        </w:tc>
        <w:tc>
          <w:tcPr>
            <w:tcW w:w="4887" w:type="dxa"/>
            <w:tcBorders>
              <w:top w:val="single" w:sz="12"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kern w:val="0"/>
                <w:szCs w:val="21"/>
                <w:lang/>
              </w:rPr>
            </w:pPr>
            <w:r>
              <w:rPr>
                <w:rFonts w:ascii="Times New Roman" w:eastAsia="黑体" w:hAnsi="Times New Roman" w:cs="黑体" w:hint="eastAsia"/>
                <w:kern w:val="0"/>
                <w:szCs w:val="21"/>
                <w:lang/>
              </w:rPr>
              <w:t>责任事项</w:t>
            </w:r>
          </w:p>
        </w:tc>
        <w:tc>
          <w:tcPr>
            <w:tcW w:w="4148" w:type="dxa"/>
            <w:tcBorders>
              <w:top w:val="single" w:sz="12" w:space="0" w:color="000000"/>
              <w:left w:val="single" w:sz="6" w:space="0" w:color="000000"/>
              <w:bottom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kern w:val="0"/>
                <w:szCs w:val="21"/>
                <w:lang/>
              </w:rPr>
            </w:pPr>
            <w:r>
              <w:rPr>
                <w:rFonts w:ascii="Times New Roman" w:eastAsia="黑体" w:hAnsi="Times New Roman" w:cs="黑体" w:hint="eastAsia"/>
                <w:kern w:val="0"/>
                <w:szCs w:val="21"/>
                <w:lang/>
              </w:rPr>
              <w:t>追责情形</w:t>
            </w:r>
          </w:p>
        </w:tc>
        <w:tc>
          <w:tcPr>
            <w:tcW w:w="1368" w:type="dxa"/>
            <w:tcBorders>
              <w:top w:val="single" w:sz="12" w:space="0" w:color="000000"/>
              <w:left w:val="single" w:sz="6" w:space="0" w:color="000000"/>
              <w:bottom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kern w:val="0"/>
                <w:szCs w:val="21"/>
                <w:lang/>
              </w:rPr>
            </w:pPr>
            <w:r>
              <w:rPr>
                <w:rFonts w:ascii="Times New Roman" w:eastAsia="黑体" w:hAnsi="Times New Roman" w:cs="黑体" w:hint="eastAsia"/>
                <w:kern w:val="0"/>
                <w:szCs w:val="21"/>
                <w:lang/>
              </w:rPr>
              <w:t>责任处室</w:t>
            </w:r>
          </w:p>
        </w:tc>
      </w:tr>
      <w:tr w:rsidR="0059130C">
        <w:trPr>
          <w:trHeight w:val="454"/>
          <w:jc w:val="center"/>
        </w:trPr>
        <w:tc>
          <w:tcPr>
            <w:tcW w:w="596" w:type="dxa"/>
            <w:vMerge w:val="restart"/>
            <w:tcBorders>
              <w:top w:val="single" w:sz="6" w:space="0" w:color="000000"/>
              <w:left w:val="single" w:sz="12"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szCs w:val="21"/>
              </w:rPr>
            </w:pPr>
            <w:r>
              <w:rPr>
                <w:rFonts w:cs="仿宋_GB2312" w:hint="eastAsia"/>
                <w:szCs w:val="21"/>
              </w:rPr>
              <w:t>211</w:t>
            </w:r>
          </w:p>
        </w:tc>
        <w:tc>
          <w:tcPr>
            <w:tcW w:w="1919" w:type="dxa"/>
            <w:vMerge w:val="restart"/>
            <w:tcBorders>
              <w:top w:val="single" w:sz="6" w:space="0" w:color="000000"/>
              <w:left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szCs w:val="21"/>
              </w:rPr>
            </w:pPr>
            <w:r>
              <w:rPr>
                <w:rFonts w:ascii="仿宋_GB2312" w:eastAsia="仿宋_GB2312" w:hAnsi="仿宋_GB2312" w:cs="仿宋_GB2312" w:hint="eastAsia"/>
                <w:szCs w:val="21"/>
              </w:rPr>
              <w:t>对在农村公路及其用地范围内采石取土、焚烧物品、堵塞边沟的处罚</w:t>
            </w:r>
          </w:p>
        </w:tc>
        <w:tc>
          <w:tcPr>
            <w:tcW w:w="1841" w:type="dxa"/>
            <w:vMerge w:val="restart"/>
            <w:tcBorders>
              <w:top w:val="single" w:sz="6" w:space="0" w:color="000000"/>
              <w:left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rPr>
                <w:rFonts w:ascii="仿宋_GB2312" w:eastAsia="仿宋_GB2312" w:hAnsi="仿宋_GB2312" w:cs="仿宋_GB2312"/>
                <w:kern w:val="0"/>
                <w:szCs w:val="21"/>
                <w:lang/>
              </w:rPr>
            </w:pPr>
            <w:r>
              <w:rPr>
                <w:rFonts w:ascii="仿宋_GB2312" w:eastAsia="仿宋_GB2312" w:hAnsi="仿宋_GB2312" w:cs="仿宋_GB2312" w:hint="eastAsia"/>
                <w:szCs w:val="21"/>
              </w:rPr>
              <w:t>《河南省农村公路条例》（2010年7月30日河南省第十一届人民代表大会常务委员会第十六次会议通过，公告第33号）第四十一条：在农村公路及其用地范围</w:t>
            </w:r>
            <w:r>
              <w:rPr>
                <w:rFonts w:ascii="仿宋_GB2312" w:eastAsia="仿宋_GB2312" w:hAnsi="仿宋_GB2312" w:cs="仿宋_GB2312" w:hint="eastAsia"/>
                <w:kern w:val="0"/>
                <w:szCs w:val="21"/>
                <w:lang/>
              </w:rPr>
              <w:t>内禁止下列行为：</w:t>
            </w:r>
            <w:r>
              <w:rPr>
                <w:rFonts w:ascii="仿宋_GB2312" w:eastAsia="仿宋_GB2312" w:hAnsi="仿宋_GB2312" w:cs="仿宋_GB2312" w:hint="eastAsia"/>
                <w:szCs w:val="21"/>
              </w:rPr>
              <w:t>（四）采石取土、焚烧物品、堵塞边沟。第五十五条：违反本条例规定，由第四十一条规定行为之一的，由县级交通运输行政主管部门责令停止违法行为，限期改正；逾期不改正的，处二百元以上二千元以下的罚款；给他人造成损害的，应当依法予以赔偿。</w:t>
            </w:r>
          </w:p>
        </w:tc>
        <w:tc>
          <w:tcPr>
            <w:tcW w:w="650" w:type="dxa"/>
            <w:vMerge w:val="restart"/>
            <w:tcBorders>
              <w:top w:val="single" w:sz="6" w:space="0" w:color="000000"/>
              <w:left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行政处罚</w:t>
            </w: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val="restart"/>
            <w:tcBorders>
              <w:top w:val="single" w:sz="6" w:space="0" w:color="000000"/>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val="restart"/>
            <w:tcBorders>
              <w:top w:val="single" w:sz="6" w:space="0" w:color="000000"/>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1285"/>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54"/>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rPr>
                <w:rFonts w:ascii="仿宋_GB2312" w:eastAsia="仿宋_GB2312" w:hAnsi="仿宋_GB2312" w:cs="仿宋_GB2312"/>
                <w:kern w:val="0"/>
                <w:szCs w:val="21"/>
                <w:lang/>
              </w:rPr>
            </w:pPr>
          </w:p>
        </w:tc>
      </w:tr>
      <w:tr w:rsidR="0059130C">
        <w:trPr>
          <w:trHeight w:val="945"/>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54"/>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54"/>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54"/>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30"/>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rPr>
                <w:rFonts w:ascii="仿宋_GB2312" w:eastAsia="仿宋_GB2312" w:hAnsi="仿宋_GB2312" w:cs="仿宋_GB2312"/>
                <w:kern w:val="0"/>
                <w:szCs w:val="21"/>
                <w:lang/>
              </w:rPr>
            </w:pPr>
          </w:p>
        </w:tc>
        <w:tc>
          <w:tcPr>
            <w:tcW w:w="4148" w:type="dxa"/>
            <w:vMerge/>
            <w:tcBorders>
              <w:left w:val="single" w:sz="6" w:space="0" w:color="000000"/>
              <w:bottom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rPr>
                <w:rFonts w:ascii="仿宋_GB2312" w:eastAsia="仿宋_GB2312" w:hAnsi="仿宋_GB2312" w:cs="仿宋_GB2312"/>
                <w:szCs w:val="21"/>
              </w:rPr>
            </w:pPr>
          </w:p>
        </w:tc>
        <w:tc>
          <w:tcPr>
            <w:tcW w:w="1368" w:type="dxa"/>
            <w:vMerge/>
            <w:tcBorders>
              <w:left w:val="single" w:sz="6" w:space="0" w:color="000000"/>
              <w:bottom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54"/>
          <w:jc w:val="center"/>
        </w:trPr>
        <w:tc>
          <w:tcPr>
            <w:tcW w:w="16047" w:type="dxa"/>
            <w:gridSpan w:val="8"/>
            <w:tcBorders>
              <w:top w:val="single" w:sz="6" w:space="0" w:color="000000"/>
              <w:left w:val="single" w:sz="12" w:space="0" w:color="000000"/>
              <w:bottom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E9165C">
            <w:pPr>
              <w:overflowPunct w:val="0"/>
              <w:snapToGrid w:val="0"/>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情况：取消</w:t>
            </w:r>
          </w:p>
        </w:tc>
      </w:tr>
      <w:tr w:rsidR="0059130C">
        <w:trPr>
          <w:trHeight w:val="454"/>
          <w:jc w:val="center"/>
        </w:trPr>
        <w:tc>
          <w:tcPr>
            <w:tcW w:w="16047" w:type="dxa"/>
            <w:gridSpan w:val="8"/>
            <w:tcBorders>
              <w:top w:val="single" w:sz="6" w:space="0" w:color="000000"/>
              <w:left w:val="single" w:sz="12" w:space="0" w:color="000000"/>
              <w:bottom w:val="single" w:sz="12" w:space="0" w:color="000000"/>
              <w:right w:val="single" w:sz="12" w:space="0" w:color="000000"/>
            </w:tcBorders>
            <w:shd w:val="clear" w:color="auto" w:fill="auto"/>
            <w:tcMar>
              <w:top w:w="15" w:type="dxa"/>
              <w:left w:w="15" w:type="dxa"/>
              <w:bottom w:w="0" w:type="dxa"/>
              <w:right w:w="15" w:type="dxa"/>
            </w:tcMar>
            <w:vAlign w:val="center"/>
          </w:tcPr>
          <w:p w:rsidR="0059130C" w:rsidRDefault="00E9165C">
            <w:pPr>
              <w:overflowPunct w:val="0"/>
              <w:snapToGrid w:val="0"/>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原因：南阳市人民政府关于开展乡镇（街道）综合行政执法工作的通知（宛政〔2023〕10号）</w:t>
            </w:r>
          </w:p>
        </w:tc>
      </w:tr>
    </w:tbl>
    <w:p w:rsidR="0059130C" w:rsidRDefault="0059130C">
      <w:pPr>
        <w:spacing w:line="240" w:lineRule="exact"/>
        <w:rPr>
          <w:rFonts w:ascii="仿宋_GB2312" w:eastAsia="仿宋_GB2312" w:hAnsi="仿宋_GB2312" w:cs="仿宋_GB2312"/>
          <w:color w:val="000000" w:themeColor="text1"/>
          <w:szCs w:val="21"/>
        </w:rPr>
      </w:pPr>
    </w:p>
    <w:p w:rsidR="0059130C" w:rsidRDefault="0059130C">
      <w:pPr>
        <w:pStyle w:val="a0"/>
        <w:rPr>
          <w:rFonts w:hint="eastAsia"/>
        </w:rPr>
      </w:pPr>
    </w:p>
    <w:p w:rsidR="00AA22C1" w:rsidRPr="00AA22C1" w:rsidRDefault="00AA22C1" w:rsidP="00AA22C1"/>
    <w:tbl>
      <w:tblPr>
        <w:tblW w:w="1604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0" w:type="dxa"/>
          <w:right w:w="0" w:type="dxa"/>
        </w:tblCellMar>
        <w:tblLook w:val="04A0"/>
      </w:tblPr>
      <w:tblGrid>
        <w:gridCol w:w="596"/>
        <w:gridCol w:w="1919"/>
        <w:gridCol w:w="1841"/>
        <w:gridCol w:w="650"/>
        <w:gridCol w:w="638"/>
        <w:gridCol w:w="4887"/>
        <w:gridCol w:w="4148"/>
        <w:gridCol w:w="1368"/>
      </w:tblGrid>
      <w:tr w:rsidR="0059130C">
        <w:trPr>
          <w:trHeight w:val="474"/>
          <w:jc w:val="center"/>
        </w:trPr>
        <w:tc>
          <w:tcPr>
            <w:tcW w:w="596" w:type="dxa"/>
            <w:tcBorders>
              <w:top w:val="single" w:sz="12" w:space="0" w:color="000000"/>
              <w:left w:val="single" w:sz="12"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Times New Roman" w:eastAsia="黑体" w:hAnsi="Times New Roman" w:cs="黑体"/>
                <w:szCs w:val="21"/>
              </w:rPr>
            </w:pPr>
            <w:r>
              <w:rPr>
                <w:rFonts w:ascii="Times New Roman" w:eastAsia="黑体" w:hAnsi="Times New Roman" w:cs="黑体" w:hint="eastAsia"/>
                <w:szCs w:val="21"/>
              </w:rPr>
              <w:lastRenderedPageBreak/>
              <w:t>序号</w:t>
            </w:r>
          </w:p>
        </w:tc>
        <w:tc>
          <w:tcPr>
            <w:tcW w:w="1919" w:type="dxa"/>
            <w:tcBorders>
              <w:top w:val="single" w:sz="12"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szCs w:val="21"/>
              </w:rPr>
            </w:pPr>
            <w:r>
              <w:rPr>
                <w:rFonts w:ascii="Times New Roman" w:eastAsia="黑体" w:hAnsi="Times New Roman" w:cs="黑体" w:hint="eastAsia"/>
                <w:kern w:val="0"/>
                <w:szCs w:val="21"/>
                <w:lang/>
              </w:rPr>
              <w:t>项目名称</w:t>
            </w:r>
          </w:p>
        </w:tc>
        <w:tc>
          <w:tcPr>
            <w:tcW w:w="1841" w:type="dxa"/>
            <w:tcBorders>
              <w:top w:val="single" w:sz="12"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szCs w:val="21"/>
              </w:rPr>
            </w:pPr>
            <w:r>
              <w:rPr>
                <w:rFonts w:ascii="Times New Roman" w:eastAsia="黑体" w:hAnsi="Times New Roman" w:cs="黑体" w:hint="eastAsia"/>
                <w:kern w:val="0"/>
                <w:szCs w:val="21"/>
                <w:lang/>
              </w:rPr>
              <w:t>实施依据</w:t>
            </w:r>
          </w:p>
        </w:tc>
        <w:tc>
          <w:tcPr>
            <w:tcW w:w="650" w:type="dxa"/>
            <w:tcBorders>
              <w:top w:val="single" w:sz="12"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szCs w:val="21"/>
              </w:rPr>
            </w:pPr>
            <w:r>
              <w:rPr>
                <w:rFonts w:ascii="Times New Roman" w:eastAsia="黑体" w:hAnsi="Times New Roman" w:cs="黑体" w:hint="eastAsia"/>
                <w:szCs w:val="21"/>
              </w:rPr>
              <w:t>权职类别</w:t>
            </w:r>
          </w:p>
        </w:tc>
        <w:tc>
          <w:tcPr>
            <w:tcW w:w="638" w:type="dxa"/>
            <w:tcBorders>
              <w:top w:val="single" w:sz="12"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szCs w:val="21"/>
              </w:rPr>
            </w:pPr>
            <w:r>
              <w:rPr>
                <w:rFonts w:ascii="Times New Roman" w:eastAsia="黑体" w:hAnsi="Times New Roman" w:cs="黑体" w:hint="eastAsia"/>
                <w:kern w:val="0"/>
                <w:szCs w:val="21"/>
                <w:lang/>
              </w:rPr>
              <w:t>办理环节</w:t>
            </w:r>
          </w:p>
        </w:tc>
        <w:tc>
          <w:tcPr>
            <w:tcW w:w="4887" w:type="dxa"/>
            <w:tcBorders>
              <w:top w:val="single" w:sz="12"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kern w:val="0"/>
                <w:szCs w:val="21"/>
                <w:lang/>
              </w:rPr>
            </w:pPr>
            <w:r>
              <w:rPr>
                <w:rFonts w:ascii="Times New Roman" w:eastAsia="黑体" w:hAnsi="Times New Roman" w:cs="黑体" w:hint="eastAsia"/>
                <w:kern w:val="0"/>
                <w:szCs w:val="21"/>
                <w:lang/>
              </w:rPr>
              <w:t>责任事项</w:t>
            </w:r>
          </w:p>
        </w:tc>
        <w:tc>
          <w:tcPr>
            <w:tcW w:w="4148" w:type="dxa"/>
            <w:tcBorders>
              <w:top w:val="single" w:sz="12" w:space="0" w:color="000000"/>
              <w:left w:val="single" w:sz="6" w:space="0" w:color="000000"/>
              <w:bottom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kern w:val="0"/>
                <w:szCs w:val="21"/>
                <w:lang/>
              </w:rPr>
            </w:pPr>
            <w:r>
              <w:rPr>
                <w:rFonts w:ascii="Times New Roman" w:eastAsia="黑体" w:hAnsi="Times New Roman" w:cs="黑体" w:hint="eastAsia"/>
                <w:kern w:val="0"/>
                <w:szCs w:val="21"/>
                <w:lang/>
              </w:rPr>
              <w:t>追责情形</w:t>
            </w:r>
          </w:p>
        </w:tc>
        <w:tc>
          <w:tcPr>
            <w:tcW w:w="1368" w:type="dxa"/>
            <w:tcBorders>
              <w:top w:val="single" w:sz="12" w:space="0" w:color="000000"/>
              <w:left w:val="single" w:sz="6" w:space="0" w:color="000000"/>
              <w:bottom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kern w:val="0"/>
                <w:szCs w:val="21"/>
                <w:lang/>
              </w:rPr>
            </w:pPr>
            <w:r>
              <w:rPr>
                <w:rFonts w:ascii="Times New Roman" w:eastAsia="黑体" w:hAnsi="Times New Roman" w:cs="黑体" w:hint="eastAsia"/>
                <w:kern w:val="0"/>
                <w:szCs w:val="21"/>
                <w:lang/>
              </w:rPr>
              <w:t>责任处室</w:t>
            </w:r>
          </w:p>
        </w:tc>
      </w:tr>
      <w:tr w:rsidR="0059130C">
        <w:trPr>
          <w:trHeight w:val="454"/>
          <w:jc w:val="center"/>
        </w:trPr>
        <w:tc>
          <w:tcPr>
            <w:tcW w:w="596" w:type="dxa"/>
            <w:vMerge w:val="restart"/>
            <w:tcBorders>
              <w:top w:val="single" w:sz="6" w:space="0" w:color="000000"/>
              <w:left w:val="single" w:sz="12"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szCs w:val="21"/>
              </w:rPr>
            </w:pPr>
            <w:r>
              <w:rPr>
                <w:rFonts w:cs="仿宋_GB2312" w:hint="eastAsia"/>
                <w:szCs w:val="21"/>
              </w:rPr>
              <w:t>212</w:t>
            </w:r>
          </w:p>
        </w:tc>
        <w:tc>
          <w:tcPr>
            <w:tcW w:w="1919" w:type="dxa"/>
            <w:vMerge w:val="restart"/>
            <w:tcBorders>
              <w:top w:val="single" w:sz="6" w:space="0" w:color="000000"/>
              <w:left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szCs w:val="21"/>
              </w:rPr>
            </w:pPr>
            <w:r>
              <w:rPr>
                <w:rFonts w:ascii="仿宋_GB2312" w:eastAsia="仿宋_GB2312" w:hAnsi="仿宋_GB2312" w:cs="仿宋_GB2312" w:hint="eastAsia"/>
                <w:szCs w:val="21"/>
              </w:rPr>
              <w:t>对在农村公路及其用地范围内从事其他损坏、污染公路和影响公路畅通的行为的处罚</w:t>
            </w:r>
          </w:p>
        </w:tc>
        <w:tc>
          <w:tcPr>
            <w:tcW w:w="1841" w:type="dxa"/>
            <w:vMerge w:val="restart"/>
            <w:tcBorders>
              <w:top w:val="single" w:sz="6" w:space="0" w:color="000000"/>
              <w:left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河南省农村公路条例》（2010年7月30日河南省第十一届人民代表大会常务委员会第十六次会议通过，公告第33号）第四十一条：在农村公路及其用地范围内禁止下列行为：（五）其他损坏、污染公路和影响公路畅通的行为。第五十五条：违反本条例规定，由第四十一条规定行为之一的，由县级交通运输行政主管部门责令停止违法行为，限期改正；逾期不改正的，处二百元以上二千元以下的罚款；给他人造成损害的，应当依法予以赔偿。</w:t>
            </w:r>
          </w:p>
        </w:tc>
        <w:tc>
          <w:tcPr>
            <w:tcW w:w="650" w:type="dxa"/>
            <w:vMerge w:val="restart"/>
            <w:tcBorders>
              <w:top w:val="single" w:sz="6" w:space="0" w:color="000000"/>
              <w:left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行政处罚</w:t>
            </w: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val="restart"/>
            <w:tcBorders>
              <w:top w:val="single" w:sz="6" w:space="0" w:color="000000"/>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val="restart"/>
            <w:tcBorders>
              <w:top w:val="single" w:sz="6" w:space="0" w:color="000000"/>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1285"/>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54"/>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rPr>
                <w:rFonts w:ascii="仿宋_GB2312" w:eastAsia="仿宋_GB2312" w:hAnsi="仿宋_GB2312" w:cs="仿宋_GB2312"/>
                <w:kern w:val="0"/>
                <w:szCs w:val="21"/>
                <w:lang/>
              </w:rPr>
            </w:pPr>
          </w:p>
        </w:tc>
      </w:tr>
      <w:tr w:rsidR="0059130C">
        <w:trPr>
          <w:trHeight w:val="945"/>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54"/>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54"/>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54"/>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30"/>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rPr>
                <w:rFonts w:ascii="仿宋_GB2312" w:eastAsia="仿宋_GB2312" w:hAnsi="仿宋_GB2312" w:cs="仿宋_GB2312"/>
                <w:kern w:val="0"/>
                <w:szCs w:val="21"/>
                <w:lang/>
              </w:rPr>
            </w:pPr>
          </w:p>
        </w:tc>
        <w:tc>
          <w:tcPr>
            <w:tcW w:w="4148" w:type="dxa"/>
            <w:vMerge/>
            <w:tcBorders>
              <w:left w:val="single" w:sz="6" w:space="0" w:color="000000"/>
              <w:bottom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rPr>
                <w:rFonts w:ascii="仿宋_GB2312" w:eastAsia="仿宋_GB2312" w:hAnsi="仿宋_GB2312" w:cs="仿宋_GB2312"/>
                <w:szCs w:val="21"/>
              </w:rPr>
            </w:pPr>
          </w:p>
        </w:tc>
        <w:tc>
          <w:tcPr>
            <w:tcW w:w="1368" w:type="dxa"/>
            <w:vMerge/>
            <w:tcBorders>
              <w:left w:val="single" w:sz="6" w:space="0" w:color="000000"/>
              <w:bottom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54"/>
          <w:jc w:val="center"/>
        </w:trPr>
        <w:tc>
          <w:tcPr>
            <w:tcW w:w="16047" w:type="dxa"/>
            <w:gridSpan w:val="8"/>
            <w:tcBorders>
              <w:top w:val="single" w:sz="6" w:space="0" w:color="000000"/>
              <w:left w:val="single" w:sz="12" w:space="0" w:color="000000"/>
              <w:bottom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E9165C">
            <w:pPr>
              <w:overflowPunct w:val="0"/>
              <w:snapToGrid w:val="0"/>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情况：取消</w:t>
            </w:r>
          </w:p>
        </w:tc>
      </w:tr>
      <w:tr w:rsidR="0059130C">
        <w:trPr>
          <w:trHeight w:val="454"/>
          <w:jc w:val="center"/>
        </w:trPr>
        <w:tc>
          <w:tcPr>
            <w:tcW w:w="16047" w:type="dxa"/>
            <w:gridSpan w:val="8"/>
            <w:tcBorders>
              <w:top w:val="single" w:sz="6" w:space="0" w:color="000000"/>
              <w:left w:val="single" w:sz="12" w:space="0" w:color="000000"/>
              <w:bottom w:val="single" w:sz="12" w:space="0" w:color="000000"/>
              <w:right w:val="single" w:sz="12" w:space="0" w:color="000000"/>
            </w:tcBorders>
            <w:shd w:val="clear" w:color="auto" w:fill="auto"/>
            <w:tcMar>
              <w:top w:w="15" w:type="dxa"/>
              <w:left w:w="15" w:type="dxa"/>
              <w:bottom w:w="0" w:type="dxa"/>
              <w:right w:w="15" w:type="dxa"/>
            </w:tcMar>
            <w:vAlign w:val="center"/>
          </w:tcPr>
          <w:p w:rsidR="0059130C" w:rsidRDefault="00E9165C">
            <w:pPr>
              <w:overflowPunct w:val="0"/>
              <w:snapToGrid w:val="0"/>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原因：南阳市人民政府关于开展乡镇（街道）综合行政执法工作的通知（宛政〔2023〕10号）</w:t>
            </w:r>
          </w:p>
        </w:tc>
      </w:tr>
    </w:tbl>
    <w:p w:rsidR="0059130C" w:rsidRDefault="0059130C">
      <w:pPr>
        <w:spacing w:line="240" w:lineRule="exact"/>
        <w:rPr>
          <w:rFonts w:ascii="仿宋_GB2312" w:eastAsia="仿宋_GB2312" w:hAnsi="仿宋_GB2312" w:cs="仿宋_GB2312"/>
          <w:color w:val="000000" w:themeColor="text1"/>
          <w:szCs w:val="21"/>
        </w:rPr>
      </w:pPr>
    </w:p>
    <w:p w:rsidR="0059130C" w:rsidRDefault="0059130C">
      <w:pPr>
        <w:pStyle w:val="a0"/>
        <w:rPr>
          <w:rFonts w:ascii="仿宋_GB2312" w:eastAsia="仿宋_GB2312" w:hAnsi="仿宋_GB2312" w:cs="仿宋_GB2312"/>
          <w:color w:val="000000" w:themeColor="text1"/>
          <w:szCs w:val="21"/>
        </w:rPr>
      </w:pPr>
    </w:p>
    <w:p w:rsidR="0059130C" w:rsidRDefault="0059130C">
      <w:pPr>
        <w:rPr>
          <w:rFonts w:ascii="仿宋_GB2312" w:eastAsia="仿宋_GB2312" w:hAnsi="仿宋_GB2312" w:cs="仿宋_GB2312"/>
          <w:color w:val="000000" w:themeColor="text1"/>
          <w:szCs w:val="21"/>
        </w:rPr>
      </w:pPr>
    </w:p>
    <w:tbl>
      <w:tblPr>
        <w:tblW w:w="1604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0" w:type="dxa"/>
          <w:right w:w="0" w:type="dxa"/>
        </w:tblCellMar>
        <w:tblLook w:val="04A0"/>
      </w:tblPr>
      <w:tblGrid>
        <w:gridCol w:w="596"/>
        <w:gridCol w:w="1919"/>
        <w:gridCol w:w="1841"/>
        <w:gridCol w:w="650"/>
        <w:gridCol w:w="638"/>
        <w:gridCol w:w="4887"/>
        <w:gridCol w:w="4148"/>
        <w:gridCol w:w="1368"/>
      </w:tblGrid>
      <w:tr w:rsidR="0059130C">
        <w:trPr>
          <w:trHeight w:val="474"/>
          <w:jc w:val="center"/>
        </w:trPr>
        <w:tc>
          <w:tcPr>
            <w:tcW w:w="596" w:type="dxa"/>
            <w:tcBorders>
              <w:top w:val="single" w:sz="12" w:space="0" w:color="000000"/>
              <w:left w:val="single" w:sz="12"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Times New Roman" w:eastAsia="黑体" w:hAnsi="Times New Roman" w:cs="黑体"/>
                <w:szCs w:val="21"/>
              </w:rPr>
            </w:pPr>
            <w:r>
              <w:rPr>
                <w:rFonts w:ascii="Times New Roman" w:eastAsia="黑体" w:hAnsi="Times New Roman" w:cs="黑体" w:hint="eastAsia"/>
                <w:szCs w:val="21"/>
              </w:rPr>
              <w:lastRenderedPageBreak/>
              <w:t>序号</w:t>
            </w:r>
          </w:p>
        </w:tc>
        <w:tc>
          <w:tcPr>
            <w:tcW w:w="1919" w:type="dxa"/>
            <w:tcBorders>
              <w:top w:val="single" w:sz="12"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szCs w:val="21"/>
              </w:rPr>
            </w:pPr>
            <w:r>
              <w:rPr>
                <w:rFonts w:ascii="Times New Roman" w:eastAsia="黑体" w:hAnsi="Times New Roman" w:cs="黑体" w:hint="eastAsia"/>
                <w:kern w:val="0"/>
                <w:szCs w:val="21"/>
                <w:lang/>
              </w:rPr>
              <w:t>项目名称</w:t>
            </w:r>
          </w:p>
        </w:tc>
        <w:tc>
          <w:tcPr>
            <w:tcW w:w="1841" w:type="dxa"/>
            <w:tcBorders>
              <w:top w:val="single" w:sz="12"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szCs w:val="21"/>
              </w:rPr>
            </w:pPr>
            <w:r>
              <w:rPr>
                <w:rFonts w:ascii="Times New Roman" w:eastAsia="黑体" w:hAnsi="Times New Roman" w:cs="黑体" w:hint="eastAsia"/>
                <w:kern w:val="0"/>
                <w:szCs w:val="21"/>
                <w:lang/>
              </w:rPr>
              <w:t>实施依据</w:t>
            </w:r>
          </w:p>
        </w:tc>
        <w:tc>
          <w:tcPr>
            <w:tcW w:w="650" w:type="dxa"/>
            <w:tcBorders>
              <w:top w:val="single" w:sz="12"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szCs w:val="21"/>
              </w:rPr>
            </w:pPr>
            <w:r>
              <w:rPr>
                <w:rFonts w:ascii="Times New Roman" w:eastAsia="黑体" w:hAnsi="Times New Roman" w:cs="黑体" w:hint="eastAsia"/>
                <w:szCs w:val="21"/>
              </w:rPr>
              <w:t>权职类别</w:t>
            </w:r>
          </w:p>
        </w:tc>
        <w:tc>
          <w:tcPr>
            <w:tcW w:w="638" w:type="dxa"/>
            <w:tcBorders>
              <w:top w:val="single" w:sz="12"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szCs w:val="21"/>
              </w:rPr>
            </w:pPr>
            <w:r>
              <w:rPr>
                <w:rFonts w:ascii="Times New Roman" w:eastAsia="黑体" w:hAnsi="Times New Roman" w:cs="黑体" w:hint="eastAsia"/>
                <w:kern w:val="0"/>
                <w:szCs w:val="21"/>
                <w:lang/>
              </w:rPr>
              <w:t>办理环节</w:t>
            </w:r>
          </w:p>
        </w:tc>
        <w:tc>
          <w:tcPr>
            <w:tcW w:w="4887" w:type="dxa"/>
            <w:tcBorders>
              <w:top w:val="single" w:sz="12"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kern w:val="0"/>
                <w:szCs w:val="21"/>
                <w:lang/>
              </w:rPr>
            </w:pPr>
            <w:r>
              <w:rPr>
                <w:rFonts w:ascii="Times New Roman" w:eastAsia="黑体" w:hAnsi="Times New Roman" w:cs="黑体" w:hint="eastAsia"/>
                <w:kern w:val="0"/>
                <w:szCs w:val="21"/>
                <w:lang/>
              </w:rPr>
              <w:t>责任事项</w:t>
            </w:r>
          </w:p>
        </w:tc>
        <w:tc>
          <w:tcPr>
            <w:tcW w:w="4148" w:type="dxa"/>
            <w:tcBorders>
              <w:top w:val="single" w:sz="12" w:space="0" w:color="000000"/>
              <w:left w:val="single" w:sz="6" w:space="0" w:color="000000"/>
              <w:bottom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kern w:val="0"/>
                <w:szCs w:val="21"/>
                <w:lang/>
              </w:rPr>
            </w:pPr>
            <w:r>
              <w:rPr>
                <w:rFonts w:ascii="Times New Roman" w:eastAsia="黑体" w:hAnsi="Times New Roman" w:cs="黑体" w:hint="eastAsia"/>
                <w:kern w:val="0"/>
                <w:szCs w:val="21"/>
                <w:lang/>
              </w:rPr>
              <w:t>追责情形</w:t>
            </w:r>
          </w:p>
        </w:tc>
        <w:tc>
          <w:tcPr>
            <w:tcW w:w="1368" w:type="dxa"/>
            <w:tcBorders>
              <w:top w:val="single" w:sz="12" w:space="0" w:color="000000"/>
              <w:left w:val="single" w:sz="6" w:space="0" w:color="000000"/>
              <w:bottom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kern w:val="0"/>
                <w:szCs w:val="21"/>
                <w:lang/>
              </w:rPr>
            </w:pPr>
            <w:r>
              <w:rPr>
                <w:rFonts w:ascii="Times New Roman" w:eastAsia="黑体" w:hAnsi="Times New Roman" w:cs="黑体" w:hint="eastAsia"/>
                <w:kern w:val="0"/>
                <w:szCs w:val="21"/>
                <w:lang/>
              </w:rPr>
              <w:t>责任处室</w:t>
            </w:r>
          </w:p>
        </w:tc>
      </w:tr>
      <w:tr w:rsidR="0059130C">
        <w:trPr>
          <w:trHeight w:val="454"/>
          <w:jc w:val="center"/>
        </w:trPr>
        <w:tc>
          <w:tcPr>
            <w:tcW w:w="596" w:type="dxa"/>
            <w:vMerge w:val="restart"/>
            <w:tcBorders>
              <w:top w:val="single" w:sz="6" w:space="0" w:color="000000"/>
              <w:left w:val="single" w:sz="12"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szCs w:val="21"/>
              </w:rPr>
            </w:pPr>
            <w:r>
              <w:rPr>
                <w:rFonts w:cs="仿宋_GB2312" w:hint="eastAsia"/>
                <w:szCs w:val="21"/>
              </w:rPr>
              <w:t>213</w:t>
            </w:r>
          </w:p>
        </w:tc>
        <w:tc>
          <w:tcPr>
            <w:tcW w:w="1919" w:type="dxa"/>
            <w:vMerge w:val="restart"/>
            <w:tcBorders>
              <w:top w:val="single" w:sz="6" w:space="0" w:color="000000"/>
              <w:left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szCs w:val="21"/>
              </w:rPr>
            </w:pPr>
            <w:r>
              <w:rPr>
                <w:rFonts w:ascii="仿宋_GB2312" w:eastAsia="仿宋_GB2312" w:hAnsi="仿宋_GB2312" w:cs="仿宋_GB2312" w:hint="eastAsia"/>
                <w:szCs w:val="21"/>
              </w:rPr>
              <w:t>对擅自占用、挖掘村道的处罚</w:t>
            </w:r>
          </w:p>
        </w:tc>
        <w:tc>
          <w:tcPr>
            <w:tcW w:w="1841" w:type="dxa"/>
            <w:vMerge w:val="restart"/>
            <w:tcBorders>
              <w:top w:val="single" w:sz="6" w:space="0" w:color="000000"/>
              <w:left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rPr>
                <w:rFonts w:ascii="仿宋_GB2312" w:eastAsia="仿宋_GB2312" w:hAnsi="仿宋_GB2312" w:cs="仿宋_GB2312"/>
                <w:kern w:val="0"/>
                <w:szCs w:val="21"/>
                <w:lang/>
              </w:rPr>
            </w:pPr>
            <w:r>
              <w:rPr>
                <w:rFonts w:ascii="仿宋_GB2312" w:eastAsia="仿宋_GB2312" w:hAnsi="仿宋_GB2312" w:cs="仿宋_GB2312" w:hint="eastAsia"/>
                <w:szCs w:val="21"/>
              </w:rPr>
              <w:t>《河南省农村公路条例》第五十三条: 违反本条例规定，有下列行为之一的，由县级交通运输行政主管部门责令停止违法行为，处五百元以上五千元以下的罚款；造成村道损害的，应当限期修复或者予以赔偿：（一）擅自占用、挖掘村道的；（二）从事爆破等危害村道安全作业的；（六）损害或者擅自移动、涂改村道附属设施和标志的。</w:t>
            </w:r>
          </w:p>
        </w:tc>
        <w:tc>
          <w:tcPr>
            <w:tcW w:w="650" w:type="dxa"/>
            <w:vMerge w:val="restart"/>
            <w:tcBorders>
              <w:top w:val="single" w:sz="6" w:space="0" w:color="000000"/>
              <w:left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行政处罚</w:t>
            </w: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val="restart"/>
            <w:tcBorders>
              <w:top w:val="single" w:sz="6" w:space="0" w:color="000000"/>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val="restart"/>
            <w:tcBorders>
              <w:top w:val="single" w:sz="6" w:space="0" w:color="000000"/>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1285"/>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54"/>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rPr>
                <w:rFonts w:ascii="仿宋_GB2312" w:eastAsia="仿宋_GB2312" w:hAnsi="仿宋_GB2312" w:cs="仿宋_GB2312"/>
                <w:kern w:val="0"/>
                <w:szCs w:val="21"/>
                <w:lang/>
              </w:rPr>
            </w:pPr>
          </w:p>
        </w:tc>
      </w:tr>
      <w:tr w:rsidR="0059130C">
        <w:trPr>
          <w:trHeight w:val="945"/>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54"/>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54"/>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54"/>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30"/>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rPr>
                <w:rFonts w:ascii="仿宋_GB2312" w:eastAsia="仿宋_GB2312" w:hAnsi="仿宋_GB2312" w:cs="仿宋_GB2312"/>
                <w:kern w:val="0"/>
                <w:szCs w:val="21"/>
                <w:lang/>
              </w:rPr>
            </w:pPr>
          </w:p>
        </w:tc>
        <w:tc>
          <w:tcPr>
            <w:tcW w:w="4148" w:type="dxa"/>
            <w:vMerge/>
            <w:tcBorders>
              <w:left w:val="single" w:sz="6" w:space="0" w:color="000000"/>
              <w:bottom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rPr>
                <w:rFonts w:ascii="仿宋_GB2312" w:eastAsia="仿宋_GB2312" w:hAnsi="仿宋_GB2312" w:cs="仿宋_GB2312"/>
                <w:szCs w:val="21"/>
              </w:rPr>
            </w:pPr>
          </w:p>
        </w:tc>
        <w:tc>
          <w:tcPr>
            <w:tcW w:w="1368" w:type="dxa"/>
            <w:vMerge/>
            <w:tcBorders>
              <w:left w:val="single" w:sz="6" w:space="0" w:color="000000"/>
              <w:bottom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54"/>
          <w:jc w:val="center"/>
        </w:trPr>
        <w:tc>
          <w:tcPr>
            <w:tcW w:w="16047" w:type="dxa"/>
            <w:gridSpan w:val="8"/>
            <w:tcBorders>
              <w:top w:val="single" w:sz="6" w:space="0" w:color="000000"/>
              <w:left w:val="single" w:sz="12" w:space="0" w:color="000000"/>
              <w:bottom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E9165C">
            <w:pPr>
              <w:overflowPunct w:val="0"/>
              <w:snapToGrid w:val="0"/>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情况：取消</w:t>
            </w:r>
          </w:p>
        </w:tc>
      </w:tr>
      <w:tr w:rsidR="0059130C">
        <w:trPr>
          <w:trHeight w:val="454"/>
          <w:jc w:val="center"/>
        </w:trPr>
        <w:tc>
          <w:tcPr>
            <w:tcW w:w="16047" w:type="dxa"/>
            <w:gridSpan w:val="8"/>
            <w:tcBorders>
              <w:top w:val="single" w:sz="6" w:space="0" w:color="000000"/>
              <w:left w:val="single" w:sz="12" w:space="0" w:color="000000"/>
              <w:bottom w:val="single" w:sz="12" w:space="0" w:color="000000"/>
              <w:right w:val="single" w:sz="12" w:space="0" w:color="000000"/>
            </w:tcBorders>
            <w:shd w:val="clear" w:color="auto" w:fill="auto"/>
            <w:tcMar>
              <w:top w:w="15" w:type="dxa"/>
              <w:left w:w="15" w:type="dxa"/>
              <w:bottom w:w="0" w:type="dxa"/>
              <w:right w:w="15" w:type="dxa"/>
            </w:tcMar>
            <w:vAlign w:val="center"/>
          </w:tcPr>
          <w:p w:rsidR="0059130C" w:rsidRDefault="00E9165C">
            <w:pPr>
              <w:overflowPunct w:val="0"/>
              <w:snapToGrid w:val="0"/>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原因：南阳市人民政府关于开展乡镇（街道）综合行政执法工作的通知（宛政〔2023〕10号）</w:t>
            </w:r>
          </w:p>
        </w:tc>
      </w:tr>
    </w:tbl>
    <w:p w:rsidR="0059130C" w:rsidRDefault="0059130C">
      <w:pPr>
        <w:pStyle w:val="a0"/>
      </w:pPr>
    </w:p>
    <w:p w:rsidR="0059130C" w:rsidRDefault="0059130C"/>
    <w:p w:rsidR="0059130C" w:rsidRDefault="0059130C">
      <w:pPr>
        <w:pStyle w:val="a0"/>
      </w:pPr>
    </w:p>
    <w:p w:rsidR="0059130C" w:rsidRDefault="0059130C"/>
    <w:p w:rsidR="0059130C" w:rsidRDefault="0059130C">
      <w:pPr>
        <w:pStyle w:val="a0"/>
      </w:pPr>
    </w:p>
    <w:p w:rsidR="0059130C" w:rsidRDefault="0059130C"/>
    <w:p w:rsidR="0059130C" w:rsidRDefault="0059130C">
      <w:pPr>
        <w:pStyle w:val="a0"/>
      </w:pPr>
    </w:p>
    <w:tbl>
      <w:tblPr>
        <w:tblW w:w="1604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0" w:type="dxa"/>
          <w:right w:w="0" w:type="dxa"/>
        </w:tblCellMar>
        <w:tblLook w:val="04A0"/>
      </w:tblPr>
      <w:tblGrid>
        <w:gridCol w:w="596"/>
        <w:gridCol w:w="1919"/>
        <w:gridCol w:w="1841"/>
        <w:gridCol w:w="650"/>
        <w:gridCol w:w="638"/>
        <w:gridCol w:w="4887"/>
        <w:gridCol w:w="4148"/>
        <w:gridCol w:w="1368"/>
      </w:tblGrid>
      <w:tr w:rsidR="0059130C">
        <w:trPr>
          <w:trHeight w:val="474"/>
          <w:jc w:val="center"/>
        </w:trPr>
        <w:tc>
          <w:tcPr>
            <w:tcW w:w="596" w:type="dxa"/>
            <w:tcBorders>
              <w:top w:val="single" w:sz="12" w:space="0" w:color="000000"/>
              <w:left w:val="single" w:sz="12"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Times New Roman" w:eastAsia="黑体" w:hAnsi="Times New Roman" w:cs="黑体"/>
                <w:szCs w:val="21"/>
              </w:rPr>
            </w:pPr>
            <w:r>
              <w:rPr>
                <w:rFonts w:ascii="Times New Roman" w:eastAsia="黑体" w:hAnsi="Times New Roman" w:cs="黑体" w:hint="eastAsia"/>
                <w:szCs w:val="21"/>
              </w:rPr>
              <w:lastRenderedPageBreak/>
              <w:t>序号</w:t>
            </w:r>
          </w:p>
        </w:tc>
        <w:tc>
          <w:tcPr>
            <w:tcW w:w="1919" w:type="dxa"/>
            <w:tcBorders>
              <w:top w:val="single" w:sz="12"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szCs w:val="21"/>
              </w:rPr>
            </w:pPr>
            <w:r>
              <w:rPr>
                <w:rFonts w:ascii="Times New Roman" w:eastAsia="黑体" w:hAnsi="Times New Roman" w:cs="黑体" w:hint="eastAsia"/>
                <w:kern w:val="0"/>
                <w:szCs w:val="21"/>
                <w:lang/>
              </w:rPr>
              <w:t>项目名称</w:t>
            </w:r>
          </w:p>
        </w:tc>
        <w:tc>
          <w:tcPr>
            <w:tcW w:w="1841" w:type="dxa"/>
            <w:tcBorders>
              <w:top w:val="single" w:sz="12"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szCs w:val="21"/>
              </w:rPr>
            </w:pPr>
            <w:r>
              <w:rPr>
                <w:rFonts w:ascii="Times New Roman" w:eastAsia="黑体" w:hAnsi="Times New Roman" w:cs="黑体" w:hint="eastAsia"/>
                <w:kern w:val="0"/>
                <w:szCs w:val="21"/>
                <w:lang/>
              </w:rPr>
              <w:t>实施依据</w:t>
            </w:r>
          </w:p>
        </w:tc>
        <w:tc>
          <w:tcPr>
            <w:tcW w:w="650" w:type="dxa"/>
            <w:tcBorders>
              <w:top w:val="single" w:sz="12"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szCs w:val="21"/>
              </w:rPr>
            </w:pPr>
            <w:r>
              <w:rPr>
                <w:rFonts w:ascii="Times New Roman" w:eastAsia="黑体" w:hAnsi="Times New Roman" w:cs="黑体" w:hint="eastAsia"/>
                <w:szCs w:val="21"/>
              </w:rPr>
              <w:t>权职类别</w:t>
            </w:r>
          </w:p>
        </w:tc>
        <w:tc>
          <w:tcPr>
            <w:tcW w:w="638" w:type="dxa"/>
            <w:tcBorders>
              <w:top w:val="single" w:sz="12"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szCs w:val="21"/>
              </w:rPr>
            </w:pPr>
            <w:r>
              <w:rPr>
                <w:rFonts w:ascii="Times New Roman" w:eastAsia="黑体" w:hAnsi="Times New Roman" w:cs="黑体" w:hint="eastAsia"/>
                <w:kern w:val="0"/>
                <w:szCs w:val="21"/>
                <w:lang/>
              </w:rPr>
              <w:t>办理环节</w:t>
            </w:r>
          </w:p>
        </w:tc>
        <w:tc>
          <w:tcPr>
            <w:tcW w:w="4887" w:type="dxa"/>
            <w:tcBorders>
              <w:top w:val="single" w:sz="12"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kern w:val="0"/>
                <w:szCs w:val="21"/>
                <w:lang/>
              </w:rPr>
            </w:pPr>
            <w:r>
              <w:rPr>
                <w:rFonts w:ascii="Times New Roman" w:eastAsia="黑体" w:hAnsi="Times New Roman" w:cs="黑体" w:hint="eastAsia"/>
                <w:kern w:val="0"/>
                <w:szCs w:val="21"/>
                <w:lang/>
              </w:rPr>
              <w:t>责任事项</w:t>
            </w:r>
          </w:p>
        </w:tc>
        <w:tc>
          <w:tcPr>
            <w:tcW w:w="4148" w:type="dxa"/>
            <w:tcBorders>
              <w:top w:val="single" w:sz="12" w:space="0" w:color="000000"/>
              <w:left w:val="single" w:sz="6" w:space="0" w:color="000000"/>
              <w:bottom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kern w:val="0"/>
                <w:szCs w:val="21"/>
                <w:lang/>
              </w:rPr>
            </w:pPr>
            <w:r>
              <w:rPr>
                <w:rFonts w:ascii="Times New Roman" w:eastAsia="黑体" w:hAnsi="Times New Roman" w:cs="黑体" w:hint="eastAsia"/>
                <w:kern w:val="0"/>
                <w:szCs w:val="21"/>
                <w:lang/>
              </w:rPr>
              <w:t>追责情形</w:t>
            </w:r>
          </w:p>
        </w:tc>
        <w:tc>
          <w:tcPr>
            <w:tcW w:w="1368" w:type="dxa"/>
            <w:tcBorders>
              <w:top w:val="single" w:sz="12" w:space="0" w:color="000000"/>
              <w:left w:val="single" w:sz="6" w:space="0" w:color="000000"/>
              <w:bottom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kern w:val="0"/>
                <w:szCs w:val="21"/>
                <w:lang/>
              </w:rPr>
            </w:pPr>
            <w:r>
              <w:rPr>
                <w:rFonts w:ascii="Times New Roman" w:eastAsia="黑体" w:hAnsi="Times New Roman" w:cs="黑体" w:hint="eastAsia"/>
                <w:kern w:val="0"/>
                <w:szCs w:val="21"/>
                <w:lang/>
              </w:rPr>
              <w:t>责任处室</w:t>
            </w:r>
          </w:p>
        </w:tc>
      </w:tr>
      <w:tr w:rsidR="0059130C">
        <w:trPr>
          <w:trHeight w:val="454"/>
          <w:jc w:val="center"/>
        </w:trPr>
        <w:tc>
          <w:tcPr>
            <w:tcW w:w="596" w:type="dxa"/>
            <w:vMerge w:val="restart"/>
            <w:tcBorders>
              <w:top w:val="single" w:sz="6" w:space="0" w:color="000000"/>
              <w:left w:val="single" w:sz="12"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szCs w:val="21"/>
              </w:rPr>
            </w:pPr>
            <w:r>
              <w:rPr>
                <w:rFonts w:cs="仿宋_GB2312" w:hint="eastAsia"/>
                <w:szCs w:val="21"/>
              </w:rPr>
              <w:t>214</w:t>
            </w:r>
          </w:p>
        </w:tc>
        <w:tc>
          <w:tcPr>
            <w:tcW w:w="1919" w:type="dxa"/>
            <w:vMerge w:val="restart"/>
            <w:tcBorders>
              <w:top w:val="single" w:sz="6" w:space="0" w:color="000000"/>
              <w:left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szCs w:val="21"/>
              </w:rPr>
            </w:pPr>
            <w:r>
              <w:rPr>
                <w:rFonts w:ascii="仿宋_GB2312" w:eastAsia="仿宋_GB2312" w:hAnsi="仿宋_GB2312" w:cs="仿宋_GB2312" w:hint="eastAsia"/>
                <w:szCs w:val="21"/>
              </w:rPr>
              <w:t>对从事爆破等危害村道安全作业的处罚</w:t>
            </w:r>
          </w:p>
        </w:tc>
        <w:tc>
          <w:tcPr>
            <w:tcW w:w="1841" w:type="dxa"/>
            <w:vMerge w:val="restart"/>
            <w:tcBorders>
              <w:top w:val="single" w:sz="6" w:space="0" w:color="000000"/>
              <w:left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《河南省农村公路条例》第五十三条: 违反本条例规定，有下列行为之一的，由县级交通运输行政主管部门责令停止违法行为，处五百元以上五千元以下的罚款；造成村道损害的，应当限期修复或者予以赔偿：（一）擅自占用、挖掘村道的；（二）从事爆破等危害村道安全作业的；（六）损害或者擅自移动、涂改村道附属设施和标志的。</w:t>
            </w:r>
          </w:p>
        </w:tc>
        <w:tc>
          <w:tcPr>
            <w:tcW w:w="650" w:type="dxa"/>
            <w:vMerge w:val="restart"/>
            <w:tcBorders>
              <w:top w:val="single" w:sz="6" w:space="0" w:color="000000"/>
              <w:left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行政处罚</w:t>
            </w: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val="restart"/>
            <w:tcBorders>
              <w:top w:val="single" w:sz="6" w:space="0" w:color="000000"/>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val="restart"/>
            <w:tcBorders>
              <w:top w:val="single" w:sz="6" w:space="0" w:color="000000"/>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1285"/>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54"/>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rPr>
                <w:rFonts w:ascii="仿宋_GB2312" w:eastAsia="仿宋_GB2312" w:hAnsi="仿宋_GB2312" w:cs="仿宋_GB2312"/>
                <w:kern w:val="0"/>
                <w:szCs w:val="21"/>
                <w:lang/>
              </w:rPr>
            </w:pPr>
          </w:p>
        </w:tc>
      </w:tr>
      <w:tr w:rsidR="0059130C">
        <w:trPr>
          <w:trHeight w:val="945"/>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54"/>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54"/>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54"/>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30"/>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rPr>
                <w:rFonts w:ascii="仿宋_GB2312" w:eastAsia="仿宋_GB2312" w:hAnsi="仿宋_GB2312" w:cs="仿宋_GB2312"/>
                <w:kern w:val="0"/>
                <w:szCs w:val="21"/>
                <w:lang/>
              </w:rPr>
            </w:pPr>
          </w:p>
        </w:tc>
        <w:tc>
          <w:tcPr>
            <w:tcW w:w="4148" w:type="dxa"/>
            <w:vMerge/>
            <w:tcBorders>
              <w:left w:val="single" w:sz="6" w:space="0" w:color="000000"/>
              <w:bottom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rPr>
                <w:rFonts w:ascii="仿宋_GB2312" w:eastAsia="仿宋_GB2312" w:hAnsi="仿宋_GB2312" w:cs="仿宋_GB2312"/>
                <w:szCs w:val="21"/>
              </w:rPr>
            </w:pPr>
          </w:p>
        </w:tc>
        <w:tc>
          <w:tcPr>
            <w:tcW w:w="1368" w:type="dxa"/>
            <w:vMerge/>
            <w:tcBorders>
              <w:left w:val="single" w:sz="6" w:space="0" w:color="000000"/>
              <w:bottom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54"/>
          <w:jc w:val="center"/>
        </w:trPr>
        <w:tc>
          <w:tcPr>
            <w:tcW w:w="16047" w:type="dxa"/>
            <w:gridSpan w:val="8"/>
            <w:tcBorders>
              <w:top w:val="single" w:sz="6" w:space="0" w:color="000000"/>
              <w:left w:val="single" w:sz="12" w:space="0" w:color="000000"/>
              <w:bottom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E9165C">
            <w:pPr>
              <w:overflowPunct w:val="0"/>
              <w:snapToGrid w:val="0"/>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情况：取消</w:t>
            </w:r>
          </w:p>
        </w:tc>
      </w:tr>
      <w:tr w:rsidR="0059130C">
        <w:trPr>
          <w:trHeight w:val="454"/>
          <w:jc w:val="center"/>
        </w:trPr>
        <w:tc>
          <w:tcPr>
            <w:tcW w:w="16047" w:type="dxa"/>
            <w:gridSpan w:val="8"/>
            <w:tcBorders>
              <w:top w:val="single" w:sz="6" w:space="0" w:color="000000"/>
              <w:left w:val="single" w:sz="12" w:space="0" w:color="000000"/>
              <w:bottom w:val="single" w:sz="12" w:space="0" w:color="000000"/>
              <w:right w:val="single" w:sz="12" w:space="0" w:color="000000"/>
            </w:tcBorders>
            <w:shd w:val="clear" w:color="auto" w:fill="auto"/>
            <w:tcMar>
              <w:top w:w="15" w:type="dxa"/>
              <w:left w:w="15" w:type="dxa"/>
              <w:bottom w:w="0" w:type="dxa"/>
              <w:right w:w="15" w:type="dxa"/>
            </w:tcMar>
            <w:vAlign w:val="center"/>
          </w:tcPr>
          <w:p w:rsidR="0059130C" w:rsidRDefault="00E9165C">
            <w:pPr>
              <w:overflowPunct w:val="0"/>
              <w:snapToGrid w:val="0"/>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原因：南阳市人民政府关于开展乡镇（街道）综合行政执法工作的通知（宛政〔2023〕10号）</w:t>
            </w:r>
          </w:p>
        </w:tc>
      </w:tr>
    </w:tbl>
    <w:p w:rsidR="0059130C" w:rsidRDefault="0059130C"/>
    <w:p w:rsidR="0059130C" w:rsidRDefault="0059130C"/>
    <w:p w:rsidR="0059130C" w:rsidRDefault="0059130C">
      <w:pPr>
        <w:pStyle w:val="a0"/>
      </w:pPr>
    </w:p>
    <w:p w:rsidR="0059130C" w:rsidRDefault="0059130C"/>
    <w:p w:rsidR="0059130C" w:rsidRDefault="0059130C">
      <w:pPr>
        <w:pStyle w:val="a0"/>
      </w:pPr>
    </w:p>
    <w:p w:rsidR="0059130C" w:rsidRDefault="0059130C"/>
    <w:tbl>
      <w:tblPr>
        <w:tblW w:w="1604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0" w:type="dxa"/>
          <w:right w:w="0" w:type="dxa"/>
        </w:tblCellMar>
        <w:tblLook w:val="04A0"/>
      </w:tblPr>
      <w:tblGrid>
        <w:gridCol w:w="596"/>
        <w:gridCol w:w="1919"/>
        <w:gridCol w:w="1841"/>
        <w:gridCol w:w="650"/>
        <w:gridCol w:w="638"/>
        <w:gridCol w:w="4887"/>
        <w:gridCol w:w="4148"/>
        <w:gridCol w:w="1368"/>
      </w:tblGrid>
      <w:tr w:rsidR="0059130C">
        <w:trPr>
          <w:trHeight w:val="474"/>
          <w:jc w:val="center"/>
        </w:trPr>
        <w:tc>
          <w:tcPr>
            <w:tcW w:w="596" w:type="dxa"/>
            <w:tcBorders>
              <w:top w:val="single" w:sz="12" w:space="0" w:color="000000"/>
              <w:left w:val="single" w:sz="12"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Times New Roman" w:eastAsia="黑体" w:hAnsi="Times New Roman" w:cs="黑体"/>
                <w:szCs w:val="21"/>
              </w:rPr>
            </w:pPr>
            <w:r>
              <w:rPr>
                <w:rFonts w:ascii="Times New Roman" w:eastAsia="黑体" w:hAnsi="Times New Roman" w:cs="黑体" w:hint="eastAsia"/>
                <w:szCs w:val="21"/>
              </w:rPr>
              <w:lastRenderedPageBreak/>
              <w:t>序号</w:t>
            </w:r>
          </w:p>
        </w:tc>
        <w:tc>
          <w:tcPr>
            <w:tcW w:w="1919" w:type="dxa"/>
            <w:tcBorders>
              <w:top w:val="single" w:sz="12"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szCs w:val="21"/>
              </w:rPr>
            </w:pPr>
            <w:r>
              <w:rPr>
                <w:rFonts w:ascii="Times New Roman" w:eastAsia="黑体" w:hAnsi="Times New Roman" w:cs="黑体" w:hint="eastAsia"/>
                <w:kern w:val="0"/>
                <w:szCs w:val="21"/>
                <w:lang/>
              </w:rPr>
              <w:t>项目名称</w:t>
            </w:r>
          </w:p>
        </w:tc>
        <w:tc>
          <w:tcPr>
            <w:tcW w:w="1841" w:type="dxa"/>
            <w:tcBorders>
              <w:top w:val="single" w:sz="12"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szCs w:val="21"/>
              </w:rPr>
            </w:pPr>
            <w:r>
              <w:rPr>
                <w:rFonts w:ascii="Times New Roman" w:eastAsia="黑体" w:hAnsi="Times New Roman" w:cs="黑体" w:hint="eastAsia"/>
                <w:kern w:val="0"/>
                <w:szCs w:val="21"/>
                <w:lang/>
              </w:rPr>
              <w:t>实施依据</w:t>
            </w:r>
          </w:p>
        </w:tc>
        <w:tc>
          <w:tcPr>
            <w:tcW w:w="650" w:type="dxa"/>
            <w:tcBorders>
              <w:top w:val="single" w:sz="12"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szCs w:val="21"/>
              </w:rPr>
            </w:pPr>
            <w:r>
              <w:rPr>
                <w:rFonts w:ascii="Times New Roman" w:eastAsia="黑体" w:hAnsi="Times New Roman" w:cs="黑体" w:hint="eastAsia"/>
                <w:szCs w:val="21"/>
              </w:rPr>
              <w:t>权职类别</w:t>
            </w:r>
          </w:p>
        </w:tc>
        <w:tc>
          <w:tcPr>
            <w:tcW w:w="638" w:type="dxa"/>
            <w:tcBorders>
              <w:top w:val="single" w:sz="12"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szCs w:val="21"/>
              </w:rPr>
            </w:pPr>
            <w:r>
              <w:rPr>
                <w:rFonts w:ascii="Times New Roman" w:eastAsia="黑体" w:hAnsi="Times New Roman" w:cs="黑体" w:hint="eastAsia"/>
                <w:kern w:val="0"/>
                <w:szCs w:val="21"/>
                <w:lang/>
              </w:rPr>
              <w:t>办理环节</w:t>
            </w:r>
          </w:p>
        </w:tc>
        <w:tc>
          <w:tcPr>
            <w:tcW w:w="4887" w:type="dxa"/>
            <w:tcBorders>
              <w:top w:val="single" w:sz="12"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kern w:val="0"/>
                <w:szCs w:val="21"/>
                <w:lang/>
              </w:rPr>
            </w:pPr>
            <w:r>
              <w:rPr>
                <w:rFonts w:ascii="Times New Roman" w:eastAsia="黑体" w:hAnsi="Times New Roman" w:cs="黑体" w:hint="eastAsia"/>
                <w:kern w:val="0"/>
                <w:szCs w:val="21"/>
                <w:lang/>
              </w:rPr>
              <w:t>责任事项</w:t>
            </w:r>
          </w:p>
        </w:tc>
        <w:tc>
          <w:tcPr>
            <w:tcW w:w="4148" w:type="dxa"/>
            <w:tcBorders>
              <w:top w:val="single" w:sz="12" w:space="0" w:color="000000"/>
              <w:left w:val="single" w:sz="6" w:space="0" w:color="000000"/>
              <w:bottom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kern w:val="0"/>
                <w:szCs w:val="21"/>
                <w:lang/>
              </w:rPr>
            </w:pPr>
            <w:r>
              <w:rPr>
                <w:rFonts w:ascii="Times New Roman" w:eastAsia="黑体" w:hAnsi="Times New Roman" w:cs="黑体" w:hint="eastAsia"/>
                <w:kern w:val="0"/>
                <w:szCs w:val="21"/>
                <w:lang/>
              </w:rPr>
              <w:t>追责情形</w:t>
            </w:r>
          </w:p>
        </w:tc>
        <w:tc>
          <w:tcPr>
            <w:tcW w:w="1368" w:type="dxa"/>
            <w:tcBorders>
              <w:top w:val="single" w:sz="12" w:space="0" w:color="000000"/>
              <w:left w:val="single" w:sz="6" w:space="0" w:color="000000"/>
              <w:bottom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kern w:val="0"/>
                <w:szCs w:val="21"/>
                <w:lang/>
              </w:rPr>
            </w:pPr>
            <w:r>
              <w:rPr>
                <w:rFonts w:ascii="Times New Roman" w:eastAsia="黑体" w:hAnsi="Times New Roman" w:cs="黑体" w:hint="eastAsia"/>
                <w:kern w:val="0"/>
                <w:szCs w:val="21"/>
                <w:lang/>
              </w:rPr>
              <w:t>责任处室</w:t>
            </w:r>
          </w:p>
        </w:tc>
      </w:tr>
      <w:tr w:rsidR="0059130C">
        <w:trPr>
          <w:trHeight w:val="454"/>
          <w:jc w:val="center"/>
        </w:trPr>
        <w:tc>
          <w:tcPr>
            <w:tcW w:w="596" w:type="dxa"/>
            <w:vMerge w:val="restart"/>
            <w:tcBorders>
              <w:top w:val="single" w:sz="6" w:space="0" w:color="000000"/>
              <w:left w:val="single" w:sz="12"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szCs w:val="21"/>
              </w:rPr>
            </w:pPr>
            <w:r>
              <w:rPr>
                <w:rFonts w:cs="仿宋_GB2312" w:hint="eastAsia"/>
                <w:szCs w:val="21"/>
              </w:rPr>
              <w:t>215</w:t>
            </w:r>
          </w:p>
        </w:tc>
        <w:tc>
          <w:tcPr>
            <w:tcW w:w="1919" w:type="dxa"/>
            <w:vMerge w:val="restart"/>
            <w:tcBorders>
              <w:top w:val="single" w:sz="6" w:space="0" w:color="000000"/>
              <w:left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szCs w:val="21"/>
              </w:rPr>
            </w:pPr>
            <w:r>
              <w:rPr>
                <w:rFonts w:ascii="仿宋_GB2312" w:eastAsia="仿宋_GB2312" w:hAnsi="仿宋_GB2312" w:cs="仿宋_GB2312" w:hint="eastAsia"/>
                <w:szCs w:val="21"/>
              </w:rPr>
              <w:t>对损坏或者擅自移动、涂改村道附属设施和标志的处罚</w:t>
            </w:r>
          </w:p>
        </w:tc>
        <w:tc>
          <w:tcPr>
            <w:tcW w:w="1841" w:type="dxa"/>
            <w:vMerge w:val="restart"/>
            <w:tcBorders>
              <w:top w:val="single" w:sz="6" w:space="0" w:color="000000"/>
              <w:left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rPr>
                <w:rFonts w:ascii="仿宋_GB2312" w:eastAsia="仿宋_GB2312" w:hAnsi="仿宋_GB2312" w:cs="仿宋_GB2312"/>
                <w:kern w:val="0"/>
                <w:szCs w:val="21"/>
                <w:lang/>
              </w:rPr>
            </w:pPr>
            <w:r>
              <w:rPr>
                <w:rFonts w:ascii="仿宋_GB2312" w:eastAsia="仿宋_GB2312" w:hAnsi="仿宋_GB2312" w:cs="仿宋_GB2312" w:hint="eastAsia"/>
                <w:kern w:val="0"/>
                <w:szCs w:val="21"/>
                <w:lang/>
              </w:rPr>
              <w:t>《河南省农村公路条例》第五十三条: 违反本条例规定，有下列行为之一的，由县级交通运输行政主管部门责令停止违法行为，处五百元以上五千元以下的罚款；造成村道损害的，应当限期修复或者予以赔偿：（一）擅自占用、挖掘村道的；（二）从事爆破等危害村道安全作业的；（六）损害或者擅自移动、涂改村道附属设施和标志的。</w:t>
            </w:r>
          </w:p>
        </w:tc>
        <w:tc>
          <w:tcPr>
            <w:tcW w:w="650" w:type="dxa"/>
            <w:vMerge w:val="restart"/>
            <w:tcBorders>
              <w:top w:val="single" w:sz="6" w:space="0" w:color="000000"/>
              <w:left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行政处罚</w:t>
            </w: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val="restart"/>
            <w:tcBorders>
              <w:top w:val="single" w:sz="6" w:space="0" w:color="000000"/>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val="restart"/>
            <w:tcBorders>
              <w:top w:val="single" w:sz="6" w:space="0" w:color="000000"/>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1285"/>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54"/>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rPr>
                <w:rFonts w:ascii="仿宋_GB2312" w:eastAsia="仿宋_GB2312" w:hAnsi="仿宋_GB2312" w:cs="仿宋_GB2312"/>
                <w:kern w:val="0"/>
                <w:szCs w:val="21"/>
                <w:lang/>
              </w:rPr>
            </w:pPr>
          </w:p>
        </w:tc>
      </w:tr>
      <w:tr w:rsidR="0059130C">
        <w:trPr>
          <w:trHeight w:val="945"/>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54"/>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54"/>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54"/>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30"/>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rPr>
                <w:rFonts w:ascii="仿宋_GB2312" w:eastAsia="仿宋_GB2312" w:hAnsi="仿宋_GB2312" w:cs="仿宋_GB2312"/>
                <w:kern w:val="0"/>
                <w:szCs w:val="21"/>
                <w:lang/>
              </w:rPr>
            </w:pPr>
          </w:p>
        </w:tc>
        <w:tc>
          <w:tcPr>
            <w:tcW w:w="4148" w:type="dxa"/>
            <w:vMerge/>
            <w:tcBorders>
              <w:left w:val="single" w:sz="6" w:space="0" w:color="000000"/>
              <w:bottom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rPr>
                <w:rFonts w:ascii="仿宋_GB2312" w:eastAsia="仿宋_GB2312" w:hAnsi="仿宋_GB2312" w:cs="仿宋_GB2312"/>
                <w:szCs w:val="21"/>
              </w:rPr>
            </w:pPr>
          </w:p>
        </w:tc>
        <w:tc>
          <w:tcPr>
            <w:tcW w:w="1368" w:type="dxa"/>
            <w:vMerge/>
            <w:tcBorders>
              <w:left w:val="single" w:sz="6" w:space="0" w:color="000000"/>
              <w:bottom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54"/>
          <w:jc w:val="center"/>
        </w:trPr>
        <w:tc>
          <w:tcPr>
            <w:tcW w:w="16047" w:type="dxa"/>
            <w:gridSpan w:val="8"/>
            <w:tcBorders>
              <w:top w:val="single" w:sz="6" w:space="0" w:color="000000"/>
              <w:left w:val="single" w:sz="12" w:space="0" w:color="000000"/>
              <w:bottom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E9165C">
            <w:pPr>
              <w:overflowPunct w:val="0"/>
              <w:snapToGrid w:val="0"/>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情况：取消</w:t>
            </w:r>
          </w:p>
        </w:tc>
      </w:tr>
      <w:tr w:rsidR="0059130C">
        <w:trPr>
          <w:trHeight w:val="454"/>
          <w:jc w:val="center"/>
        </w:trPr>
        <w:tc>
          <w:tcPr>
            <w:tcW w:w="16047" w:type="dxa"/>
            <w:gridSpan w:val="8"/>
            <w:tcBorders>
              <w:top w:val="single" w:sz="6" w:space="0" w:color="000000"/>
              <w:left w:val="single" w:sz="12" w:space="0" w:color="000000"/>
              <w:bottom w:val="single" w:sz="12" w:space="0" w:color="000000"/>
              <w:right w:val="single" w:sz="12" w:space="0" w:color="000000"/>
            </w:tcBorders>
            <w:shd w:val="clear" w:color="auto" w:fill="auto"/>
            <w:tcMar>
              <w:top w:w="15" w:type="dxa"/>
              <w:left w:w="15" w:type="dxa"/>
              <w:bottom w:w="0" w:type="dxa"/>
              <w:right w:w="15" w:type="dxa"/>
            </w:tcMar>
            <w:vAlign w:val="center"/>
          </w:tcPr>
          <w:p w:rsidR="0059130C" w:rsidRDefault="00E9165C">
            <w:pPr>
              <w:overflowPunct w:val="0"/>
              <w:snapToGrid w:val="0"/>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原因：南阳市人民政府关于开展乡镇（街道）综合行政执法工作的通知（宛政〔2023〕10号）</w:t>
            </w:r>
          </w:p>
        </w:tc>
      </w:tr>
    </w:tbl>
    <w:p w:rsidR="0059130C" w:rsidRDefault="0059130C"/>
    <w:p w:rsidR="0059130C" w:rsidRDefault="0059130C">
      <w:pPr>
        <w:spacing w:line="240" w:lineRule="exact"/>
        <w:rPr>
          <w:rFonts w:ascii="仿宋_GB2312" w:eastAsia="仿宋_GB2312" w:hAnsi="仿宋_GB2312" w:cs="仿宋_GB2312"/>
          <w:color w:val="000000" w:themeColor="text1"/>
          <w:szCs w:val="21"/>
        </w:rPr>
      </w:pPr>
    </w:p>
    <w:p w:rsidR="0059130C" w:rsidRDefault="0059130C">
      <w:pPr>
        <w:spacing w:line="240" w:lineRule="exact"/>
        <w:rPr>
          <w:rFonts w:ascii="仿宋_GB2312" w:eastAsia="仿宋_GB2312" w:hAnsi="仿宋_GB2312" w:cs="仿宋_GB2312"/>
          <w:color w:val="000000" w:themeColor="text1"/>
          <w:szCs w:val="21"/>
        </w:rPr>
      </w:pPr>
    </w:p>
    <w:p w:rsidR="0059130C" w:rsidRDefault="0059130C">
      <w:pPr>
        <w:spacing w:line="240" w:lineRule="exact"/>
        <w:rPr>
          <w:rFonts w:ascii="仿宋_GB2312" w:eastAsia="仿宋_GB2312" w:hAnsi="仿宋_GB2312" w:cs="仿宋_GB2312"/>
          <w:color w:val="000000" w:themeColor="text1"/>
          <w:szCs w:val="21"/>
        </w:rPr>
      </w:pPr>
    </w:p>
    <w:p w:rsidR="0059130C" w:rsidRDefault="0059130C">
      <w:pPr>
        <w:spacing w:line="240" w:lineRule="exact"/>
        <w:rPr>
          <w:rFonts w:ascii="仿宋_GB2312" w:eastAsia="仿宋_GB2312" w:hAnsi="仿宋_GB2312" w:cs="仿宋_GB2312"/>
          <w:color w:val="000000" w:themeColor="text1"/>
          <w:szCs w:val="21"/>
        </w:rPr>
      </w:pPr>
    </w:p>
    <w:p w:rsidR="0059130C" w:rsidRDefault="0059130C">
      <w:pPr>
        <w:spacing w:line="240" w:lineRule="exact"/>
        <w:rPr>
          <w:rFonts w:ascii="仿宋_GB2312" w:eastAsia="仿宋_GB2312" w:hAnsi="仿宋_GB2312" w:cs="仿宋_GB2312"/>
          <w:color w:val="000000" w:themeColor="text1"/>
          <w:szCs w:val="21"/>
        </w:rPr>
      </w:pPr>
    </w:p>
    <w:p w:rsidR="0059130C" w:rsidRDefault="0059130C">
      <w:pPr>
        <w:spacing w:line="240" w:lineRule="exact"/>
        <w:rPr>
          <w:rFonts w:ascii="仿宋_GB2312" w:eastAsia="仿宋_GB2312" w:hAnsi="仿宋_GB2312" w:cs="仿宋_GB2312"/>
          <w:color w:val="000000" w:themeColor="text1"/>
          <w:szCs w:val="21"/>
        </w:rPr>
      </w:pPr>
    </w:p>
    <w:p w:rsidR="0059130C" w:rsidRDefault="0059130C">
      <w:pPr>
        <w:spacing w:line="240" w:lineRule="exact"/>
        <w:rPr>
          <w:rFonts w:ascii="仿宋_GB2312" w:eastAsia="仿宋_GB2312" w:hAnsi="仿宋_GB2312" w:cs="仿宋_GB2312"/>
          <w:color w:val="000000" w:themeColor="text1"/>
          <w:szCs w:val="21"/>
        </w:rPr>
      </w:pPr>
    </w:p>
    <w:p w:rsidR="0059130C" w:rsidRDefault="0059130C">
      <w:pPr>
        <w:spacing w:line="240" w:lineRule="exact"/>
        <w:rPr>
          <w:rFonts w:ascii="仿宋_GB2312" w:eastAsia="仿宋_GB2312" w:hAnsi="仿宋_GB2312" w:cs="仿宋_GB2312"/>
          <w:color w:val="000000" w:themeColor="text1"/>
          <w:szCs w:val="21"/>
        </w:rPr>
      </w:pPr>
    </w:p>
    <w:p w:rsidR="0059130C" w:rsidRDefault="0059130C">
      <w:pPr>
        <w:spacing w:line="240" w:lineRule="exact"/>
        <w:rPr>
          <w:rFonts w:ascii="仿宋_GB2312" w:eastAsia="仿宋_GB2312" w:hAnsi="仿宋_GB2312" w:cs="仿宋_GB2312"/>
          <w:color w:val="000000" w:themeColor="text1"/>
          <w:szCs w:val="21"/>
        </w:rPr>
      </w:pPr>
    </w:p>
    <w:p w:rsidR="0059130C" w:rsidRDefault="0059130C">
      <w:pPr>
        <w:spacing w:line="240" w:lineRule="exact"/>
        <w:rPr>
          <w:rFonts w:ascii="仿宋_GB2312" w:eastAsia="仿宋_GB2312" w:hAnsi="仿宋_GB2312" w:cs="仿宋_GB2312"/>
          <w:color w:val="000000" w:themeColor="text1"/>
          <w:szCs w:val="21"/>
        </w:rPr>
      </w:pPr>
    </w:p>
    <w:tbl>
      <w:tblPr>
        <w:tblW w:w="1604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0" w:type="dxa"/>
          <w:right w:w="0" w:type="dxa"/>
        </w:tblCellMar>
        <w:tblLook w:val="04A0"/>
      </w:tblPr>
      <w:tblGrid>
        <w:gridCol w:w="596"/>
        <w:gridCol w:w="1919"/>
        <w:gridCol w:w="1841"/>
        <w:gridCol w:w="650"/>
        <w:gridCol w:w="638"/>
        <w:gridCol w:w="4887"/>
        <w:gridCol w:w="4148"/>
        <w:gridCol w:w="1368"/>
      </w:tblGrid>
      <w:tr w:rsidR="0059130C">
        <w:trPr>
          <w:trHeight w:val="474"/>
          <w:jc w:val="center"/>
        </w:trPr>
        <w:tc>
          <w:tcPr>
            <w:tcW w:w="596" w:type="dxa"/>
            <w:tcBorders>
              <w:top w:val="single" w:sz="12" w:space="0" w:color="000000"/>
              <w:left w:val="single" w:sz="12"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Times New Roman" w:eastAsia="黑体" w:hAnsi="Times New Roman" w:cs="黑体"/>
                <w:szCs w:val="21"/>
              </w:rPr>
            </w:pPr>
            <w:r>
              <w:rPr>
                <w:rFonts w:ascii="Times New Roman" w:eastAsia="黑体" w:hAnsi="Times New Roman" w:cs="黑体" w:hint="eastAsia"/>
                <w:szCs w:val="21"/>
              </w:rPr>
              <w:t>序号</w:t>
            </w:r>
          </w:p>
        </w:tc>
        <w:tc>
          <w:tcPr>
            <w:tcW w:w="1919" w:type="dxa"/>
            <w:tcBorders>
              <w:top w:val="single" w:sz="12"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szCs w:val="21"/>
              </w:rPr>
            </w:pPr>
            <w:r>
              <w:rPr>
                <w:rFonts w:ascii="Times New Roman" w:eastAsia="黑体" w:hAnsi="Times New Roman" w:cs="黑体" w:hint="eastAsia"/>
                <w:kern w:val="0"/>
                <w:szCs w:val="21"/>
                <w:lang/>
              </w:rPr>
              <w:t>项目名称</w:t>
            </w:r>
          </w:p>
        </w:tc>
        <w:tc>
          <w:tcPr>
            <w:tcW w:w="1841" w:type="dxa"/>
            <w:tcBorders>
              <w:top w:val="single" w:sz="12"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szCs w:val="21"/>
              </w:rPr>
            </w:pPr>
            <w:r>
              <w:rPr>
                <w:rFonts w:ascii="Times New Roman" w:eastAsia="黑体" w:hAnsi="Times New Roman" w:cs="黑体" w:hint="eastAsia"/>
                <w:kern w:val="0"/>
                <w:szCs w:val="21"/>
                <w:lang/>
              </w:rPr>
              <w:t>实施依据</w:t>
            </w:r>
          </w:p>
        </w:tc>
        <w:tc>
          <w:tcPr>
            <w:tcW w:w="650" w:type="dxa"/>
            <w:tcBorders>
              <w:top w:val="single" w:sz="12"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szCs w:val="21"/>
              </w:rPr>
            </w:pPr>
            <w:r>
              <w:rPr>
                <w:rFonts w:ascii="Times New Roman" w:eastAsia="黑体" w:hAnsi="Times New Roman" w:cs="黑体" w:hint="eastAsia"/>
                <w:szCs w:val="21"/>
              </w:rPr>
              <w:t>权职类别</w:t>
            </w:r>
          </w:p>
        </w:tc>
        <w:tc>
          <w:tcPr>
            <w:tcW w:w="638" w:type="dxa"/>
            <w:tcBorders>
              <w:top w:val="single" w:sz="12"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szCs w:val="21"/>
              </w:rPr>
            </w:pPr>
            <w:r>
              <w:rPr>
                <w:rFonts w:ascii="Times New Roman" w:eastAsia="黑体" w:hAnsi="Times New Roman" w:cs="黑体" w:hint="eastAsia"/>
                <w:kern w:val="0"/>
                <w:szCs w:val="21"/>
                <w:lang/>
              </w:rPr>
              <w:t>办理环节</w:t>
            </w:r>
          </w:p>
        </w:tc>
        <w:tc>
          <w:tcPr>
            <w:tcW w:w="4887" w:type="dxa"/>
            <w:tcBorders>
              <w:top w:val="single" w:sz="12"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kern w:val="0"/>
                <w:szCs w:val="21"/>
                <w:lang/>
              </w:rPr>
            </w:pPr>
            <w:r>
              <w:rPr>
                <w:rFonts w:ascii="Times New Roman" w:eastAsia="黑体" w:hAnsi="Times New Roman" w:cs="黑体" w:hint="eastAsia"/>
                <w:kern w:val="0"/>
                <w:szCs w:val="21"/>
                <w:lang/>
              </w:rPr>
              <w:t>责任事项</w:t>
            </w:r>
          </w:p>
        </w:tc>
        <w:tc>
          <w:tcPr>
            <w:tcW w:w="4148" w:type="dxa"/>
            <w:tcBorders>
              <w:top w:val="single" w:sz="12" w:space="0" w:color="000000"/>
              <w:left w:val="single" w:sz="6" w:space="0" w:color="000000"/>
              <w:bottom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kern w:val="0"/>
                <w:szCs w:val="21"/>
                <w:lang/>
              </w:rPr>
            </w:pPr>
            <w:r>
              <w:rPr>
                <w:rFonts w:ascii="Times New Roman" w:eastAsia="黑体" w:hAnsi="Times New Roman" w:cs="黑体" w:hint="eastAsia"/>
                <w:kern w:val="0"/>
                <w:szCs w:val="21"/>
                <w:lang/>
              </w:rPr>
              <w:t>追责情形</w:t>
            </w:r>
          </w:p>
        </w:tc>
        <w:tc>
          <w:tcPr>
            <w:tcW w:w="1368" w:type="dxa"/>
            <w:tcBorders>
              <w:top w:val="single" w:sz="12" w:space="0" w:color="000000"/>
              <w:left w:val="single" w:sz="6" w:space="0" w:color="000000"/>
              <w:bottom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Times New Roman" w:eastAsia="黑体" w:hAnsi="Times New Roman" w:cs="黑体"/>
                <w:kern w:val="0"/>
                <w:szCs w:val="21"/>
                <w:lang/>
              </w:rPr>
            </w:pPr>
            <w:r>
              <w:rPr>
                <w:rFonts w:ascii="Times New Roman" w:eastAsia="黑体" w:hAnsi="Times New Roman" w:cs="黑体" w:hint="eastAsia"/>
                <w:kern w:val="0"/>
                <w:szCs w:val="21"/>
                <w:lang/>
              </w:rPr>
              <w:t>责任处室</w:t>
            </w:r>
          </w:p>
        </w:tc>
      </w:tr>
      <w:tr w:rsidR="0059130C">
        <w:trPr>
          <w:trHeight w:val="454"/>
          <w:jc w:val="center"/>
        </w:trPr>
        <w:tc>
          <w:tcPr>
            <w:tcW w:w="596" w:type="dxa"/>
            <w:vMerge w:val="restart"/>
            <w:tcBorders>
              <w:top w:val="single" w:sz="6" w:space="0" w:color="000000"/>
              <w:left w:val="single" w:sz="12"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szCs w:val="21"/>
              </w:rPr>
            </w:pPr>
            <w:r>
              <w:rPr>
                <w:rFonts w:cs="仿宋_GB2312" w:hint="eastAsia"/>
                <w:szCs w:val="21"/>
              </w:rPr>
              <w:t>216</w:t>
            </w:r>
          </w:p>
        </w:tc>
        <w:tc>
          <w:tcPr>
            <w:tcW w:w="1919" w:type="dxa"/>
            <w:vMerge w:val="restart"/>
            <w:tcBorders>
              <w:top w:val="single" w:sz="6" w:space="0" w:color="000000"/>
              <w:left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szCs w:val="21"/>
              </w:rPr>
            </w:pPr>
            <w:r>
              <w:rPr>
                <w:rFonts w:ascii="仿宋_GB2312" w:eastAsia="仿宋_GB2312" w:hAnsi="仿宋_GB2312" w:cs="仿宋_GB2312" w:hint="eastAsia"/>
                <w:szCs w:val="21"/>
              </w:rPr>
              <w:t>对在村道公路建筑区内修建建筑物、构筑物或者擅自驾驶、埋设管线、电缆等设施的处罚</w:t>
            </w:r>
          </w:p>
        </w:tc>
        <w:tc>
          <w:tcPr>
            <w:tcW w:w="1841" w:type="dxa"/>
            <w:vMerge w:val="restart"/>
            <w:tcBorders>
              <w:top w:val="single" w:sz="6" w:space="0" w:color="000000"/>
              <w:left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rPr>
                <w:rFonts w:ascii="仿宋_GB2312" w:eastAsia="仿宋_GB2312" w:hAnsi="仿宋_GB2312" w:cs="仿宋_GB2312"/>
                <w:kern w:val="0"/>
                <w:szCs w:val="21"/>
                <w:lang/>
              </w:rPr>
            </w:pPr>
            <w:r>
              <w:rPr>
                <w:rFonts w:ascii="仿宋_GB2312" w:eastAsia="仿宋_GB2312" w:hAnsi="仿宋_GB2312" w:cs="仿宋_GB2312" w:hint="eastAsia"/>
                <w:szCs w:val="21"/>
              </w:rPr>
              <w:t>《河南省农村公路条例》第五十四条:违反本条例规定，在村道公路建筑区内修建建筑物、构筑物或者擅自驾驶、埋设管线、电缆等设施的，由县级交通运输行政主管部门责令限期拆除，并处五千元以上三万元以下的罚款。逾期不拆除的，县级交通运输行政主管部门可以委托乡（镇）人民政府组织拆除；因拆除所产生的有关费用由建筑物、构筑物所有人承担。</w:t>
            </w:r>
          </w:p>
        </w:tc>
        <w:tc>
          <w:tcPr>
            <w:tcW w:w="650" w:type="dxa"/>
            <w:vMerge w:val="restart"/>
            <w:tcBorders>
              <w:top w:val="single" w:sz="6" w:space="0" w:color="000000"/>
              <w:left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textAlignment w:val="center"/>
              <w:rPr>
                <w:rFonts w:ascii="仿宋_GB2312" w:eastAsia="仿宋_GB2312" w:hAnsi="仿宋_GB2312" w:cs="仿宋_GB2312"/>
                <w:szCs w:val="21"/>
              </w:rPr>
            </w:pPr>
            <w:r>
              <w:rPr>
                <w:rFonts w:ascii="仿宋_GB2312" w:eastAsia="仿宋_GB2312" w:hAnsi="仿宋_GB2312" w:cs="仿宋_GB2312" w:hint="eastAsia"/>
                <w:szCs w:val="21"/>
              </w:rPr>
              <w:t>行政处罚</w:t>
            </w: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立案</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val="restart"/>
            <w:tcBorders>
              <w:top w:val="single" w:sz="6" w:space="0" w:color="000000"/>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val="restart"/>
            <w:tcBorders>
              <w:top w:val="single" w:sz="6" w:space="0" w:color="000000"/>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1285"/>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调查</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54"/>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审查</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rPr>
                <w:rFonts w:ascii="仿宋_GB2312" w:eastAsia="仿宋_GB2312" w:hAnsi="仿宋_GB2312" w:cs="仿宋_GB2312"/>
                <w:kern w:val="0"/>
                <w:szCs w:val="21"/>
                <w:lang/>
              </w:rPr>
            </w:pPr>
          </w:p>
        </w:tc>
      </w:tr>
      <w:tr w:rsidR="0059130C">
        <w:trPr>
          <w:trHeight w:val="945"/>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告知</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54"/>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决定</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54"/>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送达</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54"/>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2E22CA">
            <w:pPr>
              <w:overflowPunct w:val="0"/>
              <w:snapToGrid w:val="0"/>
              <w:jc w:val="center"/>
              <w:rPr>
                <w:rFonts w:ascii="仿宋_GB2312" w:eastAsia="仿宋_GB2312" w:hAnsi="仿宋_GB2312" w:cs="仿宋_GB2312"/>
                <w:kern w:val="0"/>
                <w:szCs w:val="21"/>
                <w:lang/>
              </w:rPr>
            </w:pPr>
            <w:r>
              <w:rPr>
                <w:rFonts w:ascii="仿宋_GB2312" w:eastAsia="仿宋_GB2312" w:hAnsi="仿宋_GB2312" w:cs="仿宋_GB2312" w:hint="eastAsia"/>
                <w:szCs w:val="21"/>
              </w:rPr>
              <w:t>执行</w:t>
            </w: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414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left"/>
              <w:rPr>
                <w:rFonts w:ascii="仿宋_GB2312" w:eastAsia="仿宋_GB2312" w:hAnsi="仿宋_GB2312" w:cs="仿宋_GB2312"/>
                <w:szCs w:val="21"/>
              </w:rPr>
            </w:pPr>
          </w:p>
        </w:tc>
        <w:tc>
          <w:tcPr>
            <w:tcW w:w="1368" w:type="dxa"/>
            <w:vMerge/>
            <w:tcBorders>
              <w:left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30"/>
          <w:jc w:val="center"/>
        </w:trPr>
        <w:tc>
          <w:tcPr>
            <w:tcW w:w="596" w:type="dxa"/>
            <w:vMerge/>
            <w:tcBorders>
              <w:left w:val="single" w:sz="12"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1919"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1841"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kern w:val="0"/>
                <w:szCs w:val="21"/>
                <w:lang/>
              </w:rPr>
            </w:pPr>
          </w:p>
        </w:tc>
        <w:tc>
          <w:tcPr>
            <w:tcW w:w="650" w:type="dxa"/>
            <w:vMerge/>
            <w:tcBorders>
              <w:left w:val="single" w:sz="6" w:space="0" w:color="000000"/>
              <w:right w:val="single" w:sz="6" w:space="0" w:color="000000"/>
            </w:tcBorders>
            <w:shd w:val="clear" w:color="auto" w:fill="auto"/>
            <w:vAlign w:val="center"/>
          </w:tcPr>
          <w:p w:rsidR="0059130C" w:rsidRDefault="0059130C">
            <w:pPr>
              <w:overflowPunct w:val="0"/>
              <w:snapToGrid w:val="0"/>
              <w:jc w:val="left"/>
              <w:rPr>
                <w:rFonts w:ascii="仿宋_GB2312" w:eastAsia="仿宋_GB2312" w:hAnsi="仿宋_GB2312" w:cs="仿宋_GB2312"/>
                <w:szCs w:val="21"/>
              </w:rPr>
            </w:pPr>
          </w:p>
        </w:tc>
        <w:tc>
          <w:tcPr>
            <w:tcW w:w="638"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c>
          <w:tcPr>
            <w:tcW w:w="4887" w:type="dxa"/>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0" w:type="dxa"/>
              <w:right w:w="15" w:type="dxa"/>
            </w:tcMar>
            <w:vAlign w:val="center"/>
          </w:tcPr>
          <w:p w:rsidR="0059130C" w:rsidRDefault="0059130C">
            <w:pPr>
              <w:overflowPunct w:val="0"/>
              <w:snapToGrid w:val="0"/>
              <w:rPr>
                <w:rFonts w:ascii="仿宋_GB2312" w:eastAsia="仿宋_GB2312" w:hAnsi="仿宋_GB2312" w:cs="仿宋_GB2312"/>
                <w:kern w:val="0"/>
                <w:szCs w:val="21"/>
                <w:lang/>
              </w:rPr>
            </w:pPr>
          </w:p>
        </w:tc>
        <w:tc>
          <w:tcPr>
            <w:tcW w:w="4148" w:type="dxa"/>
            <w:vMerge/>
            <w:tcBorders>
              <w:left w:val="single" w:sz="6" w:space="0" w:color="000000"/>
              <w:bottom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rPr>
                <w:rFonts w:ascii="仿宋_GB2312" w:eastAsia="仿宋_GB2312" w:hAnsi="仿宋_GB2312" w:cs="仿宋_GB2312"/>
                <w:szCs w:val="21"/>
              </w:rPr>
            </w:pPr>
          </w:p>
        </w:tc>
        <w:tc>
          <w:tcPr>
            <w:tcW w:w="1368" w:type="dxa"/>
            <w:vMerge/>
            <w:tcBorders>
              <w:left w:val="single" w:sz="6" w:space="0" w:color="000000"/>
              <w:bottom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59130C">
            <w:pPr>
              <w:overflowPunct w:val="0"/>
              <w:snapToGrid w:val="0"/>
              <w:jc w:val="center"/>
              <w:rPr>
                <w:rFonts w:ascii="仿宋_GB2312" w:eastAsia="仿宋_GB2312" w:hAnsi="仿宋_GB2312" w:cs="仿宋_GB2312"/>
                <w:kern w:val="0"/>
                <w:szCs w:val="21"/>
                <w:lang/>
              </w:rPr>
            </w:pPr>
          </w:p>
        </w:tc>
      </w:tr>
      <w:tr w:rsidR="0059130C">
        <w:trPr>
          <w:trHeight w:val="454"/>
          <w:jc w:val="center"/>
        </w:trPr>
        <w:tc>
          <w:tcPr>
            <w:tcW w:w="16047" w:type="dxa"/>
            <w:gridSpan w:val="8"/>
            <w:tcBorders>
              <w:top w:val="single" w:sz="6" w:space="0" w:color="000000"/>
              <w:left w:val="single" w:sz="12" w:space="0" w:color="000000"/>
              <w:bottom w:val="single" w:sz="6" w:space="0" w:color="000000"/>
              <w:right w:val="single" w:sz="12" w:space="0" w:color="000000"/>
            </w:tcBorders>
            <w:shd w:val="clear" w:color="auto" w:fill="auto"/>
            <w:tcMar>
              <w:top w:w="15" w:type="dxa"/>
              <w:left w:w="15" w:type="dxa"/>
              <w:bottom w:w="0" w:type="dxa"/>
              <w:right w:w="15" w:type="dxa"/>
            </w:tcMar>
            <w:vAlign w:val="center"/>
          </w:tcPr>
          <w:p w:rsidR="0059130C" w:rsidRDefault="00E9165C">
            <w:pPr>
              <w:overflowPunct w:val="0"/>
              <w:snapToGrid w:val="0"/>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情况：取消</w:t>
            </w:r>
          </w:p>
        </w:tc>
      </w:tr>
      <w:tr w:rsidR="0059130C">
        <w:trPr>
          <w:trHeight w:val="454"/>
          <w:jc w:val="center"/>
        </w:trPr>
        <w:tc>
          <w:tcPr>
            <w:tcW w:w="16047" w:type="dxa"/>
            <w:gridSpan w:val="8"/>
            <w:tcBorders>
              <w:top w:val="single" w:sz="6" w:space="0" w:color="000000"/>
              <w:left w:val="single" w:sz="12" w:space="0" w:color="000000"/>
              <w:bottom w:val="single" w:sz="12" w:space="0" w:color="000000"/>
              <w:right w:val="single" w:sz="12" w:space="0" w:color="000000"/>
            </w:tcBorders>
            <w:shd w:val="clear" w:color="auto" w:fill="auto"/>
            <w:tcMar>
              <w:top w:w="15" w:type="dxa"/>
              <w:left w:w="15" w:type="dxa"/>
              <w:bottom w:w="0" w:type="dxa"/>
              <w:right w:w="15" w:type="dxa"/>
            </w:tcMar>
            <w:vAlign w:val="center"/>
          </w:tcPr>
          <w:p w:rsidR="0059130C" w:rsidRDefault="00E9165C">
            <w:pPr>
              <w:overflowPunct w:val="0"/>
              <w:snapToGrid w:val="0"/>
              <w:rPr>
                <w:rFonts w:ascii="仿宋_GB2312" w:eastAsia="仿宋_GB2312" w:hAnsi="仿宋_GB2312" w:cs="仿宋_GB2312"/>
                <w:szCs w:val="21"/>
              </w:rPr>
            </w:pPr>
            <w:r>
              <w:rPr>
                <w:rFonts w:ascii="仿宋_GB2312" w:eastAsia="仿宋_GB2312" w:hAnsi="仿宋_GB2312" w:cs="仿宋_GB2312" w:hint="eastAsia"/>
                <w:szCs w:val="21"/>
              </w:rPr>
              <w:t>调整</w:t>
            </w:r>
            <w:r w:rsidR="002E22CA">
              <w:rPr>
                <w:rFonts w:ascii="仿宋_GB2312" w:eastAsia="仿宋_GB2312" w:hAnsi="仿宋_GB2312" w:cs="仿宋_GB2312" w:hint="eastAsia"/>
                <w:szCs w:val="21"/>
              </w:rPr>
              <w:t>原因：南阳市人民政府关于开展乡镇（街道）综合行政执法工作的通知（宛政〔2023〕10号）</w:t>
            </w:r>
          </w:p>
        </w:tc>
      </w:tr>
    </w:tbl>
    <w:p w:rsidR="0059130C" w:rsidRDefault="0059130C">
      <w:pPr>
        <w:spacing w:line="240" w:lineRule="exact"/>
        <w:rPr>
          <w:rFonts w:ascii="仿宋_GB2312" w:eastAsia="仿宋_GB2312" w:hAnsi="仿宋_GB2312" w:cs="仿宋_GB2312"/>
          <w:color w:val="000000" w:themeColor="text1"/>
          <w:szCs w:val="21"/>
        </w:rPr>
      </w:pPr>
    </w:p>
    <w:p w:rsidR="0059130C" w:rsidRDefault="0059130C">
      <w:pPr>
        <w:spacing w:line="240" w:lineRule="exact"/>
        <w:rPr>
          <w:rFonts w:ascii="仿宋_GB2312" w:eastAsia="仿宋_GB2312" w:hAnsi="仿宋_GB2312" w:cs="仿宋_GB2312"/>
          <w:color w:val="000000" w:themeColor="text1"/>
          <w:szCs w:val="21"/>
        </w:rPr>
      </w:pPr>
    </w:p>
    <w:p w:rsidR="0059130C" w:rsidRDefault="0059130C">
      <w:pPr>
        <w:spacing w:line="240" w:lineRule="exact"/>
        <w:rPr>
          <w:rFonts w:ascii="仿宋_GB2312" w:eastAsia="仿宋_GB2312" w:hAnsi="仿宋_GB2312" w:cs="仿宋_GB2312"/>
          <w:color w:val="000000" w:themeColor="text1"/>
          <w:szCs w:val="21"/>
        </w:rPr>
      </w:pPr>
    </w:p>
    <w:p w:rsidR="0059130C" w:rsidRDefault="0059130C">
      <w:pPr>
        <w:spacing w:line="240" w:lineRule="exact"/>
        <w:rPr>
          <w:rFonts w:ascii="仿宋_GB2312" w:eastAsia="仿宋_GB2312" w:hAnsi="仿宋_GB2312" w:cs="仿宋_GB2312"/>
          <w:color w:val="000000" w:themeColor="text1"/>
          <w:szCs w:val="21"/>
        </w:rPr>
      </w:pPr>
    </w:p>
    <w:p w:rsidR="0059130C" w:rsidRDefault="0059130C">
      <w:pPr>
        <w:spacing w:line="240" w:lineRule="exact"/>
        <w:rPr>
          <w:rFonts w:ascii="仿宋_GB2312" w:eastAsia="仿宋_GB2312" w:hAnsi="仿宋_GB2312" w:cs="仿宋_GB2312"/>
          <w:color w:val="000000" w:themeColor="text1"/>
          <w:szCs w:val="21"/>
        </w:rPr>
      </w:pPr>
    </w:p>
    <w:p w:rsidR="0059130C" w:rsidRDefault="0059130C">
      <w:pPr>
        <w:spacing w:line="240" w:lineRule="exact"/>
        <w:rPr>
          <w:rFonts w:ascii="仿宋_GB2312" w:eastAsia="仿宋_GB2312" w:hAnsi="仿宋_GB2312" w:cs="仿宋_GB2312"/>
          <w:color w:val="000000" w:themeColor="text1"/>
          <w:szCs w:val="21"/>
        </w:rPr>
      </w:pPr>
    </w:p>
    <w:p w:rsidR="0059130C" w:rsidRDefault="0059130C">
      <w:pPr>
        <w:spacing w:line="240" w:lineRule="exact"/>
        <w:rPr>
          <w:rFonts w:ascii="仿宋_GB2312" w:eastAsia="仿宋_GB2312" w:hAnsi="仿宋_GB2312" w:cs="仿宋_GB2312"/>
          <w:color w:val="000000" w:themeColor="text1"/>
          <w:szCs w:val="21"/>
        </w:rPr>
      </w:pPr>
    </w:p>
    <w:p w:rsidR="0059130C" w:rsidRDefault="002E22CA">
      <w:pPr>
        <w:spacing w:line="240" w:lineRule="exact"/>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br w:type="page"/>
      </w:r>
    </w:p>
    <w:tbl>
      <w:tblPr>
        <w:tblW w:w="13693" w:type="dxa"/>
        <w:jc w:val="center"/>
        <w:tblLayout w:type="fixed"/>
        <w:tblCellMar>
          <w:left w:w="15" w:type="dxa"/>
          <w:right w:w="15" w:type="dxa"/>
        </w:tblCellMar>
        <w:tblLook w:val="04A0"/>
      </w:tblPr>
      <w:tblGrid>
        <w:gridCol w:w="717"/>
        <w:gridCol w:w="1603"/>
        <w:gridCol w:w="2567"/>
        <w:gridCol w:w="833"/>
        <w:gridCol w:w="1167"/>
        <w:gridCol w:w="5216"/>
        <w:gridCol w:w="1590"/>
      </w:tblGrid>
      <w:tr w:rsidR="0059130C">
        <w:trPr>
          <w:trHeight w:val="907"/>
          <w:jc w:val="center"/>
        </w:trPr>
        <w:tc>
          <w:tcPr>
            <w:tcW w:w="717" w:type="dxa"/>
            <w:tcBorders>
              <w:top w:val="single" w:sz="4" w:space="0" w:color="000000"/>
              <w:left w:val="single" w:sz="4" w:space="0" w:color="000000"/>
              <w:bottom w:val="single" w:sz="4" w:space="0" w:color="000000"/>
              <w:right w:val="single" w:sz="4" w:space="0" w:color="000000"/>
            </w:tcBorders>
            <w:vAlign w:val="center"/>
          </w:tcPr>
          <w:p w:rsidR="0059130C" w:rsidRDefault="002E22CA">
            <w:pPr>
              <w:pStyle w:val="a0"/>
              <w:spacing w:after="0" w:line="240" w:lineRule="exact"/>
              <w:jc w:val="center"/>
              <w:rPr>
                <w:rFonts w:ascii="黑体" w:eastAsia="黑体" w:hAnsi="黑体" w:cs="黑体"/>
                <w:color w:val="000000" w:themeColor="text1"/>
                <w:szCs w:val="21"/>
              </w:rPr>
            </w:pPr>
            <w:r>
              <w:rPr>
                <w:rFonts w:ascii="黑体" w:eastAsia="黑体" w:hAnsi="黑体" w:cs="黑体" w:hint="eastAsia"/>
                <w:color w:val="000000" w:themeColor="text1"/>
                <w:szCs w:val="21"/>
              </w:rPr>
              <w:lastRenderedPageBreak/>
              <w:t>序号</w:t>
            </w:r>
          </w:p>
        </w:tc>
        <w:tc>
          <w:tcPr>
            <w:tcW w:w="160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项目名称</w:t>
            </w:r>
          </w:p>
        </w:tc>
        <w:tc>
          <w:tcPr>
            <w:tcW w:w="2567"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实施依据</w:t>
            </w:r>
          </w:p>
        </w:tc>
        <w:tc>
          <w:tcPr>
            <w:tcW w:w="833"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职权</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类别</w:t>
            </w:r>
          </w:p>
        </w:tc>
        <w:tc>
          <w:tcPr>
            <w:tcW w:w="1167"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办理</w:t>
            </w:r>
          </w:p>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环节</w:t>
            </w:r>
          </w:p>
        </w:tc>
        <w:tc>
          <w:tcPr>
            <w:tcW w:w="5216"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责任事项</w:t>
            </w:r>
          </w:p>
        </w:tc>
        <w:tc>
          <w:tcPr>
            <w:tcW w:w="1590" w:type="dxa"/>
            <w:tcBorders>
              <w:top w:val="single" w:sz="4" w:space="0" w:color="000000"/>
              <w:left w:val="single" w:sz="4" w:space="0" w:color="000000"/>
              <w:bottom w:val="single" w:sz="4" w:space="0" w:color="000000"/>
              <w:right w:val="single" w:sz="4" w:space="0" w:color="000000"/>
            </w:tcBorders>
            <w:vAlign w:val="center"/>
          </w:tcPr>
          <w:p w:rsidR="0059130C" w:rsidRDefault="002E22CA">
            <w:pPr>
              <w:autoSpaceDN w:val="0"/>
              <w:spacing w:line="240" w:lineRule="exact"/>
              <w:jc w:val="center"/>
              <w:textAlignment w:val="center"/>
              <w:rPr>
                <w:rFonts w:ascii="黑体" w:eastAsia="黑体" w:hAnsi="黑体" w:cs="黑体"/>
                <w:color w:val="000000" w:themeColor="text1"/>
                <w:szCs w:val="21"/>
              </w:rPr>
            </w:pPr>
            <w:r>
              <w:rPr>
                <w:rFonts w:ascii="黑体" w:eastAsia="黑体" w:hAnsi="黑体" w:cs="黑体" w:hint="eastAsia"/>
                <w:color w:val="000000" w:themeColor="text1"/>
                <w:szCs w:val="21"/>
              </w:rPr>
              <w:t>责任股室</w:t>
            </w:r>
          </w:p>
        </w:tc>
      </w:tr>
      <w:tr w:rsidR="0059130C">
        <w:trPr>
          <w:trHeight w:val="907"/>
          <w:jc w:val="center"/>
        </w:trPr>
        <w:tc>
          <w:tcPr>
            <w:tcW w:w="717" w:type="dxa"/>
            <w:vMerge w:val="restart"/>
            <w:tcBorders>
              <w:top w:val="single" w:sz="4" w:space="0" w:color="000000"/>
              <w:left w:val="single" w:sz="4" w:space="0" w:color="000000"/>
              <w:right w:val="single" w:sz="4" w:space="0" w:color="000000"/>
            </w:tcBorders>
            <w:vAlign w:val="center"/>
          </w:tcPr>
          <w:p w:rsidR="0059130C" w:rsidRDefault="002E22CA">
            <w:pPr>
              <w:autoSpaceDN w:val="0"/>
              <w:spacing w:line="240" w:lineRule="exact"/>
              <w:jc w:val="center"/>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217</w:t>
            </w:r>
          </w:p>
        </w:tc>
        <w:tc>
          <w:tcPr>
            <w:tcW w:w="1603"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color w:val="000000" w:themeColor="text1"/>
                <w:sz w:val="21"/>
                <w:szCs w:val="21"/>
              </w:rPr>
            </w:pPr>
            <w:r>
              <w:rPr>
                <w:rFonts w:ascii="仿宋_GB2312" w:eastAsia="仿宋_GB2312" w:hAnsi="仿宋_GB2312" w:cs="仿宋_GB2312" w:hint="eastAsia"/>
                <w:sz w:val="21"/>
                <w:szCs w:val="21"/>
              </w:rPr>
              <w:t>应当报废的船舶、浮动设施在内河航行或者作业的，由海事管理机构责令停航或者停止作业，并对船舶、浮动设施予以没收的强制措施</w:t>
            </w:r>
          </w:p>
        </w:tc>
        <w:tc>
          <w:tcPr>
            <w:tcW w:w="2567" w:type="dxa"/>
            <w:vMerge w:val="restart"/>
            <w:tcBorders>
              <w:top w:val="single" w:sz="4" w:space="0" w:color="000000"/>
              <w:left w:val="single" w:sz="4" w:space="0" w:color="000000"/>
              <w:right w:val="single" w:sz="4" w:space="0" w:color="000000"/>
            </w:tcBorders>
            <w:vAlign w:val="center"/>
          </w:tcPr>
          <w:p w:rsidR="0059130C" w:rsidRDefault="002E22CA">
            <w:pPr>
              <w:pStyle w:val="a6"/>
              <w:spacing w:beforeAutospacing="0" w:afterAutospacing="0" w:line="240" w:lineRule="exact"/>
              <w:rPr>
                <w:rFonts w:ascii="仿宋_GB2312" w:eastAsia="仿宋_GB2312" w:hAnsi="仿宋_GB2312" w:cs="仿宋_GB2312"/>
                <w:sz w:val="21"/>
                <w:szCs w:val="21"/>
              </w:rPr>
            </w:pPr>
            <w:r>
              <w:rPr>
                <w:rFonts w:ascii="仿宋_GB2312" w:eastAsia="仿宋_GB2312" w:hAnsi="仿宋_GB2312" w:cs="仿宋_GB2312" w:hint="eastAsia"/>
                <w:sz w:val="21"/>
                <w:szCs w:val="21"/>
              </w:rPr>
              <w:t>《中华人民共和国内河交通安全管理条例》（2019年3月2日国务院令第709号）第六十三条：“违反本条例的规定，应当报废的船舶、浮动设施在内河航行或者作业的，由海事管理机构责令停航或者停止作业，并对船舶、浮动设施予以没收。”</w:t>
            </w:r>
          </w:p>
          <w:p w:rsidR="0059130C" w:rsidRDefault="0059130C">
            <w:pPr>
              <w:pStyle w:val="a6"/>
              <w:spacing w:beforeAutospacing="0" w:afterAutospacing="0" w:line="240" w:lineRule="exact"/>
              <w:rPr>
                <w:rFonts w:ascii="仿宋_GB2312" w:eastAsia="仿宋_GB2312" w:hAnsi="仿宋_GB2312" w:cs="仿宋_GB2312"/>
                <w:sz w:val="21"/>
                <w:szCs w:val="21"/>
              </w:rPr>
            </w:pPr>
          </w:p>
        </w:tc>
        <w:tc>
          <w:tcPr>
            <w:tcW w:w="833" w:type="dxa"/>
            <w:vMerge w:val="restart"/>
            <w:tcBorders>
              <w:top w:val="single" w:sz="4" w:space="0" w:color="000000"/>
              <w:left w:val="single" w:sz="4" w:space="0" w:color="000000"/>
              <w:right w:val="single" w:sz="4" w:space="0" w:color="000000"/>
            </w:tcBorders>
            <w:vAlign w:val="center"/>
          </w:tcPr>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行政</w:t>
            </w:r>
          </w:p>
          <w:p w:rsidR="0059130C" w:rsidRDefault="002E22CA">
            <w:pPr>
              <w:spacing w:line="240" w:lineRule="exact"/>
              <w:jc w:val="center"/>
              <w:rPr>
                <w:rFonts w:ascii="仿宋_GB2312" w:eastAsia="仿宋_GB2312" w:hAnsi="仿宋_GB2312" w:cs="仿宋_GB2312"/>
                <w:color w:val="000000" w:themeColor="text1"/>
                <w:kern w:val="0"/>
                <w:szCs w:val="21"/>
                <w:lang/>
              </w:rPr>
            </w:pPr>
            <w:r>
              <w:rPr>
                <w:rFonts w:ascii="仿宋_GB2312" w:eastAsia="仿宋_GB2312" w:hAnsi="仿宋_GB2312" w:cs="仿宋_GB2312" w:hint="eastAsia"/>
                <w:color w:val="000000" w:themeColor="text1"/>
                <w:kern w:val="0"/>
                <w:szCs w:val="21"/>
                <w:lang/>
              </w:rPr>
              <w:t>强制</w:t>
            </w:r>
          </w:p>
        </w:tc>
        <w:tc>
          <w:tcPr>
            <w:tcW w:w="1167" w:type="dxa"/>
            <w:tcBorders>
              <w:top w:val="single" w:sz="4" w:space="0" w:color="000000"/>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216" w:type="dxa"/>
            <w:tcBorders>
              <w:top w:val="single" w:sz="4" w:space="0" w:color="000000"/>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val="restart"/>
            <w:tcBorders>
              <w:top w:val="single" w:sz="4" w:space="0" w:color="000000"/>
              <w:left w:val="single" w:sz="4" w:space="0" w:color="000000"/>
              <w:right w:val="single" w:sz="4" w:space="0" w:color="000000"/>
            </w:tcBorders>
            <w:vAlign w:val="center"/>
          </w:tcPr>
          <w:p w:rsidR="0059130C" w:rsidRDefault="0059130C">
            <w:pPr>
              <w:autoSpaceDN w:val="0"/>
              <w:spacing w:line="240" w:lineRule="exact"/>
              <w:jc w:val="left"/>
              <w:textAlignment w:val="center"/>
              <w:rPr>
                <w:rFonts w:ascii="仿宋_GB2312" w:eastAsia="仿宋_GB2312" w:hAnsi="仿宋_GB2312" w:cs="仿宋_GB2312"/>
                <w:color w:val="000000" w:themeColor="text1"/>
                <w:szCs w:val="21"/>
              </w:rPr>
            </w:pPr>
          </w:p>
        </w:tc>
      </w:tr>
      <w:tr w:rsidR="0059130C">
        <w:trPr>
          <w:trHeight w:val="907"/>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216"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216"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216"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216"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216"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216" w:type="dxa"/>
            <w:tcBorders>
              <w:top w:val="single" w:sz="4" w:space="0" w:color="auto"/>
              <w:left w:val="single" w:sz="4" w:space="0" w:color="000000"/>
              <w:bottom w:val="single" w:sz="4" w:space="0" w:color="auto"/>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kern w:val="0"/>
                <w:szCs w:val="21"/>
                <w:lang/>
              </w:rPr>
            </w:pPr>
          </w:p>
        </w:tc>
        <w:tc>
          <w:tcPr>
            <w:tcW w:w="1590" w:type="dxa"/>
            <w:vMerge/>
            <w:tcBorders>
              <w:left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r>
      <w:tr w:rsidR="0059130C">
        <w:trPr>
          <w:trHeight w:val="907"/>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60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left"/>
              <w:rPr>
                <w:rFonts w:ascii="仿宋_GB2312" w:eastAsia="仿宋_GB2312" w:hAnsi="仿宋_GB2312" w:cs="仿宋_GB2312"/>
                <w:color w:val="000000" w:themeColor="text1"/>
                <w:szCs w:val="21"/>
              </w:rPr>
            </w:pPr>
          </w:p>
        </w:tc>
        <w:tc>
          <w:tcPr>
            <w:tcW w:w="2567"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c>
          <w:tcPr>
            <w:tcW w:w="833" w:type="dxa"/>
            <w:vMerge/>
            <w:tcBorders>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1167"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jc w:val="center"/>
              <w:rPr>
                <w:rFonts w:ascii="仿宋_GB2312" w:eastAsia="仿宋_GB2312" w:hAnsi="仿宋_GB2312" w:cs="仿宋_GB2312"/>
                <w:color w:val="000000" w:themeColor="text1"/>
                <w:kern w:val="0"/>
                <w:szCs w:val="21"/>
                <w:lang/>
              </w:rPr>
            </w:pPr>
          </w:p>
        </w:tc>
        <w:tc>
          <w:tcPr>
            <w:tcW w:w="5216" w:type="dxa"/>
            <w:tcBorders>
              <w:top w:val="single" w:sz="4" w:space="0" w:color="auto"/>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kern w:val="0"/>
                <w:szCs w:val="21"/>
                <w:lang/>
              </w:rPr>
            </w:pPr>
          </w:p>
        </w:tc>
        <w:tc>
          <w:tcPr>
            <w:tcW w:w="1590" w:type="dxa"/>
            <w:vMerge/>
            <w:tcBorders>
              <w:left w:val="single" w:sz="4" w:space="0" w:color="000000"/>
              <w:bottom w:val="single" w:sz="4" w:space="0" w:color="000000"/>
              <w:right w:val="single" w:sz="4" w:space="0" w:color="000000"/>
            </w:tcBorders>
            <w:vAlign w:val="center"/>
          </w:tcPr>
          <w:p w:rsidR="0059130C" w:rsidRDefault="0059130C">
            <w:pPr>
              <w:spacing w:line="240" w:lineRule="exact"/>
              <w:rPr>
                <w:rFonts w:ascii="仿宋_GB2312" w:eastAsia="仿宋_GB2312" w:hAnsi="仿宋_GB2312" w:cs="仿宋_GB2312"/>
                <w:color w:val="000000" w:themeColor="text1"/>
                <w:szCs w:val="21"/>
              </w:rPr>
            </w:pPr>
          </w:p>
        </w:tc>
      </w:tr>
      <w:tr w:rsidR="0059130C">
        <w:trPr>
          <w:trHeight w:val="334"/>
          <w:jc w:val="center"/>
        </w:trPr>
        <w:tc>
          <w:tcPr>
            <w:tcW w:w="717" w:type="dxa"/>
            <w:vMerge/>
            <w:tcBorders>
              <w:left w:val="single" w:sz="4" w:space="0" w:color="000000"/>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76"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情况：取消</w:t>
            </w:r>
          </w:p>
        </w:tc>
      </w:tr>
      <w:tr w:rsidR="0059130C">
        <w:trPr>
          <w:trHeight w:val="419"/>
          <w:jc w:val="center"/>
        </w:trPr>
        <w:tc>
          <w:tcPr>
            <w:tcW w:w="717" w:type="dxa"/>
            <w:vMerge/>
            <w:tcBorders>
              <w:left w:val="single" w:sz="4" w:space="0" w:color="000000"/>
              <w:bottom w:val="single" w:sz="4" w:space="0" w:color="auto"/>
              <w:right w:val="single" w:sz="4" w:space="0" w:color="000000"/>
            </w:tcBorders>
            <w:vAlign w:val="center"/>
          </w:tcPr>
          <w:p w:rsidR="0059130C" w:rsidRDefault="0059130C">
            <w:pPr>
              <w:autoSpaceDN w:val="0"/>
              <w:spacing w:line="240" w:lineRule="exact"/>
              <w:jc w:val="center"/>
              <w:textAlignment w:val="center"/>
              <w:rPr>
                <w:rFonts w:ascii="仿宋_GB2312" w:eastAsia="仿宋_GB2312" w:hAnsi="仿宋_GB2312" w:cs="仿宋_GB2312"/>
                <w:color w:val="000000" w:themeColor="text1"/>
                <w:szCs w:val="21"/>
              </w:rPr>
            </w:pPr>
          </w:p>
        </w:tc>
        <w:tc>
          <w:tcPr>
            <w:tcW w:w="12976" w:type="dxa"/>
            <w:gridSpan w:val="6"/>
            <w:tcBorders>
              <w:top w:val="single" w:sz="4" w:space="0" w:color="000000"/>
              <w:left w:val="single" w:sz="4" w:space="0" w:color="000000"/>
              <w:bottom w:val="single" w:sz="4" w:space="0" w:color="000000"/>
              <w:right w:val="single" w:sz="4" w:space="0" w:color="000000"/>
            </w:tcBorders>
            <w:vAlign w:val="center"/>
          </w:tcPr>
          <w:p w:rsidR="0059130C" w:rsidRDefault="00E9165C">
            <w:pPr>
              <w:autoSpaceDN w:val="0"/>
              <w:spacing w:line="240" w:lineRule="exact"/>
              <w:jc w:val="left"/>
              <w:textAlignment w:val="center"/>
              <w:rPr>
                <w:rFonts w:ascii="仿宋_GB2312" w:eastAsia="仿宋_GB2312" w:hAnsi="仿宋_GB2312" w:cs="仿宋_GB2312"/>
                <w:color w:val="000000" w:themeColor="text1"/>
                <w:szCs w:val="21"/>
              </w:rPr>
            </w:pPr>
            <w:r>
              <w:rPr>
                <w:rFonts w:ascii="仿宋_GB2312" w:eastAsia="仿宋_GB2312" w:hAnsi="仿宋_GB2312" w:cs="仿宋_GB2312" w:hint="eastAsia"/>
                <w:color w:val="000000" w:themeColor="text1"/>
                <w:szCs w:val="21"/>
              </w:rPr>
              <w:t>调整</w:t>
            </w:r>
            <w:r w:rsidR="002E22CA">
              <w:rPr>
                <w:rFonts w:ascii="仿宋_GB2312" w:eastAsia="仿宋_GB2312" w:hAnsi="仿宋_GB2312" w:cs="仿宋_GB2312" w:hint="eastAsia"/>
                <w:color w:val="000000" w:themeColor="text1"/>
                <w:szCs w:val="21"/>
              </w:rPr>
              <w:t>原因：此事项梳理错误，改为行政处罚</w:t>
            </w:r>
          </w:p>
        </w:tc>
      </w:tr>
    </w:tbl>
    <w:p w:rsidR="0059130C" w:rsidRDefault="0059130C">
      <w:pPr>
        <w:spacing w:line="240" w:lineRule="exact"/>
        <w:rPr>
          <w:rFonts w:ascii="仿宋_GB2312" w:eastAsia="仿宋_GB2312" w:hAnsi="仿宋_GB2312" w:cs="仿宋_GB2312"/>
          <w:szCs w:val="21"/>
        </w:rPr>
      </w:pPr>
    </w:p>
    <w:sectPr w:rsidR="0059130C" w:rsidSect="0059130C">
      <w:footerReference w:type="default" r:id="rId38"/>
      <w:pgSz w:w="16838" w:h="11906" w:orient="landscape"/>
      <w:pgMar w:top="1417" w:right="1134" w:bottom="1134" w:left="1134" w:header="851" w:footer="992" w:gutter="0"/>
      <w:pgNumType w:fmt="numberInDash" w:start="1"/>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E4254" w:rsidRDefault="00FE4254" w:rsidP="0059130C">
      <w:r>
        <w:separator/>
      </w:r>
    </w:p>
  </w:endnote>
  <w:endnote w:type="continuationSeparator" w:id="0">
    <w:p w:rsidR="00FE4254" w:rsidRDefault="00FE4254" w:rsidP="0059130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embedRegular r:id="rId1" w:subsetted="1" w:fontKey="{DE6C6F22-7E8C-44BE-B79A-3E16AA88CB62}"/>
  </w:font>
  <w:font w:name="黑体">
    <w:altName w:val="SimHei"/>
    <w:panose1 w:val="02010609060101010101"/>
    <w:charset w:val="86"/>
    <w:family w:val="modern"/>
    <w:pitch w:val="fixed"/>
    <w:sig w:usb0="800002BF" w:usb1="38CF7CFA" w:usb2="00000016" w:usb3="00000000" w:csb0="00040001" w:csb1="00000000"/>
    <w:embedRegular r:id="rId2" w:subsetted="1" w:fontKey="{1929E78F-A648-49E1-AA53-146E848B7277}"/>
  </w:font>
  <w:font w:name="仿宋_GB2312">
    <w:panose1 w:val="02010609030101010101"/>
    <w:charset w:val="86"/>
    <w:family w:val="modern"/>
    <w:pitch w:val="fixed"/>
    <w:sig w:usb0="00000001" w:usb1="080E0000" w:usb2="00000010" w:usb3="00000000" w:csb0="00040000" w:csb1="00000000"/>
    <w:embedRegular r:id="rId3" w:subsetted="1" w:fontKey="{CB15518F-18B7-4605-ADC1-1CCB97593ABD}"/>
  </w:font>
  <w:font w:name="方正小标宋_GBK">
    <w:charset w:val="86"/>
    <w:family w:val="auto"/>
    <w:pitch w:val="default"/>
    <w:sig w:usb0="00000001" w:usb1="080E0000" w:usb2="00000000" w:usb3="00000000" w:csb0="00040000" w:csb1="00000000"/>
    <w:embedRegular r:id="rId4" w:subsetted="1" w:fontKey="{9BDB4D85-AB34-4209-8564-F4FC9FF4385B}"/>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165C" w:rsidRDefault="00E9165C">
    <w:pPr>
      <w:pStyle w:val="a4"/>
    </w:pPr>
    <w:r>
      <w:pict>
        <v:shapetype id="_x0000_t202" coordsize="21600,21600" o:spt="202" path="m,l,21600r21600,l21600,xe">
          <v:stroke joinstyle="miter"/>
          <v:path gradientshapeok="t" o:connecttype="rect"/>
        </v:shapetype>
        <v:shape id="_x0000_s1026" type="#_x0000_t202" style="position:absolute;margin-left:0;margin-top:0;width:2in;height:2in;z-index:251659264;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filled="f" stroked="f" strokeweight=".5pt">
          <v:textbox style="mso-fit-shape-to-text:t" inset="0,0,0,0">
            <w:txbxContent>
              <w:p w:rsidR="00E9165C" w:rsidRDefault="00E9165C">
                <w:pPr>
                  <w:pStyle w:val="a4"/>
                </w:pPr>
                <w:r>
                  <w:rPr>
                    <w:rFonts w:ascii="宋体" w:hAnsi="宋体" w:cs="宋体" w:hint="eastAsia"/>
                    <w:sz w:val="24"/>
                    <w:szCs w:val="24"/>
                  </w:rPr>
                  <w:fldChar w:fldCharType="begin"/>
                </w:r>
                <w:r>
                  <w:rPr>
                    <w:rFonts w:ascii="宋体" w:hAnsi="宋体" w:cs="宋体" w:hint="eastAsia"/>
                    <w:sz w:val="24"/>
                    <w:szCs w:val="24"/>
                  </w:rPr>
                  <w:instrText xml:space="preserve"> PAGE  \* MERGEFORMAT </w:instrText>
                </w:r>
                <w:r>
                  <w:rPr>
                    <w:rFonts w:ascii="宋体" w:hAnsi="宋体" w:cs="宋体" w:hint="eastAsia"/>
                    <w:sz w:val="24"/>
                    <w:szCs w:val="24"/>
                  </w:rPr>
                  <w:fldChar w:fldCharType="separate"/>
                </w:r>
                <w:r w:rsidR="00706140">
                  <w:rPr>
                    <w:rFonts w:ascii="宋体" w:hAnsi="宋体" w:cs="宋体"/>
                    <w:noProof/>
                    <w:sz w:val="24"/>
                    <w:szCs w:val="24"/>
                  </w:rPr>
                  <w:t>- 265 -</w:t>
                </w:r>
                <w:r>
                  <w:rPr>
                    <w:rFonts w:ascii="宋体" w:hAnsi="宋体" w:cs="宋体" w:hint="eastAsia"/>
                    <w:sz w:val="24"/>
                    <w:szCs w:val="24"/>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E4254" w:rsidRDefault="00FE4254" w:rsidP="0059130C">
      <w:r>
        <w:separator/>
      </w:r>
    </w:p>
  </w:footnote>
  <w:footnote w:type="continuationSeparator" w:id="0">
    <w:p w:rsidR="00FE4254" w:rsidRDefault="00FE4254" w:rsidP="0059130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A4DC8992"/>
    <w:multiLevelType w:val="singleLevel"/>
    <w:tmpl w:val="A4DC8992"/>
    <w:lvl w:ilvl="0">
      <w:start w:val="1"/>
      <w:numFmt w:val="chineseCounting"/>
      <w:suff w:val="nothing"/>
      <w:lvlText w:val="（%1）"/>
      <w:lvlJc w:val="left"/>
      <w:rPr>
        <w:rFonts w:hint="eastAsia"/>
      </w:rPr>
    </w:lvl>
  </w:abstractNum>
  <w:abstractNum w:abstractNumId="1">
    <w:nsid w:val="BFFF189C"/>
    <w:multiLevelType w:val="singleLevel"/>
    <w:tmpl w:val="BFFF189C"/>
    <w:lvl w:ilvl="0">
      <w:start w:val="1"/>
      <w:numFmt w:val="chineseCounting"/>
      <w:suff w:val="nothing"/>
      <w:lvlText w:val="（%1）"/>
      <w:lvlJc w:val="left"/>
      <w:rPr>
        <w:rFonts w:hint="eastAsia"/>
      </w:rPr>
    </w:lvl>
  </w:abstractNum>
  <w:abstractNum w:abstractNumId="2">
    <w:nsid w:val="FFFD2339"/>
    <w:multiLevelType w:val="singleLevel"/>
    <w:tmpl w:val="FFFD2339"/>
    <w:lvl w:ilvl="0">
      <w:start w:val="11"/>
      <w:numFmt w:val="chineseCounting"/>
      <w:suff w:val="nothing"/>
      <w:lvlText w:val="（%1）"/>
      <w:lvlJc w:val="left"/>
      <w:pPr>
        <w:ind w:left="130" w:firstLine="0"/>
      </w:pPr>
      <w:rPr>
        <w:rFonts w:hint="eastAsia"/>
      </w:rPr>
    </w:lvl>
  </w:abstractNum>
  <w:abstractNum w:abstractNumId="3">
    <w:nsid w:val="15EBF0D0"/>
    <w:multiLevelType w:val="singleLevel"/>
    <w:tmpl w:val="15EBF0D0"/>
    <w:lvl w:ilvl="0">
      <w:start w:val="1"/>
      <w:numFmt w:val="chineseCounting"/>
      <w:suff w:val="nothing"/>
      <w:lvlText w:val="（%1）"/>
      <w:lvlJc w:val="left"/>
      <w:rPr>
        <w:rFonts w:hint="eastAsia"/>
      </w:rPr>
    </w:lvl>
  </w:abstractNum>
  <w:abstractNum w:abstractNumId="4">
    <w:nsid w:val="1EDDA7E9"/>
    <w:multiLevelType w:val="singleLevel"/>
    <w:tmpl w:val="1EDDA7E9"/>
    <w:lvl w:ilvl="0">
      <w:start w:val="19"/>
      <w:numFmt w:val="chineseCounting"/>
      <w:suff w:val="nothing"/>
      <w:lvlText w:val="（%1）"/>
      <w:lvlJc w:val="left"/>
      <w:rPr>
        <w:rFonts w:hint="eastAsia"/>
      </w:rPr>
    </w:lvl>
  </w:abstractNum>
  <w:abstractNum w:abstractNumId="5">
    <w:nsid w:val="57B64CF7"/>
    <w:multiLevelType w:val="singleLevel"/>
    <w:tmpl w:val="57B64CF7"/>
    <w:lvl w:ilvl="0">
      <w:start w:val="1"/>
      <w:numFmt w:val="chineseCounting"/>
      <w:suff w:val="nothing"/>
      <w:lvlText w:val="（%1）"/>
      <w:lvlJc w:val="left"/>
      <w:rPr>
        <w:rFonts w:hint="eastAsia"/>
      </w:rPr>
    </w:lvl>
  </w:abstractNum>
  <w:num w:numId="1">
    <w:abstractNumId w:val="4"/>
  </w:num>
  <w:num w:numId="2">
    <w:abstractNumId w:val="3"/>
  </w:num>
  <w:num w:numId="3">
    <w:abstractNumId w:val="1"/>
  </w:num>
  <w:num w:numId="4">
    <w:abstractNumId w:val="0"/>
  </w:num>
  <w:num w:numId="5">
    <w:abstractNumId w:val="5"/>
  </w:num>
  <w:num w:numId="6">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TrueTypeFonts/>
  <w:saveSubsetFonts/>
  <w:hideSpellingErrors/>
  <w:proofState w:grammar="clean"/>
  <w:defaultTabStop w:val="420"/>
  <w:drawingGridVerticalSpacing w:val="156"/>
  <w:noPunctuationKerning/>
  <w:characterSpacingControl w:val="compressPunctuation"/>
  <w:hdrShapeDefaults>
    <o:shapedefaults v:ext="edit" spidmax="3074"/>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
  <w:docVars>
    <w:docVar w:name="commondata" w:val="eyJoZGlkIjoiYTc1NjQ5YjEwYWUwNjkwMTk2OTIyYTZmZjJhOTZlNDMifQ=="/>
  </w:docVars>
  <w:rsids>
    <w:rsidRoot w:val="356474C8"/>
    <w:rsid w:val="002E22CA"/>
    <w:rsid w:val="003728DA"/>
    <w:rsid w:val="004E43BF"/>
    <w:rsid w:val="005862B8"/>
    <w:rsid w:val="0059130C"/>
    <w:rsid w:val="00610F6B"/>
    <w:rsid w:val="0068470F"/>
    <w:rsid w:val="00706140"/>
    <w:rsid w:val="007A1660"/>
    <w:rsid w:val="007A5B57"/>
    <w:rsid w:val="008E4E9B"/>
    <w:rsid w:val="00A82127"/>
    <w:rsid w:val="00AA22C1"/>
    <w:rsid w:val="00D74615"/>
    <w:rsid w:val="00D91EDB"/>
    <w:rsid w:val="00E9165C"/>
    <w:rsid w:val="00FE4254"/>
    <w:rsid w:val="011B6F67"/>
    <w:rsid w:val="012406EB"/>
    <w:rsid w:val="01343E1F"/>
    <w:rsid w:val="0145454D"/>
    <w:rsid w:val="016012CA"/>
    <w:rsid w:val="01A22C15"/>
    <w:rsid w:val="01A93A82"/>
    <w:rsid w:val="01C219AB"/>
    <w:rsid w:val="01F404C9"/>
    <w:rsid w:val="02297E74"/>
    <w:rsid w:val="02324A9B"/>
    <w:rsid w:val="02DA15ED"/>
    <w:rsid w:val="030659D3"/>
    <w:rsid w:val="032B6C3A"/>
    <w:rsid w:val="034305B5"/>
    <w:rsid w:val="03FD5310"/>
    <w:rsid w:val="04357D70"/>
    <w:rsid w:val="048E4EA0"/>
    <w:rsid w:val="04DB1F16"/>
    <w:rsid w:val="052F42F5"/>
    <w:rsid w:val="05785C8A"/>
    <w:rsid w:val="05792A9D"/>
    <w:rsid w:val="05DE6511"/>
    <w:rsid w:val="06175254"/>
    <w:rsid w:val="06522EC5"/>
    <w:rsid w:val="066E1317"/>
    <w:rsid w:val="07654CC1"/>
    <w:rsid w:val="079A5F79"/>
    <w:rsid w:val="08125467"/>
    <w:rsid w:val="08D67920"/>
    <w:rsid w:val="08E236EE"/>
    <w:rsid w:val="093306EE"/>
    <w:rsid w:val="09496375"/>
    <w:rsid w:val="09510A7C"/>
    <w:rsid w:val="0A817241"/>
    <w:rsid w:val="0B097861"/>
    <w:rsid w:val="0B5200CB"/>
    <w:rsid w:val="0B80043C"/>
    <w:rsid w:val="0BAC65C9"/>
    <w:rsid w:val="0BF156B8"/>
    <w:rsid w:val="0C005E76"/>
    <w:rsid w:val="0C394176"/>
    <w:rsid w:val="0C7B48C5"/>
    <w:rsid w:val="0CC5037A"/>
    <w:rsid w:val="0D85008C"/>
    <w:rsid w:val="0D986B0A"/>
    <w:rsid w:val="0DAF6AB7"/>
    <w:rsid w:val="0DDE4FD5"/>
    <w:rsid w:val="0E2C55E3"/>
    <w:rsid w:val="0E4451F3"/>
    <w:rsid w:val="0E9438E5"/>
    <w:rsid w:val="0EC341CA"/>
    <w:rsid w:val="0EF50A27"/>
    <w:rsid w:val="0FB3618C"/>
    <w:rsid w:val="0FC97FAB"/>
    <w:rsid w:val="0FDC3796"/>
    <w:rsid w:val="0FF860F6"/>
    <w:rsid w:val="10AE0820"/>
    <w:rsid w:val="10B84089"/>
    <w:rsid w:val="11614A3B"/>
    <w:rsid w:val="119C664F"/>
    <w:rsid w:val="11D706B9"/>
    <w:rsid w:val="11DD2B24"/>
    <w:rsid w:val="1200121C"/>
    <w:rsid w:val="12A762DD"/>
    <w:rsid w:val="12D06EB6"/>
    <w:rsid w:val="12D42AFF"/>
    <w:rsid w:val="13017814"/>
    <w:rsid w:val="131F795E"/>
    <w:rsid w:val="13371EAA"/>
    <w:rsid w:val="13741965"/>
    <w:rsid w:val="139D4FEA"/>
    <w:rsid w:val="13BB4E14"/>
    <w:rsid w:val="14074B59"/>
    <w:rsid w:val="14123C2A"/>
    <w:rsid w:val="14353880"/>
    <w:rsid w:val="144E45AF"/>
    <w:rsid w:val="14777F31"/>
    <w:rsid w:val="148773DB"/>
    <w:rsid w:val="14A7532A"/>
    <w:rsid w:val="14EF583B"/>
    <w:rsid w:val="1593185B"/>
    <w:rsid w:val="15CC565E"/>
    <w:rsid w:val="15E476E6"/>
    <w:rsid w:val="160E21CF"/>
    <w:rsid w:val="163712BC"/>
    <w:rsid w:val="16F12C40"/>
    <w:rsid w:val="16F91463"/>
    <w:rsid w:val="17005FBC"/>
    <w:rsid w:val="1727411F"/>
    <w:rsid w:val="172A040E"/>
    <w:rsid w:val="17A018A3"/>
    <w:rsid w:val="17DF4139"/>
    <w:rsid w:val="17E81017"/>
    <w:rsid w:val="180D7837"/>
    <w:rsid w:val="187529D9"/>
    <w:rsid w:val="187C4F19"/>
    <w:rsid w:val="18AF20C6"/>
    <w:rsid w:val="18C16D71"/>
    <w:rsid w:val="18FC51DD"/>
    <w:rsid w:val="190007DF"/>
    <w:rsid w:val="19036DE1"/>
    <w:rsid w:val="19053336"/>
    <w:rsid w:val="19151F7C"/>
    <w:rsid w:val="19437276"/>
    <w:rsid w:val="19A312AE"/>
    <w:rsid w:val="19D63B0C"/>
    <w:rsid w:val="1A45310A"/>
    <w:rsid w:val="1A554870"/>
    <w:rsid w:val="1A924C62"/>
    <w:rsid w:val="1B4964DF"/>
    <w:rsid w:val="1B8F790E"/>
    <w:rsid w:val="1BCA303C"/>
    <w:rsid w:val="1CB44893"/>
    <w:rsid w:val="1D290AB5"/>
    <w:rsid w:val="1D5064E2"/>
    <w:rsid w:val="1D6A0633"/>
    <w:rsid w:val="1D9E3421"/>
    <w:rsid w:val="1DD033F2"/>
    <w:rsid w:val="1DEB4980"/>
    <w:rsid w:val="1E526D03"/>
    <w:rsid w:val="1E836DB8"/>
    <w:rsid w:val="1E9B2A6E"/>
    <w:rsid w:val="1EB6727D"/>
    <w:rsid w:val="1ECF3897"/>
    <w:rsid w:val="1F994C45"/>
    <w:rsid w:val="20062169"/>
    <w:rsid w:val="203119D9"/>
    <w:rsid w:val="203301E7"/>
    <w:rsid w:val="20B56B27"/>
    <w:rsid w:val="210617AB"/>
    <w:rsid w:val="212F023B"/>
    <w:rsid w:val="216B734A"/>
    <w:rsid w:val="216E5F92"/>
    <w:rsid w:val="219C4B33"/>
    <w:rsid w:val="220D77DF"/>
    <w:rsid w:val="228F6446"/>
    <w:rsid w:val="22DF7DFB"/>
    <w:rsid w:val="22E62956"/>
    <w:rsid w:val="22E744D4"/>
    <w:rsid w:val="232D5FFB"/>
    <w:rsid w:val="235B591B"/>
    <w:rsid w:val="235F22BC"/>
    <w:rsid w:val="238C6E29"/>
    <w:rsid w:val="23E242B7"/>
    <w:rsid w:val="23E4303C"/>
    <w:rsid w:val="241815B5"/>
    <w:rsid w:val="24480FA2"/>
    <w:rsid w:val="24653902"/>
    <w:rsid w:val="249158E6"/>
    <w:rsid w:val="249A1700"/>
    <w:rsid w:val="24B46637"/>
    <w:rsid w:val="24EC11EB"/>
    <w:rsid w:val="24F059E5"/>
    <w:rsid w:val="25477053"/>
    <w:rsid w:val="256C1590"/>
    <w:rsid w:val="25761B3F"/>
    <w:rsid w:val="25A11217"/>
    <w:rsid w:val="265615CB"/>
    <w:rsid w:val="277976C4"/>
    <w:rsid w:val="27C470A6"/>
    <w:rsid w:val="27D35027"/>
    <w:rsid w:val="27D823F5"/>
    <w:rsid w:val="282E5827"/>
    <w:rsid w:val="283911D5"/>
    <w:rsid w:val="289449F8"/>
    <w:rsid w:val="2999451C"/>
    <w:rsid w:val="29E928DF"/>
    <w:rsid w:val="2A2B7359"/>
    <w:rsid w:val="2A5764B2"/>
    <w:rsid w:val="2A8319DE"/>
    <w:rsid w:val="2A862824"/>
    <w:rsid w:val="2A895BA2"/>
    <w:rsid w:val="2A9D7742"/>
    <w:rsid w:val="2AAE026F"/>
    <w:rsid w:val="2AE632D0"/>
    <w:rsid w:val="2B05106A"/>
    <w:rsid w:val="2C91100D"/>
    <w:rsid w:val="2D282B25"/>
    <w:rsid w:val="2D326763"/>
    <w:rsid w:val="2D595E81"/>
    <w:rsid w:val="2D7C3A6A"/>
    <w:rsid w:val="2D915768"/>
    <w:rsid w:val="2DA37C6B"/>
    <w:rsid w:val="2DFF6006"/>
    <w:rsid w:val="2E165C6D"/>
    <w:rsid w:val="2E5E248D"/>
    <w:rsid w:val="2E903C71"/>
    <w:rsid w:val="2EE6135A"/>
    <w:rsid w:val="2FC11C09"/>
    <w:rsid w:val="30564A47"/>
    <w:rsid w:val="3086532C"/>
    <w:rsid w:val="315D04A6"/>
    <w:rsid w:val="31A47FAA"/>
    <w:rsid w:val="325545CD"/>
    <w:rsid w:val="32601BAD"/>
    <w:rsid w:val="32B83797"/>
    <w:rsid w:val="32C514A3"/>
    <w:rsid w:val="332A237F"/>
    <w:rsid w:val="336910C6"/>
    <w:rsid w:val="33704071"/>
    <w:rsid w:val="337C34B4"/>
    <w:rsid w:val="33A471A7"/>
    <w:rsid w:val="33E02FA5"/>
    <w:rsid w:val="340D1A02"/>
    <w:rsid w:val="344D5FE4"/>
    <w:rsid w:val="345F2F5A"/>
    <w:rsid w:val="346117CB"/>
    <w:rsid w:val="34B50F07"/>
    <w:rsid w:val="34BA2757"/>
    <w:rsid w:val="34FF38FF"/>
    <w:rsid w:val="356474C8"/>
    <w:rsid w:val="35831A5F"/>
    <w:rsid w:val="35EA1EB9"/>
    <w:rsid w:val="36941E25"/>
    <w:rsid w:val="369E2CA4"/>
    <w:rsid w:val="36AD2FBB"/>
    <w:rsid w:val="36BC7A7B"/>
    <w:rsid w:val="36CC373A"/>
    <w:rsid w:val="36CE3589"/>
    <w:rsid w:val="371D62BE"/>
    <w:rsid w:val="374378E2"/>
    <w:rsid w:val="379540A7"/>
    <w:rsid w:val="37BE1588"/>
    <w:rsid w:val="37DC37C4"/>
    <w:rsid w:val="380D00E1"/>
    <w:rsid w:val="38170D74"/>
    <w:rsid w:val="38A0719C"/>
    <w:rsid w:val="38AA0D4E"/>
    <w:rsid w:val="38ED217A"/>
    <w:rsid w:val="39A20CFD"/>
    <w:rsid w:val="3A137D84"/>
    <w:rsid w:val="3A37664D"/>
    <w:rsid w:val="3A3D6B6F"/>
    <w:rsid w:val="3A53466C"/>
    <w:rsid w:val="3AE644D4"/>
    <w:rsid w:val="3AEC302F"/>
    <w:rsid w:val="3B095339"/>
    <w:rsid w:val="3B306EF3"/>
    <w:rsid w:val="3BB86527"/>
    <w:rsid w:val="3BC30375"/>
    <w:rsid w:val="3BC35686"/>
    <w:rsid w:val="3BDE4717"/>
    <w:rsid w:val="3C123F18"/>
    <w:rsid w:val="3C5502A8"/>
    <w:rsid w:val="3C642299"/>
    <w:rsid w:val="3C6D73A0"/>
    <w:rsid w:val="3CB94393"/>
    <w:rsid w:val="3CD43F35"/>
    <w:rsid w:val="3D797C4D"/>
    <w:rsid w:val="3D7A5B5B"/>
    <w:rsid w:val="3D830197"/>
    <w:rsid w:val="3DA41066"/>
    <w:rsid w:val="3E2C3F5D"/>
    <w:rsid w:val="3E46721D"/>
    <w:rsid w:val="3E551D0A"/>
    <w:rsid w:val="3E6C23E1"/>
    <w:rsid w:val="3EC23263"/>
    <w:rsid w:val="3EF21006"/>
    <w:rsid w:val="3EF34D8F"/>
    <w:rsid w:val="3F0E4E1B"/>
    <w:rsid w:val="3F14463C"/>
    <w:rsid w:val="3F43088C"/>
    <w:rsid w:val="3F473ED8"/>
    <w:rsid w:val="3FD5502D"/>
    <w:rsid w:val="40001984"/>
    <w:rsid w:val="401F09B1"/>
    <w:rsid w:val="40353AD0"/>
    <w:rsid w:val="407760AB"/>
    <w:rsid w:val="40F74A2A"/>
    <w:rsid w:val="41105E87"/>
    <w:rsid w:val="41C07F72"/>
    <w:rsid w:val="425F778B"/>
    <w:rsid w:val="42870A90"/>
    <w:rsid w:val="42D05087"/>
    <w:rsid w:val="433168CD"/>
    <w:rsid w:val="435F2FAE"/>
    <w:rsid w:val="440B793D"/>
    <w:rsid w:val="440E76BA"/>
    <w:rsid w:val="44107684"/>
    <w:rsid w:val="44366A11"/>
    <w:rsid w:val="44446C38"/>
    <w:rsid w:val="44496945"/>
    <w:rsid w:val="445D0CD6"/>
    <w:rsid w:val="44692B43"/>
    <w:rsid w:val="44A92F3F"/>
    <w:rsid w:val="44CF2295"/>
    <w:rsid w:val="44E1092B"/>
    <w:rsid w:val="44EB17AA"/>
    <w:rsid w:val="450C6ED3"/>
    <w:rsid w:val="45293BF1"/>
    <w:rsid w:val="45373D73"/>
    <w:rsid w:val="45433394"/>
    <w:rsid w:val="45D10865"/>
    <w:rsid w:val="472A0D29"/>
    <w:rsid w:val="474D04D9"/>
    <w:rsid w:val="4760218C"/>
    <w:rsid w:val="4812416D"/>
    <w:rsid w:val="487B1F4F"/>
    <w:rsid w:val="48DD71AC"/>
    <w:rsid w:val="48F15C04"/>
    <w:rsid w:val="49400F68"/>
    <w:rsid w:val="49601FFF"/>
    <w:rsid w:val="49884AB0"/>
    <w:rsid w:val="49941BFD"/>
    <w:rsid w:val="4A1D2F4E"/>
    <w:rsid w:val="4A2A2D74"/>
    <w:rsid w:val="4A525E27"/>
    <w:rsid w:val="4ADC2719"/>
    <w:rsid w:val="4B1650A7"/>
    <w:rsid w:val="4B4439C2"/>
    <w:rsid w:val="4B7A66B2"/>
    <w:rsid w:val="4B7C3474"/>
    <w:rsid w:val="4BFB6FB4"/>
    <w:rsid w:val="4C404189"/>
    <w:rsid w:val="4C576E0D"/>
    <w:rsid w:val="4C5A6743"/>
    <w:rsid w:val="4CAA4DDF"/>
    <w:rsid w:val="4DCA7295"/>
    <w:rsid w:val="4E01222E"/>
    <w:rsid w:val="4E0C3C9A"/>
    <w:rsid w:val="4E766036"/>
    <w:rsid w:val="4EA2383D"/>
    <w:rsid w:val="4F984639"/>
    <w:rsid w:val="4FA3278D"/>
    <w:rsid w:val="508A32BE"/>
    <w:rsid w:val="509263D7"/>
    <w:rsid w:val="50AB080A"/>
    <w:rsid w:val="50B136A5"/>
    <w:rsid w:val="50E177E0"/>
    <w:rsid w:val="50ED1207"/>
    <w:rsid w:val="510C0635"/>
    <w:rsid w:val="514909AB"/>
    <w:rsid w:val="514D5C05"/>
    <w:rsid w:val="51E657D3"/>
    <w:rsid w:val="51ED6B61"/>
    <w:rsid w:val="5253098E"/>
    <w:rsid w:val="52670806"/>
    <w:rsid w:val="52707792"/>
    <w:rsid w:val="52786B93"/>
    <w:rsid w:val="527B61B1"/>
    <w:rsid w:val="52EF3C34"/>
    <w:rsid w:val="530F2B07"/>
    <w:rsid w:val="5367649F"/>
    <w:rsid w:val="542E481B"/>
    <w:rsid w:val="5512068D"/>
    <w:rsid w:val="551D4F71"/>
    <w:rsid w:val="551E7032"/>
    <w:rsid w:val="55452810"/>
    <w:rsid w:val="556F5ADF"/>
    <w:rsid w:val="55913CA7"/>
    <w:rsid w:val="56504573"/>
    <w:rsid w:val="565A43DB"/>
    <w:rsid w:val="56AC6BEF"/>
    <w:rsid w:val="573339B3"/>
    <w:rsid w:val="579A678F"/>
    <w:rsid w:val="57C35ABE"/>
    <w:rsid w:val="5887487A"/>
    <w:rsid w:val="58CE6FC1"/>
    <w:rsid w:val="58DA4DFB"/>
    <w:rsid w:val="59027A08"/>
    <w:rsid w:val="59443F02"/>
    <w:rsid w:val="59AF0108"/>
    <w:rsid w:val="59B63EB3"/>
    <w:rsid w:val="59E30CB0"/>
    <w:rsid w:val="59FA4982"/>
    <w:rsid w:val="5A010EA4"/>
    <w:rsid w:val="5A231810"/>
    <w:rsid w:val="5AA03B38"/>
    <w:rsid w:val="5AAC593B"/>
    <w:rsid w:val="5AB126F6"/>
    <w:rsid w:val="5AD047F8"/>
    <w:rsid w:val="5B331E3F"/>
    <w:rsid w:val="5BBB7CD0"/>
    <w:rsid w:val="5BF3746A"/>
    <w:rsid w:val="5BF52FFC"/>
    <w:rsid w:val="5C4672AF"/>
    <w:rsid w:val="5C7560D1"/>
    <w:rsid w:val="5CBC1B3E"/>
    <w:rsid w:val="5CC70451"/>
    <w:rsid w:val="5D0A2EE5"/>
    <w:rsid w:val="5D333A2E"/>
    <w:rsid w:val="5D7B231B"/>
    <w:rsid w:val="5DCD2F01"/>
    <w:rsid w:val="5E4F29B6"/>
    <w:rsid w:val="5E5B47C0"/>
    <w:rsid w:val="5E5E3CFF"/>
    <w:rsid w:val="5E6E3293"/>
    <w:rsid w:val="5ECF7A50"/>
    <w:rsid w:val="5ED90507"/>
    <w:rsid w:val="5F1D65AC"/>
    <w:rsid w:val="5F2636B2"/>
    <w:rsid w:val="5F2769CA"/>
    <w:rsid w:val="5F30748E"/>
    <w:rsid w:val="5FA31ACA"/>
    <w:rsid w:val="5FB45E03"/>
    <w:rsid w:val="608D5B7F"/>
    <w:rsid w:val="60F670B5"/>
    <w:rsid w:val="611759A9"/>
    <w:rsid w:val="614479B7"/>
    <w:rsid w:val="614C5CDF"/>
    <w:rsid w:val="61675BD9"/>
    <w:rsid w:val="61853186"/>
    <w:rsid w:val="618A1014"/>
    <w:rsid w:val="620B4DE2"/>
    <w:rsid w:val="620E3DBB"/>
    <w:rsid w:val="62590504"/>
    <w:rsid w:val="62EF5A6C"/>
    <w:rsid w:val="62F63821"/>
    <w:rsid w:val="62FE59BE"/>
    <w:rsid w:val="63051B4E"/>
    <w:rsid w:val="634A17BF"/>
    <w:rsid w:val="63A65085"/>
    <w:rsid w:val="645F7615"/>
    <w:rsid w:val="64827DD8"/>
    <w:rsid w:val="64DF0CC0"/>
    <w:rsid w:val="651F1339"/>
    <w:rsid w:val="655B7DE0"/>
    <w:rsid w:val="65E16AA2"/>
    <w:rsid w:val="66147D44"/>
    <w:rsid w:val="66277C26"/>
    <w:rsid w:val="664663E8"/>
    <w:rsid w:val="66A56F9C"/>
    <w:rsid w:val="66BE64FE"/>
    <w:rsid w:val="672C295C"/>
    <w:rsid w:val="67561761"/>
    <w:rsid w:val="67737443"/>
    <w:rsid w:val="678E72D0"/>
    <w:rsid w:val="67AC6E95"/>
    <w:rsid w:val="681D7251"/>
    <w:rsid w:val="68420A03"/>
    <w:rsid w:val="687E630D"/>
    <w:rsid w:val="6893128E"/>
    <w:rsid w:val="68AA7E13"/>
    <w:rsid w:val="68D221B5"/>
    <w:rsid w:val="69BF1A1C"/>
    <w:rsid w:val="69DD7064"/>
    <w:rsid w:val="6A1C0BA0"/>
    <w:rsid w:val="6A2E78BF"/>
    <w:rsid w:val="6A623CCB"/>
    <w:rsid w:val="6A721EA2"/>
    <w:rsid w:val="6AA8521C"/>
    <w:rsid w:val="6AAF0A00"/>
    <w:rsid w:val="6ABE0C43"/>
    <w:rsid w:val="6AFC63FA"/>
    <w:rsid w:val="6B011DD2"/>
    <w:rsid w:val="6B391268"/>
    <w:rsid w:val="6B3F68FB"/>
    <w:rsid w:val="6B4D0219"/>
    <w:rsid w:val="6B6D55D4"/>
    <w:rsid w:val="6BA5208B"/>
    <w:rsid w:val="6BEA757F"/>
    <w:rsid w:val="6C523D39"/>
    <w:rsid w:val="6C691082"/>
    <w:rsid w:val="6C7D068A"/>
    <w:rsid w:val="6CF738B6"/>
    <w:rsid w:val="6D0112BB"/>
    <w:rsid w:val="6D6D737F"/>
    <w:rsid w:val="6DEF4068"/>
    <w:rsid w:val="6DF130DE"/>
    <w:rsid w:val="6DF77E83"/>
    <w:rsid w:val="6E3722BA"/>
    <w:rsid w:val="6E4B6C92"/>
    <w:rsid w:val="6EE90259"/>
    <w:rsid w:val="6F1654F2"/>
    <w:rsid w:val="6F534615"/>
    <w:rsid w:val="6FCF744E"/>
    <w:rsid w:val="6FD61AE6"/>
    <w:rsid w:val="705269DA"/>
    <w:rsid w:val="70A12E32"/>
    <w:rsid w:val="70D65319"/>
    <w:rsid w:val="70FA64A2"/>
    <w:rsid w:val="70FC6AF2"/>
    <w:rsid w:val="71446059"/>
    <w:rsid w:val="714A315F"/>
    <w:rsid w:val="715C2F64"/>
    <w:rsid w:val="71A566B9"/>
    <w:rsid w:val="71BE7024"/>
    <w:rsid w:val="71DA3981"/>
    <w:rsid w:val="721B1B84"/>
    <w:rsid w:val="723D0FE7"/>
    <w:rsid w:val="72A0077B"/>
    <w:rsid w:val="72BB015E"/>
    <w:rsid w:val="72FB69CA"/>
    <w:rsid w:val="730B69EF"/>
    <w:rsid w:val="7334341A"/>
    <w:rsid w:val="738C57E6"/>
    <w:rsid w:val="73A02F9C"/>
    <w:rsid w:val="73A11102"/>
    <w:rsid w:val="73A87BE1"/>
    <w:rsid w:val="74967CB2"/>
    <w:rsid w:val="749E3893"/>
    <w:rsid w:val="74D523CC"/>
    <w:rsid w:val="751243C1"/>
    <w:rsid w:val="751E6037"/>
    <w:rsid w:val="75390AD1"/>
    <w:rsid w:val="75B55338"/>
    <w:rsid w:val="75F55735"/>
    <w:rsid w:val="76585F4B"/>
    <w:rsid w:val="77A66A8F"/>
    <w:rsid w:val="77B35B35"/>
    <w:rsid w:val="77D93560"/>
    <w:rsid w:val="786F5C73"/>
    <w:rsid w:val="78CC64F1"/>
    <w:rsid w:val="78EF46BD"/>
    <w:rsid w:val="79513F1B"/>
    <w:rsid w:val="79690914"/>
    <w:rsid w:val="79BF466E"/>
    <w:rsid w:val="79D164E7"/>
    <w:rsid w:val="79E55579"/>
    <w:rsid w:val="79F85365"/>
    <w:rsid w:val="7A50468F"/>
    <w:rsid w:val="7A7973E1"/>
    <w:rsid w:val="7AAC0CB4"/>
    <w:rsid w:val="7AEA7832"/>
    <w:rsid w:val="7B093EAA"/>
    <w:rsid w:val="7B900EAA"/>
    <w:rsid w:val="7C136CFD"/>
    <w:rsid w:val="7C2F65D1"/>
    <w:rsid w:val="7C3A2CC8"/>
    <w:rsid w:val="7C484D8B"/>
    <w:rsid w:val="7CA176C1"/>
    <w:rsid w:val="7D056BA5"/>
    <w:rsid w:val="7D7D04EA"/>
    <w:rsid w:val="7E03031C"/>
    <w:rsid w:val="7E2B43EA"/>
    <w:rsid w:val="7E461224"/>
    <w:rsid w:val="7E6671D0"/>
    <w:rsid w:val="7E7619A2"/>
    <w:rsid w:val="7EC344EE"/>
    <w:rsid w:val="7F7551DB"/>
    <w:rsid w:val="7F7E38F9"/>
    <w:rsid w:val="7FDA7CE5"/>
    <w:rsid w:val="7FDF4740"/>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qFormat="1"/>
    <w:lsdException w:name="Body Text"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Grid" w:qFormat="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next w:val="a0"/>
    <w:qFormat/>
    <w:rsid w:val="0059130C"/>
    <w:pPr>
      <w:widowControl w:val="0"/>
      <w:jc w:val="both"/>
    </w:pPr>
    <w:rPr>
      <w:rFonts w:ascii="Calibri" w:hAnsi="Calibri"/>
      <w:kern w:val="2"/>
      <w:sz w:val="21"/>
      <w:szCs w:val="22"/>
    </w:rPr>
  </w:style>
  <w:style w:type="paragraph" w:styleId="1">
    <w:name w:val="heading 1"/>
    <w:basedOn w:val="a"/>
    <w:next w:val="a"/>
    <w:qFormat/>
    <w:rsid w:val="0059130C"/>
    <w:pPr>
      <w:spacing w:beforeAutospacing="1" w:afterAutospacing="1"/>
      <w:jc w:val="left"/>
      <w:outlineLvl w:val="0"/>
    </w:pPr>
    <w:rPr>
      <w:rFonts w:ascii="宋体" w:hAnsi="宋体" w:hint="eastAsia"/>
      <w:b/>
      <w:bCs/>
      <w:kern w:val="44"/>
      <w:sz w:val="48"/>
      <w:szCs w:val="48"/>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next w:val="a"/>
    <w:qFormat/>
    <w:rsid w:val="0059130C"/>
    <w:pPr>
      <w:spacing w:after="120"/>
    </w:pPr>
  </w:style>
  <w:style w:type="paragraph" w:styleId="a4">
    <w:name w:val="footer"/>
    <w:basedOn w:val="a"/>
    <w:qFormat/>
    <w:rsid w:val="0059130C"/>
    <w:pPr>
      <w:tabs>
        <w:tab w:val="center" w:pos="4153"/>
        <w:tab w:val="right" w:pos="8306"/>
      </w:tabs>
      <w:snapToGrid w:val="0"/>
      <w:jc w:val="left"/>
    </w:pPr>
    <w:rPr>
      <w:sz w:val="18"/>
    </w:rPr>
  </w:style>
  <w:style w:type="paragraph" w:styleId="a5">
    <w:name w:val="header"/>
    <w:basedOn w:val="a"/>
    <w:qFormat/>
    <w:rsid w:val="0059130C"/>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6">
    <w:name w:val="Normal (Web)"/>
    <w:basedOn w:val="a"/>
    <w:qFormat/>
    <w:rsid w:val="0059130C"/>
    <w:pPr>
      <w:spacing w:beforeAutospacing="1" w:afterAutospacing="1"/>
      <w:jc w:val="left"/>
    </w:pPr>
    <w:rPr>
      <w:kern w:val="0"/>
      <w:sz w:val="24"/>
    </w:rPr>
  </w:style>
  <w:style w:type="table" w:styleId="a7">
    <w:name w:val="Table Grid"/>
    <w:basedOn w:val="a2"/>
    <w:qFormat/>
    <w:rsid w:val="0059130C"/>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Strong"/>
    <w:basedOn w:val="a1"/>
    <w:qFormat/>
    <w:rsid w:val="0059130C"/>
    <w:rPr>
      <w:b/>
    </w:rPr>
  </w:style>
  <w:style w:type="character" w:styleId="a9">
    <w:name w:val="Emphasis"/>
    <w:basedOn w:val="a1"/>
    <w:qFormat/>
    <w:rsid w:val="0059130C"/>
    <w:rPr>
      <w:i/>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baike.sogou.com/lemma/ShowInnerLink.htm?lemmaId=8017998&amp;ss_c=ssc.citiao.link" TargetMode="External"/><Relationship Id="rId13" Type="http://schemas.openxmlformats.org/officeDocument/2006/relationships/hyperlink" Target="https://www.waizi.org.cn/doc/75806.html" TargetMode="External"/><Relationship Id="rId18" Type="http://schemas.openxmlformats.org/officeDocument/2006/relationships/hyperlink" Target="https://www.waizi.org.cn/doc/75806.html" TargetMode="External"/><Relationship Id="rId26" Type="http://schemas.openxmlformats.org/officeDocument/2006/relationships/hyperlink" Target="https://www.waizi.org.cn/doc/75806.html" TargetMode="External"/><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s://www.waizi.org.cn/doc/75806.html" TargetMode="External"/><Relationship Id="rId34" Type="http://schemas.openxmlformats.org/officeDocument/2006/relationships/hyperlink" Target="https://www.waizi.org.cn/doc/75806.html" TargetMode="External"/><Relationship Id="rId7" Type="http://schemas.openxmlformats.org/officeDocument/2006/relationships/endnotes" Target="endnotes.xml"/><Relationship Id="rId12" Type="http://schemas.openxmlformats.org/officeDocument/2006/relationships/hyperlink" Target="https://www.waizi.org.cn/doc/75806.html" TargetMode="External"/><Relationship Id="rId17" Type="http://schemas.openxmlformats.org/officeDocument/2006/relationships/hyperlink" Target="https://www.waizi.org.cn/doc/75806.html" TargetMode="External"/><Relationship Id="rId25" Type="http://schemas.openxmlformats.org/officeDocument/2006/relationships/hyperlink" Target="https://www.waizi.org.cn/doc/75806.html" TargetMode="External"/><Relationship Id="rId33" Type="http://schemas.openxmlformats.org/officeDocument/2006/relationships/hyperlink" Target="https://www.waizi.org.cn/doc/75806.html" TargetMode="External"/><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www.waizi.org.cn/doc/75806.html" TargetMode="External"/><Relationship Id="rId20" Type="http://schemas.openxmlformats.org/officeDocument/2006/relationships/hyperlink" Target="https://www.waizi.org.cn/doc/75806.html" TargetMode="External"/><Relationship Id="rId29" Type="http://schemas.openxmlformats.org/officeDocument/2006/relationships/hyperlink" Target="https://www.waizi.org.cn/doc/75806.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baike.sogou.com/lemma/ShowInnerLink.htm?lemmaId=167779549&amp;ss_c=ssc.citiao.link" TargetMode="External"/><Relationship Id="rId24" Type="http://schemas.openxmlformats.org/officeDocument/2006/relationships/hyperlink" Target="https://www.waizi.org.cn/doc/75806.html" TargetMode="External"/><Relationship Id="rId32" Type="http://schemas.openxmlformats.org/officeDocument/2006/relationships/hyperlink" Target="https://www.waizi.org.cn/doc/75806.html" TargetMode="External"/><Relationship Id="rId37" Type="http://schemas.openxmlformats.org/officeDocument/2006/relationships/hyperlink" Target="https://www.waizi.org.cn/doc/75806.html" TargetMode="Externa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waizi.org.cn/doc/75806.html" TargetMode="External"/><Relationship Id="rId23" Type="http://schemas.openxmlformats.org/officeDocument/2006/relationships/hyperlink" Target="https://www.waizi.org.cn/doc/75806.html" TargetMode="External"/><Relationship Id="rId28" Type="http://schemas.openxmlformats.org/officeDocument/2006/relationships/hyperlink" Target="https://www.waizi.org.cn/doc/75806.html" TargetMode="External"/><Relationship Id="rId36" Type="http://schemas.openxmlformats.org/officeDocument/2006/relationships/hyperlink" Target="https://www.waizi.org.cn/doc/75806.html" TargetMode="External"/><Relationship Id="rId10" Type="http://schemas.openxmlformats.org/officeDocument/2006/relationships/hyperlink" Target="https://baike.sogou.com/lemma/ShowInnerLink.htm?lemmaId=8017998&amp;ss_c=ssc.citiao.link" TargetMode="External"/><Relationship Id="rId19" Type="http://schemas.openxmlformats.org/officeDocument/2006/relationships/hyperlink" Target="https://www.waizi.org.cn/doc/75806.html" TargetMode="External"/><Relationship Id="rId31" Type="http://schemas.openxmlformats.org/officeDocument/2006/relationships/hyperlink" Target="https://www.waizi.org.cn/doc/75806.html" TargetMode="External"/><Relationship Id="rId4" Type="http://schemas.openxmlformats.org/officeDocument/2006/relationships/settings" Target="settings.xml"/><Relationship Id="rId9" Type="http://schemas.openxmlformats.org/officeDocument/2006/relationships/hyperlink" Target="https://baike.sogou.com/lemma/ShowInnerLink.htm?lemmaId=167779549&amp;ss_c=ssc.citiao.link" TargetMode="External"/><Relationship Id="rId14" Type="http://schemas.openxmlformats.org/officeDocument/2006/relationships/hyperlink" Target="https://www.waizi.org.cn/doc/75806.html" TargetMode="External"/><Relationship Id="rId22" Type="http://schemas.openxmlformats.org/officeDocument/2006/relationships/hyperlink" Target="https://www.waizi.org.cn/doc/75806.html" TargetMode="External"/><Relationship Id="rId27" Type="http://schemas.openxmlformats.org/officeDocument/2006/relationships/hyperlink" Target="https://www.waizi.org.cn/doc/75806.html" TargetMode="External"/><Relationship Id="rId30" Type="http://schemas.openxmlformats.org/officeDocument/2006/relationships/hyperlink" Target="https://www.waizi.org.cn/doc/75806.html" TargetMode="External"/><Relationship Id="rId35" Type="http://schemas.openxmlformats.org/officeDocument/2006/relationships/hyperlink" Target="https://www.waizi.org.cn/doc/75806.html"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47</TotalTime>
  <Pages>1</Pages>
  <Words>33558</Words>
  <Characters>191282</Characters>
  <Application>Microsoft Office Word</Application>
  <DocSecurity>0</DocSecurity>
  <Lines>1594</Lines>
  <Paragraphs>448</Paragraphs>
  <ScaleCrop>false</ScaleCrop>
  <Company/>
  <LinksUpToDate>false</LinksUpToDate>
  <CharactersWithSpaces>224392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nynxbb</cp:lastModifiedBy>
  <cp:revision>11</cp:revision>
  <cp:lastPrinted>2023-11-14T01:41:00Z</cp:lastPrinted>
  <dcterms:created xsi:type="dcterms:W3CDTF">2023-07-27T07:57:00Z</dcterms:created>
  <dcterms:modified xsi:type="dcterms:W3CDTF">2023-12-06T02:39:00Z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715C492238244AB9BE4D66E861EEF24B_13</vt:lpwstr>
  </property>
</Properties>
</file>