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C5" w:rsidRDefault="00A65D61" w:rsidP="00D97991">
      <w:pPr>
        <w:autoSpaceDN w:val="0"/>
        <w:spacing w:beforeLines="50" w:line="700" w:lineRule="exact"/>
        <w:jc w:val="center"/>
        <w:textAlignment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内乡县财政</w:t>
      </w:r>
      <w:r>
        <w:rPr>
          <w:rFonts w:ascii="方正小标宋_GBK" w:eastAsia="方正小标宋_GBK" w:hAnsi="方正小标宋_GBK" w:cs="方正小标宋_GBK"/>
          <w:kern w:val="0"/>
          <w:sz w:val="44"/>
          <w:szCs w:val="44"/>
        </w:rPr>
        <w:t>局</w:t>
      </w:r>
      <w:r>
        <w:rPr>
          <w:rFonts w:ascii="方正小标宋_GBK" w:eastAsia="方正小标宋_GBK" w:hAnsi="方正小标宋_GBK" w:cs="方正小标宋_GBK" w:hint="eastAsia"/>
          <w:kern w:val="0"/>
          <w:sz w:val="44"/>
          <w:szCs w:val="44"/>
        </w:rPr>
        <w:t>保留的</w:t>
      </w:r>
      <w:r>
        <w:rPr>
          <w:rFonts w:ascii="方正小标宋_GBK" w:eastAsia="方正小标宋_GBK" w:hAnsi="方正小标宋_GBK" w:cs="方正小标宋_GBK"/>
          <w:kern w:val="0"/>
          <w:sz w:val="44"/>
          <w:szCs w:val="44"/>
        </w:rPr>
        <w:t>权责清单</w:t>
      </w:r>
    </w:p>
    <w:tbl>
      <w:tblPr>
        <w:tblW w:w="15424" w:type="dxa"/>
        <w:jc w:val="center"/>
        <w:tblLayout w:type="fixed"/>
        <w:tblCellMar>
          <w:left w:w="0" w:type="dxa"/>
          <w:right w:w="0" w:type="dxa"/>
        </w:tblCellMar>
        <w:tblLook w:val="04A0"/>
      </w:tblPr>
      <w:tblGrid>
        <w:gridCol w:w="1022"/>
        <w:gridCol w:w="1868"/>
        <w:gridCol w:w="3591"/>
        <w:gridCol w:w="927"/>
        <w:gridCol w:w="1427"/>
        <w:gridCol w:w="3460"/>
        <w:gridCol w:w="1388"/>
        <w:gridCol w:w="1741"/>
      </w:tblGrid>
      <w:tr w:rsidR="008568C5">
        <w:trPr>
          <w:trHeight w:val="572"/>
          <w:jc w:val="center"/>
        </w:trPr>
        <w:tc>
          <w:tcPr>
            <w:tcW w:w="102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5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2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2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46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8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74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0"/>
          <w:jc w:val="center"/>
        </w:trPr>
        <w:tc>
          <w:tcPr>
            <w:tcW w:w="1022"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w:t>
            </w:r>
          </w:p>
        </w:tc>
        <w:tc>
          <w:tcPr>
            <w:tcW w:w="1868"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采购人、采购代理机构政府采购违法行为的处罚</w:t>
            </w:r>
          </w:p>
        </w:tc>
        <w:tc>
          <w:tcPr>
            <w:tcW w:w="3591" w:type="dxa"/>
            <w:vMerge w:val="restart"/>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 w:val="16"/>
                <w:szCs w:val="16"/>
              </w:rPr>
            </w:pPr>
            <w:r>
              <w:rPr>
                <w:rFonts w:ascii="仿宋" w:eastAsia="仿宋" w:hAnsi="仿宋" w:cs="仿宋" w:hint="eastAsia"/>
                <w:sz w:val="16"/>
                <w:szCs w:val="16"/>
              </w:rPr>
              <w:t>《中华人民共和国政府采购法》第七十一条:“采购人、采购代理机构有下列情形之一的,责令限期改正,给予警告,可以并处罚款,对直接负责的主管人员和其他直接责任人员,由其行政主管部门或者有关机关给予处分,并予通报:(</w:t>
            </w:r>
            <w:proofErr w:type="gramStart"/>
            <w:r>
              <w:rPr>
                <w:rFonts w:ascii="仿宋" w:eastAsia="仿宋" w:hAnsi="仿宋" w:cs="仿宋" w:hint="eastAsia"/>
                <w:sz w:val="16"/>
                <w:szCs w:val="16"/>
              </w:rPr>
              <w:t>一</w:t>
            </w:r>
            <w:proofErr w:type="gramEnd"/>
            <w:r>
              <w:rPr>
                <w:rFonts w:ascii="仿宋" w:eastAsia="仿宋" w:hAnsi="仿宋" w:cs="仿宋" w:hint="eastAsia"/>
                <w:sz w:val="16"/>
                <w:szCs w:val="16"/>
              </w:rPr>
              <w:t>)应当采用公开招标方式而擅自采用其他方式采购的;(二)擅自提高采购标准的;(三)以不合理的条件对供应商实行差别待遇或者歧视待遇的;(四)在招标采购过程中与投标人进行协商谈判的;(五)中标、成交通知书发出后不与中标、成交供应商签订采购合同的;(六)拒绝有关部门依法实施监督检查的。”</w:t>
            </w:r>
          </w:p>
          <w:p w:rsidR="008568C5" w:rsidRDefault="00A65D61">
            <w:pPr>
              <w:autoSpaceDN w:val="0"/>
              <w:snapToGrid w:val="0"/>
              <w:textAlignment w:val="center"/>
              <w:rPr>
                <w:rFonts w:ascii="仿宋" w:eastAsia="仿宋" w:hAnsi="仿宋" w:cs="仿宋"/>
                <w:sz w:val="16"/>
                <w:szCs w:val="16"/>
              </w:rPr>
            </w:pPr>
            <w:r>
              <w:rPr>
                <w:rFonts w:ascii="仿宋" w:eastAsia="仿宋" w:hAnsi="仿宋" w:cs="仿宋" w:hint="eastAsia"/>
                <w:sz w:val="16"/>
                <w:szCs w:val="16"/>
              </w:rPr>
              <w:t>《中华人民共和国政府采购法实施条例》（国务院令第658号）第六十六条：“政府采购法第七十一条规定的罚款，数额为10万元以下。政府采购法第七十二条规定的罚款，数额为5万元以上25万元以下。”第六十八条：“采购人、采购代理机构有下列情形之一的，依照政府采购法第七十一条、第七十八条的规定追究法律责任：（一）未依照政府采购法和本条例规定的方式实施采购；（二）未依法在指定的媒体上发布政府采购项目信息；（三）未按照规定执行政府采购政策；（四）违反本条例第十五条的规定导致无法组织对供应商履约情况进行验收或者国家财产遭受损失；（五）未依法从政府采购评审专家库中抽取评审专家；（六）非法干预采购评审活动；（七）采用综合评分法时评审标准中的分值设置未与评审因素的量化指标相对应；（八）对供应商的询问、质疑逾期未作处理；（九）通过对样品进行检测、对供应商进行考察等方式改变评审结果；（十）未按照规定组织对供应商履约情况进行验收。”</w:t>
            </w:r>
          </w:p>
          <w:p w:rsidR="008568C5" w:rsidRDefault="00A65D61">
            <w:pPr>
              <w:autoSpaceDN w:val="0"/>
              <w:snapToGrid w:val="0"/>
              <w:textAlignment w:val="center"/>
              <w:rPr>
                <w:rFonts w:ascii="仿宋" w:eastAsia="仿宋" w:hAnsi="仿宋" w:cs="仿宋"/>
                <w:sz w:val="16"/>
                <w:szCs w:val="16"/>
              </w:rPr>
            </w:pPr>
            <w:r>
              <w:rPr>
                <w:rFonts w:ascii="仿宋" w:eastAsia="仿宋" w:hAnsi="仿宋" w:cs="仿宋" w:hint="eastAsia"/>
                <w:sz w:val="16"/>
                <w:szCs w:val="16"/>
              </w:rPr>
              <w:t>《政府采购货物和服务招标投标管理办法》（财政部令第87号）第七十七条：“ 采购人有下列情形之一的，由财政部门责令限期改正；情节严重的，给</w:t>
            </w:r>
            <w:r>
              <w:rPr>
                <w:rFonts w:ascii="仿宋" w:eastAsia="仿宋" w:hAnsi="仿宋" w:cs="仿宋" w:hint="eastAsia"/>
                <w:sz w:val="16"/>
                <w:szCs w:val="16"/>
              </w:rPr>
              <w:lastRenderedPageBreak/>
              <w:t>予警告，对直接负责的主管人员和其他直接责任人员由其行政主管部门或者有关机关依法给予处分，并予以通报；涉嫌犯罪的，移送司法机关处理：（一）未按照本办法的规定编制采购需求的；（二）违反本办法第六条第二款规定的；（三）未在规定时间内确定中标人的；（四）向中标人提出不合理要求作为签订合同条件的。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一）违反本办法第八条第二款规定的；（二）设定最低限价的；（三）未按照规定进行资格预审或者资格审查的；（四）违反本办法规定确定招标文件售价的；（五）未按规定对开标、评标活动进行全程录音录像的；（六）擅自终止招标活动的；（七）未按照规定进行开标和组织评标的；（八）未按照规定退还投标保证金的；（九）违反本办法规定进行重新评审或者重新组建评标委员会进行评标的；（十）开标前泄露已获取招标文件的潜在投标人的名称、数量或者其他可能影响公平竞争的有关招标投标情况的；（十一）未妥善保存采购文件的；　（十二）其他违反本办法规定的情形。”</w:t>
            </w:r>
          </w:p>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6"/>
                <w:szCs w:val="16"/>
              </w:rPr>
              <w:t>《政府采购非招标采购方式管理办法》（财政部令第74号）第五十一条第一款：“采购人、采购代理机构有下列情形之一的，责令限期改正，给予警告；有关法律、行政法规规定处以罚款的，并处罚款；涉嫌犯罪的，依法移送司法机关处理：（一）未按照本办法规定在指定媒体上发布政府采购信息的；（二）未按照本办法规定组成谈判小组、询价小组的；（三）在询价采购过程中与供应商进行协商谈判的；（四）未按照政府采购法和本办法规定的程序和要求确定成交候选人的；（五）泄露评审情况以及评审过程中获悉的国家秘密、商业秘密的。”</w:t>
            </w:r>
          </w:p>
        </w:tc>
        <w:tc>
          <w:tcPr>
            <w:tcW w:w="927"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行政处罚</w:t>
            </w: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38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74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856"/>
          <w:jc w:val="center"/>
        </w:trPr>
        <w:tc>
          <w:tcPr>
            <w:tcW w:w="1022" w:type="dxa"/>
            <w:vMerge/>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top w:val="single" w:sz="4" w:space="0" w:color="auto"/>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388"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431"/>
          <w:jc w:val="center"/>
        </w:trPr>
        <w:tc>
          <w:tcPr>
            <w:tcW w:w="102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38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77"/>
          <w:jc w:val="center"/>
        </w:trPr>
        <w:tc>
          <w:tcPr>
            <w:tcW w:w="102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38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85"/>
          <w:jc w:val="center"/>
        </w:trPr>
        <w:tc>
          <w:tcPr>
            <w:tcW w:w="102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38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88"/>
          <w:jc w:val="center"/>
        </w:trPr>
        <w:tc>
          <w:tcPr>
            <w:tcW w:w="102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38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271"/>
          <w:jc w:val="center"/>
        </w:trPr>
        <w:tc>
          <w:tcPr>
            <w:tcW w:w="102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38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579"/>
          <w:jc w:val="center"/>
        </w:trPr>
        <w:tc>
          <w:tcPr>
            <w:tcW w:w="1022"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6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91"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2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38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573" w:type="dxa"/>
        <w:jc w:val="center"/>
        <w:tblBorders>
          <w:bottom w:val="single" w:sz="4" w:space="0" w:color="auto"/>
        </w:tblBorders>
        <w:tblLayout w:type="fixed"/>
        <w:tblCellMar>
          <w:left w:w="0" w:type="dxa"/>
          <w:right w:w="0" w:type="dxa"/>
        </w:tblCellMar>
        <w:tblLook w:val="04A0"/>
      </w:tblPr>
      <w:tblGrid>
        <w:gridCol w:w="1144"/>
        <w:gridCol w:w="1847"/>
        <w:gridCol w:w="2891"/>
        <w:gridCol w:w="1013"/>
        <w:gridCol w:w="1425"/>
        <w:gridCol w:w="4612"/>
        <w:gridCol w:w="1438"/>
        <w:gridCol w:w="1203"/>
      </w:tblGrid>
      <w:tr w:rsidR="008568C5">
        <w:trPr>
          <w:trHeight w:val="635"/>
          <w:jc w:val="center"/>
        </w:trPr>
        <w:tc>
          <w:tcPr>
            <w:tcW w:w="1144" w:type="dxa"/>
            <w:tcBorders>
              <w:top w:val="single" w:sz="4" w:space="0" w:color="auto"/>
              <w:left w:val="single" w:sz="4" w:space="0" w:color="auto"/>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89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1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25"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61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3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0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704"/>
          <w:jc w:val="center"/>
        </w:trPr>
        <w:tc>
          <w:tcPr>
            <w:tcW w:w="1144" w:type="dxa"/>
            <w:vMerge w:val="restart"/>
            <w:tcBorders>
              <w:top w:val="single" w:sz="4" w:space="0" w:color="000000"/>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采购人、采购代理机构及其工作人员恶意串通、获取不正当利益、提供虚假材料、泄露标底等的处罚</w:t>
            </w:r>
          </w:p>
        </w:tc>
        <w:tc>
          <w:tcPr>
            <w:tcW w:w="2891"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中华人民共和国政府采购法》第七十二条：“采购人、采购代理机构及其工作人员有下列情形之一，构成犯罪的，依法追究刑事责任；尚不构成犯罪的，处以罚款，有违法所得的，并处没收违法所得，属于国家机关工作人员的，依法给予行政处分：（一）与供应商或者采购代理机构恶意串通的；（二）在采购过程中接受贿赂或者获取其他不正当利益的；（三）在有关部门依法实施的监督检查中提供虚假情况的；（四）开标前泄露标底的。”    </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《中华人民共和国政府采购法实施条例》（国务院令第658号）第六十六条：“政府采购法第七十一条规定的罚款，数额为10万元以下。政府采购法第七十二条规定的罚款，数额为5万元以上25万元以下。” </w:t>
            </w:r>
          </w:p>
        </w:tc>
        <w:tc>
          <w:tcPr>
            <w:tcW w:w="1013"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425"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43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203"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288"/>
          <w:jc w:val="center"/>
        </w:trPr>
        <w:tc>
          <w:tcPr>
            <w:tcW w:w="1144" w:type="dxa"/>
            <w:vMerge/>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top w:val="single" w:sz="4" w:space="0" w:color="auto"/>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38"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7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2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50"/>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3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6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80"/>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2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546" w:type="dxa"/>
        <w:jc w:val="center"/>
        <w:tblBorders>
          <w:bottom w:val="single" w:sz="4" w:space="0" w:color="auto"/>
        </w:tblBorders>
        <w:tblLayout w:type="fixed"/>
        <w:tblCellMar>
          <w:left w:w="0" w:type="dxa"/>
          <w:right w:w="0" w:type="dxa"/>
        </w:tblCellMar>
        <w:tblLook w:val="04A0"/>
      </w:tblPr>
      <w:tblGrid>
        <w:gridCol w:w="1144"/>
        <w:gridCol w:w="1847"/>
        <w:gridCol w:w="3036"/>
        <w:gridCol w:w="1052"/>
        <w:gridCol w:w="952"/>
        <w:gridCol w:w="4653"/>
        <w:gridCol w:w="1621"/>
        <w:gridCol w:w="1241"/>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0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9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65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4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62"/>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w:t>
            </w:r>
          </w:p>
        </w:tc>
        <w:tc>
          <w:tcPr>
            <w:tcW w:w="18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采购人、采购代理机构隐匿、销毁应当保存的采购文件或者伪造、变造采购文件的处罚</w:t>
            </w:r>
          </w:p>
        </w:tc>
        <w:tc>
          <w:tcPr>
            <w:tcW w:w="3036"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七十六条：“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《政府采购货物和服务招标投标管理办法》（财政部令第87号）第七十八条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十一）未妥善保存采购文件的。</w:t>
            </w:r>
          </w:p>
        </w:tc>
        <w:tc>
          <w:tcPr>
            <w:tcW w:w="105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952"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62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24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7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7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63"/>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5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1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65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66"/>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3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2"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5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2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901" w:type="dxa"/>
        <w:jc w:val="center"/>
        <w:tblLayout w:type="fixed"/>
        <w:tblCellMar>
          <w:left w:w="0" w:type="dxa"/>
          <w:right w:w="0" w:type="dxa"/>
        </w:tblCellMar>
        <w:tblLook w:val="04A0"/>
      </w:tblPr>
      <w:tblGrid>
        <w:gridCol w:w="632"/>
        <w:gridCol w:w="603"/>
        <w:gridCol w:w="6133"/>
        <w:gridCol w:w="597"/>
        <w:gridCol w:w="821"/>
        <w:gridCol w:w="4861"/>
        <w:gridCol w:w="1128"/>
        <w:gridCol w:w="1126"/>
      </w:tblGrid>
      <w:tr w:rsidR="008568C5">
        <w:trPr>
          <w:trHeight w:val="635"/>
          <w:jc w:val="center"/>
        </w:trPr>
        <w:tc>
          <w:tcPr>
            <w:tcW w:w="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6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61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86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12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2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24"/>
          <w:jc w:val="center"/>
        </w:trPr>
        <w:tc>
          <w:tcPr>
            <w:tcW w:w="632"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w:t>
            </w:r>
          </w:p>
        </w:tc>
        <w:tc>
          <w:tcPr>
            <w:tcW w:w="60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供应商违法行为的处罚</w:t>
            </w:r>
          </w:p>
        </w:tc>
        <w:tc>
          <w:tcPr>
            <w:tcW w:w="6133" w:type="dxa"/>
            <w:vMerge w:val="restart"/>
            <w:tcBorders>
              <w:top w:val="single" w:sz="4" w:space="0" w:color="000000"/>
              <w:left w:val="single" w:sz="4" w:space="0" w:color="000000"/>
              <w:bottom w:val="nil"/>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8"/>
                <w:szCs w:val="18"/>
              </w:rPr>
              <w:t>《中华人民共和国政府采购法》第七十七条第一款：“供应商有下列情形之一的，处以采购金额千分之五以上千</w:t>
            </w:r>
            <w:proofErr w:type="gramStart"/>
            <w:r>
              <w:rPr>
                <w:rFonts w:ascii="仿宋" w:eastAsia="仿宋" w:hAnsi="仿宋" w:cs="仿宋" w:hint="eastAsia"/>
                <w:sz w:val="18"/>
                <w:szCs w:val="18"/>
              </w:rPr>
              <w:t>分之十</w:t>
            </w:r>
            <w:proofErr w:type="gramEnd"/>
            <w:r>
              <w:rPr>
                <w:rFonts w:ascii="仿宋" w:eastAsia="仿宋" w:hAnsi="仿宋" w:cs="仿宋" w:hint="eastAsia"/>
                <w:sz w:val="18"/>
                <w:szCs w:val="18"/>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二）采取不正当手段诋毁、排挤其他供应商的；（三）与采购人、其他供应商或者采购代理机构恶意串通的；（四）向采购人、采购代理机构行贿或者提供其他不正当利益的；（五）在招标采购过程中与采购人进行协商谈判的；（六）拒绝有关部门监督检查或者提供虚假情况的。”《中华人民共和国政府采购法实施条例》（国务院令第658号）第二十一条第一款：“采购人或者采购代理机构对供应商进行资格预审的，资格预审公告应当在省级以上人民政府财政部门指定的媒体上发布。已进行资格预审的，评审阶段可以不再对供应商资格进行审查。资格预审合格的供应商在评审阶段资格发生变化的，应当通知采购人和采购代理机构。” 第七十二条：“供应商有下列情形之一的，依照政府采购法第七十七条第一款的规定追究法律责任：（一）向评标委员会、竞争性谈判小组或者询价小组成员行贿或者提供其他不正当利益；（二）中标或者成交后无正当理由拒不与采购人签订政府采购合同；（三）未按照采购文件确定的事项签订政府采购合同；（四）将政府采购合同转包；（五）提供假冒伪劣产品；（六）擅自变更、中止或者终止政府采购合同。供应商有前款第一项规定情形的，中标、成交无效。评审阶段资格发生变化，供应商未依照本条例第二十一条的规定通知采购人和采购代理机构的，处以采购金额5‰的罚款，列入不良行为记录名单，中标、成交无效。” 第七十三条：“供应商捏造事实、提供虚假材料或者以非法手段取得证明材料进行投诉的，由财政部门列入不良行为记录名单，禁止其1至3年内参加政府采购活动。” 《政府采购质疑和投诉办法》（财政部令第94号）第三十七条 ：“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政府采购非招标采购方式管理办法》(财政部令第74号) 第五十四条:“成交供应商有下列情形之一的，责令限期改正，情节严重的，列入不良行为记录名单，在1至3年内禁止参加政府采购活动，并予以通报：（一）未按照采购文件确定的事项签订政府采购合同，或者与采购人另行订立背离合同实质性内容的协议的；（二）成交后无正当理由不与采购人签订合同的；（三）</w:t>
            </w:r>
            <w:r>
              <w:rPr>
                <w:rFonts w:ascii="仿宋" w:eastAsia="仿宋" w:hAnsi="仿宋" w:cs="仿宋" w:hint="eastAsia"/>
                <w:sz w:val="18"/>
                <w:szCs w:val="18"/>
              </w:rPr>
              <w:lastRenderedPageBreak/>
              <w:t>拒绝履行合同义务的。”</w:t>
            </w:r>
          </w:p>
        </w:tc>
        <w:tc>
          <w:tcPr>
            <w:tcW w:w="597" w:type="dxa"/>
            <w:vMerge w:val="restart"/>
            <w:tcBorders>
              <w:top w:val="single" w:sz="4" w:space="0" w:color="000000"/>
              <w:left w:val="single" w:sz="4" w:space="0" w:color="000000"/>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行政处罚</w:t>
            </w:r>
          </w:p>
        </w:tc>
        <w:tc>
          <w:tcPr>
            <w:tcW w:w="8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128"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12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158"/>
          <w:jc w:val="center"/>
        </w:trPr>
        <w:tc>
          <w:tcPr>
            <w:tcW w:w="632"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top w:val="nil"/>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top w:val="nil"/>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128" w:type="dxa"/>
            <w:vMerge/>
            <w:tcBorders>
              <w:top w:val="nil"/>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top w:val="nil"/>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70"/>
          <w:jc w:val="center"/>
        </w:trPr>
        <w:tc>
          <w:tcPr>
            <w:tcW w:w="63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12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23"/>
          <w:jc w:val="center"/>
        </w:trPr>
        <w:tc>
          <w:tcPr>
            <w:tcW w:w="63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12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32"/>
          <w:jc w:val="center"/>
        </w:trPr>
        <w:tc>
          <w:tcPr>
            <w:tcW w:w="63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12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62"/>
          <w:jc w:val="center"/>
        </w:trPr>
        <w:tc>
          <w:tcPr>
            <w:tcW w:w="63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12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3"/>
          <w:jc w:val="center"/>
        </w:trPr>
        <w:tc>
          <w:tcPr>
            <w:tcW w:w="63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12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23"/>
          <w:jc w:val="center"/>
        </w:trPr>
        <w:tc>
          <w:tcPr>
            <w:tcW w:w="63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33"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2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8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12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2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textAlignment w:val="center"/>
      </w:pPr>
    </w:p>
    <w:tbl>
      <w:tblPr>
        <w:tblW w:w="15798" w:type="dxa"/>
        <w:jc w:val="center"/>
        <w:tblBorders>
          <w:bottom w:val="single" w:sz="4" w:space="0" w:color="auto"/>
        </w:tblBorders>
        <w:tblLayout w:type="fixed"/>
        <w:tblCellMar>
          <w:left w:w="0" w:type="dxa"/>
          <w:right w:w="0" w:type="dxa"/>
        </w:tblCellMar>
        <w:tblLook w:val="04A0"/>
      </w:tblPr>
      <w:tblGrid>
        <w:gridCol w:w="854"/>
        <w:gridCol w:w="1643"/>
        <w:gridCol w:w="4067"/>
        <w:gridCol w:w="942"/>
        <w:gridCol w:w="1485"/>
        <w:gridCol w:w="4389"/>
        <w:gridCol w:w="1281"/>
        <w:gridCol w:w="1137"/>
      </w:tblGrid>
      <w:tr w:rsidR="008568C5">
        <w:trPr>
          <w:trHeight w:val="635"/>
          <w:jc w:val="center"/>
        </w:trPr>
        <w:tc>
          <w:tcPr>
            <w:tcW w:w="85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0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38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8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3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74"/>
          <w:jc w:val="center"/>
        </w:trPr>
        <w:tc>
          <w:tcPr>
            <w:tcW w:w="85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w:t>
            </w:r>
          </w:p>
        </w:tc>
        <w:tc>
          <w:tcPr>
            <w:tcW w:w="164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采购人未编制采购计划、规避招标、违规确定供应商、未依法管理合同、未依法采用非招标方式等行为的处罚</w:t>
            </w:r>
          </w:p>
        </w:tc>
        <w:tc>
          <w:tcPr>
            <w:tcW w:w="4067"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20"/>
                <w:szCs w:val="20"/>
              </w:rPr>
              <w:t>《中华人民共和国政府采购法实施条例》（国务院令第658号）第六十七条：“采购人有下列情形之一的，由财政部门责令限期改正，给予警告，对直接负责的主管人员和其他直接责任人员依法给予处分，并予以通报：（一）未按照规定编制政府采购实施计划或者未按照规定将政府采购实施计划报本级人民政府财政部门备案；（二）将应当进行公开招标的项目化整为零或者以其他任何方式规避公开招标；（三）未按照规定在评标委员会、竞争性谈判小组或者询价小组推荐的中标或者成交候选人中确定中标或者成交供应商；（四）未按照采购文件确定的事项签订政府采购合同；（五）政府采购合同履行中追加与合同标的相同的货物、工程或者服务的采购金额超过原合同采购金额10%；（六）擅自变更、中止或者终止政府采购合同；（七）未按照规定公告政府采购合同；（八）未按照规定时间将政府采购合同副本报本级人民政府财政部门和有关部门备案。”《政府采购非招标采购方式管理办法》（财政部令第74号）第五十二条：“采购人有下列情形之一的，责令限期改正，给予警告；有关法律、行政法规规定处以罚款的，并处罚款：（一）未按照政府采购法和本办法的规定采用非招标采购方式的；（二）未按照政府采购法和本办</w:t>
            </w:r>
            <w:r>
              <w:rPr>
                <w:rFonts w:ascii="仿宋" w:eastAsia="仿宋" w:hAnsi="仿宋" w:cs="仿宋" w:hint="eastAsia"/>
                <w:sz w:val="20"/>
                <w:szCs w:val="20"/>
              </w:rPr>
              <w:lastRenderedPageBreak/>
              <w:t>法的规定确定成交供应商的；（三）未按照采购文件确定的事项签订政府采购合同，或者与成交供应商另行订立背离合同实质性内容的协议的；（四）未按规定将政府采购合同副本报本级财政部门备案的。”</w:t>
            </w:r>
          </w:p>
        </w:tc>
        <w:tc>
          <w:tcPr>
            <w:tcW w:w="94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行政处罚</w:t>
            </w:r>
          </w:p>
        </w:tc>
        <w:tc>
          <w:tcPr>
            <w:tcW w:w="1485"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28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13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712"/>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700"/>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738"/>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562"/>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600"/>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888"/>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3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r w:rsidR="008568C5">
        <w:trPr>
          <w:trHeight w:val="518"/>
          <w:jc w:val="center"/>
        </w:trPr>
        <w:tc>
          <w:tcPr>
            <w:tcW w:w="85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6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406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89"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28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1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r>
    </w:tbl>
    <w:p w:rsidR="008568C5" w:rsidRDefault="008568C5">
      <w:pPr>
        <w:autoSpaceDN w:val="0"/>
        <w:snapToGrid w:val="0"/>
        <w:textAlignment w:val="center"/>
        <w:rPr>
          <w:rFonts w:ascii="仿宋" w:eastAsia="仿宋" w:hAnsi="仿宋" w:cs="仿宋"/>
          <w:szCs w:val="21"/>
        </w:rPr>
      </w:pPr>
    </w:p>
    <w:p w:rsidR="008568C5" w:rsidRDefault="008568C5">
      <w:pPr>
        <w:autoSpaceDN w:val="0"/>
        <w:snapToGrid w:val="0"/>
        <w:textAlignment w:val="center"/>
        <w:rPr>
          <w:rFonts w:ascii="仿宋" w:eastAsia="仿宋" w:hAnsi="仿宋" w:cs="仿宋"/>
          <w:sz w:val="18"/>
          <w:szCs w:val="18"/>
        </w:rPr>
      </w:pPr>
    </w:p>
    <w:p w:rsidR="008568C5" w:rsidRDefault="008568C5"/>
    <w:tbl>
      <w:tblPr>
        <w:tblW w:w="15527" w:type="dxa"/>
        <w:jc w:val="center"/>
        <w:tblBorders>
          <w:bottom w:val="single" w:sz="4" w:space="0" w:color="auto"/>
        </w:tblBorders>
        <w:tblLayout w:type="fixed"/>
        <w:tblCellMar>
          <w:left w:w="0" w:type="dxa"/>
          <w:right w:w="0" w:type="dxa"/>
        </w:tblCellMar>
        <w:tblLook w:val="04A0"/>
      </w:tblPr>
      <w:tblGrid>
        <w:gridCol w:w="1144"/>
        <w:gridCol w:w="1847"/>
        <w:gridCol w:w="2316"/>
        <w:gridCol w:w="1051"/>
        <w:gridCol w:w="876"/>
        <w:gridCol w:w="5188"/>
        <w:gridCol w:w="1382"/>
        <w:gridCol w:w="1723"/>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3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18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8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7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433"/>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w:t>
            </w:r>
          </w:p>
        </w:tc>
        <w:tc>
          <w:tcPr>
            <w:tcW w:w="18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集中采购机构内部制度不健全、依法应当分设分离的岗位和人员未分设分离，将集中采购项目委托其他采购代理机构采购，从事营利活动的处罚</w:t>
            </w:r>
          </w:p>
        </w:tc>
        <w:tc>
          <w:tcPr>
            <w:tcW w:w="2316"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实施条例》（国务院令第658号）第六十九条：“集中采购机构有下列情形之一的，由财政部门责令限期改正，给予警告，有违法所得的，并处没收违法所得，对直接负责的主管人员和其他直接责任人员依法给予处分，并予以通报：（一）内部监督管理制度不健全，对依法应当分设、分离的岗位、人员未分设、分离；（二）将集中采购项目委托其他采购代理机构采购；（三）从事营利活动。”</w:t>
            </w:r>
          </w:p>
        </w:tc>
        <w:tc>
          <w:tcPr>
            <w:tcW w:w="105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876"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38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《中华人民共和国政府采购法》第八十二条：政府采购监督管理部门对集</w:t>
            </w:r>
            <w:proofErr w:type="gramStart"/>
            <w:r>
              <w:rPr>
                <w:rFonts w:ascii="仿宋" w:eastAsia="仿宋" w:hAnsi="仿宋" w:cs="仿宋" w:hint="eastAsia"/>
                <w:szCs w:val="21"/>
              </w:rPr>
              <w:t>采机构</w:t>
            </w:r>
            <w:proofErr w:type="gramEnd"/>
            <w:r>
              <w:rPr>
                <w:rFonts w:ascii="仿宋" w:eastAsia="仿宋" w:hAnsi="仿宋" w:cs="仿宋" w:hint="eastAsia"/>
                <w:szCs w:val="21"/>
              </w:rPr>
              <w:t>业绩的考核，有虚假陈述，隐瞒真实情况的，或者不作定期考核和公布考核结果的，应当及时纠正，由其上级机关或者检察机关对其负责人进行通报，并对直接负责的人员依法给与行政处</w:t>
            </w:r>
            <w:r>
              <w:rPr>
                <w:rFonts w:ascii="仿宋" w:eastAsia="仿宋" w:hAnsi="仿宋" w:cs="仿宋" w:hint="eastAsia"/>
                <w:szCs w:val="21"/>
              </w:rPr>
              <w:lastRenderedPageBreak/>
              <w:t>分。</w:t>
            </w:r>
          </w:p>
        </w:tc>
        <w:tc>
          <w:tcPr>
            <w:tcW w:w="172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政府采购监督管理股</w:t>
            </w:r>
          </w:p>
        </w:tc>
      </w:tr>
      <w:tr w:rsidR="008568C5">
        <w:trPr>
          <w:trHeight w:val="6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5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3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5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38"/>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18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5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1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6"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5188"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38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2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textAlignment w:val="center"/>
      </w:pPr>
      <w:r>
        <w:rPr>
          <w:rFonts w:ascii="仿宋" w:eastAsia="仿宋" w:hAnsi="仿宋" w:cs="仿宋"/>
          <w:sz w:val="18"/>
          <w:szCs w:val="18"/>
        </w:rPr>
        <w:br w:type="page"/>
      </w:r>
    </w:p>
    <w:tbl>
      <w:tblPr>
        <w:tblW w:w="15555" w:type="dxa"/>
        <w:jc w:val="center"/>
        <w:tblBorders>
          <w:bottom w:val="single" w:sz="4" w:space="0" w:color="auto"/>
        </w:tblBorders>
        <w:tblLayout w:type="fixed"/>
        <w:tblCellMar>
          <w:left w:w="0" w:type="dxa"/>
          <w:right w:w="0" w:type="dxa"/>
        </w:tblCellMar>
        <w:tblLook w:val="04A0"/>
      </w:tblPr>
      <w:tblGrid>
        <w:gridCol w:w="1144"/>
        <w:gridCol w:w="1847"/>
        <w:gridCol w:w="2220"/>
        <w:gridCol w:w="953"/>
        <w:gridCol w:w="1445"/>
        <w:gridCol w:w="4549"/>
        <w:gridCol w:w="1646"/>
        <w:gridCol w:w="1751"/>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2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54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75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18"/>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w:t>
            </w:r>
          </w:p>
        </w:tc>
        <w:tc>
          <w:tcPr>
            <w:tcW w:w="18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采购人员与供应商有利害关系而不依法回避的处罚</w:t>
            </w:r>
          </w:p>
        </w:tc>
        <w:tc>
          <w:tcPr>
            <w:tcW w:w="2220"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《中华人民共和国政府采购法实施条例》（国务院令第658号）第七十条：“采购人员与供应商有利害关系而不依法回避的，由财政部门给予警告，并处2000元以上2万元以下的罚款。”</w:t>
            </w:r>
          </w:p>
        </w:tc>
        <w:tc>
          <w:tcPr>
            <w:tcW w:w="95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445"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75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413"/>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8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5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19"/>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49"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564" w:type="dxa"/>
        <w:jc w:val="center"/>
        <w:tblLayout w:type="fixed"/>
        <w:tblCellMar>
          <w:left w:w="0" w:type="dxa"/>
          <w:right w:w="0" w:type="dxa"/>
        </w:tblCellMar>
        <w:tblLook w:val="04A0"/>
      </w:tblPr>
      <w:tblGrid>
        <w:gridCol w:w="1144"/>
        <w:gridCol w:w="1181"/>
        <w:gridCol w:w="4598"/>
        <w:gridCol w:w="767"/>
        <w:gridCol w:w="1145"/>
        <w:gridCol w:w="4373"/>
        <w:gridCol w:w="1248"/>
        <w:gridCol w:w="1108"/>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18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59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76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14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37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4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79"/>
          <w:jc w:val="center"/>
        </w:trPr>
        <w:tc>
          <w:tcPr>
            <w:tcW w:w="1144"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w:t>
            </w:r>
          </w:p>
        </w:tc>
        <w:tc>
          <w:tcPr>
            <w:tcW w:w="1181"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评审专家未依法独立评审、泄露评审情况，应回避而未回避，收受贿赂或者获取其他不正当利益、存在明显不合理或者不正当倾向性等行为的处罚</w:t>
            </w:r>
          </w:p>
        </w:tc>
        <w:tc>
          <w:tcPr>
            <w:tcW w:w="4598" w:type="dxa"/>
            <w:vMerge w:val="restart"/>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 w:val="16"/>
                <w:szCs w:val="16"/>
              </w:rPr>
            </w:pPr>
            <w:r>
              <w:rPr>
                <w:rFonts w:ascii="仿宋" w:eastAsia="仿宋" w:hAnsi="仿宋" w:cs="仿宋" w:hint="eastAsia"/>
                <w:sz w:val="16"/>
                <w:szCs w:val="16"/>
              </w:rPr>
              <w:t xml:space="preserve">《中华人民共和国政府采购法实施条例》（国务院令第658号）第七十五条：“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政府采购评审专家与供应商存在利害关系未回避的，处2万元以上5万元以下的罚款，禁止其参加政府采购评审活动。  政府采购评审专家收受采购人、采购代理机构、供应商贿赂或者获取其他不正当利益，构成犯罪的，依法追究刑事责任；尚不构成犯罪的，处2万元以上5万元以下的罚款，禁止其参加政府采购评审活动。政府采购评审专家有上述违法行为的，其评审意见无效，不得获取评审费；有违法所得的，没收违法所得；给他人造成损失的，依法承担民事责任。”  </w:t>
            </w:r>
            <w:r>
              <w:rPr>
                <w:rFonts w:ascii="仿宋" w:eastAsia="仿宋" w:hAnsi="仿宋" w:cs="仿宋" w:hint="eastAsia"/>
                <w:sz w:val="16"/>
                <w:szCs w:val="16"/>
              </w:rPr>
              <w:br/>
              <w:t xml:space="preserve">    《政府采购货物和服务招标投标管理办法》（财政部令第87号）第八十一条 ：“评标委员会成员有本办法第六十二条所</w:t>
            </w:r>
            <w:proofErr w:type="gramStart"/>
            <w:r>
              <w:rPr>
                <w:rFonts w:ascii="仿宋" w:eastAsia="仿宋" w:hAnsi="仿宋" w:cs="仿宋" w:hint="eastAsia"/>
                <w:sz w:val="16"/>
                <w:szCs w:val="16"/>
              </w:rPr>
              <w:t>列行</w:t>
            </w:r>
            <w:proofErr w:type="gramEnd"/>
            <w:r>
              <w:rPr>
                <w:rFonts w:ascii="仿宋" w:eastAsia="仿宋" w:hAnsi="仿宋" w:cs="仿宋" w:hint="eastAsia"/>
                <w:sz w:val="16"/>
                <w:szCs w:val="16"/>
              </w:rPr>
              <w:t>为之一的，由财政部门责令限期改正；情节严重的，给予警告，并对其不良行为予以记录。”第六十二条：“ 评标委员会及其成员不得有下列行为：（一）确定参与评标至评标结束前私自接触投标人；（二）接受投标人提出的与投标文件不一致的澄清或者说明，本办法第五十一条规定的情形除外；（三）违反评标纪律发表倾向性意见或者征询采购人的倾向性意见；（四）对需要专业判断的主观评审因素协商评分；（五）在评标过程中擅离职守，影响评标程序正常进行的；（六）记录、复制或者带走任何评标资料；（七）其他不遵守评标纪律的行为。”</w:t>
            </w:r>
          </w:p>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6"/>
                <w:szCs w:val="16"/>
              </w:rPr>
              <w:t>《政府采购非招标采购方式管理办法》（财政部令第74号）第五十五条：“谈判小组、询价小组成员有下列行为之一的，责令改正，给予警告；有关法律、行政法规规定处以罚款的，并处罚款；涉嫌犯罪的，依法移送司法机关处理：（一）收受采购人、采购代理机构、供应商、其他利害关系人的财物或者其他不正当利益的；（二）泄露评审情况以及评审过程中获悉的国家秘密、商业秘密的；（三）明知与供应商有利害关系而不依法回避的；（四）在评审过程中擅离职守，影响评审程序正常进行的；（五）在评审过程中有明显不合理或者不正当倾向性的；（六）未按照采购文件规定的评定成交的标准进行评审的。评审专家有前款情形之一，情节严重的，取消其政府采购评审专家资格，不得再参加任何政府采购项目的评审，并在财政部门指定的政府采购信息发布媒体上予以公告。”</w:t>
            </w:r>
          </w:p>
        </w:tc>
        <w:tc>
          <w:tcPr>
            <w:tcW w:w="767"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24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评审专家管理办法》第三十一条：财政部门的工作人员在评审专家管理工作中存在滥用职权，玩忽职守，徇私舞弊等违法违纪行为的，依照《政府采购法》、《公务员法》、《行政监察法》等国家有关规定追究相关责任；涉嫌犯罪的，移送司法机关处理。</w:t>
            </w:r>
          </w:p>
        </w:tc>
        <w:tc>
          <w:tcPr>
            <w:tcW w:w="110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412"/>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top w:val="single" w:sz="4" w:space="0" w:color="auto"/>
              <w:left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248"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57"/>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left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43"/>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62"/>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top w:val="single" w:sz="4" w:space="0" w:color="auto"/>
              <w:left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248"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left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left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98" w:type="dxa"/>
            <w:vMerge/>
            <w:tcBorders>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6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518" w:type="dxa"/>
        <w:jc w:val="center"/>
        <w:tblLayout w:type="fixed"/>
        <w:tblCellMar>
          <w:left w:w="0" w:type="dxa"/>
          <w:right w:w="0" w:type="dxa"/>
        </w:tblCellMar>
        <w:tblLook w:val="04A0"/>
      </w:tblPr>
      <w:tblGrid>
        <w:gridCol w:w="813"/>
        <w:gridCol w:w="963"/>
        <w:gridCol w:w="5486"/>
        <w:gridCol w:w="503"/>
        <w:gridCol w:w="592"/>
        <w:gridCol w:w="5069"/>
        <w:gridCol w:w="1138"/>
        <w:gridCol w:w="954"/>
      </w:tblGrid>
      <w:tr w:rsidR="008568C5">
        <w:trPr>
          <w:trHeight w:val="635"/>
          <w:jc w:val="center"/>
        </w:trPr>
        <w:tc>
          <w:tcPr>
            <w:tcW w:w="8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9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54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5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0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13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95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050"/>
          <w:jc w:val="center"/>
        </w:trPr>
        <w:tc>
          <w:tcPr>
            <w:tcW w:w="81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w:t>
            </w:r>
          </w:p>
        </w:tc>
        <w:tc>
          <w:tcPr>
            <w:tcW w:w="96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采购人、采购代理机构应公告而未公告、不在指定媒体公告、不同媒体公告内容不一致、未按规定期限公告、公告信息不真实、排斥潜在供应商等行为的处罚</w:t>
            </w:r>
          </w:p>
        </w:tc>
        <w:tc>
          <w:tcPr>
            <w:tcW w:w="5486"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信息发布管理办法》(中华人民共和国财政部令第101号):“本办法所称政府采购信息，是指依照政府采购有关法律制度规定应予公开的公开招标公告、资格预审公告、单一来源采购公示、中标（成交）结果公告、政府采购合同公告等政府采购项目信息，以及投诉处理结果、监督检查处理结果、集中采购机构考核结果等政府采购监管信息。 地方各级人民政府财政部门（以下简称财政部门）对本级预算单位的政府采购信息发布活动进行监督管理。”第六条 ：“ 财政部对中国政府采购网进行监督管理。省级（自治区、直辖市、计划单列市）财政部门对中国政府采购网省级分网进行监督管理。 采购人或者其委托的采购代理机构未依法在指定媒体上发布政府采购项目信息的，依照政府采购法实施条例第六十八条追究法律责任。 采购人或者其委托的采购代理机构存在其他违反本办法规定行为的，由县级以上财政部门依法责令限期改正，给予警告，对直接负责的主管人员和其他直接责任人员，建议其行政主管部门或者有关机关依法依规处理，并予通报。” 第十七条 ：“ 指定媒体违反本办法规定的，由实施指定行为的省级以上财政部门依法责令限期改正，对直接负责的主管人员和其他直接责任人员，建议其行政主管部门或者有关机关依法依规处理，并予通报。财政部门及其工作人员在政府采购信息发布活动中存在懒政</w:t>
            </w:r>
            <w:proofErr w:type="gramStart"/>
            <w:r>
              <w:rPr>
                <w:rFonts w:ascii="仿宋" w:eastAsia="仿宋" w:hAnsi="仿宋" w:cs="仿宋" w:hint="eastAsia"/>
                <w:szCs w:val="21"/>
              </w:rPr>
              <w:t>怠</w:t>
            </w:r>
            <w:proofErr w:type="gramEnd"/>
            <w:r>
              <w:rPr>
                <w:rFonts w:ascii="仿宋" w:eastAsia="仿宋" w:hAnsi="仿宋" w:cs="仿宋" w:hint="eastAsia"/>
                <w:szCs w:val="21"/>
              </w:rPr>
              <w:t>政、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tc>
        <w:tc>
          <w:tcPr>
            <w:tcW w:w="50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行政处罚</w:t>
            </w:r>
          </w:p>
        </w:tc>
        <w:tc>
          <w:tcPr>
            <w:tcW w:w="592"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立案</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13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954"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290"/>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01"/>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64"/>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15"/>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8"/>
          <w:jc w:val="center"/>
        </w:trPr>
        <w:tc>
          <w:tcPr>
            <w:tcW w:w="81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13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78"/>
          <w:jc w:val="center"/>
        </w:trPr>
        <w:tc>
          <w:tcPr>
            <w:tcW w:w="81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86"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9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13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4460" w:type="dxa"/>
        <w:jc w:val="center"/>
        <w:tblLayout w:type="fixed"/>
        <w:tblCellMar>
          <w:left w:w="0" w:type="dxa"/>
          <w:right w:w="0" w:type="dxa"/>
        </w:tblCellMar>
        <w:tblLook w:val="04A0"/>
      </w:tblPr>
      <w:tblGrid>
        <w:gridCol w:w="721"/>
        <w:gridCol w:w="1345"/>
        <w:gridCol w:w="2615"/>
        <w:gridCol w:w="876"/>
        <w:gridCol w:w="1169"/>
        <w:gridCol w:w="4681"/>
        <w:gridCol w:w="1519"/>
        <w:gridCol w:w="1534"/>
      </w:tblGrid>
      <w:tr w:rsidR="008568C5">
        <w:trPr>
          <w:trHeight w:val="699"/>
          <w:jc w:val="center"/>
        </w:trPr>
        <w:tc>
          <w:tcPr>
            <w:tcW w:w="7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3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1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68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51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5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26"/>
          <w:jc w:val="center"/>
        </w:trPr>
        <w:tc>
          <w:tcPr>
            <w:tcW w:w="72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10</w:t>
            </w:r>
          </w:p>
        </w:tc>
        <w:tc>
          <w:tcPr>
            <w:tcW w:w="134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国有资产占有单位提供虚假情况和资料，或者与资产评估机构串通作弊，致使资产评估结果失实的处罚</w:t>
            </w:r>
          </w:p>
        </w:tc>
        <w:tc>
          <w:tcPr>
            <w:tcW w:w="2615"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国有资产评估管理办法》（国务院令第91号）第三十一条：“占有单位违反本办法的规定，提供虚假情况和资料，或者与资产评估机构串通作弊，致使资产评估结果失实的，国有资产管理行政主管部门可以宣布资产评估结果无效，并可以根据情节轻重，单处或者并处下列处罚：（一）通报批评；（二）限期改正，并可以处以相当于评估费用以下的罚款；（三）提请有关部门对单位主管人员和直接责任人员给予行政处分，并可以处以相当于本人三个月基本工资以下的罚款。”</w:t>
            </w:r>
          </w:p>
        </w:tc>
        <w:tc>
          <w:tcPr>
            <w:tcW w:w="876"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行政处罚</w:t>
            </w:r>
          </w:p>
        </w:tc>
        <w:tc>
          <w:tcPr>
            <w:tcW w:w="116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1.立案责任：对监督检查、处理投诉中发现，或者接到举报，或经有关部门移送此类违法案件予以审查，决定是否立案。</w:t>
            </w:r>
          </w:p>
        </w:tc>
        <w:tc>
          <w:tcPr>
            <w:tcW w:w="151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pStyle w:val="a8"/>
              <w:widowControl/>
              <w:ind w:firstLineChars="0" w:firstLine="0"/>
              <w:jc w:val="left"/>
              <w:rPr>
                <w:rFonts w:ascii="仿宋" w:eastAsia="仿宋" w:hAnsi="仿宋" w:cs="仿宋"/>
                <w:szCs w:val="21"/>
              </w:rPr>
            </w:pPr>
            <w:r>
              <w:rPr>
                <w:rFonts w:ascii="仿宋" w:eastAsia="仿宋" w:hAnsi="仿宋" w:cs="仿宋" w:hint="eastAsia"/>
                <w:szCs w:val="21"/>
              </w:rPr>
              <w:t>《国有资产评估管理办法》第三十四条　国有资产管理行政主管部门或者行业主管部门工作人员违反本办法，造成国有资产损失的，国有资产管理行政主管部门或者行业主管部门可以按照干部管理权限，给予行政处分，并可以处以相当于本人三个月基本工资以下的罚款。违反本办法，利用职权谋取私利的，由</w:t>
            </w:r>
            <w:proofErr w:type="gramStart"/>
            <w:r>
              <w:rPr>
                <w:rFonts w:ascii="仿宋" w:eastAsia="仿宋" w:hAnsi="仿宋" w:cs="仿宋" w:hint="eastAsia"/>
                <w:szCs w:val="21"/>
              </w:rPr>
              <w:t>有查处</w:t>
            </w:r>
            <w:proofErr w:type="gramEnd"/>
            <w:r>
              <w:rPr>
                <w:rFonts w:ascii="仿宋" w:eastAsia="仿宋" w:hAnsi="仿宋" w:cs="仿宋" w:hint="eastAsia"/>
                <w:szCs w:val="21"/>
              </w:rPr>
              <w:t>权的部门依法追缴其非法所得。</w:t>
            </w:r>
          </w:p>
          <w:p w:rsidR="008568C5" w:rsidRDefault="00A65D61">
            <w:pPr>
              <w:pStyle w:val="a8"/>
              <w:widowControl/>
              <w:ind w:firstLineChars="0" w:firstLine="0"/>
              <w:jc w:val="left"/>
              <w:rPr>
                <w:rFonts w:ascii="仿宋" w:eastAsia="仿宋" w:hAnsi="仿宋" w:cs="仿宋"/>
                <w:szCs w:val="21"/>
              </w:rPr>
            </w:pPr>
            <w:r>
              <w:rPr>
                <w:rFonts w:ascii="仿宋" w:eastAsia="仿宋" w:hAnsi="仿宋" w:cs="仿宋" w:hint="eastAsia"/>
                <w:szCs w:val="21"/>
              </w:rPr>
              <w:t>第三十五条　违反本办法，情节严重，构成犯罪的，由司法机关依法追究刑事责任。</w:t>
            </w:r>
          </w:p>
          <w:p w:rsidR="008568C5" w:rsidRDefault="008568C5">
            <w:pPr>
              <w:autoSpaceDN w:val="0"/>
              <w:snapToGrid w:val="0"/>
              <w:jc w:val="left"/>
              <w:textAlignment w:val="center"/>
              <w:rPr>
                <w:rFonts w:ascii="仿宋" w:eastAsia="仿宋" w:hAnsi="仿宋" w:cs="仿宋"/>
                <w:szCs w:val="21"/>
              </w:rPr>
            </w:pPr>
          </w:p>
        </w:tc>
        <w:tc>
          <w:tcPr>
            <w:tcW w:w="1534"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税政与条法股、资产管理股、县属功能类公益类企业国有资产监管办公室</w:t>
            </w:r>
          </w:p>
        </w:tc>
      </w:tr>
      <w:tr w:rsidR="008568C5">
        <w:trPr>
          <w:trHeight w:val="608"/>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诉。</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608"/>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3.审查责任：对案件违法事实、证据、调查取证程序、法律适用、处罚种类和幅度、当事人陈诉和申辩理由等方面进行审查，提出处理意见。</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608"/>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处罚决定的事实、理由、依据、处罚内容，以及当事人享有的陈诉权、申辩权和听证权。</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493"/>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618"/>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538"/>
          <w:jc w:val="center"/>
        </w:trPr>
        <w:tc>
          <w:tcPr>
            <w:tcW w:w="7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5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385"/>
          <w:jc w:val="center"/>
        </w:trPr>
        <w:tc>
          <w:tcPr>
            <w:tcW w:w="721"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34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615"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87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69"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51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4281" w:type="dxa"/>
        <w:jc w:val="center"/>
        <w:tblLayout w:type="fixed"/>
        <w:tblCellMar>
          <w:left w:w="0" w:type="dxa"/>
          <w:right w:w="0" w:type="dxa"/>
        </w:tblCellMar>
        <w:tblLook w:val="04A0"/>
      </w:tblPr>
      <w:tblGrid>
        <w:gridCol w:w="721"/>
        <w:gridCol w:w="1345"/>
        <w:gridCol w:w="2475"/>
        <w:gridCol w:w="696"/>
        <w:gridCol w:w="1157"/>
        <w:gridCol w:w="5264"/>
        <w:gridCol w:w="1268"/>
        <w:gridCol w:w="1355"/>
      </w:tblGrid>
      <w:tr w:rsidR="008568C5">
        <w:trPr>
          <w:trHeight w:val="699"/>
          <w:jc w:val="center"/>
        </w:trPr>
        <w:tc>
          <w:tcPr>
            <w:tcW w:w="7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序号</w:t>
            </w:r>
          </w:p>
        </w:tc>
        <w:tc>
          <w:tcPr>
            <w:tcW w:w="13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24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6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职权类别</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526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12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黑体" w:cs="黑体" w:hint="eastAsia"/>
                <w:kern w:val="0"/>
                <w:sz w:val="24"/>
              </w:rPr>
              <w:t>追责情形</w:t>
            </w:r>
          </w:p>
        </w:tc>
        <w:tc>
          <w:tcPr>
            <w:tcW w:w="135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626"/>
          <w:jc w:val="center"/>
        </w:trPr>
        <w:tc>
          <w:tcPr>
            <w:tcW w:w="721"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11</w:t>
            </w:r>
          </w:p>
        </w:tc>
        <w:tc>
          <w:tcPr>
            <w:tcW w:w="1345"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金融企业国有资产评估违法、违规的处罚</w:t>
            </w:r>
          </w:p>
        </w:tc>
        <w:tc>
          <w:tcPr>
            <w:tcW w:w="2475"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 《金融企业国有资产评估监督管理暂行办法》（财政部令第47号）第三条：“县级以上人民政府财政部门按照统一政策、分级管理的原则，对本级金融企业资产评估工作进行监督管理。上级财政部门对下级财政部门监督管理金融企业资产评估工作进行指导和监督。”第三十条：金融企业违反本办法有关规定，由财政部门责令限期改正。有下列情形之一的，由财政部门给予警告：（一）应当进行资产评估而未进行评估的；（二）应当申请资产评估项目核准或者备案而未申请的；（三）委托没有资产评估执业资格的机构或者人员从事资产评估的，或者委托同一中介机构对同一经济行为进行资产评估、审计、会计业务服务的。”</w:t>
            </w:r>
          </w:p>
        </w:tc>
        <w:tc>
          <w:tcPr>
            <w:tcW w:w="696"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1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1.立案责任：对检查中发现、接到举报投诉违反国家机关及其工作人员违反规定使用、骗取专项资金的行为或经有关部门移送此类违法案件予以审查，决定是否立案。</w:t>
            </w:r>
          </w:p>
        </w:tc>
        <w:tc>
          <w:tcPr>
            <w:tcW w:w="126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35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税政与条法股、金融与服务业股、县属功能类公益类企业国有资产监管办公室</w:t>
            </w: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93"/>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1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2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5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475"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2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26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pPr>
      <w:r>
        <w:rPr>
          <w:rFonts w:ascii="仿宋" w:eastAsia="仿宋" w:hAnsi="仿宋" w:cs="仿宋"/>
          <w:szCs w:val="21"/>
        </w:rPr>
        <w:br w:type="page"/>
      </w:r>
    </w:p>
    <w:tbl>
      <w:tblPr>
        <w:tblW w:w="14571" w:type="dxa"/>
        <w:jc w:val="center"/>
        <w:tblLayout w:type="fixed"/>
        <w:tblCellMar>
          <w:left w:w="0" w:type="dxa"/>
          <w:right w:w="0" w:type="dxa"/>
        </w:tblCellMar>
        <w:tblLook w:val="04A0"/>
      </w:tblPr>
      <w:tblGrid>
        <w:gridCol w:w="721"/>
        <w:gridCol w:w="1198"/>
        <w:gridCol w:w="3987"/>
        <w:gridCol w:w="950"/>
        <w:gridCol w:w="1017"/>
        <w:gridCol w:w="4817"/>
        <w:gridCol w:w="1150"/>
        <w:gridCol w:w="731"/>
      </w:tblGrid>
      <w:tr w:rsidR="008568C5">
        <w:trPr>
          <w:trHeight w:val="699"/>
          <w:jc w:val="center"/>
        </w:trPr>
        <w:tc>
          <w:tcPr>
            <w:tcW w:w="7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19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39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职权</w:t>
            </w:r>
          </w:p>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类别</w:t>
            </w:r>
          </w:p>
        </w:tc>
        <w:tc>
          <w:tcPr>
            <w:tcW w:w="10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481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11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黑体" w:cs="黑体" w:hint="eastAsia"/>
                <w:kern w:val="0"/>
                <w:sz w:val="24"/>
              </w:rPr>
              <w:t>追责情形</w:t>
            </w:r>
          </w:p>
        </w:tc>
        <w:tc>
          <w:tcPr>
            <w:tcW w:w="73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626"/>
          <w:jc w:val="center"/>
        </w:trPr>
        <w:tc>
          <w:tcPr>
            <w:tcW w:w="721"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12</w:t>
            </w:r>
          </w:p>
        </w:tc>
        <w:tc>
          <w:tcPr>
            <w:tcW w:w="1198"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金融企业国有资产转让违规的处罚</w:t>
            </w:r>
          </w:p>
        </w:tc>
        <w:tc>
          <w:tcPr>
            <w:tcW w:w="3987"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 w:val="20"/>
                <w:szCs w:val="20"/>
              </w:rPr>
              <w:t>金融企业国有资产转让管理办法</w:t>
            </w:r>
            <w:proofErr w:type="gramStart"/>
            <w:r>
              <w:rPr>
                <w:rFonts w:ascii="仿宋" w:eastAsia="仿宋" w:hAnsi="仿宋" w:cs="仿宋" w:hint="eastAsia"/>
                <w:sz w:val="20"/>
                <w:szCs w:val="20"/>
              </w:rPr>
              <w:t>》</w:t>
            </w:r>
            <w:proofErr w:type="gramEnd"/>
            <w:r>
              <w:rPr>
                <w:rFonts w:ascii="仿宋" w:eastAsia="仿宋" w:hAnsi="仿宋" w:cs="仿宋" w:hint="eastAsia"/>
                <w:sz w:val="20"/>
                <w:szCs w:val="20"/>
              </w:rPr>
              <w:t>（财政部令第54号）第五十一条：“金融企业国有资产转让过程中出现下列情形之一的，财政部门可以要求转让方立即中止或者终止资产转让活动：（一）未按本办法有关规定在产权交易机构中进行交易的；（二）转让方不履行相应的内部决策程序、批准程序或者超越权限，或者未按规定报经财政部门和相关部门审批，擅自转让资产的；（三）转让方、转让标的企业故意隐匿应当纳入评估范围的资产，或者向中介机构提供虚假会计资料，导致审计、评估结果失真，以及未经审计、评估，造成国有资产流失的；（四）转让方与受让方串通，低价转让国有资产，造成国有资产流失的；（五）转让方未按规定落实转让标的企业的债权债务，非法转移债权或者逃避债务清偿责任的；以金融企业国有资产作为担保的，转让该部分资产时，未经担保债权人同意的；（六）受让方采取欺诈、隐瞒等手段影响转让方的选择以及资产转让协议签订的；（七）受让方在产权转让竞价过程中，恶意串通压低价格，造成国有资产流失的。”第五十二条：“转让方、转让标的企业有本办法第五十一条规定的情形，由财政部门给予警告，并建议有关部门对负有直接责任的人员和其他直接责任人员给予行政处分；造成国有资产损失的，应当建议有关部门依法追究金融企业董事、监事、高级管理人员的责任；由于受让方的责任造成国有资产流失的，受让方应当依法赔偿转让方的经济损失。涉嫌犯罪的，应当移送司法机关。”</w:t>
            </w:r>
          </w:p>
        </w:tc>
        <w:tc>
          <w:tcPr>
            <w:tcW w:w="95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0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1.立案责任：对检查中发现、接到举报投诉违反国家机关及其工作人员违反规定使用、骗取专项资金的行为或经有关部门移送此类违法案件予以审查，决定是否立案。</w:t>
            </w:r>
          </w:p>
        </w:tc>
        <w:tc>
          <w:tcPr>
            <w:tcW w:w="115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转让管理办法》第五十五条：金融企业国有资产转让批准机构及其有关人员违反法律、行政法规及本办法规定，造成国有资产流失的，由有关部门依法给予纪律处分；涉嫌犯罪的，移送司法机关。</w:t>
            </w:r>
          </w:p>
        </w:tc>
        <w:tc>
          <w:tcPr>
            <w:tcW w:w="73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税政与条法股、县属功能类公益类企业国有资产监管办公室</w:t>
            </w: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93"/>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1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8"/>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15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41"/>
          <w:jc w:val="center"/>
        </w:trPr>
        <w:tc>
          <w:tcPr>
            <w:tcW w:w="721"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8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15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2540"/>
        <w:gridCol w:w="985"/>
        <w:gridCol w:w="1281"/>
        <w:gridCol w:w="4949"/>
        <w:gridCol w:w="1313"/>
        <w:gridCol w:w="1391"/>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2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4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1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68"/>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13</w:t>
            </w:r>
          </w:p>
        </w:tc>
        <w:tc>
          <w:tcPr>
            <w:tcW w:w="18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企业国有资产产权登记违反规定的处罚</w:t>
            </w:r>
            <w:r>
              <w:rPr>
                <w:rFonts w:ascii="仿宋" w:eastAsia="仿宋" w:hAnsi="仿宋" w:cs="仿宋" w:hint="eastAsia"/>
                <w:szCs w:val="21"/>
              </w:rPr>
              <w:tab/>
            </w:r>
          </w:p>
        </w:tc>
        <w:tc>
          <w:tcPr>
            <w:tcW w:w="2540"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产权登记管理办法》（国务院令第192号）第十四条：“企业违反本办法规定，有下列行为之一的，由国有资产管理部门责令改正、通报批评，可以处以10万元以下的罚款，并提请政府有关部门对企业领导人员和直接责任人员按照规定给予纪律处分：(</w:t>
            </w:r>
            <w:proofErr w:type="gramStart"/>
            <w:r>
              <w:rPr>
                <w:rFonts w:ascii="仿宋" w:eastAsia="仿宋" w:hAnsi="仿宋" w:cs="仿宋" w:hint="eastAsia"/>
                <w:szCs w:val="21"/>
              </w:rPr>
              <w:t>一</w:t>
            </w:r>
            <w:proofErr w:type="gramEnd"/>
            <w:r>
              <w:rPr>
                <w:rFonts w:ascii="仿宋" w:eastAsia="仿宋" w:hAnsi="仿宋" w:cs="仿宋" w:hint="eastAsia"/>
                <w:szCs w:val="21"/>
              </w:rPr>
              <w:t>)在规定期限内不办理产权登记的；(二)隐瞒真实情况、未如实办理产权登记的；(三)不按照规定办理产权年度检查登记的；(四)伪造、涂改、出卖或者出借国有资产产权登记表的。”</w:t>
            </w:r>
          </w:p>
        </w:tc>
        <w:tc>
          <w:tcPr>
            <w:tcW w:w="98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28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31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《金融企业财务规则》第五十五条：财政部门工作人员在履行财务管理职责过程中滥用职权、玩忽职守、徇私舞弊，或者泄露国家秘密、商业秘密的，依法进行处理。</w:t>
            </w:r>
          </w:p>
        </w:tc>
        <w:tc>
          <w:tcPr>
            <w:tcW w:w="139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税政与条法股、资产管理股、县属功能类公益类企业国有资产监管办公室</w:t>
            </w:r>
          </w:p>
        </w:tc>
      </w:tr>
      <w:tr w:rsidR="008568C5">
        <w:trPr>
          <w:trHeight w:val="68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63"/>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8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31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86"/>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4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31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9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735"/>
        <w:gridCol w:w="1106"/>
        <w:gridCol w:w="3657"/>
        <w:gridCol w:w="569"/>
        <w:gridCol w:w="734"/>
        <w:gridCol w:w="5834"/>
        <w:gridCol w:w="1632"/>
        <w:gridCol w:w="1183"/>
      </w:tblGrid>
      <w:tr w:rsidR="008568C5">
        <w:trPr>
          <w:trHeight w:val="635"/>
          <w:jc w:val="center"/>
        </w:trPr>
        <w:tc>
          <w:tcPr>
            <w:tcW w:w="73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10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65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8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3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8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74"/>
          <w:jc w:val="center"/>
        </w:trPr>
        <w:tc>
          <w:tcPr>
            <w:tcW w:w="735"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14</w:t>
            </w:r>
          </w:p>
        </w:tc>
        <w:tc>
          <w:tcPr>
            <w:tcW w:w="1106"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金融企业不按照规定建立内部财务管理制度；内部财务管理制度明显与国家法律、法规和统一的财务管理规章制度相抵触，且不按财政部门要求修改的；不按照规定提供财务信息的；拒绝、阻</w:t>
            </w:r>
            <w:proofErr w:type="gramStart"/>
            <w:r>
              <w:rPr>
                <w:rFonts w:ascii="仿宋" w:eastAsia="仿宋" w:hAnsi="仿宋" w:cs="仿宋" w:hint="eastAsia"/>
                <w:szCs w:val="21"/>
              </w:rPr>
              <w:t>扰依法</w:t>
            </w:r>
            <w:proofErr w:type="gramEnd"/>
            <w:r>
              <w:rPr>
                <w:rFonts w:ascii="仿宋" w:eastAsia="仿宋" w:hAnsi="仿宋" w:cs="仿宋" w:hint="eastAsia"/>
                <w:szCs w:val="21"/>
              </w:rPr>
              <w:t>实施的财务监督的处罚</w:t>
            </w:r>
          </w:p>
        </w:tc>
        <w:tc>
          <w:tcPr>
            <w:tcW w:w="3657"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金融企业财务规则》（财政部令第42号）第六十二条：“金融企业有下列情形之一的，由财政部门责令限期改正，并对金融企业及其负责人和其他直接责任人员给予警告：（一）不按照规定建立内部财务管理制度的；（二）内部财务管理制度明显与国家法律、法规和统一的财务管理规章制度相抵触，且不按财政部门要求修改的；（三）不按照规定提供财务信息的；（四）拒绝、阻扰依法实施的财务监督的。”</w:t>
            </w:r>
          </w:p>
        </w:tc>
        <w:tc>
          <w:tcPr>
            <w:tcW w:w="569"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632"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《金融企业财务规则》第五十五条：财政部门工作人员在履行财务管理职责过程中滥用职权、玩忽职守、徇私舞弊，或者泄露国家秘密、商业秘密的，依法进行处理。</w:t>
            </w:r>
          </w:p>
        </w:tc>
        <w:tc>
          <w:tcPr>
            <w:tcW w:w="1183"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税政与条法股、金融与服务业股、县属功能类公益类企业国有资产监管办公室</w:t>
            </w:r>
          </w:p>
        </w:tc>
      </w:tr>
      <w:tr w:rsidR="008568C5">
        <w:trPr>
          <w:trHeight w:val="750"/>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13"/>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62"/>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88"/>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25"/>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37"/>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68"/>
          <w:jc w:val="center"/>
        </w:trPr>
        <w:tc>
          <w:tcPr>
            <w:tcW w:w="735"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65"/>
          <w:jc w:val="center"/>
        </w:trPr>
        <w:tc>
          <w:tcPr>
            <w:tcW w:w="735"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106"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65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69"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3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83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3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8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780"/>
          <w:jc w:val="center"/>
        </w:trPr>
        <w:tc>
          <w:tcPr>
            <w:tcW w:w="73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15</w:t>
            </w:r>
          </w:p>
        </w:tc>
        <w:tc>
          <w:tcPr>
            <w:tcW w:w="110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金融企业在报送国有资本保值增值材料中存在故意漏报、瞒报以及提供虚假材料等情况的处罚</w:t>
            </w:r>
          </w:p>
        </w:tc>
        <w:tc>
          <w:tcPr>
            <w:tcW w:w="3657" w:type="dxa"/>
            <w:vMerge w:val="restart"/>
            <w:tcBorders>
              <w:top w:val="single" w:sz="4" w:space="0" w:color="000000"/>
              <w:left w:val="single" w:sz="4" w:space="0" w:color="000000"/>
              <w:bottom w:val="nil"/>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 《金融企业国有资本保值增值结果确认暂行办法》（财政部令第43号）第二十四条：“金融企业在报送国有资本保值增值材料中，存在故意漏报、瞒报以及提供虚假材料等情况的，由本级财政部门责令限期改正，并给予警告。”</w:t>
            </w:r>
          </w:p>
        </w:tc>
        <w:tc>
          <w:tcPr>
            <w:tcW w:w="569" w:type="dxa"/>
            <w:vMerge w:val="restart"/>
            <w:tcBorders>
              <w:top w:val="single" w:sz="4" w:space="0" w:color="000000"/>
              <w:left w:val="single" w:sz="4" w:space="0" w:color="000000"/>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632"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《金融企业国有资本保值增值结果确认暂行办法》第二十六条：财政部门工作人员在国有资本保值增值结果确认过程中滥用职权、玩忽职守、徇私舞弊，或者泄露金融企业商业秘密的，依法给予行政处分。</w:t>
            </w:r>
          </w:p>
        </w:tc>
        <w:tc>
          <w:tcPr>
            <w:tcW w:w="1183"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税政与条法股、金融与服务业股、县属功能类公益类企业国有资产监管办公室</w:t>
            </w:r>
          </w:p>
        </w:tc>
      </w:tr>
      <w:tr w:rsidR="008568C5">
        <w:trPr>
          <w:trHeight w:val="975"/>
          <w:jc w:val="center"/>
        </w:trPr>
        <w:tc>
          <w:tcPr>
            <w:tcW w:w="735"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top w:val="nil"/>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825"/>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75"/>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25"/>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63"/>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1590"/>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36"/>
          <w:jc w:val="center"/>
        </w:trPr>
        <w:tc>
          <w:tcPr>
            <w:tcW w:w="73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0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65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56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3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183"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0"/>
          <w:jc w:val="center"/>
        </w:trPr>
        <w:tc>
          <w:tcPr>
            <w:tcW w:w="73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106"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65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69"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3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83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3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8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93"/>
          <w:jc w:val="center"/>
        </w:trPr>
        <w:tc>
          <w:tcPr>
            <w:tcW w:w="735"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16</w:t>
            </w:r>
          </w:p>
        </w:tc>
        <w:tc>
          <w:tcPr>
            <w:tcW w:w="1106"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不依法设置会计账簿等的处罚</w:t>
            </w:r>
          </w:p>
        </w:tc>
        <w:tc>
          <w:tcPr>
            <w:tcW w:w="3657" w:type="dxa"/>
            <w:vMerge w:val="restart"/>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8"/>
                <w:szCs w:val="18"/>
              </w:rPr>
              <w:t>《中华人民共和国会计法》第四十二条：“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一）不依法设置会计账簿的；（二）私设会计账簿的；（三）未按照规定填制、取得原始凭证或者填制、取得的原始凭证不符合规定的；（四）以未经审核的会计凭证为依据登记会计账簿或者登记会计账簿不符合规定的；（五）随意变更会计处理方法的； （六）向不同的会计资料使用者提供的财务会计报告编制依据不一致的；（七）未按照规定使用会计记录文字或者记账本位币的；（八）未按照规定保管会计资料，致使会计资料毁损、灭失的；（九）未按照规定建立并实施单位内部会计监督制度或者拒绝依法实施的监督或者</w:t>
            </w:r>
            <w:proofErr w:type="gramStart"/>
            <w:r>
              <w:rPr>
                <w:rFonts w:ascii="仿宋" w:eastAsia="仿宋" w:hAnsi="仿宋" w:cs="仿宋" w:hint="eastAsia"/>
                <w:sz w:val="18"/>
                <w:szCs w:val="18"/>
              </w:rPr>
              <w:t>不</w:t>
            </w:r>
            <w:proofErr w:type="gramEnd"/>
            <w:r>
              <w:rPr>
                <w:rFonts w:ascii="仿宋" w:eastAsia="仿宋" w:hAnsi="仿宋" w:cs="仿宋" w:hint="eastAsia"/>
                <w:sz w:val="18"/>
                <w:szCs w:val="18"/>
              </w:rPr>
              <w:t>如实提供有关会计资料及有关情况的；（十）任用会计人员不符合本法规定的。 有前款所</w:t>
            </w:r>
            <w:proofErr w:type="gramStart"/>
            <w:r>
              <w:rPr>
                <w:rFonts w:ascii="仿宋" w:eastAsia="仿宋" w:hAnsi="仿宋" w:cs="仿宋" w:hint="eastAsia"/>
                <w:sz w:val="18"/>
                <w:szCs w:val="18"/>
              </w:rPr>
              <w:t>列行</w:t>
            </w:r>
            <w:proofErr w:type="gramEnd"/>
            <w:r>
              <w:rPr>
                <w:rFonts w:ascii="仿宋" w:eastAsia="仿宋" w:hAnsi="仿宋" w:cs="仿宋" w:hint="eastAsia"/>
                <w:sz w:val="18"/>
                <w:szCs w:val="18"/>
              </w:rPr>
              <w:t>为之一，构成犯罪的，依法追究刑事责任。会计人员有第一款所</w:t>
            </w:r>
            <w:proofErr w:type="gramStart"/>
            <w:r>
              <w:rPr>
                <w:rFonts w:ascii="仿宋" w:eastAsia="仿宋" w:hAnsi="仿宋" w:cs="仿宋" w:hint="eastAsia"/>
                <w:sz w:val="18"/>
                <w:szCs w:val="18"/>
              </w:rPr>
              <w:t>列行</w:t>
            </w:r>
            <w:proofErr w:type="gramEnd"/>
            <w:r>
              <w:rPr>
                <w:rFonts w:ascii="仿宋" w:eastAsia="仿宋" w:hAnsi="仿宋" w:cs="仿宋" w:hint="eastAsia"/>
                <w:sz w:val="18"/>
                <w:szCs w:val="18"/>
              </w:rPr>
              <w:t>为之一，情节严重的，五年内不得从事会计工作。有关法律对第一款所</w:t>
            </w:r>
            <w:proofErr w:type="gramStart"/>
            <w:r>
              <w:rPr>
                <w:rFonts w:ascii="仿宋" w:eastAsia="仿宋" w:hAnsi="仿宋" w:cs="仿宋" w:hint="eastAsia"/>
                <w:sz w:val="18"/>
                <w:szCs w:val="18"/>
              </w:rPr>
              <w:t>列行</w:t>
            </w:r>
            <w:proofErr w:type="gramEnd"/>
            <w:r>
              <w:rPr>
                <w:rFonts w:ascii="仿宋" w:eastAsia="仿宋" w:hAnsi="仿宋" w:cs="仿宋" w:hint="eastAsia"/>
                <w:sz w:val="18"/>
                <w:szCs w:val="18"/>
              </w:rPr>
              <w:t>为的处罚另有规定的，依照有关法律的规定办理。”《中华人民共和国公司法》第二百零一条：“公司违反本法规定，在法定的会计账簿以外另立会计账簿的，由县级以上人民政府财政部门责令改正，处以五万元以上五十万元以下的罚款。”</w:t>
            </w:r>
          </w:p>
        </w:tc>
        <w:tc>
          <w:tcPr>
            <w:tcW w:w="569"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632"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183"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25"/>
          <w:jc w:val="center"/>
        </w:trPr>
        <w:tc>
          <w:tcPr>
            <w:tcW w:w="735"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top w:val="single" w:sz="4" w:space="0" w:color="auto"/>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32"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13"/>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3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5"/>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3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96"/>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3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83"/>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3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3"/>
          <w:jc w:val="center"/>
        </w:trPr>
        <w:tc>
          <w:tcPr>
            <w:tcW w:w="7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3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60"/>
          <w:jc w:val="center"/>
        </w:trPr>
        <w:tc>
          <w:tcPr>
            <w:tcW w:w="73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83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3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877"/>
        <w:gridCol w:w="1763"/>
        <w:gridCol w:w="3651"/>
        <w:gridCol w:w="1059"/>
        <w:gridCol w:w="611"/>
        <w:gridCol w:w="4785"/>
        <w:gridCol w:w="1208"/>
        <w:gridCol w:w="1496"/>
      </w:tblGrid>
      <w:tr w:rsidR="008568C5">
        <w:trPr>
          <w:trHeight w:val="635"/>
          <w:jc w:val="center"/>
        </w:trPr>
        <w:tc>
          <w:tcPr>
            <w:tcW w:w="8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7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6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6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49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499"/>
          <w:jc w:val="center"/>
        </w:trPr>
        <w:tc>
          <w:tcPr>
            <w:tcW w:w="87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17</w:t>
            </w:r>
          </w:p>
        </w:tc>
        <w:tc>
          <w:tcPr>
            <w:tcW w:w="176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伪造、变造会计凭证、会计账簿，编制虚假财务会计报告的处罚</w:t>
            </w:r>
          </w:p>
        </w:tc>
        <w:tc>
          <w:tcPr>
            <w:tcW w:w="3651"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 xml:space="preserve"> </w:t>
            </w:r>
            <w:r>
              <w:rPr>
                <w:rFonts w:ascii="仿宋" w:eastAsia="仿宋" w:hAnsi="仿宋" w:cs="仿宋" w:hint="eastAsia"/>
                <w:sz w:val="20"/>
                <w:szCs w:val="20"/>
              </w:rPr>
              <w:t>《财政部门实施会计监督办法》（财政部令第10号）第三条：“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第三十条：“财政部门在对本办法第九条、第十条、第十一条、第十二条、第十三条规定的内容实施会计监督检查中，发现有隐匿或者故意销毁依法应当保存的会计凭证、会计账簿、财务会计报告的违法会计行为的，应当依照《会计法》第四十四条的规定处理。”《中华人民共和国会计法》第四十三条：“ 伪造、变造会计凭证、会计账簿，编制虚假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tc>
        <w:tc>
          <w:tcPr>
            <w:tcW w:w="1059"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61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20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49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税政与                                                                                                                                                                                                                                                                                                                                                                                                                                                                                                                                                                                                                                                 </w:t>
            </w:r>
            <w:proofErr w:type="gramStart"/>
            <w:r>
              <w:rPr>
                <w:rFonts w:ascii="仿宋" w:eastAsia="仿宋" w:hAnsi="仿宋" w:cs="仿宋" w:hint="eastAsia"/>
                <w:szCs w:val="21"/>
              </w:rPr>
              <w:t>条法股</w:t>
            </w:r>
            <w:proofErr w:type="gramEnd"/>
          </w:p>
        </w:tc>
      </w:tr>
      <w:tr w:rsidR="008568C5">
        <w:trPr>
          <w:trHeight w:val="525"/>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00"/>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50"/>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43"/>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63"/>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62"/>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20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0"/>
          <w:jc w:val="center"/>
        </w:trPr>
        <w:tc>
          <w:tcPr>
            <w:tcW w:w="87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6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1"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20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r>
        <w:rPr>
          <w:rFonts w:ascii="仿宋" w:eastAsia="仿宋" w:hAnsi="仿宋" w:cs="仿宋" w:hint="eastAsia"/>
          <w:szCs w:val="21"/>
        </w:rPr>
        <w:lastRenderedPageBreak/>
        <w:t xml:space="preserve">                                                      </w:t>
      </w:r>
    </w:p>
    <w:tbl>
      <w:tblPr>
        <w:tblW w:w="15450" w:type="dxa"/>
        <w:jc w:val="center"/>
        <w:tblLayout w:type="fixed"/>
        <w:tblCellMar>
          <w:left w:w="0" w:type="dxa"/>
          <w:right w:w="0" w:type="dxa"/>
        </w:tblCellMar>
        <w:tblLook w:val="04A0"/>
      </w:tblPr>
      <w:tblGrid>
        <w:gridCol w:w="1144"/>
        <w:gridCol w:w="1288"/>
        <w:gridCol w:w="4161"/>
        <w:gridCol w:w="843"/>
        <w:gridCol w:w="646"/>
        <w:gridCol w:w="4741"/>
        <w:gridCol w:w="1259"/>
        <w:gridCol w:w="1368"/>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1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6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4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60"/>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18</w:t>
            </w:r>
          </w:p>
        </w:tc>
        <w:tc>
          <w:tcPr>
            <w:tcW w:w="128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隐匿或者故意销毁依法应当保存的会计凭证、会计账簿、财务会计报告的处罚</w:t>
            </w:r>
          </w:p>
        </w:tc>
        <w:tc>
          <w:tcPr>
            <w:tcW w:w="4161"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四条：“隐匿或者故意销毁依法应当保存的会计凭证、会计账簿、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实施会计监督办法》（财政部令第10号）第三条：“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第三十条：“财政部门在对本办法第九条、第十条、第十一条、第十二条、第十三条规定的内容实施会计监督检查中，发现有隐匿或者故意销毁依法应当保存的会计凭证、会计账簿、财务会计报告的违法会计行为的，应当依照《会计法》第四十四条的规定处理。”</w:t>
            </w:r>
          </w:p>
        </w:tc>
        <w:tc>
          <w:tcPr>
            <w:tcW w:w="84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646"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25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36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1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88"/>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7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5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1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13"/>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25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2"/>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61"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25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6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rPr>
          <w:rFonts w:ascii="仿宋" w:eastAsia="仿宋" w:hAnsi="仿宋" w:cs="仿宋"/>
          <w:szCs w:val="21"/>
        </w:rPr>
      </w:pPr>
    </w:p>
    <w:tbl>
      <w:tblPr>
        <w:tblW w:w="15450" w:type="dxa"/>
        <w:jc w:val="center"/>
        <w:tblLayout w:type="fixed"/>
        <w:tblCellMar>
          <w:left w:w="0" w:type="dxa"/>
          <w:right w:w="0" w:type="dxa"/>
        </w:tblCellMar>
        <w:tblLook w:val="04A0"/>
      </w:tblPr>
      <w:tblGrid>
        <w:gridCol w:w="1144"/>
        <w:gridCol w:w="1200"/>
        <w:gridCol w:w="4172"/>
        <w:gridCol w:w="635"/>
        <w:gridCol w:w="843"/>
        <w:gridCol w:w="5004"/>
        <w:gridCol w:w="1018"/>
        <w:gridCol w:w="1434"/>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序号</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项目名称</w:t>
            </w:r>
          </w:p>
        </w:tc>
        <w:tc>
          <w:tcPr>
            <w:tcW w:w="417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6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类别</w:t>
            </w:r>
          </w:p>
        </w:tc>
        <w:tc>
          <w:tcPr>
            <w:tcW w:w="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500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10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4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责任科室</w:t>
            </w:r>
          </w:p>
        </w:tc>
      </w:tr>
      <w:tr w:rsidR="008568C5">
        <w:trPr>
          <w:trHeight w:val="816"/>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19</w:t>
            </w:r>
          </w:p>
        </w:tc>
        <w:tc>
          <w:tcPr>
            <w:tcW w:w="120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授意、指使、强令会计机构、会计人员及其他人员编制、对外提供虚假的或者隐瞒重要事实的财务会计报告，或者隐匿、故意销毁依法应当保存的财务会计报告的处罚</w:t>
            </w:r>
          </w:p>
        </w:tc>
        <w:tc>
          <w:tcPr>
            <w:tcW w:w="4172"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中华人民共和国会计法》第四十五条：“授意、指使、强令会计机构、会计人员及其他人员伪造、变造会计凭证、会计账簿，编制虚假财务会计报告或者隐匿、故意销毁依法应当保存的会计凭证、会计账簿、财务会计报告，构成犯罪的，依法追究刑事责任；尚不构成犯罪的，可以处五千元以上五万元以下的罚款；属于国家工作人员的，还应当由其所在单位或者有关单位依法给予降级、撤职、开除的行政处分。” </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企业财务会计报告条例》（国务院令第287号）第四十一条：“授意、指使、强令会计机构、会计人员及其他人员编制、对外提供虚假的或者隐瞒重要事实的财务会计报告，或者隐匿、故意销毁依法应当保存的财务会计报告，构成犯罪的，依法追究刑事责任；尚不构成犯罪的，可以处5000元以上5万元以下的罚款；属于国家工作人员的，并依法给予降级、撤职、开除的行政处分或者纪律处分。”</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实施会计监督办法》（财政部令第10号）第三十一条：“财政部门在实施会计监督检查中，发现被检查单位的有关人员有授意、指使、强令会计机构、会计人员及其他人员伪造、变造或者隐匿、故意销毁依法应当保存的会计凭证、会计账簿，编制虚假财务会计报告行为的，应当依照《会计法》第四十五条的规定处理。”</w:t>
            </w:r>
          </w:p>
        </w:tc>
        <w:tc>
          <w:tcPr>
            <w:tcW w:w="63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843"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01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434"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8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7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01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43"/>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0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172"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3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4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01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485"/>
        <w:gridCol w:w="3558"/>
        <w:gridCol w:w="953"/>
        <w:gridCol w:w="810"/>
        <w:gridCol w:w="4752"/>
        <w:gridCol w:w="1533"/>
        <w:gridCol w:w="1215"/>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4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5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5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53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1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796"/>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20</w:t>
            </w:r>
          </w:p>
        </w:tc>
        <w:tc>
          <w:tcPr>
            <w:tcW w:w="148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代理记账机构采取欺骗手段获得代理记账许可证书、在经营期间未保持设立条件的处罚</w:t>
            </w:r>
          </w:p>
        </w:tc>
        <w:tc>
          <w:tcPr>
            <w:tcW w:w="3558"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ind w:firstLineChars="100" w:firstLine="210"/>
              <w:jc w:val="left"/>
              <w:textAlignment w:val="center"/>
              <w:rPr>
                <w:rFonts w:ascii="仿宋" w:eastAsia="仿宋" w:hAnsi="仿宋" w:cs="仿宋"/>
                <w:szCs w:val="21"/>
              </w:rPr>
            </w:pPr>
            <w:r>
              <w:rPr>
                <w:rFonts w:ascii="仿宋" w:eastAsia="仿宋" w:hAnsi="仿宋" w:cs="仿宋" w:hint="eastAsia"/>
                <w:szCs w:val="21"/>
              </w:rPr>
              <w:t>《代理记账管理办法》（财政部令第98号）第十七条：“县级以上人民政府财政部门对代理记账机构及其从事代理记账业务情况实施监督，随机抽取检查对象、随机选派执法检查人员，并将抽查情况及查处结果依法及时向社会公开。对委托代理记账的企业因违反财税法律、法规受到处理处罚的，县级以上人民政府财政部门应当将其委托的代理记账机构列入重点检查对象。对其他部门移交的代理记账违法行为线索，县级以上人民政府财政部门应当及时予以查处。</w:t>
            </w:r>
          </w:p>
          <w:p w:rsidR="008568C5" w:rsidRDefault="00A65D61">
            <w:pPr>
              <w:autoSpaceDN w:val="0"/>
              <w:snapToGrid w:val="0"/>
              <w:ind w:firstLine="437"/>
              <w:jc w:val="left"/>
              <w:textAlignment w:val="center"/>
              <w:rPr>
                <w:rFonts w:ascii="仿宋" w:eastAsia="仿宋" w:hAnsi="仿宋" w:cs="仿宋"/>
                <w:szCs w:val="21"/>
              </w:rPr>
            </w:pPr>
            <w:r>
              <w:rPr>
                <w:rFonts w:ascii="仿宋" w:eastAsia="仿宋" w:hAnsi="仿宋" w:cs="仿宋" w:hint="eastAsia"/>
                <w:szCs w:val="21"/>
              </w:rPr>
              <w:t>第十九条：“代理记账机构采取欺骗、贿赂等不正当手段取得代理记账资格的，由审批机关撤销其资格，并对代理记账机构及其负责人给予警告，记入会计领域违法失信记录，根据有关规定实施联合惩戒，并向社会公告。”</w:t>
            </w:r>
          </w:p>
          <w:p w:rsidR="008568C5" w:rsidRDefault="00A65D61">
            <w:pPr>
              <w:autoSpaceDN w:val="0"/>
              <w:snapToGrid w:val="0"/>
              <w:ind w:firstLine="437"/>
              <w:jc w:val="left"/>
              <w:textAlignment w:val="center"/>
              <w:rPr>
                <w:rFonts w:ascii="仿宋" w:eastAsia="仿宋" w:hAnsi="仿宋" w:cs="仿宋"/>
                <w:szCs w:val="21"/>
              </w:rPr>
            </w:pPr>
            <w:r>
              <w:rPr>
                <w:rFonts w:ascii="仿宋" w:eastAsia="仿宋" w:hAnsi="仿宋" w:cs="仿宋" w:hint="eastAsia"/>
                <w:szCs w:val="21"/>
              </w:rPr>
              <w:t>第二十条：“代理记账机构在经营期间达不到本办法规定的资格条件的，审批机关发现后，应当责令其在60日内整改；逾期仍达不到规定条件的，由审批机关撤销其代理记账资格。”</w:t>
            </w:r>
          </w:p>
        </w:tc>
        <w:tc>
          <w:tcPr>
            <w:tcW w:w="95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行政处罚</w:t>
            </w:r>
          </w:p>
        </w:tc>
        <w:tc>
          <w:tcPr>
            <w:tcW w:w="810"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53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《代理记账管理办法》第二十七条：县级以上人民政府财政部门及其工作人员在代理记账资格管理过程中，滥用职权、玩忽职守、徇私舞弊的，依法给予行政处分；涉嫌犯罪的，移送司法机关处理。</w:t>
            </w:r>
          </w:p>
        </w:tc>
        <w:tc>
          <w:tcPr>
            <w:tcW w:w="121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税政与条法股、会计股</w:t>
            </w:r>
          </w:p>
        </w:tc>
      </w:tr>
      <w:tr w:rsidR="008568C5">
        <w:trPr>
          <w:trHeight w:val="871"/>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0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69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8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589"/>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0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428"/>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148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3558" w:type="dxa"/>
            <w:vMerge/>
            <w:tcBorders>
              <w:left w:val="single" w:sz="4" w:space="0" w:color="000000"/>
              <w:bottom w:val="single" w:sz="4" w:space="0" w:color="auto"/>
              <w:right w:val="nil"/>
            </w:tcBorders>
            <w:tcMar>
              <w:top w:w="15" w:type="dxa"/>
              <w:left w:w="15" w:type="dxa"/>
              <w:right w:w="15" w:type="dxa"/>
            </w:tcMar>
          </w:tcPr>
          <w:p w:rsidR="008568C5" w:rsidRDefault="008568C5">
            <w:pPr>
              <w:autoSpaceDN w:val="0"/>
              <w:snapToGrid w:val="0"/>
              <w:textAlignment w:val="center"/>
              <w:rPr>
                <w:rFonts w:ascii="仿宋" w:eastAsia="仿宋" w:hAnsi="仿宋" w:cs="仿宋"/>
                <w:szCs w:val="21"/>
              </w:rPr>
            </w:pPr>
          </w:p>
        </w:tc>
        <w:tc>
          <w:tcPr>
            <w:tcW w:w="95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53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635"/>
          <w:jc w:val="center"/>
        </w:trPr>
        <w:tc>
          <w:tcPr>
            <w:tcW w:w="114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jc w:val="center"/>
              <w:rPr>
                <w:rFonts w:ascii="黑体" w:eastAsia="黑体" w:hAnsi="黑体" w:cs="黑体"/>
                <w:sz w:val="24"/>
              </w:rPr>
            </w:pPr>
            <w:r>
              <w:lastRenderedPageBreak/>
              <w:br w:type="page"/>
            </w:r>
            <w:r>
              <w:rPr>
                <w:rFonts w:ascii="黑体" w:eastAsia="黑体" w:hAnsi="黑体" w:cs="黑体" w:hint="eastAsia"/>
                <w:kern w:val="0"/>
                <w:sz w:val="24"/>
              </w:rPr>
              <w:t>序号</w:t>
            </w:r>
          </w:p>
        </w:tc>
        <w:tc>
          <w:tcPr>
            <w:tcW w:w="148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55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5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1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5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53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1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42"/>
          <w:jc w:val="center"/>
        </w:trPr>
        <w:tc>
          <w:tcPr>
            <w:tcW w:w="1144"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21</w:t>
            </w:r>
          </w:p>
        </w:tc>
        <w:tc>
          <w:tcPr>
            <w:tcW w:w="1485"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对企业随意改变会计要素的确认和计量标准等的处罚</w:t>
            </w:r>
          </w:p>
        </w:tc>
        <w:tc>
          <w:tcPr>
            <w:tcW w:w="3558" w:type="dxa"/>
            <w:vMerge w:val="restart"/>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企业财务会计报告条例》（国务院令第287号）第三十九条：“违反本条例规定，有下列行为之一的，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一）随意改变会计要素的确认和计量标准的；（二）随意改变财务会计报告的编制基础、编制依据、编制原则和方法的；（三）提前或者延迟结账日结账的；（四）在编制年度财务会计报告前，未按照本条例规定全面清查资产、核实债务的；（五）拒绝财政部门和其他有关部门对财务会计报告依法进行的监督检查，或者</w:t>
            </w:r>
            <w:proofErr w:type="gramStart"/>
            <w:r>
              <w:rPr>
                <w:rFonts w:ascii="仿宋" w:eastAsia="仿宋" w:hAnsi="仿宋" w:cs="仿宋" w:hint="eastAsia"/>
                <w:sz w:val="18"/>
                <w:szCs w:val="18"/>
              </w:rPr>
              <w:t>不</w:t>
            </w:r>
            <w:proofErr w:type="gramEnd"/>
            <w:r>
              <w:rPr>
                <w:rFonts w:ascii="仿宋" w:eastAsia="仿宋" w:hAnsi="仿宋" w:cs="仿宋" w:hint="eastAsia"/>
                <w:sz w:val="18"/>
                <w:szCs w:val="18"/>
              </w:rPr>
              <w:t>如实提供有关情况的。会计人员有前款所</w:t>
            </w:r>
            <w:proofErr w:type="gramStart"/>
            <w:r>
              <w:rPr>
                <w:rFonts w:ascii="仿宋" w:eastAsia="仿宋" w:hAnsi="仿宋" w:cs="仿宋" w:hint="eastAsia"/>
                <w:sz w:val="18"/>
                <w:szCs w:val="18"/>
              </w:rPr>
              <w:t>列行</w:t>
            </w:r>
            <w:proofErr w:type="gramEnd"/>
            <w:r>
              <w:rPr>
                <w:rFonts w:ascii="仿宋" w:eastAsia="仿宋" w:hAnsi="仿宋" w:cs="仿宋" w:hint="eastAsia"/>
                <w:sz w:val="18"/>
                <w:szCs w:val="18"/>
              </w:rPr>
              <w:t>为之一，情节严重的，由县级以上人民政府财政部门吊销会计从业资格证书。”</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8"/>
                <w:szCs w:val="18"/>
              </w:rPr>
              <w:t>《财政部门实施会计监督办法》（财政部令第10号）第三条：“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w:t>
            </w:r>
          </w:p>
        </w:tc>
        <w:tc>
          <w:tcPr>
            <w:tcW w:w="953"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1.检查责任：在外勤检查中发现或经举报、移送此类问题的，检查人员及时、全面、客观、公正地收集与此问题相关的证据，查明事实。检查人员应依法检查，出示相关证件，允许当事人辩解陈诉。</w:t>
            </w:r>
          </w:p>
        </w:tc>
        <w:tc>
          <w:tcPr>
            <w:tcW w:w="1533"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21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061"/>
          <w:jc w:val="center"/>
        </w:trPr>
        <w:tc>
          <w:tcPr>
            <w:tcW w:w="1144"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top w:val="single" w:sz="4" w:space="0" w:color="auto"/>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复核</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2.复核责任：对此问题违法事实、证据、调查取证程序、处罚依据应用、当事人陈诉和申辩理由等方面进行复核审理，提出处理意见。</w:t>
            </w:r>
          </w:p>
        </w:tc>
        <w:tc>
          <w:tcPr>
            <w:tcW w:w="1533"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5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处罚决定的事实、理由、依据、处罚内容，以及当事人享有的陈诉权、申辩权和听证权。</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91"/>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4.决定责任：对当事人下达行政处罚决定书，明确违法事实、处罚依据和内容、申请行政复议或提起行政诉讼的途径和期限等。</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16"/>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5.送达责任：将行政处罚决定</w:t>
            </w:r>
            <w:proofErr w:type="gramStart"/>
            <w:r>
              <w:rPr>
                <w:rFonts w:ascii="仿宋" w:eastAsia="仿宋" w:hAnsi="仿宋" w:cs="仿宋" w:hint="eastAsia"/>
                <w:szCs w:val="21"/>
              </w:rPr>
              <w:t>书按照</w:t>
            </w:r>
            <w:proofErr w:type="gramEnd"/>
            <w:r>
              <w:rPr>
                <w:rFonts w:ascii="仿宋" w:eastAsia="仿宋" w:hAnsi="仿宋" w:cs="仿宋" w:hint="eastAsia"/>
                <w:szCs w:val="21"/>
              </w:rPr>
              <w:t>规定期限和程序送达到当事人。</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11"/>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6.执行责任：监督当事人在决定的期限内，履行生效的行政处罚决定。当事人在法定期限未申请行政复议或提起行政诉讼，又不履行的，可申请人民法院强制执行。</w:t>
            </w:r>
          </w:p>
        </w:tc>
        <w:tc>
          <w:tcPr>
            <w:tcW w:w="153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497"/>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58" w:type="dxa"/>
            <w:vMerge/>
            <w:tcBorders>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7.其他法律法规规章文件规定应履行的责任。</w:t>
            </w:r>
          </w:p>
        </w:tc>
        <w:tc>
          <w:tcPr>
            <w:tcW w:w="153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779"/>
        <w:gridCol w:w="2212"/>
        <w:gridCol w:w="3098"/>
        <w:gridCol w:w="996"/>
        <w:gridCol w:w="624"/>
        <w:gridCol w:w="5092"/>
        <w:gridCol w:w="1412"/>
        <w:gridCol w:w="1237"/>
      </w:tblGrid>
      <w:tr w:rsidR="008568C5">
        <w:trPr>
          <w:trHeight w:val="635"/>
          <w:jc w:val="center"/>
        </w:trPr>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22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09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09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1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3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40"/>
          <w:jc w:val="center"/>
        </w:trPr>
        <w:tc>
          <w:tcPr>
            <w:tcW w:w="779"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22</w:t>
            </w:r>
          </w:p>
        </w:tc>
        <w:tc>
          <w:tcPr>
            <w:tcW w:w="2212"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企业编制、对外提供虚假的或者隐瞒重要事实的财务会计报告的处罚</w:t>
            </w:r>
          </w:p>
        </w:tc>
        <w:tc>
          <w:tcPr>
            <w:tcW w:w="3098"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财务会计报告条例》（国务院令第287号）第四十条：“企业编制、对外提供虚假的或者隐瞒重要事实的财务会计报告，构成犯罪的，依法追究刑事责任。有前款行为，尚不构成犯罪的，由县级以上人民政府财政部门予以通报，对企业可以处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公司法》第二百零二条：“公司在依法向有关主管部门提供的财务会计报告等材料上作虚假记载或者隐瞒重要事实的，由有关主管部门对直接负责的主管人员和其他直接责任人员处以三万元以上三十万元以下的罚款。”</w:t>
            </w:r>
          </w:p>
        </w:tc>
        <w:tc>
          <w:tcPr>
            <w:tcW w:w="996"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624"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412"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237"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775"/>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82"/>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848"/>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79"/>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82"/>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93"/>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569"/>
          <w:jc w:val="center"/>
        </w:trPr>
        <w:tc>
          <w:tcPr>
            <w:tcW w:w="77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221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3098"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 w:val="18"/>
                <w:szCs w:val="18"/>
              </w:rPr>
            </w:pPr>
          </w:p>
        </w:tc>
        <w:tc>
          <w:tcPr>
            <w:tcW w:w="9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12"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23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635"/>
          <w:jc w:val="center"/>
        </w:trPr>
        <w:tc>
          <w:tcPr>
            <w:tcW w:w="779"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221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09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96"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62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09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12"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3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46"/>
          <w:jc w:val="center"/>
        </w:trPr>
        <w:tc>
          <w:tcPr>
            <w:tcW w:w="77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23</w:t>
            </w:r>
          </w:p>
        </w:tc>
        <w:tc>
          <w:tcPr>
            <w:tcW w:w="2212"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企业和企业负有直接责任的主管人员和其他人员未按规定列支成本费用，截留、隐瞒、侵占企业收入，分配利润，处理国有资源，清偿职工债务的处罚</w:t>
            </w:r>
          </w:p>
        </w:tc>
        <w:tc>
          <w:tcPr>
            <w:tcW w:w="3098"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财务通则》（财政部令第41号）第七十二条：“企业和企业负有直接责任的主管人员和其他人员有以下行为之一的，县级以上主管财政机关可以责令限期改正、予以警告，有违法所得的，没收违法所得，并可以处以不超过违法所得3倍、但最高不超过3万元的罚款；没有违法所得的，可以处以1万元以下的罚款。(</w:t>
            </w:r>
            <w:proofErr w:type="gramStart"/>
            <w:r>
              <w:rPr>
                <w:rFonts w:ascii="仿宋" w:eastAsia="仿宋" w:hAnsi="仿宋" w:cs="仿宋" w:hint="eastAsia"/>
                <w:szCs w:val="21"/>
              </w:rPr>
              <w:t>一</w:t>
            </w:r>
            <w:proofErr w:type="gramEnd"/>
            <w:r>
              <w:rPr>
                <w:rFonts w:ascii="仿宋" w:eastAsia="仿宋" w:hAnsi="仿宋" w:cs="仿宋" w:hint="eastAsia"/>
                <w:szCs w:val="21"/>
              </w:rPr>
              <w:t>)违反本通则第三十九条、四十条、四十二条第一款、四十三条、四十六条规定列支成本费用的。(二)违反本通则第四十七条第一款规定截留、隐瞒、侵占企业收入的。(三)违反本通则第五十条、五十一条、五十二条规定进行利润分配的。但依照《公司法》设立的企业不按本通则第五十条第一款第二项规定提取法定公积金的，依照《公司法》的规定予以处罚。(四)违反本通则第五十七条规定处理国有资源的。(五)不按本通则第五十八条规定清偿职工债务的。”</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《中华人民共和国公司法》第二百零三条：“公司不依照本法规定提取法定公积金的，由县级以上人民政府财政部门责令如数补足应当提取的金额，可以对公司处以二十万元以下的罚款。”</w:t>
            </w:r>
          </w:p>
        </w:tc>
        <w:tc>
          <w:tcPr>
            <w:tcW w:w="99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41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《企业财务通则》（财政部令第41号）第七十六条：主管财政机关以及政府其他部门、机构有关工作人员，在企业财务管理中滥用职权、玩忽职守、徇私舞弊或者泄露国家机密、企业商业秘密的，依法进行处理。</w:t>
            </w:r>
          </w:p>
        </w:tc>
        <w:tc>
          <w:tcPr>
            <w:tcW w:w="123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857"/>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08"/>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82"/>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42"/>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75"/>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34"/>
          <w:jc w:val="center"/>
        </w:trPr>
        <w:tc>
          <w:tcPr>
            <w:tcW w:w="7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1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98"/>
          <w:jc w:val="center"/>
        </w:trPr>
        <w:tc>
          <w:tcPr>
            <w:tcW w:w="77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1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098" w:type="dxa"/>
            <w:vMerge/>
            <w:tcBorders>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2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1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1144"/>
        <w:gridCol w:w="1847"/>
        <w:gridCol w:w="2923"/>
        <w:gridCol w:w="956"/>
        <w:gridCol w:w="1157"/>
        <w:gridCol w:w="4785"/>
        <w:gridCol w:w="1390"/>
        <w:gridCol w:w="1248"/>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9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9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4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10"/>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24</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企业和企业负有直接责任的主管人员和其他人员未按规定建立健全内部财务管理制度、拒绝修正财务管理制度违规内容的处罚</w:t>
            </w:r>
          </w:p>
        </w:tc>
        <w:tc>
          <w:tcPr>
            <w:tcW w:w="2923"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《企业财务通则》（财政部令第41号）第七十三条：“企业和企业负有直接责任的主管人员和其他人员有以下行为之一的，县级以上主管财政机关可以责令限期改正、予以警告。(</w:t>
            </w:r>
            <w:proofErr w:type="gramStart"/>
            <w:r>
              <w:rPr>
                <w:rFonts w:ascii="仿宋" w:eastAsia="仿宋" w:hAnsi="仿宋" w:cs="仿宋" w:hint="eastAsia"/>
                <w:szCs w:val="21"/>
              </w:rPr>
              <w:t>一</w:t>
            </w:r>
            <w:proofErr w:type="gramEnd"/>
            <w:r>
              <w:rPr>
                <w:rFonts w:ascii="仿宋" w:eastAsia="仿宋" w:hAnsi="仿宋" w:cs="仿宋" w:hint="eastAsia"/>
                <w:szCs w:val="21"/>
              </w:rPr>
              <w:t>)未按本通则规定建立健全各项内部财务管理制度的。(二)内部财务管理制度明显与法律、行政法规和通用的企业财务规章制度相抵触，且不按主管财政机关要求修正的。”</w:t>
            </w:r>
          </w:p>
        </w:tc>
        <w:tc>
          <w:tcPr>
            <w:tcW w:w="956"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15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390"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《企业财务通则》（财政部令第41号）第七十六条：主管财政机关以及政府其他部门、机构有关工作人员，在企业财务管理中滥用职权、玩忽职守、徇私舞弊或者泄露国家机密、企业商业秘密的，依法进行处理。</w:t>
            </w:r>
          </w:p>
        </w:tc>
        <w:tc>
          <w:tcPr>
            <w:tcW w:w="124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625"/>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3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75"/>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0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16"/>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75"/>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390"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35"/>
          <w:jc w:val="center"/>
        </w:trPr>
        <w:tc>
          <w:tcPr>
            <w:tcW w:w="114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92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56"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15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8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9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25"/>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25</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单位和个人违反国家有关投资建设项目规定行为的处罚</w:t>
            </w:r>
          </w:p>
        </w:tc>
        <w:tc>
          <w:tcPr>
            <w:tcW w:w="2923" w:type="dxa"/>
            <w:vMerge w:val="restart"/>
            <w:tcBorders>
              <w:top w:val="single" w:sz="4" w:space="0" w:color="000000"/>
              <w:left w:val="single" w:sz="4" w:space="0" w:color="000000"/>
              <w:bottom w:val="single" w:sz="4" w:space="0" w:color="auto"/>
              <w:right w:val="nil"/>
            </w:tcBorders>
            <w:tcMar>
              <w:top w:w="15" w:type="dxa"/>
              <w:left w:w="15" w:type="dxa"/>
              <w:right w:w="15" w:type="dxa"/>
            </w:tcMa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第九条：“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proofErr w:type="gramStart"/>
            <w:r>
              <w:rPr>
                <w:rFonts w:ascii="仿宋" w:eastAsia="仿宋" w:hAnsi="仿宋" w:cs="仿宋" w:hint="eastAsia"/>
                <w:szCs w:val="21"/>
              </w:rPr>
              <w:t>一</w:t>
            </w:r>
            <w:proofErr w:type="gramEnd"/>
            <w:r>
              <w:rPr>
                <w:rFonts w:ascii="仿宋" w:eastAsia="仿宋" w:hAnsi="仿宋" w:cs="仿宋" w:hint="eastAsia"/>
                <w:szCs w:val="21"/>
              </w:rPr>
              <w:t>)截留、挪用国家建设资金；(二)以虚报、冒领、关联交易等手段骗取国家建设资金；(三)违反规定超概算投资；(四)虚列投资完成额；(五)其他违反国家投资建设项目有关规定的行为。《中华人民共和国政府采购法》、《中华人民共和国招标投标法》、《国家重点建设项目管理办法》等法律、行政法规另有规定的，依照其规定处理、处罚。”</w:t>
            </w:r>
          </w:p>
        </w:tc>
        <w:tc>
          <w:tcPr>
            <w:tcW w:w="956"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15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39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24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税政与条法股、政府采购监督管理股、综合股、经济建设股、农业农村股</w:t>
            </w:r>
          </w:p>
        </w:tc>
      </w:tr>
      <w:tr w:rsidR="008568C5">
        <w:trPr>
          <w:trHeight w:val="966"/>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6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2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1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31"/>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21"/>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1"/>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23"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56"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39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1144"/>
        <w:gridCol w:w="1847"/>
        <w:gridCol w:w="2693"/>
        <w:gridCol w:w="898"/>
        <w:gridCol w:w="755"/>
        <w:gridCol w:w="4970"/>
        <w:gridCol w:w="1497"/>
        <w:gridCol w:w="1646"/>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9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7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9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28"/>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26</w:t>
            </w:r>
          </w:p>
        </w:tc>
        <w:tc>
          <w:tcPr>
            <w:tcW w:w="18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国家机关及其工作人员违反《中华人民共和国担保法》及国家有关规定，擅自提供担保的处罚</w:t>
            </w:r>
          </w:p>
        </w:tc>
        <w:tc>
          <w:tcPr>
            <w:tcW w:w="2693"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第十条：“国家机关及其工作人员违反《中华人民共和国担保法》及国家有关规定，擅自提供担保的，责令改正，没收违法所得。对单位给予警告或者通报批评。对直接负责的主管人员和其他直接责任人员给予警告、记过或者记大过处分；造成损失的，给予降级或者撤职处分；造成重大损失的，给予开除处分。”</w:t>
            </w:r>
          </w:p>
        </w:tc>
        <w:tc>
          <w:tcPr>
            <w:tcW w:w="89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55"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49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71"/>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70"/>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9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25"/>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93"/>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9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72"/>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93"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9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518"/>
        <w:gridCol w:w="2507"/>
        <w:gridCol w:w="1008"/>
        <w:gridCol w:w="1313"/>
        <w:gridCol w:w="4873"/>
        <w:gridCol w:w="1441"/>
        <w:gridCol w:w="1646"/>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5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5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31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87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4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35"/>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27</w:t>
            </w:r>
          </w:p>
        </w:tc>
        <w:tc>
          <w:tcPr>
            <w:tcW w:w="1518"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国家机关及其工作人员违反国家有关账户管理规定，擅自在金融机构开立、使用账户的处罚</w:t>
            </w:r>
          </w:p>
        </w:tc>
        <w:tc>
          <w:tcPr>
            <w:tcW w:w="2507"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第十一条：“国家机关及其工作人员违反国家有关账户管理规定，擅自在金融机构开立、使用账户的，责令改正，调整有关会计账目，追回有关财政资金，没收违法所得，依法撤销擅自开立的账户。对单位给予警告或者通报批评。对直接负责的主管人员和其他直接责任人员给予降级处分；情节严重的，给予撤职或者开除处分。”</w:t>
            </w:r>
          </w:p>
        </w:tc>
        <w:tc>
          <w:tcPr>
            <w:tcW w:w="1008" w:type="dxa"/>
            <w:vMerge w:val="restart"/>
            <w:tcBorders>
              <w:top w:val="single" w:sz="4" w:space="0" w:color="000000"/>
              <w:left w:val="single" w:sz="4" w:space="0" w:color="000000"/>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3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441"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64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89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41" w:type="dxa"/>
            <w:vMerge/>
            <w:tcBorders>
              <w:top w:val="nil"/>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top w:val="nil"/>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3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5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2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88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68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4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00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4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635"/>
          <w:jc w:val="center"/>
        </w:trPr>
        <w:tc>
          <w:tcPr>
            <w:tcW w:w="114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lastRenderedPageBreak/>
              <w:t>序号</w:t>
            </w:r>
          </w:p>
        </w:tc>
        <w:tc>
          <w:tcPr>
            <w:tcW w:w="1518"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项目名称</w:t>
            </w:r>
          </w:p>
        </w:tc>
        <w:tc>
          <w:tcPr>
            <w:tcW w:w="250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1008"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类别</w:t>
            </w:r>
          </w:p>
        </w:tc>
        <w:tc>
          <w:tcPr>
            <w:tcW w:w="131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487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144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责任科室</w:t>
            </w:r>
          </w:p>
        </w:tc>
      </w:tr>
      <w:tr w:rsidR="008568C5">
        <w:trPr>
          <w:trHeight w:val="591"/>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28</w:t>
            </w:r>
          </w:p>
        </w:tc>
        <w:tc>
          <w:tcPr>
            <w:tcW w:w="1518"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国家机关及其工作人员违反规定使用、骗取政府承贷或者担保的外国政府贷款、国际金融组织贷款的处罚</w:t>
            </w:r>
          </w:p>
        </w:tc>
        <w:tc>
          <w:tcPr>
            <w:tcW w:w="2507"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第十二条：“国家机关及其工作人员有下列行为之一的，责令改正，调整有关会计账目，追回被挪用、骗取的有关资金，没收违法所得。对单位给予警告或者通报批评。对直接负责的主管人员和其他直接责任人员给予降级处分；情节较重的，给予撤职处分；情节严重的，给予开除处分：(</w:t>
            </w:r>
            <w:proofErr w:type="gramStart"/>
            <w:r>
              <w:rPr>
                <w:rFonts w:ascii="仿宋" w:eastAsia="仿宋" w:hAnsi="仿宋" w:cs="仿宋" w:hint="eastAsia"/>
                <w:szCs w:val="21"/>
              </w:rPr>
              <w:t>一</w:t>
            </w:r>
            <w:proofErr w:type="gramEnd"/>
            <w:r>
              <w:rPr>
                <w:rFonts w:ascii="仿宋" w:eastAsia="仿宋" w:hAnsi="仿宋" w:cs="仿宋" w:hint="eastAsia"/>
                <w:szCs w:val="21"/>
              </w:rPr>
              <w:t>)以虚报、冒领等手段骗取政府承贷或者担保的外国政府贷款、国际金融组织贷款；(二)滞留政府承贷或者担保的外国政府贷款、国际金融组织贷款；(三)截留、挪用政府承贷或者担保的外国政府贷款、国际金融组织贷款；(四)其他违反规定使用、骗取政府承贷或者担保的外国政府贷款、国际金融组织贷款的行为。”</w:t>
            </w:r>
          </w:p>
        </w:tc>
        <w:tc>
          <w:tcPr>
            <w:tcW w:w="1008"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1313"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441"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67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4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11"/>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8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5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1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507"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08"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1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441"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877"/>
        <w:gridCol w:w="964"/>
        <w:gridCol w:w="6186"/>
        <w:gridCol w:w="679"/>
        <w:gridCol w:w="711"/>
        <w:gridCol w:w="3351"/>
        <w:gridCol w:w="1390"/>
        <w:gridCol w:w="1292"/>
      </w:tblGrid>
      <w:tr w:rsidR="008568C5">
        <w:trPr>
          <w:trHeight w:val="635"/>
          <w:jc w:val="center"/>
        </w:trPr>
        <w:tc>
          <w:tcPr>
            <w:tcW w:w="8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9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61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5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39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9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72"/>
          <w:jc w:val="center"/>
        </w:trPr>
        <w:tc>
          <w:tcPr>
            <w:tcW w:w="87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29</w:t>
            </w:r>
          </w:p>
        </w:tc>
        <w:tc>
          <w:tcPr>
            <w:tcW w:w="96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违反规定印制和使用财政票据的处罚</w:t>
            </w:r>
          </w:p>
        </w:tc>
        <w:tc>
          <w:tcPr>
            <w:tcW w:w="6186"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财政违法行为处罚处分条例》(国务院令第427号)第十六条：“单位和个人有下列违反财政收入票据管理规定的行为之一的,销毁非法印制的票据,没收违法所得和作案工具。对单位处5000元以上10万元以下的罚款；对直接负责的主管人员和其他直接责任人员处3000元以上5万元以下的罚款。属于国家公务员的,还应当给予降级或者撤职处分；情节严重的,给予开除处分：(</w:t>
            </w:r>
            <w:proofErr w:type="gramStart"/>
            <w:r>
              <w:rPr>
                <w:rFonts w:ascii="仿宋" w:eastAsia="仿宋" w:hAnsi="仿宋" w:cs="仿宋" w:hint="eastAsia"/>
                <w:sz w:val="18"/>
                <w:szCs w:val="18"/>
              </w:rPr>
              <w:t>一</w:t>
            </w:r>
            <w:proofErr w:type="gramEnd"/>
            <w:r>
              <w:rPr>
                <w:rFonts w:ascii="仿宋" w:eastAsia="仿宋" w:hAnsi="仿宋" w:cs="仿宋" w:hint="eastAsia"/>
                <w:sz w:val="18"/>
                <w:szCs w:val="18"/>
              </w:rPr>
              <w:t>)违反规定印制财政收入票据；(二)转借、串用、代开财政收入票据；(三)伪造、变造、买卖、擅自销毁财政收入票据；(四)伪造、使用伪造的财政收入票据监(印)制章；(五)其他违反财政收入票据管理规定的行为。属于税收收入票据管理方面的违法行为,依照有关税收法律、行政法规的规定处理、处罚。”</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8"/>
                <w:szCs w:val="18"/>
              </w:rPr>
              <w:t xml:space="preserve">   《河南省政府非税收入管理条例》(2013年11月29日河南省第十二届人民代表大会常务委员会第五次会议通过)第三十二条：“任何单位和个人不得有下列行为：(</w:t>
            </w:r>
            <w:proofErr w:type="gramStart"/>
            <w:r>
              <w:rPr>
                <w:rFonts w:ascii="仿宋" w:eastAsia="仿宋" w:hAnsi="仿宋" w:cs="仿宋" w:hint="eastAsia"/>
                <w:sz w:val="18"/>
                <w:szCs w:val="18"/>
              </w:rPr>
              <w:t>一</w:t>
            </w:r>
            <w:proofErr w:type="gramEnd"/>
            <w:r>
              <w:rPr>
                <w:rFonts w:ascii="仿宋" w:eastAsia="仿宋" w:hAnsi="仿宋" w:cs="仿宋" w:hint="eastAsia"/>
                <w:sz w:val="18"/>
                <w:szCs w:val="18"/>
              </w:rPr>
              <w:t>)未经批准,擅自印制和使用政府非税收入票据；(二)伪造、使用伪造的政府非税收入票据监制章或者票据防伪专用品；(三)伪造、变造或者买卖、使用伪造、变造的政府非税收入票据；(四)转借、转让、代开、买卖、涂改、擅自销毁政府非税收入票据；(五)串用各种票据；(六)其他未按规定使用政府非税收入票据的行为。”第四十四条：“违反本条例第三十二条规定行为之一的,由县级以上财政部门或者法律、法规规定的其他部门收缴并销毁非法印制的票据,没收违法所得和作案工具。对单位处五千元以上五万元以下罚款,并对其直接负责的主管人员和其他责任人员处三千元以上三万元以下罚款；对个人处三千元以上三万元以下罚款。情节严重或者造成重大损失的,对单位处五万元以上十万元以下罚款,并对其直接负责的主管人员和其他责任人员处三万元以上五万元以下罚款；对个人处三万元以上五万元以下罚款。属于国家公务员的,还应当给予降级或者撤职处分；情节严重的,给予开除处分。构成犯罪的,依法追究刑事责任。”  《财政票据管理办法》(财政部令第70号)第四十条：“单位和个人违反本办法规定,有下列行为之一的,由县级以上财政部门责令改正并给予警告；对非经营活动中的违法行为,处以1000元以下罚款；对经营活动中的违法行为,有违法所得的,处以违法所得金额3倍以下不超过30000元的罚款,没有违法所得的,处以10000元以下罚款。涉嫌犯罪的,依法移送司法机关：(</w:t>
            </w:r>
            <w:proofErr w:type="gramStart"/>
            <w:r>
              <w:rPr>
                <w:rFonts w:ascii="仿宋" w:eastAsia="仿宋" w:hAnsi="仿宋" w:cs="仿宋" w:hint="eastAsia"/>
                <w:sz w:val="18"/>
                <w:szCs w:val="18"/>
              </w:rPr>
              <w:t>一</w:t>
            </w:r>
            <w:proofErr w:type="gramEnd"/>
            <w:r>
              <w:rPr>
                <w:rFonts w:ascii="仿宋" w:eastAsia="仿宋" w:hAnsi="仿宋" w:cs="仿宋" w:hint="eastAsia"/>
                <w:sz w:val="18"/>
                <w:szCs w:val="18"/>
              </w:rPr>
              <w:t>)</w:t>
            </w:r>
            <w:r>
              <w:rPr>
                <w:rFonts w:ascii="仿宋" w:eastAsia="仿宋" w:hAnsi="仿宋" w:cs="仿宋" w:hint="eastAsia"/>
                <w:sz w:val="18"/>
                <w:szCs w:val="18"/>
              </w:rPr>
              <w:lastRenderedPageBreak/>
              <w:t>违反规定印制财政票据；(二)转让、出借、串用、代开财政票据；(三)伪造、变造、买卖、擅自销毁财政票据；(四)伪造、使用伪造的财政票据监制章；(五)未按规定使用财政票据监制章；(六)违反规定生产、使用、伪造财政票据防伪专用品；(七)在境外印制财政票据；(八)其他违反财政票据管理规定的行为。单位和个人违反本办法规定,对涉及财政收入的财政票据有本条第一款所</w:t>
            </w:r>
            <w:proofErr w:type="gramStart"/>
            <w:r>
              <w:rPr>
                <w:rFonts w:ascii="仿宋" w:eastAsia="仿宋" w:hAnsi="仿宋" w:cs="仿宋" w:hint="eastAsia"/>
                <w:sz w:val="18"/>
                <w:szCs w:val="18"/>
              </w:rPr>
              <w:t>列行</w:t>
            </w:r>
            <w:proofErr w:type="gramEnd"/>
            <w:r>
              <w:rPr>
                <w:rFonts w:ascii="仿宋" w:eastAsia="仿宋" w:hAnsi="仿宋" w:cs="仿宋" w:hint="eastAsia"/>
                <w:sz w:val="18"/>
                <w:szCs w:val="18"/>
              </w:rPr>
              <w:t>为之一的,依照《财政违法行为处罚处分条例》第十六条的规定予以处理、处罚。”</w:t>
            </w:r>
          </w:p>
        </w:tc>
        <w:tc>
          <w:tcPr>
            <w:tcW w:w="679"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lastRenderedPageBreak/>
              <w:t>行政处罚</w:t>
            </w:r>
          </w:p>
        </w:tc>
        <w:tc>
          <w:tcPr>
            <w:tcW w:w="71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1.检查责任：在检查中发现或者接到举报、移送的此类问题的，检查人员及时、全面、客观、公正地收集与此问题相关的证据，查明事实。检查人员应依法检查，出示相关证件，允许当事人辩解陈诉。</w:t>
            </w:r>
          </w:p>
        </w:tc>
        <w:tc>
          <w:tcPr>
            <w:tcW w:w="139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《财政票据管理办法》第四十三条：财政部门、行政事业单位工作人员违反本办法规定，在工作中徇私舞弊、玩忽职守、滥用职权的，依法给予处分；构成犯罪的，依法追究刑事责任。</w:t>
            </w:r>
          </w:p>
        </w:tc>
        <w:tc>
          <w:tcPr>
            <w:tcW w:w="129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666"/>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复核</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2.复核责任：对此问题违法事实、证据、调查取证程序、处罚依据应用、当事人陈诉和申辩理由等方面进行复核审理，提出处理意见。</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67"/>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3.告知责任：在</w:t>
            </w:r>
            <w:proofErr w:type="gramStart"/>
            <w:r>
              <w:rPr>
                <w:rFonts w:ascii="仿宋" w:eastAsia="仿宋" w:hAnsi="仿宋" w:cs="仿宋" w:hint="eastAsia"/>
                <w:szCs w:val="21"/>
              </w:rPr>
              <w:t>作出</w:t>
            </w:r>
            <w:proofErr w:type="gramEnd"/>
            <w:r>
              <w:rPr>
                <w:rFonts w:ascii="仿宋" w:eastAsia="仿宋" w:hAnsi="仿宋" w:cs="仿宋" w:hint="eastAsia"/>
                <w:szCs w:val="21"/>
              </w:rPr>
              <w:t>行政处罚决定前，书面告知当事人拟作出处罚决定的事实、理由、依据、处罚内容以及当事人享有的陈述权、申辩权和听证权。</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478"/>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4.决定责任：依法给予行政处罚的，对当事人下达行政处罚决定书，明确违法事实、处罚依据和内容、申请行政复议或提起行政诉讼的途径和期限等。</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27"/>
          <w:jc w:val="center"/>
        </w:trPr>
        <w:tc>
          <w:tcPr>
            <w:tcW w:w="8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5.送达责任：将行政处罚决定</w:t>
            </w:r>
            <w:proofErr w:type="gramStart"/>
            <w:r>
              <w:rPr>
                <w:rFonts w:ascii="仿宋" w:eastAsia="仿宋" w:hAnsi="仿宋" w:cs="仿宋" w:hint="eastAsia"/>
                <w:szCs w:val="21"/>
              </w:rPr>
              <w:t>书按照</w:t>
            </w:r>
            <w:proofErr w:type="gramEnd"/>
            <w:r>
              <w:rPr>
                <w:rFonts w:ascii="仿宋" w:eastAsia="仿宋" w:hAnsi="仿宋" w:cs="仿宋" w:hint="eastAsia"/>
                <w:szCs w:val="21"/>
              </w:rPr>
              <w:t>规定期限和程序送达到当事人。</w:t>
            </w:r>
          </w:p>
        </w:tc>
        <w:tc>
          <w:tcPr>
            <w:tcW w:w="139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605"/>
          <w:jc w:val="center"/>
        </w:trPr>
        <w:tc>
          <w:tcPr>
            <w:tcW w:w="87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6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186"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1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33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6.执行责任：监督当事人在决定的期限内，履行生效的行政处罚决定。当事人在法定期限未申请行政复议或提起行政诉讼，又不履行的，可申请人民法院强制执行。</w:t>
            </w:r>
          </w:p>
        </w:tc>
        <w:tc>
          <w:tcPr>
            <w:tcW w:w="139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lastRenderedPageBreak/>
        <w:br w:type="page"/>
      </w:r>
    </w:p>
    <w:tbl>
      <w:tblPr>
        <w:tblW w:w="15450" w:type="dxa"/>
        <w:jc w:val="center"/>
        <w:tblLayout w:type="fixed"/>
        <w:tblCellMar>
          <w:left w:w="0" w:type="dxa"/>
          <w:right w:w="0" w:type="dxa"/>
        </w:tblCellMar>
        <w:tblLook w:val="04A0"/>
      </w:tblPr>
      <w:tblGrid>
        <w:gridCol w:w="1144"/>
        <w:gridCol w:w="1847"/>
        <w:gridCol w:w="3879"/>
        <w:gridCol w:w="577"/>
        <w:gridCol w:w="810"/>
        <w:gridCol w:w="4785"/>
        <w:gridCol w:w="1116"/>
        <w:gridCol w:w="1292"/>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8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11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9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85"/>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30</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违反规定使用、骗取财政资金以及政府承贷或者担保的外国政府贷款、国际金融组织贷款行为的处罚</w:t>
            </w:r>
          </w:p>
        </w:tc>
        <w:tc>
          <w:tcPr>
            <w:tcW w:w="3879"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Cs w:val="21"/>
              </w:rPr>
              <w:t xml:space="preserve">     </w:t>
            </w:r>
            <w:r>
              <w:rPr>
                <w:rFonts w:ascii="仿宋" w:eastAsia="仿宋" w:hAnsi="仿宋" w:cs="仿宋" w:hint="eastAsia"/>
                <w:sz w:val="18"/>
                <w:szCs w:val="18"/>
              </w:rPr>
              <w:t>《财政违法行为处罚处分条例》（国务院令第427号）第二条第一款：“县级以上人民政府财政部门及审计机关在各自职权范围内，依法对财政违法行为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 w:val="18"/>
                <w:szCs w:val="18"/>
              </w:rPr>
              <w:t>作出</w:t>
            </w:r>
            <w:proofErr w:type="gramEnd"/>
            <w:r>
              <w:rPr>
                <w:rFonts w:ascii="仿宋" w:eastAsia="仿宋" w:hAnsi="仿宋" w:cs="仿宋" w:hint="eastAsia"/>
                <w:sz w:val="18"/>
                <w:szCs w:val="18"/>
              </w:rPr>
              <w:t>处理、处罚决定。”第十四条：“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roofErr w:type="gramStart"/>
            <w:r>
              <w:rPr>
                <w:rFonts w:ascii="仿宋" w:eastAsia="仿宋" w:hAnsi="仿宋" w:cs="仿宋" w:hint="eastAsia"/>
                <w:sz w:val="18"/>
                <w:szCs w:val="18"/>
              </w:rPr>
              <w:t>一</w:t>
            </w:r>
            <w:proofErr w:type="gramEnd"/>
            <w:r>
              <w:rPr>
                <w:rFonts w:ascii="仿宋" w:eastAsia="仿宋" w:hAnsi="仿宋" w:cs="仿宋" w:hint="eastAsia"/>
                <w:sz w:val="18"/>
                <w:szCs w:val="18"/>
              </w:rPr>
              <w:t>)以虚报、冒领等手段骗取财政资金以及政府承贷或者担保的外国政府贷款、国际金融组织贷款；(二)挪用财政资金以及政府承贷或者担保的外国政府贷款、国际金融组织贷款；(三)从无偿使用的财政资金以及政府承贷或者担保的外国政府贷款、国际金融组织贷款中非法获益；(四)其他违反规定使用、骗取财政资金以及政府承贷或者担保的外国政府贷款、国际金融组织贷款的行为。属于政府采购方面的违法行为，依照《中华人民共和国政府采购法》及有关法律、行政法规的规定处理、处罚。”第十五条：“事业单位、社会团体、其他社会组织及其工作人员有财政违法行为的，依照本条例有关国家机关的规定执行；但其在经营活动中的财政违法行为，依照本条例第十三条、第十四条的规定执行。”</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8"/>
                <w:szCs w:val="18"/>
              </w:rPr>
              <w:t xml:space="preserve">    《排污费征收使用管理条例》（国务院令第369号）第二十三条：“环境保护专项资金使用者不按照批准的用途使用环境保护专项资金的，由县级以上人民政府环境保护行政主管部门或者财政部门依据职权责令限期改正；逾期不改正的，10年内不得申请使用环境保护专项资金，并处挪用资金数额1倍以上3倍以下的罚款。”</w:t>
            </w:r>
          </w:p>
        </w:tc>
        <w:tc>
          <w:tcPr>
            <w:tcW w:w="57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810"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11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292"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7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top w:val="single" w:sz="4" w:space="0" w:color="auto"/>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116"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9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11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8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116" w:type="dxa"/>
            <w:vMerge/>
            <w:tcBorders>
              <w:top w:val="single" w:sz="4" w:space="0" w:color="auto"/>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75"/>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11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9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11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2"/>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11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7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7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11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680" w:type="dxa"/>
        <w:jc w:val="center"/>
        <w:tblLayout w:type="fixed"/>
        <w:tblCellMar>
          <w:left w:w="0" w:type="dxa"/>
          <w:right w:w="0" w:type="dxa"/>
        </w:tblCellMar>
        <w:tblLook w:val="04A0"/>
      </w:tblPr>
      <w:tblGrid>
        <w:gridCol w:w="1144"/>
        <w:gridCol w:w="1847"/>
        <w:gridCol w:w="2633"/>
        <w:gridCol w:w="897"/>
        <w:gridCol w:w="701"/>
        <w:gridCol w:w="4993"/>
        <w:gridCol w:w="2088"/>
        <w:gridCol w:w="1377"/>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9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08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7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78"/>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31</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单位和个人违反财务管理规定私存私放财政资金或者其他公款的处罚</w:t>
            </w:r>
          </w:p>
        </w:tc>
        <w:tc>
          <w:tcPr>
            <w:tcW w:w="2633"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《财政违法行为处罚处分条例》（国务院令第427号）第二条第一款：“县级以上人民政府财政部门及审计机关在各自职权范围内，依法对财政违法行为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 xml:space="preserve">处理、处罚决定。”第十七条：“单位和个人违反财务管理的规定，私存私放财政资金或者其他公款的，责令改正，调整有关会计账目，追回私存私放的资金，没收违法所得。对单位处3000元以上5万元以下的罚款；对直接负责的主管人员和其他直接责任人员处2000元以上2万元以下的罚款。属于国家公务员的，还应当给予记大过处分；情节严重的，给予降级或者撤职处分。 </w:t>
            </w:r>
          </w:p>
        </w:tc>
        <w:tc>
          <w:tcPr>
            <w:tcW w:w="89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0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208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377"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816"/>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64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83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82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88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64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80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635"/>
          <w:jc w:val="center"/>
        </w:trPr>
        <w:tc>
          <w:tcPr>
            <w:tcW w:w="114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3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9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9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08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7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322"/>
          <w:jc w:val="center"/>
        </w:trPr>
        <w:tc>
          <w:tcPr>
            <w:tcW w:w="114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32</w:t>
            </w:r>
          </w:p>
        </w:tc>
        <w:tc>
          <w:tcPr>
            <w:tcW w:w="1847"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被监督对象阻挠、拒绝监督检查或者</w:t>
            </w:r>
            <w:proofErr w:type="gramStart"/>
            <w:r>
              <w:rPr>
                <w:rFonts w:ascii="仿宋" w:eastAsia="仿宋" w:hAnsi="仿宋" w:cs="仿宋" w:hint="eastAsia"/>
                <w:szCs w:val="21"/>
              </w:rPr>
              <w:t>不</w:t>
            </w:r>
            <w:proofErr w:type="gramEnd"/>
            <w:r>
              <w:rPr>
                <w:rFonts w:ascii="仿宋" w:eastAsia="仿宋" w:hAnsi="仿宋" w:cs="仿宋" w:hint="eastAsia"/>
                <w:szCs w:val="21"/>
              </w:rPr>
              <w:t>如实提供有关资料、实物的处罚</w:t>
            </w:r>
          </w:p>
        </w:tc>
        <w:tc>
          <w:tcPr>
            <w:tcW w:w="2633" w:type="dxa"/>
            <w:vMerge w:val="restart"/>
            <w:tcBorders>
              <w:top w:val="single" w:sz="4" w:space="0" w:color="000000"/>
              <w:left w:val="single" w:sz="4" w:space="0" w:color="000000"/>
              <w:bottom w:val="nil"/>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《河南省财政监督办法》（河南省人民政府令第135号）第二条第一款：“县级以上人民政府财政部门及审计机关在各自职权范围内，依法对财政违法行为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处理、处罚决定。”第三十一条：“违反本办法规定，被监督对象阻挠、拒绝监督检查或者</w:t>
            </w:r>
            <w:proofErr w:type="gramStart"/>
            <w:r>
              <w:rPr>
                <w:rFonts w:ascii="仿宋" w:eastAsia="仿宋" w:hAnsi="仿宋" w:cs="仿宋" w:hint="eastAsia"/>
                <w:szCs w:val="21"/>
              </w:rPr>
              <w:t>不</w:t>
            </w:r>
            <w:proofErr w:type="gramEnd"/>
            <w:r>
              <w:rPr>
                <w:rFonts w:ascii="仿宋" w:eastAsia="仿宋" w:hAnsi="仿宋" w:cs="仿宋" w:hint="eastAsia"/>
                <w:szCs w:val="21"/>
              </w:rPr>
              <w:t xml:space="preserve">如实提供有关资料、实物的，由财政部门责令其限期改正，拒不改正的，对单位可以处以3000元以上3万元以下的罚款，对直接负责的主管人员和其他直接责任人员可以处以2000元以上2万元以下的罚款；对个人可以处以2000元以上2万元以下的罚款；属于国家机关及其工作人员的，对国家机关给予警告或者通报批评，对直接负责的主管人员和其他直接责任人员依法给予行政处分；构成违反治安管理行为的，依照《中华人民共和国治安管理处罚法》予以处罚；构成犯罪的，依法追究刑事责任。” </w:t>
            </w:r>
          </w:p>
        </w:tc>
        <w:tc>
          <w:tcPr>
            <w:tcW w:w="897" w:type="dxa"/>
            <w:vMerge w:val="restart"/>
            <w:tcBorders>
              <w:top w:val="single" w:sz="4" w:space="0" w:color="000000"/>
              <w:left w:val="single" w:sz="4" w:space="0" w:color="000000"/>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208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河南省人民政府令第135号）第三十二条：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377"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149"/>
          <w:jc w:val="center"/>
        </w:trPr>
        <w:tc>
          <w:tcPr>
            <w:tcW w:w="1144" w:type="dxa"/>
            <w:vMerge/>
            <w:tcBorders>
              <w:top w:val="nil"/>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847" w:type="dxa"/>
            <w:vMerge/>
            <w:tcBorders>
              <w:top w:val="nil"/>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pacing w:line="360" w:lineRule="exact"/>
              <w:textAlignment w:val="center"/>
              <w:rPr>
                <w:rFonts w:ascii="仿宋" w:eastAsia="仿宋" w:hAnsi="仿宋" w:cs="仿宋"/>
                <w:kern w:val="0"/>
                <w:szCs w:val="21"/>
              </w:rPr>
            </w:pPr>
          </w:p>
        </w:tc>
        <w:tc>
          <w:tcPr>
            <w:tcW w:w="2633" w:type="dxa"/>
            <w:vMerge/>
            <w:tcBorders>
              <w:top w:val="nil"/>
              <w:left w:val="single" w:sz="4" w:space="0" w:color="000000"/>
              <w:bottom w:val="single" w:sz="4" w:space="0" w:color="auto"/>
              <w:right w:val="nil"/>
            </w:tcBorders>
            <w:tcMar>
              <w:top w:w="15" w:type="dxa"/>
              <w:left w:w="15" w:type="dxa"/>
              <w:right w:w="15" w:type="dxa"/>
            </w:tcMar>
            <w:vAlign w:val="center"/>
          </w:tcPr>
          <w:p w:rsidR="008568C5" w:rsidRDefault="008568C5">
            <w:pPr>
              <w:spacing w:line="360" w:lineRule="exact"/>
              <w:ind w:firstLineChars="200" w:firstLine="420"/>
              <w:jc w:val="left"/>
              <w:rPr>
                <w:rFonts w:ascii="仿宋" w:eastAsia="仿宋" w:hAnsi="仿宋" w:cs="仿宋"/>
                <w:kern w:val="0"/>
                <w:szCs w:val="21"/>
              </w:rPr>
            </w:pPr>
          </w:p>
        </w:tc>
        <w:tc>
          <w:tcPr>
            <w:tcW w:w="897"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9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pacing w:line="360" w:lineRule="exact"/>
              <w:textAlignment w:val="center"/>
              <w:rPr>
                <w:rFonts w:ascii="仿宋" w:eastAsia="仿宋" w:hAnsi="仿宋" w:cs="仿宋"/>
                <w:kern w:val="0"/>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spacing w:line="360" w:lineRule="exact"/>
              <w:ind w:firstLineChars="200" w:firstLine="420"/>
              <w:jc w:val="left"/>
              <w:rPr>
                <w:rFonts w:ascii="仿宋" w:eastAsia="仿宋" w:hAnsi="仿宋" w:cs="仿宋"/>
                <w:kern w:val="0"/>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936"/>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pacing w:line="360" w:lineRule="exact"/>
              <w:textAlignment w:val="center"/>
              <w:rPr>
                <w:rFonts w:ascii="仿宋" w:eastAsia="仿宋" w:hAnsi="仿宋" w:cs="仿宋"/>
                <w:kern w:val="0"/>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spacing w:line="360" w:lineRule="exact"/>
              <w:ind w:firstLineChars="200" w:firstLine="420"/>
              <w:jc w:val="left"/>
              <w:rPr>
                <w:rFonts w:ascii="仿宋" w:eastAsia="仿宋" w:hAnsi="仿宋" w:cs="仿宋"/>
                <w:kern w:val="0"/>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812"/>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pacing w:line="360" w:lineRule="exact"/>
              <w:textAlignment w:val="center"/>
              <w:rPr>
                <w:rFonts w:ascii="仿宋" w:eastAsia="仿宋" w:hAnsi="仿宋" w:cs="仿宋"/>
                <w:kern w:val="0"/>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spacing w:line="360" w:lineRule="exact"/>
              <w:ind w:firstLineChars="200" w:firstLine="420"/>
              <w:jc w:val="left"/>
              <w:rPr>
                <w:rFonts w:ascii="仿宋" w:eastAsia="仿宋" w:hAnsi="仿宋" w:cs="仿宋"/>
                <w:kern w:val="0"/>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32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pacing w:line="360" w:lineRule="exact"/>
              <w:textAlignment w:val="center"/>
              <w:rPr>
                <w:rFonts w:ascii="仿宋" w:eastAsia="仿宋" w:hAnsi="仿宋" w:cs="仿宋"/>
                <w:kern w:val="0"/>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spacing w:line="360" w:lineRule="exact"/>
              <w:ind w:firstLineChars="200" w:firstLine="420"/>
              <w:jc w:val="left"/>
              <w:rPr>
                <w:rFonts w:ascii="仿宋" w:eastAsia="仿宋" w:hAnsi="仿宋" w:cs="仿宋"/>
                <w:kern w:val="0"/>
                <w:szCs w:val="21"/>
              </w:rP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70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9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jc w:val="center"/>
              <w:rPr>
                <w:rFonts w:ascii="仿宋_GB2312" w:eastAsia="仿宋_GB2312" w:hAnsi="仿宋_GB2312" w:cs="仿宋_GB2312"/>
                <w:sz w:val="24"/>
                <w:shd w:val="clear" w:color="070000" w:fill="FFFFFF"/>
              </w:rPr>
            </w:pPr>
          </w:p>
        </w:tc>
      </w:tr>
      <w:tr w:rsidR="008568C5">
        <w:trPr>
          <w:trHeight w:val="53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widowControl/>
              <w:snapToGrid w:val="0"/>
              <w:textAlignment w:val="center"/>
            </w:pPr>
          </w:p>
        </w:tc>
        <w:tc>
          <w:tcPr>
            <w:tcW w:w="897" w:type="dxa"/>
            <w:vMerge/>
            <w:tcBorders>
              <w:left w:val="single" w:sz="4" w:space="0" w:color="000000"/>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70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9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widowControl/>
              <w:snapToGrid w:val="0"/>
              <w:textAlignment w:val="center"/>
              <w:rPr>
                <w:rFonts w:ascii="仿宋" w:eastAsia="仿宋" w:hAnsi="仿宋" w:cs="仿宋"/>
                <w:kern w:val="0"/>
                <w:szCs w:val="21"/>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widowControl/>
              <w:snapToGrid w:val="0"/>
              <w:textAlignment w:val="center"/>
              <w:rPr>
                <w:rFonts w:ascii="仿宋" w:eastAsia="仿宋" w:hAnsi="仿宋" w:cs="仿宋"/>
                <w:kern w:val="0"/>
                <w:szCs w:val="21"/>
              </w:rPr>
            </w:pPr>
          </w:p>
        </w:tc>
      </w:tr>
      <w:tr w:rsidR="008568C5">
        <w:trPr>
          <w:trHeight w:val="9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widowControl/>
              <w:snapToGrid w:val="0"/>
              <w:textAlignment w:val="center"/>
            </w:pPr>
          </w:p>
        </w:tc>
        <w:tc>
          <w:tcPr>
            <w:tcW w:w="89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widowControl/>
              <w:snapToGrid w:val="0"/>
              <w:textAlignment w:val="cente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widowControl/>
              <w:snapToGrid w:val="0"/>
              <w:textAlignment w:val="center"/>
              <w:rPr>
                <w:rFonts w:ascii="仿宋" w:eastAsia="仿宋" w:hAnsi="仿宋" w:cs="仿宋"/>
                <w:kern w:val="0"/>
                <w:szCs w:val="21"/>
              </w:rPr>
            </w:pPr>
          </w:p>
        </w:tc>
        <w:tc>
          <w:tcPr>
            <w:tcW w:w="137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widowControl/>
              <w:snapToGrid w:val="0"/>
              <w:textAlignment w:val="center"/>
              <w:rPr>
                <w:rFonts w:ascii="仿宋" w:eastAsia="仿宋" w:hAnsi="仿宋" w:cs="仿宋"/>
                <w:kern w:val="0"/>
                <w:szCs w:val="21"/>
              </w:rPr>
            </w:pPr>
          </w:p>
        </w:tc>
      </w:tr>
      <w:tr w:rsidR="008568C5">
        <w:trPr>
          <w:trHeight w:val="635"/>
          <w:jc w:val="center"/>
        </w:trPr>
        <w:tc>
          <w:tcPr>
            <w:tcW w:w="114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3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9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0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9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08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7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441"/>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33</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国有资产管理行政主管部门或者行业主管部门工作人员利用职权谋取私利，或者玩忽职守，造成国有资产损失的处罚</w:t>
            </w:r>
          </w:p>
        </w:tc>
        <w:tc>
          <w:tcPr>
            <w:tcW w:w="2633"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有资产评估管理办法》（国务院令第91号）第三十四条：“国有资产管理行政主管部门或者行业主管部门工作人员违反本办法，利用职权谋取私利，或者玩忽职守，造成国有资产损失的，国有资产管理行政主管部门或者行业主管部门可以按照干部管理权限，给予行政处分，并可以处以相当于本人三个月基本工资以下的罚款。”</w:t>
            </w:r>
          </w:p>
        </w:tc>
        <w:tc>
          <w:tcPr>
            <w:tcW w:w="89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70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208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不构成犯罪的，依法给予行政处分。</w:t>
            </w:r>
          </w:p>
        </w:tc>
        <w:tc>
          <w:tcPr>
            <w:tcW w:w="137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税政与条法股、资产管理股、县属功能类公益类企业国有资产监管办公室</w:t>
            </w:r>
          </w:p>
        </w:tc>
      </w:tr>
      <w:tr w:rsidR="008568C5">
        <w:trPr>
          <w:trHeight w:val="59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5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0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9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2"/>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1"/>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16"/>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33"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208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2999"/>
        <w:gridCol w:w="668"/>
        <w:gridCol w:w="701"/>
        <w:gridCol w:w="4799"/>
        <w:gridCol w:w="1646"/>
        <w:gridCol w:w="1646"/>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9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79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205"/>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34</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对国家机关及其工作人员违反规定使用、骗取农村综合改革及基层财政管理</w:t>
            </w:r>
            <w:proofErr w:type="gramStart"/>
            <w:r>
              <w:rPr>
                <w:rFonts w:ascii="仿宋" w:eastAsia="仿宋" w:hAnsi="仿宋" w:cs="仿宋" w:hint="eastAsia"/>
                <w:szCs w:val="21"/>
              </w:rPr>
              <w:t>类财政</w:t>
            </w:r>
            <w:proofErr w:type="gramEnd"/>
            <w:r>
              <w:rPr>
                <w:rFonts w:ascii="仿宋" w:eastAsia="仿宋" w:hAnsi="仿宋" w:cs="仿宋" w:hint="eastAsia"/>
                <w:szCs w:val="21"/>
              </w:rPr>
              <w:t>专项资金行为的处罚</w:t>
            </w:r>
          </w:p>
        </w:tc>
        <w:tc>
          <w:tcPr>
            <w:tcW w:w="2999"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《财政违法行为处罚处分条例》（国务院令第427号）第二条：“县级以上人民政府财政部门及审计机关在各自职权范围内，依法对财政违法行为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 第六条：“国家机关及其工作人员有下列违反规定使用、骗取财政资金的行为之一的，责令改正，调整有关会计账目，追回有关财政资金，限期退还违法所得。对单位给予警告或者通报批评。对直接负责的主管人员和其他直接责任人员给予记大过处分;情节较重的，给予降级或者撤职处分;情节严重的，给予开除处分:(</w:t>
            </w:r>
            <w:proofErr w:type="gramStart"/>
            <w:r>
              <w:rPr>
                <w:rFonts w:ascii="仿宋" w:eastAsia="仿宋" w:hAnsi="仿宋" w:cs="仿宋" w:hint="eastAsia"/>
                <w:szCs w:val="21"/>
              </w:rPr>
              <w:t>一</w:t>
            </w:r>
            <w:proofErr w:type="gramEnd"/>
            <w:r>
              <w:rPr>
                <w:rFonts w:ascii="仿宋" w:eastAsia="仿宋" w:hAnsi="仿宋" w:cs="仿宋" w:hint="eastAsia"/>
                <w:szCs w:val="21"/>
              </w:rPr>
              <w:t>)以虚报、冒领等手段骗取财政资金;(二)截留、挪用财政资金;(三)滞留应当下拨的财政资金;(四)违反规定扩大开支范围，提高开支标准;(五)其他违反规定使用、骗取财政资金的行为。”</w:t>
            </w:r>
          </w:p>
        </w:tc>
        <w:tc>
          <w:tcPr>
            <w:tcW w:w="66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行政处罚</w:t>
            </w:r>
          </w:p>
        </w:tc>
        <w:tc>
          <w:tcPr>
            <w:tcW w:w="70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立案</w:t>
            </w:r>
          </w:p>
        </w:tc>
        <w:tc>
          <w:tcPr>
            <w:tcW w:w="47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1.立案责任：对检查中发现、接到举报投诉国家机关及其工作人员违反规定使用、骗取政府承贷或者担保的外国政府贷款、国际金融组织贷款的行为或经有关部门移送此类违法案件予以审查，决定是否立案。</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《财政违法行为处罚处分条例》（国务院令第427号）第二十八条：不履行或不正确履行应尽义务，有下列情形的行政机关及相关工作人员应承担相应的责任：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税政与条法股、农业农村股</w:t>
            </w:r>
          </w:p>
        </w:tc>
      </w:tr>
      <w:tr w:rsidR="008568C5">
        <w:trPr>
          <w:trHeight w:val="88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调查</w:t>
            </w:r>
          </w:p>
        </w:tc>
        <w:tc>
          <w:tcPr>
            <w:tcW w:w="47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934"/>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审查</w:t>
            </w:r>
          </w:p>
        </w:tc>
        <w:tc>
          <w:tcPr>
            <w:tcW w:w="47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16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告知</w:t>
            </w:r>
          </w:p>
        </w:tc>
        <w:tc>
          <w:tcPr>
            <w:tcW w:w="4799"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16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决定</w:t>
            </w:r>
          </w:p>
        </w:tc>
        <w:tc>
          <w:tcPr>
            <w:tcW w:w="4799"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16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送达</w:t>
            </w:r>
          </w:p>
        </w:tc>
        <w:tc>
          <w:tcPr>
            <w:tcW w:w="4799"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32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999"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66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执行</w:t>
            </w:r>
          </w:p>
        </w:tc>
        <w:tc>
          <w:tcPr>
            <w:tcW w:w="47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320"/>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pPr>
          </w:p>
        </w:tc>
        <w:tc>
          <w:tcPr>
            <w:tcW w:w="299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pPr>
          </w:p>
        </w:tc>
        <w:tc>
          <w:tcPr>
            <w:tcW w:w="66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pPr>
          </w:p>
        </w:tc>
        <w:tc>
          <w:tcPr>
            <w:tcW w:w="70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47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bl>
    <w:p w:rsidR="008568C5" w:rsidRDefault="00A65D61">
      <w:pPr>
        <w:autoSpaceDN w:val="0"/>
        <w:snapToGrid w:val="0"/>
        <w:jc w:val="left"/>
        <w:textAlignment w:val="center"/>
      </w:pPr>
      <w:r>
        <w:rPr>
          <w:rFonts w:ascii="仿宋" w:eastAsia="仿宋" w:hAnsi="仿宋" w:cs="仿宋"/>
          <w:sz w:val="18"/>
          <w:szCs w:val="18"/>
        </w:rPr>
        <w:br w:type="page"/>
      </w:r>
    </w:p>
    <w:tbl>
      <w:tblPr>
        <w:tblW w:w="15695" w:type="dxa"/>
        <w:jc w:val="center"/>
        <w:tblLayout w:type="fixed"/>
        <w:tblCellMar>
          <w:left w:w="0" w:type="dxa"/>
          <w:right w:w="0" w:type="dxa"/>
        </w:tblCellMar>
        <w:tblLook w:val="04A0"/>
      </w:tblPr>
      <w:tblGrid>
        <w:gridCol w:w="759"/>
        <w:gridCol w:w="2232"/>
        <w:gridCol w:w="2991"/>
        <w:gridCol w:w="569"/>
        <w:gridCol w:w="898"/>
        <w:gridCol w:w="5112"/>
        <w:gridCol w:w="1786"/>
        <w:gridCol w:w="1348"/>
      </w:tblGrid>
      <w:tr w:rsidR="008568C5">
        <w:trPr>
          <w:trHeight w:val="635"/>
          <w:jc w:val="center"/>
        </w:trPr>
        <w:tc>
          <w:tcPr>
            <w:tcW w:w="7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22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9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9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511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78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4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91"/>
          <w:jc w:val="center"/>
        </w:trPr>
        <w:tc>
          <w:tcPr>
            <w:tcW w:w="759"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35</w:t>
            </w:r>
          </w:p>
        </w:tc>
        <w:tc>
          <w:tcPr>
            <w:tcW w:w="2232"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在农村综合改革和基层财政管理工作中，对企业和个人违法违规行为的处罚</w:t>
            </w:r>
          </w:p>
        </w:tc>
        <w:tc>
          <w:tcPr>
            <w:tcW w:w="2991"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《财政违法行为处罚处分条例》（国务院令第427号） 第二条：“县级以上人民政府财政部门及审计机关在各自职权范围内，依法对财政违法行为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    第十四条：“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roofErr w:type="gramStart"/>
            <w:r>
              <w:rPr>
                <w:rFonts w:ascii="仿宋" w:eastAsia="仿宋" w:hAnsi="仿宋" w:cs="仿宋" w:hint="eastAsia"/>
                <w:szCs w:val="21"/>
              </w:rPr>
              <w:t>一</w:t>
            </w:r>
            <w:proofErr w:type="gramEnd"/>
            <w:r>
              <w:rPr>
                <w:rFonts w:ascii="仿宋" w:eastAsia="仿宋" w:hAnsi="仿宋" w:cs="仿宋" w:hint="eastAsia"/>
                <w:szCs w:val="21"/>
              </w:rPr>
              <w:t>)以虚报、冒领等手段骗取财政资金以及政府承贷或者担保的外国政府贷款、国际金融组织贷款；(二)挪用财政资金以及政府承贷或者担保的外国政府贷款、国际金融组织贷款；(三)从无偿使用的财政资金以及政府承贷或者担保的外国政府贷款、国际金融组织贷款中非法获益；(四)其他违反规定使用、骗取财政资金以及政府承贷或者担保的外国政府贷款、国际金融组织贷款的行……。”</w:t>
            </w:r>
          </w:p>
          <w:p w:rsidR="008568C5" w:rsidRDefault="008568C5">
            <w:pPr>
              <w:autoSpaceDN w:val="0"/>
              <w:snapToGrid w:val="0"/>
              <w:jc w:val="center"/>
              <w:textAlignment w:val="center"/>
              <w:rPr>
                <w:rFonts w:ascii="仿宋" w:eastAsia="仿宋" w:hAnsi="仿宋" w:cs="仿宋"/>
                <w:szCs w:val="21"/>
              </w:rPr>
            </w:pPr>
          </w:p>
        </w:tc>
        <w:tc>
          <w:tcPr>
            <w:tcW w:w="569"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898"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51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1.立案责任：对检查中发现、接到举报投诉违反国家机关及其工作人员违反规定使用、骗取专项资金的行为或经有关部门移送此类违法案件予以审查，决定是否立案。</w:t>
            </w:r>
          </w:p>
        </w:tc>
        <w:tc>
          <w:tcPr>
            <w:tcW w:w="178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《财政违法行为处罚处分条例》（国务院令第427号）第二十八条：不履行或不正确履行应尽义务，有下列情形的行政机关及相关工作人员应承担相应的责任：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34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税政与条法股、农村农业股</w:t>
            </w:r>
          </w:p>
        </w:tc>
      </w:tr>
      <w:tr w:rsidR="008568C5">
        <w:trPr>
          <w:trHeight w:val="1679"/>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51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60"/>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1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86"/>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1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20"/>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1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51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5112"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7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
          <w:jc w:val="center"/>
        </w:trPr>
        <w:tc>
          <w:tcPr>
            <w:tcW w:w="75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3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91"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6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9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1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78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2682"/>
        <w:gridCol w:w="1062"/>
        <w:gridCol w:w="679"/>
        <w:gridCol w:w="4985"/>
        <w:gridCol w:w="1836"/>
        <w:gridCol w:w="1215"/>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6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6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9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83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21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96"/>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36</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在农村综合改革和基层财政管理工作中，对单位和个人违反国家有关投资建设项目规定行为的处罚</w:t>
            </w:r>
          </w:p>
        </w:tc>
        <w:tc>
          <w:tcPr>
            <w:tcW w:w="2682"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《财政违法行为处罚处分条例》（国务院令第427号）第二条：“县级以上人民政府财政部门及审计机关在各自职权范围内，依法对财政违法行为</w:t>
            </w:r>
            <w:proofErr w:type="gramStart"/>
            <w:r>
              <w:rPr>
                <w:rFonts w:ascii="仿宋" w:eastAsia="仿宋" w:hAnsi="仿宋" w:cs="仿宋" w:hint="eastAsia"/>
                <w:szCs w:val="21"/>
              </w:rPr>
              <w:t>作出</w:t>
            </w:r>
            <w:proofErr w:type="gramEnd"/>
            <w:r>
              <w:rPr>
                <w:rFonts w:ascii="仿宋" w:eastAsia="仿宋" w:hAnsi="仿宋" w:cs="仿宋" w:hint="eastAsia"/>
                <w:szCs w:val="21"/>
              </w:rPr>
              <w:t>处理、处罚决定。”  第九条：“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proofErr w:type="gramStart"/>
            <w:r>
              <w:rPr>
                <w:rFonts w:ascii="仿宋" w:eastAsia="仿宋" w:hAnsi="仿宋" w:cs="仿宋" w:hint="eastAsia"/>
                <w:szCs w:val="21"/>
              </w:rPr>
              <w:t>一</w:t>
            </w:r>
            <w:proofErr w:type="gramEnd"/>
            <w:r>
              <w:rPr>
                <w:rFonts w:ascii="仿宋" w:eastAsia="仿宋" w:hAnsi="仿宋" w:cs="仿宋" w:hint="eastAsia"/>
                <w:szCs w:val="21"/>
              </w:rPr>
              <w:t>)截留、挪用国家建设资金；(二)以虚报、冒领、关联交易等手段骗取国家建设资金；(三)违反规定超概算投资；(四)虚列投资完成额；(五)其他违反国家投资建设项目有关规定的行为……”</w:t>
            </w:r>
          </w:p>
        </w:tc>
        <w:tc>
          <w:tcPr>
            <w:tcW w:w="106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行政处罚</w:t>
            </w:r>
          </w:p>
        </w:tc>
        <w:tc>
          <w:tcPr>
            <w:tcW w:w="679"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立案</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1.立案责任：对检查中发现、接到举报投诉违反国家机关及其工作人员违反规定使用、骗取专项资金的行为或经有关部门移送此类违法案件予以审查，决定是否立案。</w:t>
            </w:r>
          </w:p>
        </w:tc>
        <w:tc>
          <w:tcPr>
            <w:tcW w:w="183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《财政违法行为处罚处分条例》（国务院令第427号）第二十八条：不履行或不正确履行应尽义务，有下列情形的行政机关及相关工作人员应承担相应的责任：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21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税政与条法股、农村农业股</w:t>
            </w:r>
          </w:p>
        </w:tc>
      </w:tr>
      <w:tr w:rsidR="008568C5">
        <w:trPr>
          <w:trHeight w:val="97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述。</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3.审查责任：对案件违法事实、证据、调查取证程序、法律适用、处罚种类和幅度、当事人陈述和申辩理由等方面进行审查，提出处理意见。</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4.告知责任：在做出行政处罚决定前，书面告知当事人</w:t>
            </w:r>
            <w:proofErr w:type="gramStart"/>
            <w:r>
              <w:rPr>
                <w:rFonts w:ascii="仿宋" w:eastAsia="仿宋" w:hAnsi="仿宋" w:cs="仿宋" w:hint="eastAsia"/>
                <w:szCs w:val="21"/>
              </w:rPr>
              <w:t>拟做出</w:t>
            </w:r>
            <w:proofErr w:type="gramEnd"/>
            <w:r>
              <w:rPr>
                <w:rFonts w:ascii="仿宋" w:eastAsia="仿宋" w:hAnsi="仿宋" w:cs="仿宋" w:hint="eastAsia"/>
                <w:szCs w:val="21"/>
              </w:rPr>
              <w:t>处罚决定的事实、理由、依据、处罚内容，以及当事人享有的陈述权、申辩权和听证权。</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5.决定责任：依法需要给予行政处罚的，应制作《行政处罚决定书》，载明违法事实和证据、处罚依据和内容、申请行政复议或提起行政诉讼的途径和期限等内容。</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2"/>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6.送达责任：行政处罚决定书应当在宣告后当场交付当事人；当事人不在场的，行政机关应当在七日内依照民事诉讼法的有关规定，将行政处罚决定书送达当事人。</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50"/>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执行</w:t>
            </w: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7.执行责任：监督当事人在决定的期限内（15日内），履行生效的行政处罚决定。当事人在法定期限内没有申请行政复议或提起行政诉讼，又不履行的，可申请人民法院强制执行。</w:t>
            </w:r>
          </w:p>
        </w:tc>
        <w:tc>
          <w:tcPr>
            <w:tcW w:w="183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53"/>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2"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9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8.其他法律法规规章文件规定应履行的责任。</w:t>
            </w:r>
          </w:p>
        </w:tc>
        <w:tc>
          <w:tcPr>
            <w:tcW w:w="183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1144"/>
        <w:gridCol w:w="1288"/>
        <w:gridCol w:w="2586"/>
        <w:gridCol w:w="1530"/>
        <w:gridCol w:w="1080"/>
        <w:gridCol w:w="2475"/>
        <w:gridCol w:w="3315"/>
        <w:gridCol w:w="2032"/>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258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5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47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331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203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452"/>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37</w:t>
            </w:r>
          </w:p>
        </w:tc>
        <w:tc>
          <w:tcPr>
            <w:tcW w:w="128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单位不明确的县级非税收入征收</w:t>
            </w:r>
          </w:p>
        </w:tc>
        <w:tc>
          <w:tcPr>
            <w:tcW w:w="2586"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8"/>
                <w:szCs w:val="18"/>
              </w:rPr>
              <w:t>《</w:t>
            </w:r>
            <w:r>
              <w:rPr>
                <w:rFonts w:ascii="仿宋" w:eastAsia="仿宋" w:hAnsi="仿宋" w:cs="仿宋" w:hint="eastAsia"/>
                <w:szCs w:val="21"/>
              </w:rPr>
              <w:t>河南省政府非税收入管理条例》(2013年11月29日河南省第十二届人民代表大会常务委员会第五次会议通过)第十条：“政府非税收入由法律、法规、规章、国务院和省人民政府及其财政部门规定的单位征收。征收单位不明确的，由县级以上财政部门征收，财政部门也可以依法委托其他单位征收。”</w:t>
            </w:r>
          </w:p>
        </w:tc>
        <w:tc>
          <w:tcPr>
            <w:tcW w:w="153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行政征收</w:t>
            </w:r>
          </w:p>
        </w:tc>
        <w:tc>
          <w:tcPr>
            <w:tcW w:w="1080"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4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1.受理责任：受理有捐赠意向的捐赠人的材料（目前，征收单位不明确的非税收入仅指捐赠收入)，与捐赠人接洽，商谈捐赠事宜，了解捐赠人意向，有无明确受赠人,使用方向等。</w:t>
            </w:r>
          </w:p>
        </w:tc>
        <w:tc>
          <w:tcPr>
            <w:tcW w:w="331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政府非税收入管理条例》第四十三条：财政、价格主管、审计等部门及其工作人员有下列违法行为之一的,由县级以上人民政府对单位给予警告或者通报批评，对直接负责的主管人员和其他直接责任人员由监察机关或者任免机关依法给予行政处分</w:t>
            </w:r>
            <w:bookmarkStart w:id="0" w:name="_GoBack"/>
            <w:bookmarkEnd w:id="0"/>
            <w:r>
              <w:rPr>
                <w:rFonts w:ascii="仿宋" w:eastAsia="仿宋" w:hAnsi="仿宋" w:cs="仿宋" w:hint="eastAsia"/>
                <w:szCs w:val="21"/>
              </w:rPr>
              <w:t>；构成犯罪的，依法追究刑事责任：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五</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1.包庇或者纵容政府非税收入管理违法行为的；</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2.对举报和投诉事项拖延、推诿或者不依法处理的；</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3.不履行政府非税收</w:t>
            </w:r>
            <w:proofErr w:type="gramStart"/>
            <w:r>
              <w:rPr>
                <w:rFonts w:ascii="仿宋" w:eastAsia="仿宋" w:hAnsi="仿宋" w:cs="仿宋" w:hint="eastAsia"/>
                <w:szCs w:val="21"/>
              </w:rPr>
              <w:t>入监督</w:t>
            </w:r>
            <w:proofErr w:type="gramEnd"/>
            <w:r>
              <w:rPr>
                <w:rFonts w:ascii="仿宋" w:eastAsia="仿宋" w:hAnsi="仿宋" w:cs="仿宋" w:hint="eastAsia"/>
                <w:szCs w:val="21"/>
              </w:rPr>
              <w:t>管理法定职责的；</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4.违法发放、销毁政府非税收入票据的；5.其他滥用职权、玩忽职守、徇私舞弊的行为</w:t>
            </w:r>
          </w:p>
        </w:tc>
        <w:tc>
          <w:tcPr>
            <w:tcW w:w="203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国库股、税政</w:t>
            </w:r>
            <w:proofErr w:type="gramStart"/>
            <w:r>
              <w:rPr>
                <w:rFonts w:ascii="仿宋" w:eastAsia="仿宋" w:hAnsi="仿宋" w:cs="仿宋" w:hint="eastAsia"/>
                <w:szCs w:val="21"/>
              </w:rPr>
              <w:t>条法股</w:t>
            </w:r>
            <w:proofErr w:type="gramEnd"/>
          </w:p>
        </w:tc>
      </w:tr>
      <w:tr w:rsidR="008568C5">
        <w:trPr>
          <w:trHeight w:val="1066"/>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5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08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征收</w:t>
            </w:r>
          </w:p>
        </w:tc>
        <w:tc>
          <w:tcPr>
            <w:tcW w:w="24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2.征收责任：根据捐赠协议，向捐赠人开具《河南省政府非税收入专用缴款通知书》，收到捐赠款项后，向捐赠人开具捐赠票据。</w:t>
            </w:r>
          </w:p>
        </w:tc>
        <w:tc>
          <w:tcPr>
            <w:tcW w:w="33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03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2107"/>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28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58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08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监管</w:t>
            </w:r>
          </w:p>
        </w:tc>
        <w:tc>
          <w:tcPr>
            <w:tcW w:w="247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3.事后监管责任：督促捐赠人及时捐赠款项。</w:t>
            </w:r>
          </w:p>
        </w:tc>
        <w:tc>
          <w:tcPr>
            <w:tcW w:w="331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03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1291"/>
          <w:jc w:val="center"/>
        </w:trPr>
        <w:tc>
          <w:tcPr>
            <w:tcW w:w="114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28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586"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53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08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4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4.其他法律、法规、规章、文件规定应履行的责任。</w:t>
            </w:r>
          </w:p>
        </w:tc>
        <w:tc>
          <w:tcPr>
            <w:tcW w:w="331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03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bl>
    <w:p w:rsidR="008568C5" w:rsidRDefault="00A65D61">
      <w:pPr>
        <w:autoSpaceDN w:val="0"/>
        <w:snapToGrid w:val="0"/>
        <w:jc w:val="left"/>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608"/>
        <w:gridCol w:w="1237"/>
        <w:gridCol w:w="4022"/>
        <w:gridCol w:w="1646"/>
        <w:gridCol w:w="1646"/>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02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92"/>
          <w:jc w:val="center"/>
        </w:trPr>
        <w:tc>
          <w:tcPr>
            <w:tcW w:w="1144"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38</w:t>
            </w:r>
          </w:p>
        </w:tc>
        <w:tc>
          <w:tcPr>
            <w:tcW w:w="1847"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财政法律、法规、规章及政策的执行情况监督检查</w:t>
            </w:r>
          </w:p>
        </w:tc>
        <w:tc>
          <w:tcPr>
            <w:tcW w:w="3300" w:type="dxa"/>
            <w:vMerge w:val="restart"/>
            <w:tcBorders>
              <w:top w:val="single" w:sz="4" w:space="0" w:color="000000"/>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w:t>
            </w:r>
            <w:proofErr w:type="gramStart"/>
            <w:r>
              <w:rPr>
                <w:rFonts w:ascii="仿宋" w:eastAsia="仿宋" w:hAnsi="仿宋" w:cs="仿宋" w:hint="eastAsia"/>
                <w:szCs w:val="21"/>
              </w:rPr>
              <w:t>一</w:t>
            </w:r>
            <w:proofErr w:type="gramEnd"/>
            <w:r>
              <w:rPr>
                <w:rFonts w:ascii="仿宋" w:eastAsia="仿宋" w:hAnsi="仿宋" w:cs="仿宋" w:hint="eastAsia"/>
                <w:szCs w:val="21"/>
              </w:rPr>
              <w:t xml:space="preserve">)财政法律、法规、规章及政策的执行情况......”。　　　　　　　　　　　　　　　　　　　　　   </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《财政部门监督办法》(财政部令第69号)第十六条：“财政部门依法对下列事项实施监督：(</w:t>
            </w:r>
            <w:proofErr w:type="gramStart"/>
            <w:r>
              <w:rPr>
                <w:rFonts w:ascii="仿宋" w:eastAsia="仿宋" w:hAnsi="仿宋" w:cs="仿宋" w:hint="eastAsia"/>
                <w:szCs w:val="21"/>
              </w:rPr>
              <w:t>一</w:t>
            </w:r>
            <w:proofErr w:type="gramEnd"/>
            <w:r>
              <w:rPr>
                <w:rFonts w:ascii="仿宋" w:eastAsia="仿宋" w:hAnsi="仿宋" w:cs="仿宋" w:hint="eastAsia"/>
                <w:szCs w:val="21"/>
              </w:rPr>
              <w:t>)财税法规、政策的执行情况……”</w:t>
            </w:r>
          </w:p>
        </w:tc>
        <w:tc>
          <w:tcPr>
            <w:tcW w:w="608" w:type="dxa"/>
            <w:vMerge w:val="restart"/>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23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1.决定责任：根据年度财政监督检查计划、财政厅安排部署或者局领导批示，科学制定检查方案，下发检查通知。</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税政与条法股、各业务股室</w:t>
            </w:r>
          </w:p>
        </w:tc>
      </w:tr>
      <w:tr w:rsidR="008568C5">
        <w:trPr>
          <w:trHeight w:val="88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8" w:type="dxa"/>
            <w:vMerge/>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7"/>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3.复核汇总责任：对检查发现的问题事实、证据、检查取证程序、法律适用、问题处理建议、加强和改进财政管理的意见和建议等方面进行复核，并汇总形成总体检查报告提交局办公会议审议。</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4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4.处理责任：根据局办公会议审定意见，对问题进行整改、行政处罚、移送分类处理。</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98"/>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09"/>
          <w:jc w:val="center"/>
        </w:trPr>
        <w:tc>
          <w:tcPr>
            <w:tcW w:w="1144"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0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37"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4477" w:type="dxa"/>
        <w:jc w:val="center"/>
        <w:tblLayout w:type="fixed"/>
        <w:tblCellMar>
          <w:left w:w="0" w:type="dxa"/>
          <w:right w:w="0" w:type="dxa"/>
        </w:tblCellMar>
        <w:tblLook w:val="04A0"/>
      </w:tblPr>
      <w:tblGrid>
        <w:gridCol w:w="977"/>
        <w:gridCol w:w="1130"/>
        <w:gridCol w:w="3997"/>
        <w:gridCol w:w="753"/>
        <w:gridCol w:w="1140"/>
        <w:gridCol w:w="2982"/>
        <w:gridCol w:w="2203"/>
        <w:gridCol w:w="1295"/>
      </w:tblGrid>
      <w:tr w:rsidR="008568C5">
        <w:trPr>
          <w:trHeight w:val="699"/>
          <w:jc w:val="center"/>
        </w:trPr>
        <w:tc>
          <w:tcPr>
            <w:tcW w:w="9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1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39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7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职权</w:t>
            </w:r>
          </w:p>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类别</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298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220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黑体" w:cs="黑体" w:hint="eastAsia"/>
                <w:kern w:val="0"/>
                <w:sz w:val="24"/>
              </w:rPr>
              <w:t>追责情形</w:t>
            </w:r>
          </w:p>
        </w:tc>
        <w:tc>
          <w:tcPr>
            <w:tcW w:w="129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626"/>
          <w:jc w:val="center"/>
        </w:trPr>
        <w:tc>
          <w:tcPr>
            <w:tcW w:w="97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39</w:t>
            </w:r>
          </w:p>
        </w:tc>
        <w:tc>
          <w:tcPr>
            <w:tcW w:w="113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整改落实情况监督检查</w:t>
            </w:r>
          </w:p>
        </w:tc>
        <w:tc>
          <w:tcPr>
            <w:tcW w:w="3997"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十五)审计机关、上级财政部门等监督检查和本部门内部监督检查查出问题的整改落实情况......”</w:t>
            </w:r>
          </w:p>
        </w:tc>
        <w:tc>
          <w:tcPr>
            <w:tcW w:w="75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1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29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1.决定责任：根据年度财政监督检查计划、财政厅安排部署或者局领导批示，科学制定各项检查方案时，将以前年度检查发现问题整改落实情况纳入检查内容之一进行检查。</w:t>
            </w:r>
          </w:p>
        </w:tc>
        <w:tc>
          <w:tcPr>
            <w:tcW w:w="220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河南省人民政府令第135号）第三十二条：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29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税政与条法股、各业务股室</w:t>
            </w:r>
          </w:p>
        </w:tc>
      </w:tr>
      <w:tr w:rsidR="008568C5">
        <w:trPr>
          <w:trHeight w:val="2366"/>
          <w:jc w:val="center"/>
        </w:trPr>
        <w:tc>
          <w:tcPr>
            <w:tcW w:w="9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9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29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2.检查责任：组成检查组，依照《财政检查工作办法》（财政部令第32号）等规定程序，到被检查单位对以前年度发现问题的整改落实情况进行现场检查。</w:t>
            </w:r>
          </w:p>
        </w:tc>
        <w:tc>
          <w:tcPr>
            <w:tcW w:w="220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15"/>
          <w:jc w:val="center"/>
        </w:trPr>
        <w:tc>
          <w:tcPr>
            <w:tcW w:w="97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9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0"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督促整改</w:t>
            </w:r>
          </w:p>
        </w:tc>
        <w:tc>
          <w:tcPr>
            <w:tcW w:w="29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3.督促责任：对问题没有整改落实的，督促限期整改落实。</w:t>
            </w:r>
          </w:p>
        </w:tc>
        <w:tc>
          <w:tcPr>
            <w:tcW w:w="220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97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9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5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40" w:type="dxa"/>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82" w:type="dxa"/>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4.其他法律法规规章文件规定应履行的责任。</w:t>
            </w:r>
          </w:p>
        </w:tc>
        <w:tc>
          <w:tcPr>
            <w:tcW w:w="2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9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4151" w:type="dxa"/>
        <w:jc w:val="center"/>
        <w:tblLayout w:type="fixed"/>
        <w:tblCellMar>
          <w:left w:w="0" w:type="dxa"/>
          <w:right w:w="0" w:type="dxa"/>
        </w:tblCellMar>
        <w:tblLook w:val="04A0"/>
      </w:tblPr>
      <w:tblGrid>
        <w:gridCol w:w="721"/>
        <w:gridCol w:w="1150"/>
        <w:gridCol w:w="4034"/>
        <w:gridCol w:w="733"/>
        <w:gridCol w:w="1030"/>
        <w:gridCol w:w="3344"/>
        <w:gridCol w:w="1729"/>
        <w:gridCol w:w="1410"/>
      </w:tblGrid>
      <w:tr w:rsidR="008568C5">
        <w:trPr>
          <w:trHeight w:val="699"/>
          <w:jc w:val="center"/>
        </w:trPr>
        <w:tc>
          <w:tcPr>
            <w:tcW w:w="7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1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40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73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职权类别</w:t>
            </w:r>
          </w:p>
        </w:tc>
        <w:tc>
          <w:tcPr>
            <w:tcW w:w="103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33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172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黑体" w:cs="黑体" w:hint="eastAsia"/>
                <w:kern w:val="0"/>
                <w:sz w:val="24"/>
              </w:rPr>
              <w:t>追责情形</w:t>
            </w:r>
          </w:p>
        </w:tc>
        <w:tc>
          <w:tcPr>
            <w:tcW w:w="141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758"/>
          <w:jc w:val="center"/>
        </w:trPr>
        <w:tc>
          <w:tcPr>
            <w:tcW w:w="721"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40</w:t>
            </w:r>
          </w:p>
        </w:tc>
        <w:tc>
          <w:tcPr>
            <w:tcW w:w="115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财政票据监督检查</w:t>
            </w:r>
          </w:p>
        </w:tc>
        <w:tc>
          <w:tcPr>
            <w:tcW w:w="4034"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票据管理办法》(财政部令第70号)第四条：“省级以下财政部门负责本行政区域财政票据的申领、发放、核销、销毁和监督检查等工作。”第三十七条：“财政部门应当建立健全财政票据监督检查制度，对财政票据印制、使用、管理等情况进行检查。”</w:t>
            </w:r>
          </w:p>
        </w:tc>
        <w:tc>
          <w:tcPr>
            <w:tcW w:w="733"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030"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1.决定责任：根据年度财政监督检查计划、上级部门安排部署或者局领导批示，科学制定检查方案，下发检查通知。</w:t>
            </w:r>
          </w:p>
        </w:tc>
        <w:tc>
          <w:tcPr>
            <w:tcW w:w="172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《财政票据管理办法》第四十三条：财政部门、行政事业单位工作人员违反本办法规定，在工作中徇私舞弊、玩忽职守、滥用职权的，依法给予处分；构成犯罪的，依法追究刑事责任。</w:t>
            </w:r>
          </w:p>
        </w:tc>
        <w:tc>
          <w:tcPr>
            <w:tcW w:w="141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260"/>
          <w:jc w:val="center"/>
        </w:trPr>
        <w:tc>
          <w:tcPr>
            <w:tcW w:w="721"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3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3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172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43"/>
          <w:jc w:val="center"/>
        </w:trPr>
        <w:tc>
          <w:tcPr>
            <w:tcW w:w="721"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3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30"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3.复核汇总责任：对检查发现的问题事实、证据、检查取证程序、法律适用、问题处理建议、加强和改进财政管理的意见和建议等方面进行复核，并汇总形成总体检查报告提交局领导及有关科室审议。</w:t>
            </w:r>
          </w:p>
        </w:tc>
        <w:tc>
          <w:tcPr>
            <w:tcW w:w="172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8"/>
          <w:jc w:val="center"/>
        </w:trPr>
        <w:tc>
          <w:tcPr>
            <w:tcW w:w="721"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3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30"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4.处理责任：根据审议意见，对问题进行整改、行政处罚、移送分类处理。</w:t>
            </w:r>
          </w:p>
        </w:tc>
        <w:tc>
          <w:tcPr>
            <w:tcW w:w="172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38"/>
          <w:jc w:val="center"/>
        </w:trPr>
        <w:tc>
          <w:tcPr>
            <w:tcW w:w="721"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0" w:type="dxa"/>
            <w:vMerge/>
            <w:tcBorders>
              <w:left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4034"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73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3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172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43"/>
          <w:jc w:val="center"/>
        </w:trPr>
        <w:tc>
          <w:tcPr>
            <w:tcW w:w="721"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5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34"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3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30"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72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4698" w:type="dxa"/>
        <w:jc w:val="center"/>
        <w:tblLayout w:type="fixed"/>
        <w:tblCellMar>
          <w:left w:w="0" w:type="dxa"/>
          <w:right w:w="0" w:type="dxa"/>
        </w:tblCellMar>
        <w:tblLook w:val="04A0"/>
      </w:tblPr>
      <w:tblGrid>
        <w:gridCol w:w="727"/>
        <w:gridCol w:w="1084"/>
        <w:gridCol w:w="2391"/>
        <w:gridCol w:w="1117"/>
        <w:gridCol w:w="1117"/>
        <w:gridCol w:w="4708"/>
        <w:gridCol w:w="2420"/>
        <w:gridCol w:w="1134"/>
      </w:tblGrid>
      <w:tr w:rsidR="008568C5">
        <w:trPr>
          <w:trHeight w:val="867"/>
          <w:jc w:val="center"/>
        </w:trPr>
        <w:tc>
          <w:tcPr>
            <w:tcW w:w="72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08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23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111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职权类别</w:t>
            </w:r>
          </w:p>
        </w:tc>
        <w:tc>
          <w:tcPr>
            <w:tcW w:w="111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47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242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追责情形</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829"/>
          <w:jc w:val="center"/>
        </w:trPr>
        <w:tc>
          <w:tcPr>
            <w:tcW w:w="727"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41</w:t>
            </w:r>
          </w:p>
        </w:tc>
        <w:tc>
          <w:tcPr>
            <w:tcW w:w="1084"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财政专项资金监督检查</w:t>
            </w:r>
          </w:p>
        </w:tc>
        <w:tc>
          <w:tcPr>
            <w:tcW w:w="2391"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四)财政专项资金的管理、使用和效益情况......”</w:t>
            </w:r>
          </w:p>
        </w:tc>
        <w:tc>
          <w:tcPr>
            <w:tcW w:w="111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1.决定责任：根据年度财政监督检查计划、上级部门安排部署或者局领导批示，科学制定检查方案，下发检查通知。</w:t>
            </w:r>
          </w:p>
        </w:tc>
        <w:tc>
          <w:tcPr>
            <w:tcW w:w="242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河南省人民政府令第135号）第三十二条：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134"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税政与条法股、各业务股室</w:t>
            </w:r>
          </w:p>
        </w:tc>
      </w:tr>
      <w:tr w:rsidR="008568C5">
        <w:trPr>
          <w:trHeight w:val="470"/>
          <w:jc w:val="center"/>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24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0"/>
          <w:jc w:val="center"/>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3.复核汇总责任：对检查发现的问题事实、证据、检查取证程序、法律适用、问题处理建议、加强和改进财政管理的意见和建议等方面进行复核，并汇总形成总体检查报告提交局领导及有关股室审议。</w:t>
            </w:r>
          </w:p>
        </w:tc>
        <w:tc>
          <w:tcPr>
            <w:tcW w:w="24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06"/>
          <w:jc w:val="center"/>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91"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4.处理责任：根据审议意见，对问题进行整改、行政处罚、移送分类处理。</w:t>
            </w:r>
          </w:p>
        </w:tc>
        <w:tc>
          <w:tcPr>
            <w:tcW w:w="24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559"/>
          <w:jc w:val="center"/>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2391" w:type="dxa"/>
            <w:vMerge/>
            <w:tcBorders>
              <w:left w:val="single" w:sz="4" w:space="0" w:color="000000"/>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11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24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48"/>
          <w:jc w:val="center"/>
        </w:trPr>
        <w:tc>
          <w:tcPr>
            <w:tcW w:w="727"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391"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242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3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748"/>
        <w:gridCol w:w="3985"/>
        <w:gridCol w:w="690"/>
        <w:gridCol w:w="1268"/>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74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9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9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2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84"/>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42</w:t>
            </w:r>
          </w:p>
        </w:tc>
        <w:tc>
          <w:tcPr>
            <w:tcW w:w="1748"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政府采购法规、政策的执行情况监督检查</w:t>
            </w:r>
          </w:p>
        </w:tc>
        <w:tc>
          <w:tcPr>
            <w:tcW w:w="3985"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Cs w:val="21"/>
              </w:rPr>
              <w:t xml:space="preserve"> </w:t>
            </w:r>
            <w:r>
              <w:rPr>
                <w:rFonts w:ascii="仿宋" w:eastAsia="仿宋" w:hAnsi="仿宋" w:cs="仿宋" w:hint="eastAsia"/>
                <w:sz w:val="18"/>
                <w:szCs w:val="18"/>
              </w:rPr>
              <w:t xml:space="preserve"> 《中华人民共和国政府采购法》第五十九条：“政府采购监督管理部门应当加强对政府采购活动及集中采购机构的监督检查。检查内容包括：（一）有关政府采购的法律、行政法规和规章的执行情况；（二）采购范围、采购方式和采购程序的执行情况；（三）政府采购人员的职业素质和专业技能。” 第六十五条：“政府采购监督管理部门应当对政府采购项目的采购活动进行检查，政府采购当事人应当如实反映情况，提供有关材料。”《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五)政府采购及管理情况；......”《政府采购信息发布管理办法》（中华人民共和国财政部令第101号）第五条：“ 地方各级人民政府财政部门（以下简称财政部门）对本级预算单位的政府采购信息发布活动进行监督管理。 第十六条　采购人或者其委托的采购代理机构未依法在指定媒体上发布政府采购项目信息的，依照政府采购法实施条例第六十八条追究法律责任。 采购人或者其委托的采购代理机构存在其他违反本办法规定行为的，由县级以上财政部门依法责令限期改正，给予警告，对直接负责的主管人员和其他直接责任人员，建议其行政主管部门或者有关机关依法依规处理，并予通报。”</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8"/>
                <w:szCs w:val="18"/>
              </w:rPr>
              <w:t xml:space="preserve">   《财政部门监督办法》（财政部令第69号）第十六条：“财政部门依法对下列事项实施监督：......（五）政府采购法规、政策的执行情况；......”</w:t>
            </w:r>
          </w:p>
        </w:tc>
        <w:tc>
          <w:tcPr>
            <w:tcW w:w="69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1.决定责任：科学合理制订检查计划，明确检查内容、实施步骤和检查依据，根据实际情况采取抽查、自查、专项检查、年度检查等方式。</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10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书面审查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2.审查责任：组成检查组，调阅被检查单位政府采购档案资料，根据政府采购法律法规和政策，检查执行情况，形成检查工作底稿。</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7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3.检查责任：结合书面审查发现的问题，检查组进一步到被检查单位实施现场检查。</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18"/>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沟通确认   检查结果</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4.沟通责任：与被检查单位就检查发现的问题进行沟通，并签字盖章确认工作底稿。</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04"/>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督促整改</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5.督促责任：督促有关单位对检查中发现的问题进行整改，并及时报送整改报告。</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75"/>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74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85"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2849"/>
        <w:gridCol w:w="2120"/>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84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12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23"/>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43</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社会保障基金、住房公积金等资金征收、使用和管理情况监督检查</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督：......(六)社会保障基金、住房公积金等资金征收、使用和管理情况......”</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1.决定责任：根据年度财政监督检查计划、财政厅安排部署或者局领导批示，科学制定检查方案，下发检查通知。</w:t>
            </w:r>
          </w:p>
        </w:tc>
        <w:tc>
          <w:tcPr>
            <w:tcW w:w="212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河南省人民政府令第135号）第三十二条：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税政与条法股、社会保障股</w:t>
            </w:r>
          </w:p>
        </w:tc>
      </w:tr>
      <w:tr w:rsidR="008568C5">
        <w:trPr>
          <w:trHeight w:val="1284"/>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21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3.复核汇总责任：对检查发现的问题事实、证据、检查取证程序、法律适用、问题处理建议、加强和改进财政管理的意见和建议等方面进行复核，并汇总形成总体检查报告提交局办公会议审议。</w:t>
            </w:r>
          </w:p>
        </w:tc>
        <w:tc>
          <w:tcPr>
            <w:tcW w:w="21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9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4.处理责任：根据局办公会议审定意见，对问题进行整改、行政处罚、移送分类处理。</w:t>
            </w:r>
          </w:p>
        </w:tc>
        <w:tc>
          <w:tcPr>
            <w:tcW w:w="21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1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212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69"/>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212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rPr>
          <w:rFonts w:ascii="仿宋" w:eastAsia="仿宋" w:hAnsi="仿宋" w:cs="仿宋"/>
          <w:sz w:val="18"/>
          <w:szCs w:val="18"/>
        </w:rPr>
      </w:pPr>
    </w:p>
    <w:tbl>
      <w:tblPr>
        <w:tblW w:w="15450" w:type="dxa"/>
        <w:jc w:val="center"/>
        <w:tblLayout w:type="fixed"/>
        <w:tblCellMar>
          <w:left w:w="0" w:type="dxa"/>
          <w:right w:w="0" w:type="dxa"/>
        </w:tblCellMar>
        <w:tblLook w:val="04A0"/>
      </w:tblPr>
      <w:tblGrid>
        <w:gridCol w:w="1144"/>
        <w:gridCol w:w="1847"/>
        <w:gridCol w:w="3300"/>
        <w:gridCol w:w="1059"/>
        <w:gridCol w:w="1485"/>
        <w:gridCol w:w="2860"/>
        <w:gridCol w:w="2293"/>
        <w:gridCol w:w="1462"/>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286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229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46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责任科室</w:t>
            </w:r>
          </w:p>
        </w:tc>
      </w:tr>
      <w:tr w:rsidR="008568C5">
        <w:trPr>
          <w:trHeight w:val="842"/>
          <w:jc w:val="center"/>
        </w:trPr>
        <w:tc>
          <w:tcPr>
            <w:tcW w:w="1144"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44</w:t>
            </w:r>
          </w:p>
        </w:tc>
        <w:tc>
          <w:tcPr>
            <w:tcW w:w="1847"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国有资产收益收支及管理情况监督检查</w:t>
            </w: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tc>
        <w:tc>
          <w:tcPr>
            <w:tcW w:w="3300" w:type="dxa"/>
            <w:vMerge w:val="restart"/>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七)国有资产收益收支及管理情况......”</w:t>
            </w:r>
          </w:p>
        </w:tc>
        <w:tc>
          <w:tcPr>
            <w:tcW w:w="1059"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1.决定责任：科学制定检查方案或计划。根据管理工作需要及相关线索，采取抽查、突查、专项检查、交叉检查、年度检查等方式。</w:t>
            </w:r>
          </w:p>
        </w:tc>
        <w:tc>
          <w:tcPr>
            <w:tcW w:w="229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《河南省财政监督办法》第三十二条： 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r>
              <w:rPr>
                <w:rFonts w:ascii="仿宋" w:eastAsia="仿宋" w:hAnsi="仿宋" w:cs="仿宋"/>
                <w:szCs w:val="21"/>
              </w:rPr>
              <w:t>1.不履行法定职责或者违法</w:t>
            </w:r>
            <w:proofErr w:type="gramStart"/>
            <w:r>
              <w:rPr>
                <w:rFonts w:ascii="仿宋" w:eastAsia="仿宋" w:hAnsi="仿宋" w:cs="仿宋"/>
                <w:szCs w:val="21"/>
              </w:rPr>
              <w:t>作出</w:t>
            </w:r>
            <w:proofErr w:type="gramEnd"/>
            <w:r>
              <w:rPr>
                <w:rFonts w:ascii="仿宋" w:eastAsia="仿宋" w:hAnsi="仿宋" w:cs="仿宋"/>
                <w:szCs w:val="21"/>
              </w:rPr>
              <w:t>具体行政行为的;2.超越职权或者违反规定程序实施财政监督检查的;3.包庇被监督对象财政违法行为的;4.利用职务之便谋取不正当利益的;5.泄露工作中知悉的国家秘密和商业秘密的;6.遗失检查资料的;7.其他滥用职权、玩忽职守、徇私舞弊的行为</w:t>
            </w:r>
            <w:r>
              <w:rPr>
                <w:rFonts w:ascii="仿宋" w:eastAsia="仿宋" w:hAnsi="仿宋" w:cs="仿宋" w:hint="eastAsia"/>
                <w:szCs w:val="21"/>
              </w:rPr>
              <w:t>。</w:t>
            </w:r>
          </w:p>
        </w:tc>
        <w:tc>
          <w:tcPr>
            <w:tcW w:w="146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color w:val="000000" w:themeColor="text1"/>
                <w:szCs w:val="21"/>
              </w:rPr>
              <w:t>资产管理股</w:t>
            </w:r>
            <w:r>
              <w:rPr>
                <w:rFonts w:ascii="仿宋" w:eastAsia="仿宋" w:hAnsi="仿宋" w:cs="仿宋" w:hint="eastAsia"/>
                <w:szCs w:val="21"/>
              </w:rPr>
              <w:t>、科技工业股、县属功能类公益类企业国有资产监管办公室</w:t>
            </w:r>
          </w:p>
        </w:tc>
      </w:tr>
      <w:tr w:rsidR="008568C5">
        <w:trPr>
          <w:trHeight w:val="73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实施检查</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2.检查责任：组成检查组，到被检查部门或单位查阅档案及有关资料，深入现场进行检查，形成检查意见和整改建议，并填写检查意见反馈表。</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9"/>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督促整改</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3.督促责任：督促有关单位对所查出隐患限期整改，并及时上报整改报告，逾期不整改的进行通报。情节严重的，按相关规定处理。</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28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4.监管责任：接到整改报告后，对整改情况进行抽查，并将整改事项列入日常检查内容，杜绝类似问题重复发生。</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61"/>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29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35"/>
          <w:jc w:val="center"/>
        </w:trPr>
        <w:tc>
          <w:tcPr>
            <w:tcW w:w="1144" w:type="dxa"/>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kern w:val="0"/>
                <w:sz w:val="24"/>
              </w:rPr>
              <w:br w:type="page"/>
            </w:r>
            <w:r>
              <w:rPr>
                <w:rFonts w:ascii="黑体" w:eastAsia="黑体" w:hAnsi="黑体" w:cs="黑体" w:hint="eastAsia"/>
                <w:kern w:val="0"/>
                <w:sz w:val="24"/>
              </w:rPr>
              <w:t>序号</w:t>
            </w:r>
          </w:p>
        </w:tc>
        <w:tc>
          <w:tcPr>
            <w:tcW w:w="184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项目名称</w:t>
            </w:r>
          </w:p>
        </w:tc>
        <w:tc>
          <w:tcPr>
            <w:tcW w:w="330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1059"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类别</w:t>
            </w:r>
          </w:p>
        </w:tc>
        <w:tc>
          <w:tcPr>
            <w:tcW w:w="148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286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229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46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责任科室</w:t>
            </w:r>
          </w:p>
        </w:tc>
      </w:tr>
      <w:tr w:rsidR="008568C5">
        <w:trPr>
          <w:trHeight w:val="842"/>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45</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国际组织和外国政府援助项目的财务收支情况监督检查</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 (十)国际组织和外国政府援助项目的财务收支情况……”</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《财政部门监督办法》(财政部令第69号)第十六条：“财政部门依法对下列事项实施监督：……（八）外国政府、国际金融组织贷款和赠款的管理情况……”</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1.受理责任：公示依法应当提交的材料；一次性告知补正材料；依法受理或不予受理（不予受理的依法告知理由）</w:t>
            </w:r>
          </w:p>
        </w:tc>
        <w:tc>
          <w:tcPr>
            <w:tcW w:w="229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河南省人民政府令第135号）第三十二条：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46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45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材料审查（按照《河南省财政监督办法》(河南省人民政府令第135号)第三条）、《财政部门监督办法》(财政部令第69号)第十六条进行审查）；需要现场核查的，组织专家现场核查，并书面告知申请人；根据需要征求有关部门意见；提出初审意见。</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w:t>
            </w:r>
            <w:proofErr w:type="gramStart"/>
            <w:r>
              <w:rPr>
                <w:rFonts w:ascii="仿宋" w:eastAsia="仿宋" w:hAnsi="仿宋" w:cs="仿宋" w:hint="eastAsia"/>
                <w:szCs w:val="21"/>
              </w:rPr>
              <w:t>作出</w:t>
            </w:r>
            <w:proofErr w:type="gramEnd"/>
            <w:r>
              <w:rPr>
                <w:rFonts w:ascii="仿宋" w:eastAsia="仿宋" w:hAnsi="仿宋" w:cs="仿宋" w:hint="eastAsia"/>
                <w:szCs w:val="21"/>
              </w:rPr>
              <w:t>决定；按时办结；法定告知。</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2860"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4.送达责任：制作送达文书；按规定送达当事人；信息公开</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2860"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5.事后监管责任：《河南省财政监督办法》(河南省人民政府令第135号)第三条、《财政部门监督办法》(财政部令第69号)第十六条</w:t>
            </w:r>
          </w:p>
        </w:tc>
        <w:tc>
          <w:tcPr>
            <w:tcW w:w="229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13"/>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229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6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408"/>
        <w:gridCol w:w="3920"/>
        <w:gridCol w:w="878"/>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4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92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7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42"/>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46</w:t>
            </w:r>
          </w:p>
        </w:tc>
        <w:tc>
          <w:tcPr>
            <w:tcW w:w="1408"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会计监督检查</w:t>
            </w:r>
          </w:p>
        </w:tc>
        <w:tc>
          <w:tcPr>
            <w:tcW w:w="392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中华人民共和国会计法》第三十二条：“财政部门对各单位的下列情况实施监督：（一）是否依法设置会计账簿；（二）会计凭证、会计账簿、财务会计报告和其他会计资料是否真实、完整；（三）会计核算是否符合本法和国家统一的会计制度的规定；（四）从事会计工作的人员是否具备专业能力、遵守职业道德。在对前款第（二）项所列事项实施监督，发现重大违法嫌疑时，国务院财政部门及其派出机构可以向与被监督单位有经济业务往来的单位和被监督单位开立账户的金融机构查询有关情况，有关单位和金融机构应当给予支持。”</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实施会计监督办法》（财政部令第10号）第三条：“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w:t>
            </w:r>
          </w:p>
        </w:tc>
        <w:tc>
          <w:tcPr>
            <w:tcW w:w="878"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检查准备</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1.决定责任：根据工作部署，确定检查对象，科学制定检查方案</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构不成犯罪的，依法给予行政处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会计股、税政与</w:t>
            </w:r>
            <w:proofErr w:type="gramStart"/>
            <w:r>
              <w:rPr>
                <w:rFonts w:ascii="仿宋" w:eastAsia="仿宋" w:hAnsi="仿宋" w:cs="仿宋" w:hint="eastAsia"/>
                <w:szCs w:val="21"/>
              </w:rPr>
              <w:t>条法股</w:t>
            </w:r>
            <w:proofErr w:type="gramEnd"/>
          </w:p>
        </w:tc>
      </w:tr>
      <w:tr w:rsidR="008568C5">
        <w:trPr>
          <w:trHeight w:val="738"/>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2.送达责任：实施监督检查应当于3个工作日前向被监督对象送达财政监督检查通知书。</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3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检查实施</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3.检查责任：组成检查组，对被监督检查对象进行检查，取得证明材料，编制工作底稿，形成检查报告。检查工作结束前，检查组应当将检查工作情况、被监督对象存在的问题等事项书面征求被监督对象的意见。</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8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复核审理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4.复核责任：对报告以及其他有关材料予以复核。</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38"/>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5.决定责任：对监督检查报告及复核意见进行审定后，应当根据不同情况</w:t>
            </w:r>
            <w:proofErr w:type="gramStart"/>
            <w:r>
              <w:rPr>
                <w:rFonts w:ascii="仿宋" w:eastAsia="仿宋" w:hAnsi="仿宋" w:cs="仿宋" w:hint="eastAsia"/>
                <w:szCs w:val="21"/>
              </w:rPr>
              <w:t>作出</w:t>
            </w:r>
            <w:proofErr w:type="gramEnd"/>
            <w:r>
              <w:rPr>
                <w:rFonts w:ascii="仿宋" w:eastAsia="仿宋" w:hAnsi="仿宋" w:cs="仿宋" w:hint="eastAsia"/>
                <w:szCs w:val="21"/>
              </w:rPr>
              <w:t>处理。</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54"/>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6.送达责任：将检查结论和行政处理、处罚决定书送达被监督对象。</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0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跟踪监督</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7.监督责任：依法对财政行政处理、处罚决定执行情况进行跟踪监督。</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整理归档</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8.归档责任：做好材料的立卷归档工作。</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60"/>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0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2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7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9.其他法律法规规章文件规定应履行的责任。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pPr>
    </w:p>
    <w:tbl>
      <w:tblPr>
        <w:tblW w:w="15450" w:type="dxa"/>
        <w:jc w:val="center"/>
        <w:tblLayout w:type="fixed"/>
        <w:tblCellMar>
          <w:left w:w="0" w:type="dxa"/>
          <w:right w:w="0" w:type="dxa"/>
        </w:tblCellMar>
        <w:tblLook w:val="04A0"/>
      </w:tblPr>
      <w:tblGrid>
        <w:gridCol w:w="1368"/>
        <w:gridCol w:w="1623"/>
        <w:gridCol w:w="3300"/>
        <w:gridCol w:w="1059"/>
        <w:gridCol w:w="1485"/>
        <w:gridCol w:w="3323"/>
        <w:gridCol w:w="1935"/>
        <w:gridCol w:w="1357"/>
      </w:tblGrid>
      <w:tr w:rsidR="008568C5">
        <w:trPr>
          <w:trHeight w:val="635"/>
          <w:jc w:val="center"/>
        </w:trPr>
        <w:tc>
          <w:tcPr>
            <w:tcW w:w="13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6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93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5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89"/>
          <w:jc w:val="center"/>
        </w:trPr>
        <w:tc>
          <w:tcPr>
            <w:tcW w:w="1368"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47</w:t>
            </w:r>
          </w:p>
        </w:tc>
        <w:tc>
          <w:tcPr>
            <w:tcW w:w="1623"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地方商业银行和非银行金融机构的资产和财务管理情况监督检查</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河南省财政监督办法》（河南省人民政府令第135号）第三条：“本办法所称财政监督，是指县级以上人民政府财政部门及其派出机构（以下统称财政部门）依法对国家机关、事业单位、社会团体、企业以及其他组织和个人（以下统称被监督对象）涉及的财政、财务、会计等事项所实施的监控、稽核、检查、评价和处理等活动。”第十一条：“财政部门依法对下列事项实施财政监督：......(十三)地方商业银行和非银行金融机构的资产和财务管理情况......”</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《财政部门监督办法》（财政部令第69号）第十六条：“财政部门依法对下列事项实施监督：......（六）行政、事业单位国有资产，金融类、文化企业等国有资产的管理情</w:t>
            </w:r>
            <w:r>
              <w:rPr>
                <w:rFonts w:ascii="仿宋" w:eastAsia="仿宋" w:hAnsi="仿宋" w:cs="仿宋" w:hint="eastAsia"/>
                <w:szCs w:val="21"/>
              </w:rPr>
              <w:lastRenderedPageBreak/>
              <w:t>况......”</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行政检查</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立项</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1.立项责任：根据制度规定、年度工作计划、监督管理中发现的问题、举报信息以及其他履行职责的需要，决定是否实施检查。</w:t>
            </w:r>
          </w:p>
        </w:tc>
        <w:tc>
          <w:tcPr>
            <w:tcW w:w="193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《河南省财政监督办法》第三十二条 ：财政部门实施财政监督有下列行为之一的,由本级人民政府或者上一级财政部门责令改正;情节严重的,对单位予以通报批评,并依法追究单位主要负责人及其相关人员的责任;给当事人造成损失的,依法承担赔偿责任;构成犯罪的,依法追究刑事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)不履行法定职责或者违法</w:t>
            </w:r>
            <w:proofErr w:type="gramStart"/>
            <w:r>
              <w:rPr>
                <w:rFonts w:ascii="仿宋" w:eastAsia="仿宋" w:hAnsi="仿宋" w:cs="仿宋" w:hint="eastAsia"/>
                <w:szCs w:val="21"/>
              </w:rPr>
              <w:t>作出</w:t>
            </w:r>
            <w:proofErr w:type="gramEnd"/>
            <w:r>
              <w:rPr>
                <w:rFonts w:ascii="仿宋" w:eastAsia="仿宋" w:hAnsi="仿宋" w:cs="仿宋" w:hint="eastAsia"/>
                <w:szCs w:val="21"/>
              </w:rPr>
              <w:t>具体行政行为的;(二)超越职权或者违反规定程</w:t>
            </w:r>
            <w:r>
              <w:rPr>
                <w:rFonts w:ascii="仿宋" w:eastAsia="仿宋" w:hAnsi="仿宋" w:cs="仿宋" w:hint="eastAsia"/>
                <w:szCs w:val="21"/>
              </w:rPr>
              <w:lastRenderedPageBreak/>
              <w:t>序实施财政监督检查的;(三)包庇被监督对象财政违法行为的;(四)利用职务之便谋取不正当利益的;(五)泄露工作中知悉的国家秘密和商业秘密的;(六)遗失检查资料的;(七)其他滥用职权、玩忽职守、徇私舞弊的行为。</w:t>
            </w:r>
          </w:p>
        </w:tc>
        <w:tc>
          <w:tcPr>
            <w:tcW w:w="1357"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lastRenderedPageBreak/>
              <w:t>金融与服务业股、税政与条法股、县属功能类公益类企业国有资产监管办公室</w:t>
            </w:r>
          </w:p>
        </w:tc>
      </w:tr>
      <w:tr w:rsidR="008568C5">
        <w:trPr>
          <w:trHeight w:val="875"/>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2.告知责任：向被检查人送达《检查通知书》。</w:t>
            </w:r>
          </w:p>
        </w:tc>
        <w:tc>
          <w:tcPr>
            <w:tcW w:w="193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05"/>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3.检查责任：依据规定进行检查，接受被检查人的监督。</w:t>
            </w:r>
          </w:p>
        </w:tc>
        <w:tc>
          <w:tcPr>
            <w:tcW w:w="193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2"/>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报告</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4.报告责任：在检查的基础上形成检查报告。</w:t>
            </w:r>
          </w:p>
        </w:tc>
        <w:tc>
          <w:tcPr>
            <w:tcW w:w="193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98"/>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处理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5.处理责任：被检查人有违反法律、行政法规或者规章规定的行为，并且依法</w:t>
            </w:r>
            <w:proofErr w:type="gramStart"/>
            <w:r>
              <w:rPr>
                <w:rFonts w:ascii="仿宋" w:eastAsia="仿宋" w:hAnsi="仿宋" w:cs="仿宋" w:hint="eastAsia"/>
                <w:szCs w:val="21"/>
              </w:rPr>
              <w:t>应当市</w:t>
            </w:r>
            <w:proofErr w:type="gramEnd"/>
            <w:r>
              <w:rPr>
                <w:rFonts w:ascii="仿宋" w:eastAsia="仿宋" w:hAnsi="仿宋" w:cs="仿宋" w:hint="eastAsia"/>
                <w:szCs w:val="21"/>
              </w:rPr>
              <w:t>财政局给予行政处罚的，依照《中华人民共和国行政处罚法》处理。检查中发现被检查人有违法行为，并且应当由其他部门查处的，应当依法移送有关部门处理。</w:t>
            </w:r>
          </w:p>
        </w:tc>
        <w:tc>
          <w:tcPr>
            <w:tcW w:w="193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902"/>
          <w:jc w:val="center"/>
        </w:trPr>
        <w:tc>
          <w:tcPr>
            <w:tcW w:w="1368"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93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35"/>
          <w:jc w:val="center"/>
        </w:trPr>
        <w:tc>
          <w:tcPr>
            <w:tcW w:w="1368"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kern w:val="0"/>
                <w:sz w:val="24"/>
              </w:rPr>
              <w:lastRenderedPageBreak/>
              <w:br w:type="page"/>
            </w:r>
            <w:r>
              <w:rPr>
                <w:rFonts w:ascii="黑体" w:eastAsia="黑体" w:hAnsi="黑体" w:cs="黑体" w:hint="eastAsia"/>
                <w:kern w:val="0"/>
                <w:sz w:val="24"/>
              </w:rPr>
              <w:t>序号</w:t>
            </w:r>
          </w:p>
        </w:tc>
        <w:tc>
          <w:tcPr>
            <w:tcW w:w="162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项目名称</w:t>
            </w:r>
          </w:p>
        </w:tc>
        <w:tc>
          <w:tcPr>
            <w:tcW w:w="330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1059"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类别</w:t>
            </w:r>
          </w:p>
        </w:tc>
        <w:tc>
          <w:tcPr>
            <w:tcW w:w="148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332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193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35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责任科室</w:t>
            </w:r>
          </w:p>
        </w:tc>
      </w:tr>
      <w:tr w:rsidR="008568C5">
        <w:trPr>
          <w:trHeight w:val="90"/>
          <w:jc w:val="center"/>
        </w:trPr>
        <w:tc>
          <w:tcPr>
            <w:tcW w:w="1368"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48</w:t>
            </w:r>
          </w:p>
        </w:tc>
        <w:tc>
          <w:tcPr>
            <w:tcW w:w="1623"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代理记账机构监督检查</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代理记账管理办法》（财政部令第98号）第十七条：“县级以上人民政府财政部门对代理记账机构及其从事代理记账业务情况实施监督，随机抽取检查对象、随机选派执法检查人员，并将抽查情况及查处结果依法及时向社会公开。</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对委托代理记账的企业因违反财税法律、法规受到处理处罚的，县级以上人民政府财政部门应当将其委托的代理记账机构列入重点检查对象。</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对其他部门移交的代理记账违法行为线索，县级以上人民政府财政部门应当及时予以查处。</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行政检查</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检查准备</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1.决定责任：根据工作部署，确定检查对象，科学制定检查方案</w:t>
            </w:r>
          </w:p>
        </w:tc>
        <w:tc>
          <w:tcPr>
            <w:tcW w:w="1935"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《代理记账管理办法》第二十七条：县级以上人民政府财政部门及其工作人员在代理记账资格管理过程中，滥用职权、玩忽职守、徇私舞弊的，依法给予行政处分；涉嫌犯罪的，移送司法机关处理。</w:t>
            </w:r>
          </w:p>
        </w:tc>
        <w:tc>
          <w:tcPr>
            <w:tcW w:w="135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会计股、税政与</w:t>
            </w:r>
            <w:proofErr w:type="gramStart"/>
            <w:r>
              <w:rPr>
                <w:rFonts w:ascii="仿宋" w:eastAsia="仿宋" w:hAnsi="仿宋" w:cs="仿宋" w:hint="eastAsia"/>
                <w:szCs w:val="21"/>
              </w:rPr>
              <w:t>条法股</w:t>
            </w:r>
            <w:proofErr w:type="gramEnd"/>
          </w:p>
        </w:tc>
      </w:tr>
      <w:tr w:rsidR="008568C5">
        <w:trPr>
          <w:trHeight w:val="1229"/>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2.送达责任：实施监督检查应当于3个工作日前向被监督对象送达财政监督检查通知书。</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0"/>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检查实施</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3.检查责任：组成检查组，对被监督检查对象进行检查，取得证明材料，编制工作底稿，形成检查报告。检查工作结束前，检查组应当将检查工作情况、被监督对象存在的问题等事项书面征求被监督对象的意见。</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64"/>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复核审理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4.复核责任：对报告以及其他有关材料予以复核。</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5.决定责任：对监督检查报告及复核</w:t>
            </w:r>
            <w:r>
              <w:rPr>
                <w:rFonts w:ascii="仿宋" w:eastAsia="仿宋" w:hAnsi="仿宋" w:cs="仿宋" w:hint="eastAsia"/>
                <w:szCs w:val="21"/>
              </w:rPr>
              <w:lastRenderedPageBreak/>
              <w:t>意见进行审定后，应当根据不同情况</w:t>
            </w:r>
            <w:proofErr w:type="gramStart"/>
            <w:r>
              <w:rPr>
                <w:rFonts w:ascii="仿宋" w:eastAsia="仿宋" w:hAnsi="仿宋" w:cs="仿宋" w:hint="eastAsia"/>
                <w:szCs w:val="21"/>
              </w:rPr>
              <w:t>作出</w:t>
            </w:r>
            <w:proofErr w:type="gramEnd"/>
            <w:r>
              <w:rPr>
                <w:rFonts w:ascii="仿宋" w:eastAsia="仿宋" w:hAnsi="仿宋" w:cs="仿宋" w:hint="eastAsia"/>
                <w:szCs w:val="21"/>
              </w:rPr>
              <w:t>处理。</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6.送达责任：将检查结论和行政处理、处罚决定书送达被监督对象。</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跟踪监督</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7.监督责任：依法对财政行政处理、处罚决定执行情况进行跟踪监督。</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
          <w:jc w:val="center"/>
        </w:trPr>
        <w:tc>
          <w:tcPr>
            <w:tcW w:w="136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整理归档</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8.归档责任：做好材料的立卷归档工作。</w:t>
            </w:r>
          </w:p>
        </w:tc>
        <w:tc>
          <w:tcPr>
            <w:tcW w:w="1935"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
          <w:jc w:val="center"/>
        </w:trPr>
        <w:tc>
          <w:tcPr>
            <w:tcW w:w="1368"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23"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9.其他法律法规规章文件规定应履行的责任。</w:t>
            </w:r>
          </w:p>
        </w:tc>
        <w:tc>
          <w:tcPr>
            <w:tcW w:w="1935"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57"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669"/>
        <w:gridCol w:w="1489"/>
        <w:gridCol w:w="4785"/>
        <w:gridCol w:w="788"/>
        <w:gridCol w:w="1104"/>
        <w:gridCol w:w="3323"/>
        <w:gridCol w:w="1646"/>
        <w:gridCol w:w="1646"/>
      </w:tblGrid>
      <w:tr w:rsidR="008568C5">
        <w:trPr>
          <w:trHeight w:val="635"/>
          <w:jc w:val="center"/>
        </w:trPr>
        <w:tc>
          <w:tcPr>
            <w:tcW w:w="6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48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7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78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10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0"/>
          <w:jc w:val="center"/>
        </w:trPr>
        <w:tc>
          <w:tcPr>
            <w:tcW w:w="669"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49</w:t>
            </w:r>
          </w:p>
        </w:tc>
        <w:tc>
          <w:tcPr>
            <w:tcW w:w="1489"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对农村综合改革和基层财政管理财政专项资金监督检查</w:t>
            </w:r>
          </w:p>
        </w:tc>
        <w:tc>
          <w:tcPr>
            <w:tcW w:w="4785"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《中华人民共和国预算法》第五十七条：“各级政府财政部门必须依照法律、行政法规和国务院财政部门的规定，及时、足额地拨付预算支出资金，加强对预算支出的管理和监督。”  《国务院关于做好农村综合改革工作有关问题的通知》（国发﹝2006﹞34号） 第六条：“……做好财政对农民补贴补偿和对村级补助资金的监管。” 《财政部门监督办法》(财政部令第69号)第二条：“县级以上人民政府财政部门（以下简称财政部门）依法对单位和个人（以下统称监督对象）涉及财政、财务、会计等事项实施监督适用本办法。”第三条：“财政部门应当按照财政管理体制、财务隶属关系对财政、财务等事项实施监督；按照行政区域对会计事项实施监督。”第八条：“财政部门的监督职责由本部门专职监督机构和业务管理机构共同履行；……” 第十条：“业务管理机构应当履行下列监督职责：（一）在履行财政、财务、会计等管理职责过程中加强日常监督；（二）配合专职监督机构进行专项监督；（三）根据监督结果完善相关财政政策；（四）向专职监督机构反馈意见采纳情况。”第十六条：“财政部门依法对下列事项实施监督：（一）财税法规、政策的执行情况；（二）预算编制、执行、调整和决算情……（七）财务会计制度的执行情况……”   《中共中央组织部 财政部 农业农村部关于坚持和加强农村基层党组织领导扶持壮大扶持壮大村级集体经济的通知》（</w:t>
            </w:r>
            <w:proofErr w:type="gramStart"/>
            <w:r>
              <w:rPr>
                <w:rFonts w:ascii="仿宋" w:eastAsia="仿宋" w:hAnsi="仿宋" w:cs="仿宋" w:hint="eastAsia"/>
                <w:szCs w:val="21"/>
              </w:rPr>
              <w:t>中组发</w:t>
            </w:r>
            <w:proofErr w:type="gramEnd"/>
            <w:r>
              <w:rPr>
                <w:rFonts w:ascii="仿宋" w:eastAsia="仿宋" w:hAnsi="仿宋" w:cs="仿宋" w:hint="eastAsia"/>
                <w:szCs w:val="21"/>
              </w:rPr>
              <w:t xml:space="preserve">﹝2018﹞18号）第3部分加强组织领导中第四条：“……各级组织、财政部门要加强对工作落实和扶持资金项目的监督检查，……及时纠正资金使用、工作推进中的问题……”                        </w:t>
            </w:r>
            <w:r>
              <w:rPr>
                <w:rFonts w:ascii="仿宋" w:eastAsia="仿宋" w:hAnsi="仿宋" w:cs="仿宋" w:hint="eastAsia"/>
                <w:szCs w:val="21"/>
              </w:rPr>
              <w:lastRenderedPageBreak/>
              <w:t>                 </w:t>
            </w:r>
          </w:p>
        </w:tc>
        <w:tc>
          <w:tcPr>
            <w:tcW w:w="788"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行政检查</w:t>
            </w:r>
          </w:p>
        </w:tc>
        <w:tc>
          <w:tcPr>
            <w:tcW w:w="110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1.决定责任：根据年度财政监督检查计划、上级部门安排部署或者局领导批示，科学制定检查方案，下发检查通知。</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《财政部门监督办法》(财政部令第69号)第二十六条：不履行或不正确履行应尽义务，有下列情形的行政机关及相关工作人员应承担相应的责任：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监督检查人员实施监督过程中玩忽职守、滥用职权、徇私舞弊或者泄露国家秘密、商业秘密的，依法给予行政处分；涉嫌犯罪的，依法移送司法机关。</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税政与条法股、农村农业股</w:t>
            </w:r>
          </w:p>
        </w:tc>
      </w:tr>
      <w:tr w:rsidR="008568C5">
        <w:trPr>
          <w:trHeight w:val="1829"/>
          <w:jc w:val="center"/>
        </w:trPr>
        <w:tc>
          <w:tcPr>
            <w:tcW w:w="669"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56"/>
          <w:jc w:val="center"/>
        </w:trPr>
        <w:tc>
          <w:tcPr>
            <w:tcW w:w="669"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3.复核汇总责任：对检查发现的问题事实、证据、检查取证程序、法律适用、问题处理建议、加强和改进财政管理的意见和建议等方面进行复核，并汇总形成总体检查报告提交局领导及有关科室审议。</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2"/>
          <w:jc w:val="center"/>
        </w:trPr>
        <w:tc>
          <w:tcPr>
            <w:tcW w:w="669"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vMerge/>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4.处理责任：根据审议意见，对问题进行整改、行政处罚、移送分类处理。</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jc w:val="center"/>
        </w:trPr>
        <w:tc>
          <w:tcPr>
            <w:tcW w:w="669"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9"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4"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23"/>
          <w:jc w:val="center"/>
        </w:trPr>
        <w:tc>
          <w:tcPr>
            <w:tcW w:w="669"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785"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4"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pStyle w:val="a3"/>
      </w:pPr>
      <w:r>
        <w:lastRenderedPageBreak/>
        <w:br w:type="page"/>
      </w:r>
    </w:p>
    <w:tbl>
      <w:tblPr>
        <w:tblW w:w="15450" w:type="dxa"/>
        <w:jc w:val="center"/>
        <w:tblLayout w:type="fixed"/>
        <w:tblCellMar>
          <w:left w:w="0" w:type="dxa"/>
          <w:right w:w="0" w:type="dxa"/>
        </w:tblCellMar>
        <w:tblLook w:val="04A0"/>
      </w:tblPr>
      <w:tblGrid>
        <w:gridCol w:w="1144"/>
        <w:gridCol w:w="1102"/>
        <w:gridCol w:w="4555"/>
        <w:gridCol w:w="974"/>
        <w:gridCol w:w="1060"/>
        <w:gridCol w:w="3725"/>
        <w:gridCol w:w="1244"/>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10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55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7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06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72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10"/>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50</w:t>
            </w:r>
          </w:p>
        </w:tc>
        <w:tc>
          <w:tcPr>
            <w:tcW w:w="1102"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对农村综合改革和基层财政管理工作相关财政法律、法规、规章及政策的执行情况监督检查</w:t>
            </w:r>
          </w:p>
        </w:tc>
        <w:tc>
          <w:tcPr>
            <w:tcW w:w="4555"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部门监督办法》(财政部令第69号)第二条：“县级以上人民政府财政部门（以下简称财政部门）依法对单位和个人（以下统称监督对象）涉及财政、财务、会计等事项实施监督适用本办法。”第三条：“财政部门应当按照财政管理体制、财务隶属关系对财政、财务等事项实施监督；按照行政区域对会计事项实施监督。”第八条：“财政部门的监督职责由本部门专职监督机构和业务管理机构共同履行；……” 第十条：“业务管理机构应当履行下列监督职责：（一）在履行财政、财务、会计等管理职责过程中加强日常监督；（二）配合专职监督机构进行专项监督；（三）根据监督结果完善相关财政政策；（四）向专职监督机构反馈意见采纳情况。”第十六条：“财政部门依法对下列事项实施监督：（一）财税法规、政策的执行情况；（二）预算编制、执行、调整和决算情……（七）财务会计制度的执行情况……”《河南省财政监督办法》（河南省人民政府令第135号）第六条：“县级以上财政部门负责本行政区域的财政监督工作,财政部门内设的财政监督专职机构和其他业务机构在规定的职责范围内共同实施财政监督。”  第十一条：“财政部门依法对下列事项实施财政监督:(</w:t>
            </w:r>
            <w:proofErr w:type="gramStart"/>
            <w:r>
              <w:rPr>
                <w:rFonts w:ascii="仿宋" w:eastAsia="仿宋" w:hAnsi="仿宋" w:cs="仿宋" w:hint="eastAsia"/>
                <w:szCs w:val="21"/>
              </w:rPr>
              <w:t>一</w:t>
            </w:r>
            <w:proofErr w:type="gramEnd"/>
            <w:r>
              <w:rPr>
                <w:rFonts w:ascii="仿宋" w:eastAsia="仿宋" w:hAnsi="仿宋" w:cs="仿宋" w:hint="eastAsia"/>
                <w:szCs w:val="21"/>
              </w:rPr>
              <w:t>)财政法律、法规、规章及政策的执行情况；(二)预算的编制、执行、调整和决算管理情况；……(四)财政专项资金的管理、使用和效益情况……(十二)被监督对象的财务管理与会计信息质量情况……(十五)审计机关、上级财政部门等监督检查和本部门内部监督检查查出问题的整改落实情况……”。</w:t>
            </w:r>
          </w:p>
        </w:tc>
        <w:tc>
          <w:tcPr>
            <w:tcW w:w="974"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行政检查</w:t>
            </w: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1.决定责任：根据年度财政监督检查计划、上级部门安排部署或者局领导批示，科学制定检查方案，下发检查通知。</w:t>
            </w:r>
          </w:p>
        </w:tc>
        <w:tc>
          <w:tcPr>
            <w:tcW w:w="1244"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《财政部门监督办法》(财政部令第69号)第二十六条：不履行或不正确履行应尽义务，有下列情形的行政机关及相关工作人员应承担相应的责任：</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监督检查人员实施监督过程中玩忽职守、滥用职权、徇私舞弊或者泄露国家秘密、商业秘密的，依法给予行政处分；涉嫌犯罪的，依法移送司法机关。</w:t>
            </w:r>
          </w:p>
          <w:p w:rsidR="008568C5" w:rsidRDefault="008568C5">
            <w:pPr>
              <w:autoSpaceDN w:val="0"/>
              <w:snapToGrid w:val="0"/>
              <w:jc w:val="center"/>
              <w:textAlignment w:val="center"/>
              <w:rPr>
                <w:rFonts w:ascii="仿宋" w:eastAsia="仿宋" w:hAnsi="仿宋" w:cs="仿宋"/>
                <w:szCs w:val="21"/>
              </w:rPr>
            </w:pP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税政与条法股、农村农业股</w:t>
            </w:r>
          </w:p>
        </w:tc>
      </w:tr>
      <w:tr w:rsidR="008568C5">
        <w:trPr>
          <w:trHeight w:val="1699"/>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5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现场检查</w:t>
            </w: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检查责任：组成检查组，依照《财政检查工作办法》（财政部令第32号）等规定程序，到被检查单位查阅会计账簿、报表、凭证等检查资料，并通过座谈、走访、项目现场查看等方式全面、客观、公正地检查，并制作检查工作底稿，提交财政检查报告。</w:t>
            </w:r>
          </w:p>
        </w:tc>
        <w:tc>
          <w:tcPr>
            <w:tcW w:w="124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782"/>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5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问题复核汇总</w:t>
            </w: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3.复核汇总责任：对检查发现的问题事实、证据、检查取证程序、法律适用、问题处理建议、加强和改进财政管理的意见和建议等方面进行复核，并汇总形成总体检查报告提交局领导及有关科室审议。</w:t>
            </w:r>
          </w:p>
        </w:tc>
        <w:tc>
          <w:tcPr>
            <w:tcW w:w="124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2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5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问题处理</w:t>
            </w: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4.处理责任：根据审议意见，对问题进行整改、行政处罚、移送分类处理。</w:t>
            </w:r>
          </w:p>
        </w:tc>
        <w:tc>
          <w:tcPr>
            <w:tcW w:w="124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95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5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持续监管</w:t>
            </w: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5.监管责任：对整改、处罚及移送问题落实情况进行追踪，对整改情况进行抽查核实，确保问题限期整改纠正到位。</w:t>
            </w:r>
          </w:p>
        </w:tc>
        <w:tc>
          <w:tcPr>
            <w:tcW w:w="1244"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1758"/>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0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55"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6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7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244"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bl>
    <w:p w:rsidR="008568C5" w:rsidRDefault="00A65D61">
      <w:pPr>
        <w:pStyle w:val="a3"/>
      </w:pPr>
      <w: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2783"/>
        <w:gridCol w:w="218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78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18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82"/>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51</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先进会计工作者评选表彰</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《中华人民共和国会计法》第六条：“对认真执行本法，忠于职守，坚持原则，做出显著成绩的会计人员，给予精神的或者物质的奖励。”</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全国先进会计工作者评选表彰办法》（财会（2007）7号)第三条：“财政部负责成立全国先进会计工作者评选表彰领导小组（以下简称领导小组），全面指导评选表彰工作，并负责评选表彰名额的确定和评选最终结果的审定。领导小组下设办公室，负责落实领导小组的工作决议、组织专家评审委员会对推荐的候选人进行评审、承担评选表彰的组织实施、沟通协调等各项管理工作。各地区、各部门应当设立相应领导机构和办事机构，负责本地区、本部门的评选表彰工作。”</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行政奖励</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准备</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1.决定责任：制定评选方案，成立评选领导小组，下发通知文件；</w:t>
            </w:r>
          </w:p>
        </w:tc>
        <w:tc>
          <w:tcPr>
            <w:tcW w:w="218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构不成犯罪的，依法给</w:t>
            </w:r>
            <w:proofErr w:type="gramStart"/>
            <w:r>
              <w:rPr>
                <w:rFonts w:ascii="仿宋" w:eastAsia="仿宋" w:hAnsi="仿宋" w:cs="仿宋" w:hint="eastAsia"/>
                <w:szCs w:val="21"/>
              </w:rPr>
              <w:t>予行</w:t>
            </w:r>
            <w:proofErr w:type="gramEnd"/>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政处分。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会计股</w:t>
            </w:r>
          </w:p>
        </w:tc>
      </w:tr>
      <w:tr w:rsidR="008568C5">
        <w:trPr>
          <w:trHeight w:val="944"/>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2.审查责任：审核候选人参评资格及事迹材料。</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82"/>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评审</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3.审查责任：组织专家委员会评审。</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02"/>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公示</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4.公示责任：公示受表彰候选人名单。没有问题的，给与表彰。</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332"/>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5.报送责任：根据需要向市财政局推荐全市先进会计工作者候选人材料。</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671"/>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218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 w:rsidR="008568C5" w:rsidRDefault="008568C5"/>
    <w:p w:rsidR="008568C5" w:rsidRDefault="008568C5"/>
    <w:p w:rsidR="008568C5" w:rsidRDefault="008568C5"/>
    <w:p w:rsidR="008568C5" w:rsidRDefault="008568C5"/>
    <w:p w:rsidR="008568C5" w:rsidRDefault="008568C5"/>
    <w:p w:rsidR="008568C5" w:rsidRDefault="008568C5"/>
    <w:tbl>
      <w:tblPr>
        <w:tblW w:w="15450" w:type="dxa"/>
        <w:jc w:val="center"/>
        <w:tblLayout w:type="fixed"/>
        <w:tblCellMar>
          <w:left w:w="0" w:type="dxa"/>
          <w:right w:w="0" w:type="dxa"/>
        </w:tblCellMar>
        <w:tblLook w:val="04A0"/>
      </w:tblPr>
      <w:tblGrid>
        <w:gridCol w:w="1144"/>
        <w:gridCol w:w="1847"/>
        <w:gridCol w:w="3300"/>
        <w:gridCol w:w="1059"/>
        <w:gridCol w:w="1485"/>
        <w:gridCol w:w="2783"/>
        <w:gridCol w:w="218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78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18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723"/>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52</w:t>
            </w:r>
          </w:p>
          <w:p w:rsidR="008568C5" w:rsidRDefault="008568C5">
            <w:pPr>
              <w:autoSpaceDN w:val="0"/>
              <w:snapToGrid w:val="0"/>
              <w:jc w:val="center"/>
              <w:textAlignment w:val="center"/>
              <w:rPr>
                <w:rFonts w:ascii="仿宋" w:eastAsia="仿宋" w:hAnsi="仿宋" w:cs="仿宋"/>
                <w:szCs w:val="21"/>
              </w:rPr>
            </w:pP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对政府非税收入管理工作中做出突出贡献或者举报违法行为有功的单位和个人给予表彰、奖励</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政府非税收入管理条例》(2013年11月29日河南省第十二届人民代表大会常务委员会第五次会议通过)第八条：“对在政府非税收入管理工作中做出突出贡献或者举报违法行为有功的单位和个人，由县级以上人民政府或者其财政部门给予表彰、奖励。”</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行政奖励</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制定方案</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1.结合年度和专项工作制定表彰奖励的办法，明确表彰项目、名额、方法等具体事项。</w:t>
            </w:r>
          </w:p>
        </w:tc>
        <w:tc>
          <w:tcPr>
            <w:tcW w:w="218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政府非税收入管理条例》第四十三条：财政、价格主管、审计等部门及其工作人员有下列违法行为之一的，由县级以上人民政府对单位给予警告或者通报批评，对直接负责的主管人员和其他直接责任人员由监察机关或者任免机关依法给予行政处分；构成犯罪的，依法追究刑事责任：</w:t>
            </w:r>
            <w:r>
              <w:rPr>
                <w:rFonts w:ascii="仿宋" w:eastAsia="仿宋" w:hAnsi="仿宋" w:cs="仿宋" w:hint="eastAsia"/>
                <w:szCs w:val="21"/>
              </w:rPr>
              <w:br/>
              <w:t>1.包庇或者纵容政府非税收入管理违法行为的；</w:t>
            </w:r>
            <w:r>
              <w:rPr>
                <w:rFonts w:ascii="仿宋" w:eastAsia="仿宋" w:hAnsi="仿宋" w:cs="仿宋" w:hint="eastAsia"/>
                <w:szCs w:val="21"/>
              </w:rPr>
              <w:br/>
              <w:t>2.对举报和投诉事项拖延、推诿或者不依法处理的；</w:t>
            </w:r>
            <w:r>
              <w:rPr>
                <w:rFonts w:ascii="仿宋" w:eastAsia="仿宋" w:hAnsi="仿宋" w:cs="仿宋" w:hint="eastAsia"/>
                <w:szCs w:val="21"/>
              </w:rPr>
              <w:br/>
              <w:t>3.不履行政府非税收</w:t>
            </w:r>
            <w:proofErr w:type="gramStart"/>
            <w:r>
              <w:rPr>
                <w:rFonts w:ascii="仿宋" w:eastAsia="仿宋" w:hAnsi="仿宋" w:cs="仿宋" w:hint="eastAsia"/>
                <w:szCs w:val="21"/>
              </w:rPr>
              <w:t>入监督</w:t>
            </w:r>
            <w:proofErr w:type="gramEnd"/>
            <w:r>
              <w:rPr>
                <w:rFonts w:ascii="仿宋" w:eastAsia="仿宋" w:hAnsi="仿宋" w:cs="仿宋" w:hint="eastAsia"/>
                <w:szCs w:val="21"/>
              </w:rPr>
              <w:t>管理法定职责的；</w:t>
            </w:r>
            <w:r>
              <w:rPr>
                <w:rFonts w:ascii="仿宋" w:eastAsia="仿宋" w:hAnsi="仿宋" w:cs="仿宋" w:hint="eastAsia"/>
                <w:szCs w:val="21"/>
              </w:rPr>
              <w:br/>
              <w:t>4.违法发放、销毁政府非税收入票据的；</w:t>
            </w:r>
            <w:r>
              <w:rPr>
                <w:rFonts w:ascii="仿宋" w:eastAsia="仿宋" w:hAnsi="仿宋" w:cs="仿宋" w:hint="eastAsia"/>
                <w:szCs w:val="21"/>
              </w:rPr>
              <w:br/>
              <w:t>5.其他滥用职权、玩忽职守、徇私舞弊的行为。</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52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组织推荐</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2.有关执收单位和各级非税收入管理机构结合方案进行推荐，并报送相关推荐材料。</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9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受理审核</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3.对报送材料进行审核，对合格的表彰推荐事项予以受理。将最终受理的表彰推荐对所有参评单位和个人进行公示。接受并处理公示反馈。</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48"/>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材料评审</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4.对表彰材料的真实性、贡献度进行全面评审。提出初步表彰意见。</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80"/>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复核决定</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5.对初步表彰意见进行综合</w:t>
            </w:r>
            <w:proofErr w:type="gramStart"/>
            <w:r>
              <w:rPr>
                <w:rFonts w:ascii="仿宋" w:eastAsia="仿宋" w:hAnsi="仿宋" w:cs="仿宋" w:hint="eastAsia"/>
                <w:szCs w:val="21"/>
              </w:rPr>
              <w:t>考量</w:t>
            </w:r>
            <w:proofErr w:type="gramEnd"/>
            <w:r>
              <w:rPr>
                <w:rFonts w:ascii="仿宋" w:eastAsia="仿宋" w:hAnsi="仿宋" w:cs="仿宋" w:hint="eastAsia"/>
                <w:szCs w:val="21"/>
              </w:rPr>
              <w:t>，并</w:t>
            </w:r>
            <w:proofErr w:type="gramStart"/>
            <w:r>
              <w:rPr>
                <w:rFonts w:ascii="仿宋" w:eastAsia="仿宋" w:hAnsi="仿宋" w:cs="仿宋" w:hint="eastAsia"/>
                <w:szCs w:val="21"/>
              </w:rPr>
              <w:t>作出</w:t>
            </w:r>
            <w:proofErr w:type="gramEnd"/>
            <w:r>
              <w:rPr>
                <w:rFonts w:ascii="仿宋" w:eastAsia="仿宋" w:hAnsi="仿宋" w:cs="仿宋" w:hint="eastAsia"/>
                <w:szCs w:val="21"/>
              </w:rPr>
              <w:t>表彰奖励决定。</w:t>
            </w:r>
          </w:p>
        </w:tc>
        <w:tc>
          <w:tcPr>
            <w:tcW w:w="218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68"/>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送达通报</w:t>
            </w:r>
          </w:p>
        </w:tc>
        <w:tc>
          <w:tcPr>
            <w:tcW w:w="278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6.将表彰奖励结果通报、送达有关单位和个人。</w:t>
            </w:r>
          </w:p>
        </w:tc>
        <w:tc>
          <w:tcPr>
            <w:tcW w:w="218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211"/>
        <w:gridCol w:w="4304"/>
        <w:gridCol w:w="691"/>
        <w:gridCol w:w="1246"/>
        <w:gridCol w:w="3562"/>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30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2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56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0"/>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53</w:t>
            </w:r>
          </w:p>
        </w:tc>
        <w:tc>
          <w:tcPr>
            <w:tcW w:w="1211"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非营利组织免税资格认定</w:t>
            </w:r>
          </w:p>
        </w:tc>
        <w:tc>
          <w:tcPr>
            <w:tcW w:w="4304"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20"/>
                <w:szCs w:val="20"/>
              </w:rPr>
            </w:pPr>
            <w:r>
              <w:rPr>
                <w:rFonts w:ascii="仿宋" w:eastAsia="仿宋" w:hAnsi="仿宋" w:cs="仿宋" w:hint="eastAsia"/>
                <w:sz w:val="20"/>
                <w:szCs w:val="20"/>
              </w:rPr>
              <w:t>《中华人民共和国企业所得税法》第二十六条第四项：“企业的下列收入为免税收入：（四）符合条件的非营利组织的收入。”《中华人民共和国企业所得税法实施条例》（国务院令第512号）第八十四条：“企业所得税法第二十六条第（四）项所称符合条件的非营利组织，是指同时符合下列条件的组织：（一）依法履行非营利组织登记手续；（二）从事公益性或者非营利性活动；（三）取得的收入除用于与该组织有关的、合理的支出外，全部用于登记核定或者章程规定的公益性或者非营利性事业；（四）财产及其</w:t>
            </w:r>
            <w:proofErr w:type="gramStart"/>
            <w:r>
              <w:rPr>
                <w:rFonts w:ascii="仿宋" w:eastAsia="仿宋" w:hAnsi="仿宋" w:cs="仿宋" w:hint="eastAsia"/>
                <w:sz w:val="20"/>
                <w:szCs w:val="20"/>
              </w:rPr>
              <w:t>孳息不</w:t>
            </w:r>
            <w:proofErr w:type="gramEnd"/>
            <w:r>
              <w:rPr>
                <w:rFonts w:ascii="仿宋" w:eastAsia="仿宋" w:hAnsi="仿宋" w:cs="仿宋" w:hint="eastAsia"/>
                <w:sz w:val="20"/>
                <w:szCs w:val="20"/>
              </w:rPr>
              <w:t>用于分配；（五）按照登记核定或者章程规定，该组织注销后的剩余财产用于公益性或者非营利性目的，或者由登记管理机关转赠给与该组织性质、宗旨相同的组织，并向社会公告；（六）投入人对投入该组织的财产不保留或者享有任何财产权利；（七）工作人员工资福利开支控制在规定的比例内，</w:t>
            </w:r>
            <w:proofErr w:type="gramStart"/>
            <w:r>
              <w:rPr>
                <w:rFonts w:ascii="仿宋" w:eastAsia="仿宋" w:hAnsi="仿宋" w:cs="仿宋" w:hint="eastAsia"/>
                <w:sz w:val="20"/>
                <w:szCs w:val="20"/>
              </w:rPr>
              <w:t>不</w:t>
            </w:r>
            <w:proofErr w:type="gramEnd"/>
            <w:r>
              <w:rPr>
                <w:rFonts w:ascii="仿宋" w:eastAsia="仿宋" w:hAnsi="仿宋" w:cs="仿宋" w:hint="eastAsia"/>
                <w:sz w:val="20"/>
                <w:szCs w:val="20"/>
              </w:rPr>
              <w:t>变相分配该组织的财产。前款规定的非营利组织的认定管理办法由国务院财政、税务主管部门会同国务院有关部门制定。”   《财政部 国家税务总局关于非营利组织免税资格认定管理有关问题的通知》（财税〔2014〕13号）第二项：“经省级(含省级)以上登记管理机关批准设立或登记的非营利组织，凡符合规定条件的，应向其所在地省级税务主管机关提出免税资格申请，并提供本通知规定的相关材料；经市(地)级或县级登记管理机关批准设立或登记的非营利组织，凡符合规定条件的，分别向其所在地市(地)级或县级税务主管机关提出免税资格申请，并提供本通知规定的相关材料。财政、税务部门按照上述管理权限，对非营利组织享受免税的资格联合进行审核确认，并定期予以公布”。</w:t>
            </w:r>
          </w:p>
        </w:tc>
        <w:tc>
          <w:tcPr>
            <w:tcW w:w="691"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行政确认</w:t>
            </w:r>
          </w:p>
        </w:tc>
        <w:tc>
          <w:tcPr>
            <w:tcW w:w="12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1.受理责任：县税务局有关部门按照《财政部 国家税务总局关于非营利组织免税资格认定管理有关问题的通知》（财税〔2014〕13号）第二条规定，按照管辖权限分别受理申请材料；一次性告知补正材料。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《财政部 税务总局关于非营利组织免税资格认定管理有关问题的通知》七、各级财政、税务部门及其工作人员在认定非营利组织免税资格工作中，存在违法违纪行为的，按照《中华人民共和国公务员法》《中华人民共和国行政监察法》等国家有关规定追究相应责任；涉嫌犯罪的，移送司法机关处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03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0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2.审查责任：税政</w:t>
            </w:r>
            <w:proofErr w:type="gramStart"/>
            <w:r>
              <w:rPr>
                <w:rFonts w:ascii="仿宋" w:eastAsia="仿宋" w:hAnsi="仿宋" w:cs="仿宋" w:hint="eastAsia"/>
                <w:szCs w:val="21"/>
              </w:rPr>
              <w:t>条法股严格</w:t>
            </w:r>
            <w:proofErr w:type="gramEnd"/>
            <w:r>
              <w:rPr>
                <w:rFonts w:ascii="仿宋" w:eastAsia="仿宋" w:hAnsi="仿宋" w:cs="仿宋" w:hint="eastAsia"/>
                <w:szCs w:val="21"/>
              </w:rPr>
              <w:t>按照《财政部 国家税务总局关于非营利组织免税资格认定管理有关问题的通知》（财税〔2014〕13号）有关规定，会同县税务局相关部门联合审查材料。</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0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3.决定责任：税政条</w:t>
            </w:r>
            <w:proofErr w:type="gramStart"/>
            <w:r>
              <w:rPr>
                <w:rFonts w:ascii="仿宋" w:eastAsia="仿宋" w:hAnsi="仿宋" w:cs="仿宋" w:hint="eastAsia"/>
                <w:szCs w:val="21"/>
              </w:rPr>
              <w:t>法股会同</w:t>
            </w:r>
            <w:proofErr w:type="gramEnd"/>
            <w:r>
              <w:rPr>
                <w:rFonts w:ascii="仿宋" w:eastAsia="仿宋" w:hAnsi="仿宋" w:cs="仿宋" w:hint="eastAsia"/>
                <w:szCs w:val="21"/>
              </w:rPr>
              <w:t>县税务局联合公布经审查认定具有免税资格非营利组织名单。</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2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0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3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4.事后监管责任：税政</w:t>
            </w:r>
            <w:proofErr w:type="gramStart"/>
            <w:r>
              <w:rPr>
                <w:rFonts w:ascii="仿宋" w:eastAsia="仿宋" w:hAnsi="仿宋" w:cs="仿宋" w:hint="eastAsia"/>
                <w:szCs w:val="21"/>
              </w:rPr>
              <w:t>条法股严格</w:t>
            </w:r>
            <w:proofErr w:type="gramEnd"/>
            <w:r>
              <w:rPr>
                <w:rFonts w:ascii="仿宋" w:eastAsia="仿宋" w:hAnsi="仿宋" w:cs="仿宋" w:hint="eastAsia"/>
                <w:szCs w:val="21"/>
              </w:rPr>
              <w:t>按照《财政部 国家税务总局关于非营利组织免税资格认定管理有关问题的通知》（财税〔2014〕13号）有关规定，做好后续工作。</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11"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04"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1"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46"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56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p w:rsidR="008568C5" w:rsidRDefault="008568C5">
            <w:pPr>
              <w:autoSpaceDN w:val="0"/>
              <w:snapToGrid w:val="0"/>
              <w:jc w:val="left"/>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rPr>
          <w:sz w:val="20"/>
          <w:szCs w:val="21"/>
        </w:rPr>
      </w:pPr>
    </w:p>
    <w:tbl>
      <w:tblPr>
        <w:tblW w:w="15450" w:type="dxa"/>
        <w:jc w:val="center"/>
        <w:tblLayout w:type="fixed"/>
        <w:tblCellMar>
          <w:left w:w="0" w:type="dxa"/>
          <w:right w:w="0" w:type="dxa"/>
        </w:tblCellMar>
        <w:tblLook w:val="04A0"/>
      </w:tblPr>
      <w:tblGrid>
        <w:gridCol w:w="932"/>
        <w:gridCol w:w="1336"/>
        <w:gridCol w:w="5014"/>
        <w:gridCol w:w="942"/>
        <w:gridCol w:w="1040"/>
        <w:gridCol w:w="3110"/>
        <w:gridCol w:w="1430"/>
        <w:gridCol w:w="1646"/>
      </w:tblGrid>
      <w:tr w:rsidR="008568C5">
        <w:trPr>
          <w:trHeight w:val="635"/>
          <w:jc w:val="center"/>
        </w:trPr>
        <w:tc>
          <w:tcPr>
            <w:tcW w:w="93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33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501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4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04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11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43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026"/>
          <w:jc w:val="center"/>
        </w:trPr>
        <w:tc>
          <w:tcPr>
            <w:tcW w:w="932"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54</w:t>
            </w:r>
          </w:p>
        </w:tc>
        <w:tc>
          <w:tcPr>
            <w:tcW w:w="133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政府采购中标成交结果无效认定</w:t>
            </w:r>
          </w:p>
        </w:tc>
        <w:tc>
          <w:tcPr>
            <w:tcW w:w="5014"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6"/>
                <w:szCs w:val="16"/>
              </w:rPr>
            </w:pPr>
            <w:r>
              <w:rPr>
                <w:rFonts w:ascii="仿宋" w:eastAsia="仿宋" w:hAnsi="仿宋" w:cs="仿宋" w:hint="eastAsia"/>
                <w:sz w:val="16"/>
                <w:szCs w:val="16"/>
              </w:rPr>
              <w:t>《中华人民共和国政府采购法》第七十七条：“供应商有下列情形之一的，处以采购金额千分之五以上千</w:t>
            </w:r>
            <w:proofErr w:type="gramStart"/>
            <w:r>
              <w:rPr>
                <w:rFonts w:ascii="仿宋" w:eastAsia="仿宋" w:hAnsi="仿宋" w:cs="仿宋" w:hint="eastAsia"/>
                <w:sz w:val="16"/>
                <w:szCs w:val="16"/>
              </w:rPr>
              <w:t>分之十</w:t>
            </w:r>
            <w:proofErr w:type="gramEnd"/>
            <w:r>
              <w:rPr>
                <w:rFonts w:ascii="仿宋" w:eastAsia="仿宋" w:hAnsi="仿宋" w:cs="仿宋" w:hint="eastAsia"/>
                <w:sz w:val="16"/>
                <w:szCs w:val="16"/>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二）采取不正当手段诋毁、排挤其他供应商的；（三）与采购人、其他供应商或者采购代理机构恶意串通的；（四）向采购人、采购代理机构行贿或者提供其他不正当利益的；（五）在招标采购过程中与采购人进行协商谈判的；（六）拒绝有关部门监督检查或者提供虚假情况的。供应商有前款(</w:t>
            </w:r>
            <w:proofErr w:type="gramStart"/>
            <w:r>
              <w:rPr>
                <w:rFonts w:ascii="仿宋" w:eastAsia="仿宋" w:hAnsi="仿宋" w:cs="仿宋" w:hint="eastAsia"/>
                <w:sz w:val="16"/>
                <w:szCs w:val="16"/>
              </w:rPr>
              <w:t>一</w:t>
            </w:r>
            <w:proofErr w:type="gramEnd"/>
            <w:r>
              <w:rPr>
                <w:rFonts w:ascii="仿宋" w:eastAsia="仿宋" w:hAnsi="仿宋" w:cs="仿宋" w:hint="eastAsia"/>
                <w:sz w:val="16"/>
                <w:szCs w:val="16"/>
              </w:rPr>
              <w:t xml:space="preserve">)至(五)项情形之一的，中标、成交无效。《中华人民共和国政府采购法实施条例》（国务院令第658号）第七十一条：“有《政府采购法》第七十一条、第七十二条规定的违法行为之一，影响或者可能影响中标、成交结果的，依照下列规定处理：（一）未确定中标或者成交供应商的，终止本次政府采购活动，重新开展政府采购活动。（二）已确定中标或者成交供应商但尚未签订政府采购合同的，中标或者成交结果无效，从合格的中标或者成交候选人中另行确定中标或者成交供应商；没有合格的中标或者成交候选人的，重新开展政府采购活动。（三）政府采购合同已签订但尚未履行的，撤销合同，从合格的中标或者成交候选人中另行确定中标或者成交供应商；没有合格的中标或者成交候选人的，重新开展政府采购活动。（四）政府采购合同已经履行，给采购人、供应商造成损失的，由责任人承担赔偿责任。政府采购当事人有其他违反政府采购法或者本条例规定的行为，经改正后仍然影响或者可能影响中标、成交结果或者依法被认定为中标、成交无效的，依照前款规定处理。” 第七十二条：“供应商有下列情形之一的，依照政府采购法第七十七条第一款的规定追究法律责任：（一）向评标委员会、竞争性谈判小组或者询价小组成员行贿或者提供其他不正当利益；（二）中标或者成交后无正当理由拒不与采购人签订政府采购合同；（三）未按照采购文件确定的事项签订政府采购合同；（四）将政府采购合同转包；（五）提供假冒伪劣产品；（六）擅自变更、中止或者终止政府采购合同。供应商有前款第一项规定情形的，中标、成交无效。评审阶段资格发生变化，供应商未依照本条例第二十一条的规定通知采购人和采购代理机构的，处以采购金额5‰的罚款，列入不良行为记录名单，中标、成交无效。”    </w:t>
            </w:r>
          </w:p>
          <w:p w:rsidR="008568C5" w:rsidRDefault="00A65D61">
            <w:pPr>
              <w:autoSpaceDN w:val="0"/>
              <w:snapToGrid w:val="0"/>
              <w:jc w:val="left"/>
              <w:textAlignment w:val="center"/>
              <w:rPr>
                <w:rFonts w:ascii="仿宋" w:eastAsia="仿宋" w:hAnsi="仿宋" w:cs="仿宋"/>
                <w:sz w:val="16"/>
                <w:szCs w:val="16"/>
              </w:rPr>
            </w:pPr>
            <w:r>
              <w:rPr>
                <w:rFonts w:ascii="仿宋" w:eastAsia="仿宋" w:hAnsi="仿宋" w:cs="仿宋" w:hint="eastAsia"/>
                <w:sz w:val="16"/>
                <w:szCs w:val="16"/>
              </w:rPr>
              <w:t xml:space="preserve">    《政府采购货物服务招标投标管理办法》（财政部令第87号）第七十九条：“ 有本办法第七十七条、第七十八条规定的违法行为之一，经改正后仍然影响或者可能影响中标结果的，依照政府采购法实施条例第七十一条规定处理。”    </w:t>
            </w:r>
          </w:p>
        </w:tc>
        <w:tc>
          <w:tcPr>
            <w:tcW w:w="942"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行政确认</w:t>
            </w:r>
          </w:p>
        </w:tc>
        <w:tc>
          <w:tcPr>
            <w:tcW w:w="104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1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1.受理责任：对处理投诉、监督检查中发现，或者接到举报，或经有关部门移送此类违法案件，予以受理。</w:t>
            </w:r>
          </w:p>
        </w:tc>
        <w:tc>
          <w:tcPr>
            <w:tcW w:w="143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《中华人民共和国政府采购法》第八十条：政府采购监督管理部门的工作人员在实施监督检查中违反本法规定滥用职权，玩忽职守，徇私舞弊的，依法给予行政处分;构成犯罪的，依法追究刑事责任。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807"/>
          <w:jc w:val="center"/>
        </w:trPr>
        <w:tc>
          <w:tcPr>
            <w:tcW w:w="93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1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4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1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2.审查责任：依据政府采购法律法规对相关情况进行调查，是否符合中标、成交无效情形。</w:t>
            </w:r>
          </w:p>
        </w:tc>
        <w:tc>
          <w:tcPr>
            <w:tcW w:w="143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39"/>
          <w:jc w:val="center"/>
        </w:trPr>
        <w:tc>
          <w:tcPr>
            <w:tcW w:w="93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1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4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1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3.决定责任：对于符合中标、成交无效情形的，依法认定中标、成交无效。</w:t>
            </w:r>
          </w:p>
        </w:tc>
        <w:tc>
          <w:tcPr>
            <w:tcW w:w="143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52"/>
          <w:jc w:val="center"/>
        </w:trPr>
        <w:tc>
          <w:tcPr>
            <w:tcW w:w="932"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14"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4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4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31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4.监管责任：监督认定中标成交结果无效后政府采购项目落实情况。</w:t>
            </w:r>
          </w:p>
        </w:tc>
        <w:tc>
          <w:tcPr>
            <w:tcW w:w="1430"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88"/>
          <w:jc w:val="center"/>
        </w:trPr>
        <w:tc>
          <w:tcPr>
            <w:tcW w:w="932"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3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014"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4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40"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1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43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376"/>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55</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会计代理记账机构执业资格认定</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会计法》第三十六条第一款：“各单位应当根据会计业务的需要，设置会计机构，或者在有关机构中设置会计人员并指定会计主管人员；不具备设置条件的，应当委托经批准设立从事会计代理记账业务的中介机构代理记账”。《代理记账管理办法》(财政部令第27号)第三条：“申请设立除会计师事务所以外的代理记账机构，应当经所在地的县级以上人民政府财政部门(以下简称审批机关)批准，并领取由财政部统一印制的代理记账许可证书。”</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1、受理责任：财政部门接收行政许可申请材料；</w:t>
            </w:r>
            <w:proofErr w:type="gramStart"/>
            <w:r>
              <w:rPr>
                <w:rFonts w:ascii="仿宋" w:eastAsia="仿宋" w:hAnsi="仿宋" w:cs="仿宋" w:hint="eastAsia"/>
                <w:szCs w:val="21"/>
              </w:rPr>
              <w:t>经机关</w:t>
            </w:r>
            <w:proofErr w:type="gramEnd"/>
            <w:r>
              <w:rPr>
                <w:rFonts w:ascii="仿宋" w:eastAsia="仿宋" w:hAnsi="仿宋" w:cs="仿宋" w:hint="eastAsia"/>
                <w:szCs w:val="21"/>
              </w:rPr>
              <w:t>负责人审批，依法受理或不予受理；不予受理的依法告知理由；申请材料不齐全的，一次性告知需补正的材料。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《代理记账管理办法》第二十七条：县级以上人民政府财政部门及其工作人员在代理记账资格管理过程中，滥用职权、玩忽职守、徇私舞弊的，依法给予行政处分；涉嫌犯罪的，移送司法机关处理。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会计股</w:t>
            </w:r>
          </w:p>
        </w:tc>
      </w:tr>
      <w:tr w:rsidR="008568C5">
        <w:trPr>
          <w:trHeight w:val="101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需要现场核查的，组织专家现场核查，并书面告知申请人；根据需要征求有关部门意见；提出初审意见。涉及他人重大利益的，告知申请人和利害关系人陈述申辩权；依法应当听证或行政机关认为需要听证的，告知申请人、利害关系人听证权。</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w:t>
            </w:r>
            <w:proofErr w:type="gramStart"/>
            <w:r>
              <w:rPr>
                <w:rFonts w:ascii="仿宋" w:eastAsia="仿宋" w:hAnsi="仿宋" w:cs="仿宋" w:hint="eastAsia"/>
                <w:szCs w:val="21"/>
              </w:rPr>
              <w:t>经机关</w:t>
            </w:r>
            <w:proofErr w:type="gramEnd"/>
            <w:r>
              <w:rPr>
                <w:rFonts w:ascii="仿宋" w:eastAsia="仿宋" w:hAnsi="仿宋" w:cs="仿宋" w:hint="eastAsia"/>
                <w:szCs w:val="21"/>
              </w:rPr>
              <w:t>负责人审批，</w:t>
            </w:r>
            <w:proofErr w:type="gramStart"/>
            <w:r>
              <w:rPr>
                <w:rFonts w:ascii="仿宋" w:eastAsia="仿宋" w:hAnsi="仿宋" w:cs="仿宋" w:hint="eastAsia"/>
                <w:szCs w:val="21"/>
              </w:rPr>
              <w:t>作出</w:t>
            </w:r>
            <w:proofErr w:type="gramEnd"/>
            <w:r>
              <w:rPr>
                <w:rFonts w:ascii="仿宋" w:eastAsia="仿宋" w:hAnsi="仿宋" w:cs="仿宋" w:hint="eastAsia"/>
                <w:szCs w:val="21"/>
              </w:rPr>
              <w:t>决定；对于不予行政许可的，书面告知申请人，并说明理由。</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031"/>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4、送达责任：对于行政许可的，及时通知当事人。</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521"/>
        <w:gridCol w:w="4669"/>
        <w:gridCol w:w="994"/>
        <w:gridCol w:w="1022"/>
        <w:gridCol w:w="2808"/>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5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6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9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02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8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31"/>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56</w:t>
            </w:r>
          </w:p>
        </w:tc>
        <w:tc>
          <w:tcPr>
            <w:tcW w:w="1521"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财政票据发放、核销和销毁</w:t>
            </w:r>
          </w:p>
        </w:tc>
        <w:tc>
          <w:tcPr>
            <w:tcW w:w="4669"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5"/>
                <w:szCs w:val="15"/>
              </w:rPr>
            </w:pPr>
            <w:r>
              <w:rPr>
                <w:rFonts w:ascii="仿宋" w:eastAsia="仿宋" w:hAnsi="仿宋" w:cs="仿宋" w:hint="eastAsia"/>
                <w:sz w:val="15"/>
                <w:szCs w:val="15"/>
              </w:rPr>
              <w:t xml:space="preserve">   《河南省政府非税收入管理条例》(2013年11月29日河南省第十二届人民代表大会常务委员会第五次会议通过)第二十九条：“政府非税收入票据由省财政部门统一印(监)制和管理。各级财政部门应当建立健全政府非税收入票据领购、登记、保管、使用、核销、销毁等制度，按照管理权限负责政府非税收入票据的日常管理工作。”第三十条：“政府非税收入票据由省财政部门依法确定的印制企业印制，其他任何单位和个人不得印制政府非税收入票据。政府非税收入票据印制企业不得向财政部门以外的任何单位或者个人提供政府非税收入票据。”</w:t>
            </w:r>
          </w:p>
          <w:p w:rsidR="008568C5" w:rsidRDefault="00A65D61">
            <w:pPr>
              <w:autoSpaceDN w:val="0"/>
              <w:snapToGrid w:val="0"/>
              <w:jc w:val="left"/>
              <w:textAlignment w:val="center"/>
              <w:rPr>
                <w:rFonts w:ascii="仿宋" w:eastAsia="仿宋" w:hAnsi="仿宋" w:cs="仿宋"/>
                <w:sz w:val="15"/>
                <w:szCs w:val="15"/>
              </w:rPr>
            </w:pPr>
            <w:r>
              <w:rPr>
                <w:rFonts w:ascii="仿宋" w:eastAsia="仿宋" w:hAnsi="仿宋" w:cs="仿宋" w:hint="eastAsia"/>
                <w:sz w:val="15"/>
                <w:szCs w:val="15"/>
              </w:rPr>
              <w:t>第三十一条第一款：“征收单位按照预算管理级次向同级财政部门领购政府非税收入票据。”《财政票据管理办法》(财政部令第70号)第四条：“财政部门是财政票据的主管部门。财政部负责全国财政票据管理工作，承担中央单位财政票据的印制、发放、核销、销毁和监督检查等工作，指导地方财政票据管理工作。省、自治区、直辖市人民政府财政部门负责本行政区域财政票据的印制、发放、核销、销毁和监督检查等工作，指导下级财政部门财政票据管理工作。”第十八条：“省级以下财政部门应当根据本地区用票需求，按照财政管理体制向上一级财政部门报送用票计划，申领财政票据。上级财政部门经审核后发放财政票据。”第二十二条：“受理申请的财政部门应当对申请单位提交的材料进行审核，对符合条件的单位，核发《财政票据领用证》，并发放财政票据。《财政票据领用证》应当包括单位基本信息、领用票据名称和项目名称、领用票据记录、检查核销票据记录、检查核销结果记录等项目。”第二十三条：“再次领用财政票据，应当出示《财政票据领用证》，提供前次票据使用情况，包括票据的种类、册（份）数、起止号码、使用份数、作废份数、收取金额及票据存根等内容。受理申请的财政部门审核后，发放财政票据。”第三十四条：“财政票据使用完毕，使用单位应当按照要求填写相关资料，按顺序清理财政票据存根、装订成册、妥善保管。财政票据存根的保存期限一般为5年。保存期满需要销毁的，报经原核发票据的财政部门查验后销毁。保存期未满、但有特殊情况需要提前销毁的，应当报原核发票据的财政部门批准。”第三十五条：“尚未使用但应予作废销毁的财政票据，使用单位应当登记造册，报原核发票据的财政部门核准、销毁。”第三十六条：“财政票据使用单位发生合并、分立、撤销、职权变更，或者收费项目被依法取消或者名称变更的，应当自变动之日起15日内，向原核发票据的财政部门办理《财政票据领用证》的变更或者注销手续；对已使用财政票据的存根和尚未使用的财政票据应当分别登记造册，报财政部门核准、销毁。”《河南省财政电子票据管理办法》（</w:t>
            </w:r>
            <w:proofErr w:type="gramStart"/>
            <w:r>
              <w:rPr>
                <w:rFonts w:ascii="仿宋" w:eastAsia="仿宋" w:hAnsi="仿宋" w:cs="仿宋" w:hint="eastAsia"/>
                <w:sz w:val="15"/>
                <w:szCs w:val="15"/>
              </w:rPr>
              <w:t>豫财非税</w:t>
            </w:r>
            <w:proofErr w:type="gramEnd"/>
            <w:r>
              <w:rPr>
                <w:rFonts w:ascii="仿宋" w:eastAsia="仿宋" w:hAnsi="仿宋" w:cs="仿宋" w:hint="eastAsia"/>
                <w:sz w:val="15"/>
                <w:szCs w:val="15"/>
              </w:rPr>
              <w:t>{2022}9号）第四条：“财政部门是财政电子票据的主管部门。省级以下财政部门负责本行政区域财政电子票据的赋码、核销、储存和监督检查等工作，指导下级财政部</w:t>
            </w:r>
            <w:proofErr w:type="gramStart"/>
            <w:r>
              <w:rPr>
                <w:rFonts w:ascii="仿宋" w:eastAsia="仿宋" w:hAnsi="仿宋" w:cs="仿宋" w:hint="eastAsia"/>
                <w:sz w:val="15"/>
                <w:szCs w:val="15"/>
              </w:rPr>
              <w:t>门财政</w:t>
            </w:r>
            <w:proofErr w:type="gramEnd"/>
            <w:r>
              <w:rPr>
                <w:rFonts w:ascii="仿宋" w:eastAsia="仿宋" w:hAnsi="仿宋" w:cs="仿宋" w:hint="eastAsia"/>
                <w:sz w:val="15"/>
                <w:szCs w:val="15"/>
              </w:rPr>
              <w:t>电子票据管理工作。</w:t>
            </w:r>
          </w:p>
        </w:tc>
        <w:tc>
          <w:tcPr>
            <w:tcW w:w="994"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02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8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1.受理责任：各用票单位提出用票申请。</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《财政票据管理办法》第四十三条：财政部门、行政事业单位工作人员违反本办法规定，在工作中徇私舞弊、玩忽职守、滥用职权的，依法给予处分；构成犯罪的，依法追究刑事责任。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113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5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466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审核</w:t>
            </w:r>
          </w:p>
        </w:tc>
        <w:tc>
          <w:tcPr>
            <w:tcW w:w="28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2.审核责任：审核</w:t>
            </w:r>
            <w:proofErr w:type="gramStart"/>
            <w:r>
              <w:rPr>
                <w:rFonts w:ascii="仿宋" w:eastAsia="仿宋" w:hAnsi="仿宋" w:cs="仿宋" w:hint="eastAsia"/>
                <w:szCs w:val="21"/>
              </w:rPr>
              <w:t>票需求</w:t>
            </w:r>
            <w:proofErr w:type="gramEnd"/>
            <w:r>
              <w:rPr>
                <w:rFonts w:ascii="仿宋" w:eastAsia="仿宋" w:hAnsi="仿宋" w:cs="仿宋" w:hint="eastAsia"/>
                <w:szCs w:val="21"/>
              </w:rPr>
              <w:t>计划；用票单位按凭证购领、分次限量、</w:t>
            </w:r>
            <w:proofErr w:type="gramStart"/>
            <w:r>
              <w:rPr>
                <w:rFonts w:ascii="仿宋" w:eastAsia="仿宋" w:hAnsi="仿宋" w:cs="仿宋" w:hint="eastAsia"/>
                <w:szCs w:val="21"/>
              </w:rPr>
              <w:t>核旧领</w:t>
            </w:r>
            <w:proofErr w:type="gramEnd"/>
            <w:r>
              <w:rPr>
                <w:rFonts w:ascii="仿宋" w:eastAsia="仿宋" w:hAnsi="仿宋" w:cs="仿宋" w:hint="eastAsia"/>
                <w:szCs w:val="21"/>
              </w:rPr>
              <w:t>新的原则进行审核。</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1786"/>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5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466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发放</w:t>
            </w:r>
          </w:p>
        </w:tc>
        <w:tc>
          <w:tcPr>
            <w:tcW w:w="2808"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3.发放责任：对县级用票单位按审核后的票据种类、数量发放，一次一般不得超过其六个月用量。</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r w:rsidR="008568C5">
        <w:trPr>
          <w:trHeight w:val="1080"/>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521"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466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2"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28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4.监管责任：对已领取财政票据的县本级用票单位进行监督检查，防止不按规定使用财政票据的行为。</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 w:val="18"/>
                <w:szCs w:val="18"/>
              </w:rPr>
            </w:pPr>
          </w:p>
        </w:tc>
      </w:tr>
    </w:tbl>
    <w:p w:rsidR="008568C5" w:rsidRDefault="00A65D61">
      <w:pPr>
        <w:autoSpaceDN w:val="0"/>
        <w:snapToGrid w:val="0"/>
        <w:jc w:val="center"/>
        <w:textAlignment w:val="center"/>
        <w:rPr>
          <w:sz w:val="20"/>
          <w:szCs w:val="21"/>
        </w:rPr>
      </w:pPr>
      <w:r>
        <w:rPr>
          <w:rFonts w:ascii="仿宋" w:eastAsia="仿宋" w:hAnsi="仿宋" w:cs="仿宋"/>
          <w:sz w:val="18"/>
          <w:szCs w:val="18"/>
        </w:rPr>
        <w:br w:type="page"/>
      </w:r>
    </w:p>
    <w:tbl>
      <w:tblPr>
        <w:tblW w:w="15450" w:type="dxa"/>
        <w:jc w:val="center"/>
        <w:tblLayout w:type="fixed"/>
        <w:tblCellMar>
          <w:left w:w="0" w:type="dxa"/>
          <w:right w:w="0" w:type="dxa"/>
        </w:tblCellMar>
        <w:tblLook w:val="04A0"/>
      </w:tblPr>
      <w:tblGrid>
        <w:gridCol w:w="1144"/>
        <w:gridCol w:w="1387"/>
        <w:gridCol w:w="4007"/>
        <w:gridCol w:w="812"/>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38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00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81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204"/>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57</w:t>
            </w:r>
          </w:p>
        </w:tc>
        <w:tc>
          <w:tcPr>
            <w:tcW w:w="138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金融企业财务登记</w:t>
            </w:r>
          </w:p>
        </w:tc>
        <w:tc>
          <w:tcPr>
            <w:tcW w:w="4007"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地方金融企业财务监督管理办法》（财金〔2010〕56号）第六条：“地方金融企业应在完成工商登记之日起30日内，按财务隶属关系向地方财政部门办理财务登记。地方财政部门应建立登记档案，作为地方金融企业财务监督管理基础资料，以及作为对其实施考核、评价、财政支持政策等的依据。”第七条：“地方金融企业首次申请办理财务登记的，应提交以下资料：（一）出资人协议及有关部门批准设立的文件；（二）会计师事务所出具的验资报告或证明；（三）企业章程；（四）《企业法人营业执照》副本复印件。”第八条：“地方金融企业下列情况发生变化时，从发生之日起30日内，向地方财政部门办理变更财务登记：（一）名称、住所或法定代表人变动；（二）组织形式变动；（三）分立或合并；（四）控股股东变动；（五）地方财政部门规定的其他情形。”第九条：“地方金融企业发生以下情形，应办理移交登记手续或注销财务登记：（一）地方金融企业法人机构工商注册登记发生变更导致财务主管部门变化的，根据企业申请，应当办理财务登记基础资料移交手续；（二）地方金融企业解散或被依法撤销的，应自出资人协议生效或有关部门批准之日起30日内，向地方财政部门办理注销财务登记；（三）地方金融企业被依法宣告破产的，应自法院裁定之日起30日内，向地方财政部门办理注销财务登记。”</w:t>
            </w:r>
          </w:p>
        </w:tc>
        <w:tc>
          <w:tcPr>
            <w:tcW w:w="812"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1.申请责任：金融企业按规定申请办理财务登记，按要求申报有关资料。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地方金融企业财务监督管理办法》第三十六条：地方财政部门工作人员应根据国家法律法规,正确履行财务监督管理职能,保守企业商业秘密,对滥用职权、玩忽职守、徇私舞弊,或者泄露国家秘密、商业秘密的相关责任人,依法进行处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金融与服务业股</w:t>
            </w:r>
          </w:p>
        </w:tc>
      </w:tr>
      <w:tr w:rsidR="008568C5">
        <w:trPr>
          <w:trHeight w:val="807"/>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8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0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8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0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9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8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07"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4.办理责任：在受理申请后的20个工作日内决定是否予以办理。不予办理的，应当说明理由。</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890"/>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8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00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1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531"/>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58</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金融企业国有资产评估核准或备案</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评估监督管理暂行办法》（财政部令第47号）第三条：“县级以上人民政府财政部门（以下简称财政部门）按照统一政策、分级管理的原则，对本级金融企业资产评估工作进行监督管理。”第十条：“金融企业资产评估项目实行核准制和备案制。”第十一条：“金融企业下列经济行为涉及资产评估的，资产评估项目实行核准：（一）经批准进行改组改制、拟在境内或者境外上市、以非货币性资产与外商合资经营或者合作经营的经济行为；（二）经县级以上人民政府批准的其他涉及国有资产产权变动的经济行为。中央金融企业资产评估项目报财政部核准。地方金融企业资产评估项目报本级财政部门核准。”第十七条：“除本办法第十一条第一款规定的经济行为以外的其他经济行为，应当进行资产评估的，资产评估项目实行备案。”</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1.申请责任：金融企业按规定申请国有资产评估备案或核准，按要求申报有关资料。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评估监督管理暂行办法》第三十二条：财政部门工作人员在资产评估监督管理工作中滥用职权、玩忽职守、徇私舞弊，或者泄漏金融企业商业秘密的，依法给予行政处分，涉嫌犯罪的，依法移送司法机关。</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金融与服务业股、资产管理股</w:t>
            </w:r>
          </w:p>
        </w:tc>
      </w:tr>
      <w:tr w:rsidR="008568C5">
        <w:trPr>
          <w:trHeight w:val="144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42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20"/>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332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4.办理责任：在受理申请后的20个工作日内（专家评审时间不计算在内）决定是否予以办理。不予办理的，应当说明理由。</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20"/>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职权类别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kern w:val="0"/>
                <w:sz w:val="24"/>
              </w:rPr>
            </w:pPr>
            <w:r>
              <w:rPr>
                <w:rFonts w:ascii="黑体" w:eastAsia="黑体" w:hAnsi="黑体" w:cs="黑体" w:hint="eastAsia"/>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处室</w:t>
            </w:r>
          </w:p>
        </w:tc>
      </w:tr>
      <w:tr w:rsidR="008568C5">
        <w:trPr>
          <w:trHeight w:val="1158"/>
          <w:jc w:val="center"/>
        </w:trPr>
        <w:tc>
          <w:tcPr>
            <w:tcW w:w="1144"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59</w:t>
            </w:r>
          </w:p>
        </w:tc>
        <w:tc>
          <w:tcPr>
            <w:tcW w:w="1847"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金融类企业国有资产产权登记</w:t>
            </w:r>
          </w:p>
        </w:tc>
        <w:tc>
          <w:tcPr>
            <w:tcW w:w="3300" w:type="dxa"/>
            <w:vMerge w:val="restart"/>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关于印发《国有金融资本产权登记管理办法（试行）》的通知（财金〔2019〕93号）第八条  ：“国有金融资本产权登记和管理机关为同级财政部门。国有金融资本产权登记按照统一规制、分级管理的原则，由县级以上（含县级，下同）财政部门组织实施。（一） 财政部负责中央国有金融资本产权登记管理工作。（二）县级以上地方财政部门负责本级国有金融资本产权登记管理工作。上级财政部门指导和监督下级财政部门的国有金融资本产权登记管理工作。财政部各地监管局根据财政部的委托，协助办理中央国有金融资本产权登记工作，开展属地国有金融资本产权登记监督管理工作。”</w:t>
            </w:r>
          </w:p>
        </w:tc>
        <w:tc>
          <w:tcPr>
            <w:tcW w:w="1059"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3323"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1.申请责任：金融类企业按规定申请国有资产产权登记，按要求申报有关资料。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国有金融资本产权登记管理办法（试行）》第三十七条：财政部门工作人员在产权登记工作中应严格执行本办法，不得玩忽职守、滥用职权。存在违规登记及其他滥用职权、玩忽职守、徇私舞弊等违法违纪行为的，按照《公务员法》《监察法》等有关规定追究责任；涉嫌犯罪的，依法移送司法机关处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color w:val="C00000"/>
                <w:szCs w:val="21"/>
              </w:rPr>
            </w:pPr>
            <w:r>
              <w:rPr>
                <w:rFonts w:ascii="仿宋" w:eastAsia="仿宋" w:hAnsi="仿宋" w:cs="仿宋" w:hint="eastAsia"/>
                <w:szCs w:val="21"/>
              </w:rPr>
              <w:t>金融与服务业股、县属功能类公益类企业国有资产监管办公室</w:t>
            </w:r>
          </w:p>
        </w:tc>
      </w:tr>
      <w:tr w:rsidR="008568C5">
        <w:trPr>
          <w:trHeight w:val="115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5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5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4.办理责任：在受理申请后的20个工作日内决定是否予以办理。不予办理的，应当说明理由。</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58"/>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single" w:sz="4" w:space="0" w:color="auto"/>
              <w:left w:val="single" w:sz="4" w:space="0" w:color="auto"/>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23"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Style w:val="a6"/>
        <w:tblW w:w="15191" w:type="dxa"/>
        <w:tblInd w:w="-369" w:type="dxa"/>
        <w:tblLayout w:type="fixed"/>
        <w:tblLook w:val="04A0"/>
      </w:tblPr>
      <w:tblGrid>
        <w:gridCol w:w="881"/>
        <w:gridCol w:w="1266"/>
        <w:gridCol w:w="5034"/>
        <w:gridCol w:w="1491"/>
        <w:gridCol w:w="1444"/>
        <w:gridCol w:w="2128"/>
        <w:gridCol w:w="1937"/>
        <w:gridCol w:w="1010"/>
      </w:tblGrid>
      <w:tr w:rsidR="008568C5">
        <w:trPr>
          <w:trHeight w:val="457"/>
        </w:trPr>
        <w:tc>
          <w:tcPr>
            <w:tcW w:w="881"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lastRenderedPageBreak/>
              <w:t>序号</w:t>
            </w:r>
          </w:p>
        </w:tc>
        <w:tc>
          <w:tcPr>
            <w:tcW w:w="1266"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名称</w:t>
            </w:r>
          </w:p>
        </w:tc>
        <w:tc>
          <w:tcPr>
            <w:tcW w:w="5034"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1491"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职权类别</w:t>
            </w:r>
          </w:p>
        </w:tc>
        <w:tc>
          <w:tcPr>
            <w:tcW w:w="1444"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2128"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1937"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1010"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处室</w:t>
            </w:r>
          </w:p>
        </w:tc>
      </w:tr>
      <w:tr w:rsidR="008568C5">
        <w:trPr>
          <w:trHeight w:val="2520"/>
        </w:trPr>
        <w:tc>
          <w:tcPr>
            <w:tcW w:w="881"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60</w:t>
            </w:r>
          </w:p>
        </w:tc>
        <w:tc>
          <w:tcPr>
            <w:tcW w:w="1266"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财政专项资金的分配</w:t>
            </w:r>
          </w:p>
          <w:p w:rsidR="008568C5" w:rsidRDefault="008568C5">
            <w:pPr>
              <w:autoSpaceDN w:val="0"/>
              <w:snapToGrid w:val="0"/>
              <w:jc w:val="center"/>
              <w:textAlignment w:val="center"/>
              <w:rPr>
                <w:rFonts w:ascii="仿宋" w:eastAsia="仿宋" w:hAnsi="仿宋" w:cs="仿宋"/>
                <w:szCs w:val="21"/>
              </w:rPr>
            </w:pPr>
          </w:p>
        </w:tc>
        <w:tc>
          <w:tcPr>
            <w:tcW w:w="5034"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预算法》第五十二条：“各级预算经本级人民代表大会批准后，本级政府财政部门应当在二十日内向本级各部门批复预算。各部门应当在接到本级政府财政部门批复的本部门预算后十五日内向所属各单位批复预算。中央对地方的一般性转移支付应当在全国人民代表大会批准预算后三十日内正式下达。中央对地方的专项转移支付应当在全国人民代表大会批准预算后九十日内正式下达。省、自治区、直辖市政府接到中央一般性转移支付和专项转移支付后，应当在三十日内正式下达到本行政区域县级以上各级政府。县级以上地方各级预算安排对下级政府的一般性转移支付和专项转移支付，应当分别在本级人民代表大会批准预算后的三十日和六十日内正式下达。对自然灾害等突发事件处理的转移支付，应当及时下达预算；对据实结算等特殊项目的转移支付，可以分期下达预算，或者先预付后结算。县级以上各级政府财政部门应当将批复本级各部门的预算和批复下级政府的转移支付预算，抄送本级人民代表大会财政经济委员会、有关专门委员会和常务委员会有关工作机构。”</w:t>
            </w:r>
          </w:p>
        </w:tc>
        <w:tc>
          <w:tcPr>
            <w:tcW w:w="1491"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tc>
        <w:tc>
          <w:tcPr>
            <w:tcW w:w="1444"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资金安排</w:t>
            </w:r>
          </w:p>
        </w:tc>
        <w:tc>
          <w:tcPr>
            <w:tcW w:w="2128"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1.资金安排责任：编制年度预算时，由业务主管部门提出专项资金安排建议及初步审核意见并</w:t>
            </w:r>
            <w:proofErr w:type="gramStart"/>
            <w:r>
              <w:rPr>
                <w:rFonts w:ascii="仿宋" w:eastAsia="仿宋" w:hAnsi="仿宋" w:cs="仿宋" w:hint="eastAsia"/>
                <w:szCs w:val="21"/>
              </w:rPr>
              <w:t>报预算</w:t>
            </w:r>
            <w:proofErr w:type="gramEnd"/>
            <w:r>
              <w:rPr>
                <w:rFonts w:ascii="仿宋" w:eastAsia="仿宋" w:hAnsi="仿宋" w:cs="仿宋" w:hint="eastAsia"/>
                <w:szCs w:val="21"/>
              </w:rPr>
              <w:t>科，预算科根据项目轻重缓急情况和市级财力状况提出安排意见按程序报批。</w:t>
            </w:r>
          </w:p>
        </w:tc>
        <w:tc>
          <w:tcPr>
            <w:tcW w:w="1937"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010"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预算股、政府采购监督管理股、有关业务股室</w:t>
            </w:r>
          </w:p>
        </w:tc>
      </w:tr>
      <w:tr w:rsidR="008568C5">
        <w:trPr>
          <w:trHeight w:val="2520"/>
        </w:trPr>
        <w:tc>
          <w:tcPr>
            <w:tcW w:w="881"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66" w:type="dxa"/>
            <w:vMerge/>
            <w:vAlign w:val="center"/>
          </w:tcPr>
          <w:p w:rsidR="008568C5" w:rsidRDefault="008568C5">
            <w:pPr>
              <w:autoSpaceDN w:val="0"/>
              <w:snapToGrid w:val="0"/>
              <w:jc w:val="center"/>
              <w:textAlignment w:val="center"/>
              <w:rPr>
                <w:rFonts w:ascii="仿宋" w:eastAsia="仿宋" w:hAnsi="仿宋" w:cs="仿宋"/>
                <w:szCs w:val="21"/>
              </w:rPr>
            </w:pPr>
          </w:p>
        </w:tc>
        <w:tc>
          <w:tcPr>
            <w:tcW w:w="5034" w:type="dxa"/>
            <w:vMerge/>
            <w:vAlign w:val="center"/>
          </w:tcPr>
          <w:p w:rsidR="008568C5" w:rsidRDefault="008568C5">
            <w:pPr>
              <w:autoSpaceDN w:val="0"/>
              <w:snapToGrid w:val="0"/>
              <w:jc w:val="center"/>
              <w:textAlignment w:val="center"/>
              <w:rPr>
                <w:rFonts w:ascii="仿宋" w:eastAsia="仿宋" w:hAnsi="仿宋" w:cs="仿宋"/>
                <w:szCs w:val="21"/>
              </w:rPr>
            </w:pPr>
          </w:p>
        </w:tc>
        <w:tc>
          <w:tcPr>
            <w:tcW w:w="1491" w:type="dxa"/>
            <w:vMerge/>
            <w:vAlign w:val="center"/>
          </w:tcPr>
          <w:p w:rsidR="008568C5" w:rsidRDefault="008568C5">
            <w:pPr>
              <w:autoSpaceDN w:val="0"/>
              <w:snapToGrid w:val="0"/>
              <w:jc w:val="center"/>
              <w:textAlignment w:val="center"/>
              <w:rPr>
                <w:rFonts w:ascii="仿宋" w:eastAsia="仿宋" w:hAnsi="仿宋" w:cs="仿宋"/>
                <w:szCs w:val="21"/>
              </w:rPr>
            </w:pPr>
          </w:p>
        </w:tc>
        <w:tc>
          <w:tcPr>
            <w:tcW w:w="1444"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分配下达</w:t>
            </w:r>
          </w:p>
        </w:tc>
        <w:tc>
          <w:tcPr>
            <w:tcW w:w="2128"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2.分配下达责任：业务主管部门提出专项资金初步分配意见，经领导批准后，抄送预算股并按程序下达；国库股和国库</w:t>
            </w:r>
            <w:proofErr w:type="gramStart"/>
            <w:r>
              <w:rPr>
                <w:rFonts w:ascii="仿宋" w:eastAsia="仿宋" w:hAnsi="仿宋" w:cs="仿宋" w:hint="eastAsia"/>
                <w:szCs w:val="21"/>
              </w:rPr>
              <w:t>支付局</w:t>
            </w:r>
            <w:proofErr w:type="gramEnd"/>
            <w:r>
              <w:rPr>
                <w:rFonts w:ascii="仿宋" w:eastAsia="仿宋" w:hAnsi="仿宋" w:cs="仿宋" w:hint="eastAsia"/>
                <w:szCs w:val="21"/>
              </w:rPr>
              <w:t>按项目进度拨付资金；各业务主管部门督促项目承担单位按预算用途执行。</w:t>
            </w:r>
          </w:p>
        </w:tc>
        <w:tc>
          <w:tcPr>
            <w:tcW w:w="193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10"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657"/>
        </w:trPr>
        <w:tc>
          <w:tcPr>
            <w:tcW w:w="881"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66" w:type="dxa"/>
            <w:vMerge/>
            <w:vAlign w:val="center"/>
          </w:tcPr>
          <w:p w:rsidR="008568C5" w:rsidRDefault="008568C5">
            <w:pPr>
              <w:autoSpaceDN w:val="0"/>
              <w:snapToGrid w:val="0"/>
              <w:jc w:val="center"/>
              <w:textAlignment w:val="center"/>
              <w:rPr>
                <w:rFonts w:ascii="仿宋" w:eastAsia="仿宋" w:hAnsi="仿宋" w:cs="仿宋"/>
                <w:szCs w:val="21"/>
              </w:rPr>
            </w:pPr>
          </w:p>
        </w:tc>
        <w:tc>
          <w:tcPr>
            <w:tcW w:w="5034" w:type="dxa"/>
            <w:vMerge/>
            <w:vAlign w:val="center"/>
          </w:tcPr>
          <w:p w:rsidR="008568C5" w:rsidRDefault="008568C5">
            <w:pPr>
              <w:autoSpaceDN w:val="0"/>
              <w:snapToGrid w:val="0"/>
              <w:jc w:val="center"/>
              <w:textAlignment w:val="center"/>
              <w:rPr>
                <w:rFonts w:ascii="仿宋" w:eastAsia="仿宋" w:hAnsi="仿宋" w:cs="仿宋"/>
                <w:szCs w:val="21"/>
              </w:rPr>
            </w:pPr>
          </w:p>
        </w:tc>
        <w:tc>
          <w:tcPr>
            <w:tcW w:w="1491" w:type="dxa"/>
            <w:vMerge/>
            <w:vAlign w:val="center"/>
          </w:tcPr>
          <w:p w:rsidR="008568C5" w:rsidRDefault="008568C5">
            <w:pPr>
              <w:autoSpaceDN w:val="0"/>
              <w:snapToGrid w:val="0"/>
              <w:jc w:val="center"/>
              <w:textAlignment w:val="center"/>
              <w:rPr>
                <w:rFonts w:ascii="仿宋" w:eastAsia="仿宋" w:hAnsi="仿宋" w:cs="仿宋"/>
                <w:szCs w:val="21"/>
              </w:rPr>
            </w:pPr>
          </w:p>
        </w:tc>
        <w:tc>
          <w:tcPr>
            <w:tcW w:w="1444" w:type="dxa"/>
            <w:vAlign w:val="center"/>
          </w:tcPr>
          <w:p w:rsidR="008568C5" w:rsidRDefault="008568C5">
            <w:pPr>
              <w:autoSpaceDN w:val="0"/>
              <w:snapToGrid w:val="0"/>
              <w:jc w:val="center"/>
              <w:textAlignment w:val="center"/>
              <w:rPr>
                <w:rFonts w:ascii="仿宋" w:eastAsia="仿宋" w:hAnsi="仿宋" w:cs="仿宋"/>
                <w:szCs w:val="21"/>
              </w:rPr>
            </w:pPr>
          </w:p>
        </w:tc>
        <w:tc>
          <w:tcPr>
            <w:tcW w:w="2128"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3.其他法律法规规章文件规定应履行的责任。</w:t>
            </w:r>
          </w:p>
        </w:tc>
        <w:tc>
          <w:tcPr>
            <w:tcW w:w="193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10"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Style w:val="a6"/>
        <w:tblW w:w="15059" w:type="dxa"/>
        <w:tblInd w:w="-428" w:type="dxa"/>
        <w:tblLayout w:type="fixed"/>
        <w:tblLook w:val="04A0"/>
      </w:tblPr>
      <w:tblGrid>
        <w:gridCol w:w="1193"/>
        <w:gridCol w:w="1547"/>
        <w:gridCol w:w="3346"/>
        <w:gridCol w:w="1568"/>
        <w:gridCol w:w="1295"/>
        <w:gridCol w:w="2734"/>
        <w:gridCol w:w="2080"/>
        <w:gridCol w:w="1296"/>
      </w:tblGrid>
      <w:tr w:rsidR="008568C5">
        <w:trPr>
          <w:trHeight w:val="961"/>
        </w:trPr>
        <w:tc>
          <w:tcPr>
            <w:tcW w:w="1193"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lastRenderedPageBreak/>
              <w:t>序号</w:t>
            </w:r>
          </w:p>
        </w:tc>
        <w:tc>
          <w:tcPr>
            <w:tcW w:w="1547"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名称</w:t>
            </w:r>
          </w:p>
        </w:tc>
        <w:tc>
          <w:tcPr>
            <w:tcW w:w="3346"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1568"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职权类别</w:t>
            </w:r>
          </w:p>
        </w:tc>
        <w:tc>
          <w:tcPr>
            <w:tcW w:w="1295"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2734"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2080"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1296"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处室</w:t>
            </w:r>
          </w:p>
        </w:tc>
      </w:tr>
      <w:tr w:rsidR="008568C5">
        <w:trPr>
          <w:trHeight w:val="1224"/>
        </w:trPr>
        <w:tc>
          <w:tcPr>
            <w:tcW w:w="1193"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61</w:t>
            </w:r>
          </w:p>
        </w:tc>
        <w:tc>
          <w:tcPr>
            <w:tcW w:w="1547"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金融企业一般准备弥补亏损</w:t>
            </w:r>
            <w:proofErr w:type="gramStart"/>
            <w:r>
              <w:rPr>
                <w:rFonts w:ascii="仿宋" w:eastAsia="仿宋" w:hAnsi="仿宋" w:cs="仿宋" w:hint="eastAsia"/>
                <w:szCs w:val="21"/>
              </w:rPr>
              <w:t>或者转未分配</w:t>
            </w:r>
            <w:proofErr w:type="gramEnd"/>
            <w:r>
              <w:rPr>
                <w:rFonts w:ascii="仿宋" w:eastAsia="仿宋" w:hAnsi="仿宋" w:cs="仿宋" w:hint="eastAsia"/>
                <w:szCs w:val="21"/>
              </w:rPr>
              <w:t>利润备案</w:t>
            </w:r>
          </w:p>
        </w:tc>
        <w:tc>
          <w:tcPr>
            <w:tcW w:w="3346" w:type="dxa"/>
            <w:vMerge w:val="restart"/>
            <w:vAlign w:val="center"/>
          </w:tcPr>
          <w:p w:rsidR="008568C5" w:rsidRDefault="008568C5">
            <w:pPr>
              <w:autoSpaceDN w:val="0"/>
              <w:snapToGrid w:val="0"/>
              <w:jc w:val="left"/>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准备金计提管理办法》（财金〔2012〕20号）第十四条：“金融企业履行公司治理程序，并报经同级财政部门备案后，可用一般准备弥补亏损，但不得用于分红。因特殊原因，经履行公司治理程序，并报经同级财政部门备案后，金融企业可将一般准备转为未分配利润。”</w:t>
            </w:r>
          </w:p>
        </w:tc>
        <w:tc>
          <w:tcPr>
            <w:tcW w:w="1568"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tc>
        <w:tc>
          <w:tcPr>
            <w:tcW w:w="129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273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1.申请责任：金融企业按规定申请将一般准备弥补亏损或转为未分配利润，按要求申报有关资料。</w:t>
            </w:r>
          </w:p>
        </w:tc>
        <w:tc>
          <w:tcPr>
            <w:tcW w:w="2080"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shd w:val="clear" w:color="070000" w:fill="FFFFFF"/>
              </w:rPr>
              <w:t>《地方金融企业财务监督管理办法》第三十六条：地方财政部门工作人员应根据国家法律法规,正确履行财务监督管理职能,保守企业商业秘密,对滥用职权、玩忽职守、徇私舞弊,或者泄露国家秘密、商业秘密的相关责任人,依法进行处理。</w:t>
            </w:r>
          </w:p>
        </w:tc>
        <w:tc>
          <w:tcPr>
            <w:tcW w:w="1296"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金融与服务业股、县属功能类公益类企业国有资产监管办公室</w:t>
            </w:r>
          </w:p>
        </w:tc>
      </w:tr>
      <w:tr w:rsidR="008568C5">
        <w:trPr>
          <w:trHeight w:val="1224"/>
        </w:trPr>
        <w:tc>
          <w:tcPr>
            <w:tcW w:w="119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346"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6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73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208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24"/>
        </w:trPr>
        <w:tc>
          <w:tcPr>
            <w:tcW w:w="119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346"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6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73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208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24"/>
        </w:trPr>
        <w:tc>
          <w:tcPr>
            <w:tcW w:w="119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346"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6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273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4.办理责任：在受理申请后的20个工作日内决定是否予以办理。不予办理的，应当说明理由。</w:t>
            </w:r>
          </w:p>
        </w:tc>
        <w:tc>
          <w:tcPr>
            <w:tcW w:w="208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24"/>
        </w:trPr>
        <w:tc>
          <w:tcPr>
            <w:tcW w:w="119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346"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6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5" w:type="dxa"/>
            <w:vAlign w:val="center"/>
          </w:tcPr>
          <w:p w:rsidR="008568C5" w:rsidRDefault="008568C5">
            <w:pPr>
              <w:autoSpaceDN w:val="0"/>
              <w:snapToGrid w:val="0"/>
              <w:jc w:val="center"/>
              <w:textAlignment w:val="center"/>
              <w:rPr>
                <w:rFonts w:ascii="仿宋" w:eastAsia="仿宋" w:hAnsi="仿宋" w:cs="仿宋"/>
                <w:szCs w:val="21"/>
              </w:rPr>
            </w:pPr>
          </w:p>
        </w:tc>
        <w:tc>
          <w:tcPr>
            <w:tcW w:w="273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08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Style w:val="a6"/>
        <w:tblW w:w="15205" w:type="dxa"/>
        <w:tblInd w:w="-565" w:type="dxa"/>
        <w:tblLayout w:type="fixed"/>
        <w:tblLook w:val="04A0"/>
      </w:tblPr>
      <w:tblGrid>
        <w:gridCol w:w="1032"/>
        <w:gridCol w:w="1230"/>
        <w:gridCol w:w="4390"/>
        <w:gridCol w:w="1358"/>
        <w:gridCol w:w="1068"/>
        <w:gridCol w:w="2146"/>
        <w:gridCol w:w="2689"/>
        <w:gridCol w:w="1292"/>
      </w:tblGrid>
      <w:tr w:rsidR="008568C5">
        <w:tc>
          <w:tcPr>
            <w:tcW w:w="1032"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lastRenderedPageBreak/>
              <w:t>序号</w:t>
            </w:r>
          </w:p>
        </w:tc>
        <w:tc>
          <w:tcPr>
            <w:tcW w:w="1230"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名称</w:t>
            </w:r>
          </w:p>
        </w:tc>
        <w:tc>
          <w:tcPr>
            <w:tcW w:w="4390"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1358"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职权类别</w:t>
            </w:r>
          </w:p>
        </w:tc>
        <w:tc>
          <w:tcPr>
            <w:tcW w:w="1068"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2146"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2689"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1292"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处室</w:t>
            </w:r>
          </w:p>
        </w:tc>
      </w:tr>
      <w:tr w:rsidR="008568C5">
        <w:trPr>
          <w:trHeight w:val="1389"/>
        </w:trPr>
        <w:tc>
          <w:tcPr>
            <w:tcW w:w="1032"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62</w:t>
            </w:r>
          </w:p>
        </w:tc>
        <w:tc>
          <w:tcPr>
            <w:tcW w:w="1230" w:type="dxa"/>
            <w:vMerge w:val="restart"/>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金融企业选聘会计师事务所备案</w:t>
            </w:r>
          </w:p>
        </w:tc>
        <w:tc>
          <w:tcPr>
            <w:tcW w:w="4390" w:type="dxa"/>
            <w:vMerge w:val="restart"/>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金融企业选聘会计师事务所招标管理办法（试行）》（财金〔2010〕169号）第三十一条：“经履行本办法规定程序，金融企业决定聘用中标会计师事务所后15个工作日内，应将选聘会计师事务所情况报同级财政部门备案。备案内容包括招标、投标、评标、中标情况，以及履行内部审议程序的情况等。”第三十四条：“金融企业聘用会计师事务所从事其他审计、审阅、</w:t>
            </w:r>
            <w:proofErr w:type="gramStart"/>
            <w:r>
              <w:rPr>
                <w:rFonts w:ascii="仿宋" w:eastAsia="仿宋" w:hAnsi="仿宋" w:cs="仿宋" w:hint="eastAsia"/>
                <w:szCs w:val="21"/>
              </w:rPr>
              <w:t>鉴证</w:t>
            </w:r>
            <w:proofErr w:type="gramEnd"/>
            <w:r>
              <w:rPr>
                <w:rFonts w:ascii="仿宋" w:eastAsia="仿宋" w:hAnsi="仿宋" w:cs="仿宋" w:hint="eastAsia"/>
                <w:szCs w:val="21"/>
              </w:rPr>
              <w:t>、咨询等业务，以及聘用其他中介机构（包括评估机构、律师事务所、咨询公司等）参照本办法执行。”</w:t>
            </w:r>
          </w:p>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金融企业选聘会计师事务所管理办法）》（财金〔2016〕12号）第三十一条：“经履行本办法规定程序，金融企业拟聘用中标会计师事务所或根据第二十六条规定拟延长聘用年限的，应在决定聘用（或延长聘用）后15个工作日内，将选聘会计师事务所结果报同级财政部门备案。”第三十二条：“除金融企业连续聘用同一会计师事务所达到规定年限的情况外，在中标有效期满前，金融企业解聘会计师事务所或会计师事务所辞聘的，金融企业应将有关情况报同级财政部门备案。备案内容包括金融企业解聘会计师事务所或会计师事务所辞聘的主要原因，金融企业对该会计师事务所执业质量和执业道德等情况的基本评价，会计师事务所的陈述意见，以及其他需要说明的情况。”</w:t>
            </w:r>
          </w:p>
        </w:tc>
        <w:tc>
          <w:tcPr>
            <w:tcW w:w="1358"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tc>
        <w:tc>
          <w:tcPr>
            <w:tcW w:w="1068"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2146" w:type="dxa"/>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1.申请责任：金融企业按规定申请选聘会计师事务所备案，按要求申报有关资料。</w:t>
            </w:r>
          </w:p>
        </w:tc>
        <w:tc>
          <w:tcPr>
            <w:tcW w:w="2689" w:type="dxa"/>
            <w:vMerge w:val="restart"/>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《委托会计师事务所审计招标规范》第三条：</w:t>
            </w:r>
            <w:r>
              <w:rPr>
                <w:rFonts w:ascii="仿宋" w:eastAsia="仿宋" w:hAnsi="仿宋" w:cs="仿宋" w:hint="eastAsia"/>
                <w:szCs w:val="21"/>
              </w:rPr>
              <w:br/>
              <w:t>任何单位和个人不得违反法律、行政法规规定，限制或者排斥会计师事务所参加投标，不得以任何方式非法干涉招标投标活动。</w:t>
            </w:r>
          </w:p>
        </w:tc>
        <w:tc>
          <w:tcPr>
            <w:tcW w:w="1292"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金融与服务业股</w:t>
            </w:r>
          </w:p>
        </w:tc>
      </w:tr>
      <w:tr w:rsidR="008568C5">
        <w:trPr>
          <w:trHeight w:val="1173"/>
        </w:trPr>
        <w:tc>
          <w:tcPr>
            <w:tcW w:w="10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30" w:type="dxa"/>
            <w:vMerge/>
            <w:vAlign w:val="center"/>
          </w:tcPr>
          <w:p w:rsidR="008568C5" w:rsidRDefault="008568C5">
            <w:pPr>
              <w:autoSpaceDN w:val="0"/>
              <w:snapToGrid w:val="0"/>
              <w:jc w:val="center"/>
              <w:textAlignment w:val="center"/>
              <w:rPr>
                <w:rFonts w:ascii="仿宋" w:eastAsia="仿宋" w:hAnsi="仿宋" w:cs="仿宋"/>
                <w:szCs w:val="21"/>
              </w:rPr>
            </w:pPr>
          </w:p>
        </w:tc>
        <w:tc>
          <w:tcPr>
            <w:tcW w:w="439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35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68"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146" w:type="dxa"/>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268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3"/>
        </w:trPr>
        <w:tc>
          <w:tcPr>
            <w:tcW w:w="10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30" w:type="dxa"/>
            <w:vMerge/>
            <w:vAlign w:val="center"/>
          </w:tcPr>
          <w:p w:rsidR="008568C5" w:rsidRDefault="008568C5">
            <w:pPr>
              <w:autoSpaceDN w:val="0"/>
              <w:snapToGrid w:val="0"/>
              <w:jc w:val="center"/>
              <w:textAlignment w:val="center"/>
              <w:rPr>
                <w:rFonts w:ascii="仿宋" w:eastAsia="仿宋" w:hAnsi="仿宋" w:cs="仿宋"/>
                <w:szCs w:val="21"/>
              </w:rPr>
            </w:pPr>
          </w:p>
        </w:tc>
        <w:tc>
          <w:tcPr>
            <w:tcW w:w="439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35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68"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146" w:type="dxa"/>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268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3"/>
        </w:trPr>
        <w:tc>
          <w:tcPr>
            <w:tcW w:w="10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30" w:type="dxa"/>
            <w:vMerge/>
            <w:vAlign w:val="center"/>
          </w:tcPr>
          <w:p w:rsidR="008568C5" w:rsidRDefault="008568C5">
            <w:pPr>
              <w:autoSpaceDN w:val="0"/>
              <w:snapToGrid w:val="0"/>
              <w:jc w:val="center"/>
              <w:textAlignment w:val="center"/>
              <w:rPr>
                <w:rFonts w:ascii="仿宋" w:eastAsia="仿宋" w:hAnsi="仿宋" w:cs="仿宋"/>
                <w:szCs w:val="21"/>
              </w:rPr>
            </w:pPr>
          </w:p>
        </w:tc>
        <w:tc>
          <w:tcPr>
            <w:tcW w:w="439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35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68"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2146" w:type="dxa"/>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4.办理责任：在受理申请后的20个工作日内决定是否予以办理。不予办理的，应当说明理由。</w:t>
            </w:r>
          </w:p>
        </w:tc>
        <w:tc>
          <w:tcPr>
            <w:tcW w:w="268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3"/>
        </w:trPr>
        <w:tc>
          <w:tcPr>
            <w:tcW w:w="10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30" w:type="dxa"/>
            <w:vMerge/>
            <w:vAlign w:val="center"/>
          </w:tcPr>
          <w:p w:rsidR="008568C5" w:rsidRDefault="008568C5">
            <w:pPr>
              <w:autoSpaceDN w:val="0"/>
              <w:snapToGrid w:val="0"/>
              <w:jc w:val="center"/>
              <w:textAlignment w:val="center"/>
              <w:rPr>
                <w:rFonts w:ascii="仿宋" w:eastAsia="仿宋" w:hAnsi="仿宋" w:cs="仿宋"/>
                <w:szCs w:val="21"/>
              </w:rPr>
            </w:pPr>
          </w:p>
        </w:tc>
        <w:tc>
          <w:tcPr>
            <w:tcW w:w="4390" w:type="dxa"/>
            <w:vMerge/>
            <w:vAlign w:val="center"/>
          </w:tcPr>
          <w:p w:rsidR="008568C5" w:rsidRDefault="008568C5">
            <w:pPr>
              <w:autoSpaceDN w:val="0"/>
              <w:snapToGrid w:val="0"/>
              <w:jc w:val="center"/>
              <w:textAlignment w:val="center"/>
              <w:rPr>
                <w:rFonts w:ascii="仿宋" w:eastAsia="仿宋" w:hAnsi="仿宋" w:cs="仿宋"/>
                <w:szCs w:val="21"/>
              </w:rPr>
            </w:pPr>
          </w:p>
        </w:tc>
        <w:tc>
          <w:tcPr>
            <w:tcW w:w="135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68" w:type="dxa"/>
            <w:vAlign w:val="center"/>
          </w:tcPr>
          <w:p w:rsidR="008568C5" w:rsidRDefault="008568C5">
            <w:pPr>
              <w:autoSpaceDN w:val="0"/>
              <w:snapToGrid w:val="0"/>
              <w:jc w:val="center"/>
              <w:textAlignment w:val="center"/>
              <w:rPr>
                <w:rFonts w:ascii="仿宋" w:eastAsia="仿宋" w:hAnsi="仿宋" w:cs="仿宋"/>
                <w:szCs w:val="21"/>
              </w:rPr>
            </w:pPr>
          </w:p>
        </w:tc>
        <w:tc>
          <w:tcPr>
            <w:tcW w:w="2146" w:type="dxa"/>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68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2"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C12502">
      <w:pPr>
        <w:autoSpaceDN w:val="0"/>
        <w:snapToGrid w:val="0"/>
        <w:textAlignment w:val="center"/>
        <w:rPr>
          <w:sz w:val="20"/>
          <w:szCs w:val="21"/>
        </w:rPr>
      </w:pPr>
    </w:p>
    <w:tbl>
      <w:tblPr>
        <w:tblW w:w="14245" w:type="dxa"/>
        <w:jc w:val="center"/>
        <w:tblLayout w:type="fixed"/>
        <w:tblCellMar>
          <w:left w:w="0" w:type="dxa"/>
          <w:right w:w="0" w:type="dxa"/>
        </w:tblCellMar>
        <w:tblLook w:val="04A0"/>
      </w:tblPr>
      <w:tblGrid>
        <w:gridCol w:w="983"/>
        <w:gridCol w:w="1023"/>
        <w:gridCol w:w="3192"/>
        <w:gridCol w:w="1117"/>
        <w:gridCol w:w="790"/>
        <w:gridCol w:w="4438"/>
        <w:gridCol w:w="1291"/>
        <w:gridCol w:w="1411"/>
      </w:tblGrid>
      <w:tr w:rsidR="008568C5">
        <w:trPr>
          <w:trHeight w:val="635"/>
          <w:jc w:val="center"/>
        </w:trPr>
        <w:tc>
          <w:tcPr>
            <w:tcW w:w="9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序号</w:t>
            </w:r>
          </w:p>
        </w:tc>
        <w:tc>
          <w:tcPr>
            <w:tcW w:w="10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1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1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职权类别</w:t>
            </w: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44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2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41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595"/>
          <w:jc w:val="center"/>
        </w:trPr>
        <w:tc>
          <w:tcPr>
            <w:tcW w:w="9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63</w:t>
            </w:r>
          </w:p>
        </w:tc>
        <w:tc>
          <w:tcPr>
            <w:tcW w:w="10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金融企业年金审核</w:t>
            </w: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《国有金融企业年金管理办法》（财金〔2012〕159号）第二十三条：“金融企业应当按照本办法规定，将企业年金方案履行内部法定程序或者报财政部门审核后，报相关部门备案</w:t>
            </w:r>
          </w:p>
        </w:tc>
        <w:tc>
          <w:tcPr>
            <w:tcW w:w="11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其他职权</w:t>
            </w: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申请</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1.申请责任：金融企业按规定申请企业年金方案备案，按要求申报有关资料。</w:t>
            </w:r>
          </w:p>
        </w:tc>
        <w:tc>
          <w:tcPr>
            <w:tcW w:w="1291"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《金融企业财务规则》第六十四条：财政部门工作人员在履行财务管理职责过程中滥用职权、玩忽职守、徇私舞弊，或者泄露国家秘密、商业秘密的，依法进行处理。</w:t>
            </w:r>
          </w:p>
        </w:tc>
        <w:tc>
          <w:tcPr>
            <w:tcW w:w="1411"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金融与服务业股</w:t>
            </w:r>
          </w:p>
        </w:tc>
      </w:tr>
      <w:tr w:rsidR="008568C5">
        <w:trPr>
          <w:trHeight w:val="1441"/>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受理责任：收到申请后，对申请材料不齐全或者不符合法定形式的，应当在5个工作日内书面一次性告知申请人需要补正的全部内容。对申请材料齐全、符合法定形式，或者申请人按照要求全部补正申请材料的应当受理。</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573"/>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3.审查责任：受理申请后，应当对申请材料进行审查</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616"/>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办理</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4.办理责任：在受理申请后的20个工作日内决定是否予以办理。不予办理的，应当说明理由。</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188"/>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738"/>
          <w:jc w:val="center"/>
        </w:trPr>
        <w:tc>
          <w:tcPr>
            <w:tcW w:w="9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64</w:t>
            </w:r>
          </w:p>
        </w:tc>
        <w:tc>
          <w:tcPr>
            <w:tcW w:w="10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《财政票据领用证》核发</w:t>
            </w:r>
          </w:p>
        </w:tc>
        <w:tc>
          <w:tcPr>
            <w:tcW w:w="31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财政票据管理办法》(财政部长令第70号)第二十一条：“首次领用财政票据，应当按照规定程序办理《财政票据领用证》。办理《财政票据领用证》，应当提交申请函，填写《财政票据领用证申请表》，并且按要求提供与票据种类相关的可核验信息，并对提供信息的真实性承担法律责任。”第二十二条第一款：“受理申请的财政部门应当对申请单位提交的材料进行审核，对符合条件的单位，核发《财政票据领用证》，并发放财政票据。”</w:t>
            </w:r>
          </w:p>
        </w:tc>
        <w:tc>
          <w:tcPr>
            <w:tcW w:w="11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其他职权</w:t>
            </w: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1.受理责任：公示并接收用票单位应当提交的材料；一次性告知补正材料。不予受理的应告知理由。</w:t>
            </w:r>
          </w:p>
        </w:tc>
        <w:tc>
          <w:tcPr>
            <w:tcW w:w="1291"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《财政票据管理办法》第四十三条：财政部门、行政事业单位工作人员违反本办法规定，在工作中徇私舞弊、玩忽职守、滥用职权的，依法给予处分；构成犯罪的，依法追究刑事责任。</w:t>
            </w:r>
            <w:r>
              <w:rPr>
                <w:rFonts w:ascii="仿宋" w:eastAsia="仿宋" w:hAnsi="仿宋" w:cs="仿宋"/>
                <w:szCs w:val="21"/>
              </w:rPr>
              <w:t>。</w:t>
            </w:r>
          </w:p>
        </w:tc>
        <w:tc>
          <w:tcPr>
            <w:tcW w:w="1411"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702"/>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2.审查责任：对用票单位提供的材料进行审核，提出审核意见。</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56"/>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3.决定责任：对符合办理财政票据领购证条件的单位，予以办理财政票据领购证。不予办理的应告知理由。</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37"/>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4.事后监管责任：对已办理财政票据领购证的单位进行日常督查和年度审验，防止不按规定范围使用票据的行为。</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67"/>
          <w:jc w:val="center"/>
        </w:trPr>
        <w:tc>
          <w:tcPr>
            <w:tcW w:w="9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31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1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43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291"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11"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rPr>
          <w:sz w:val="20"/>
          <w:szCs w:val="21"/>
        </w:rPr>
      </w:pPr>
      <w:r>
        <w:rPr>
          <w:rFonts w:ascii="仿宋" w:eastAsia="仿宋" w:hAnsi="仿宋" w:cs="仿宋"/>
          <w:szCs w:val="21"/>
        </w:rPr>
        <w:br w:type="page"/>
      </w:r>
    </w:p>
    <w:tbl>
      <w:tblPr>
        <w:tblW w:w="14417" w:type="dxa"/>
        <w:jc w:val="center"/>
        <w:tblLayout w:type="fixed"/>
        <w:tblCellMar>
          <w:left w:w="0" w:type="dxa"/>
          <w:right w:w="0" w:type="dxa"/>
        </w:tblCellMar>
        <w:tblLook w:val="04A0"/>
      </w:tblPr>
      <w:tblGrid>
        <w:gridCol w:w="721"/>
        <w:gridCol w:w="1345"/>
        <w:gridCol w:w="2679"/>
        <w:gridCol w:w="859"/>
        <w:gridCol w:w="1019"/>
        <w:gridCol w:w="3100"/>
        <w:gridCol w:w="3203"/>
        <w:gridCol w:w="1491"/>
      </w:tblGrid>
      <w:tr w:rsidR="008568C5">
        <w:trPr>
          <w:trHeight w:val="699"/>
          <w:jc w:val="center"/>
        </w:trPr>
        <w:tc>
          <w:tcPr>
            <w:tcW w:w="7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34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267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8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职权</w:t>
            </w:r>
          </w:p>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类别</w:t>
            </w:r>
          </w:p>
        </w:tc>
        <w:tc>
          <w:tcPr>
            <w:tcW w:w="101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31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320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黑体" w:cs="黑体" w:hint="eastAsia"/>
                <w:kern w:val="0"/>
                <w:sz w:val="24"/>
              </w:rPr>
              <w:t>追责情形</w:t>
            </w:r>
          </w:p>
        </w:tc>
        <w:tc>
          <w:tcPr>
            <w:tcW w:w="149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976"/>
          <w:jc w:val="center"/>
        </w:trPr>
        <w:tc>
          <w:tcPr>
            <w:tcW w:w="721"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65</w:t>
            </w:r>
          </w:p>
        </w:tc>
        <w:tc>
          <w:tcPr>
            <w:tcW w:w="1345"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国际金融组织和外国政府贷款、赠款管理</w:t>
            </w:r>
          </w:p>
        </w:tc>
        <w:tc>
          <w:tcPr>
            <w:tcW w:w="2679"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《国际金融组织和外国政府贷款赠款项目管理办法》（财政部令第38号）第八条：“地方财政部门是本级政府贷款的债权债务代表和贷款、赠款归口管理机构，统一负责本地区贷款、赠款的全过程管理。”</w:t>
            </w:r>
          </w:p>
        </w:tc>
        <w:tc>
          <w:tcPr>
            <w:tcW w:w="8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019"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申报</w:t>
            </w:r>
          </w:p>
        </w:tc>
        <w:tc>
          <w:tcPr>
            <w:tcW w:w="31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1.根据财政部贷款信息公告，协助拟借用贷款的项目申报单位进行项目申报。</w:t>
            </w:r>
          </w:p>
        </w:tc>
        <w:tc>
          <w:tcPr>
            <w:tcW w:w="320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际金融组织和外国政府贷款赠款管理办法》第五十六条：项目实施单位、项目协调机构及财政部门和个人存在以虚报、冒领等手段骗取贷款赠款资金，或者滞留、截留、挪用等违反规定使用贷款赠款资金，或者从中非法获益等行为的，依照相关法律法规的规定处理；第五十七条：各级财政部门、项目实施单位和项目协调机构的工作人员在贷款、赠款的管理、资金使用和偿还过程中，贪污受贿、滥用职权、玩忽职守、徇私舞弊的，依照相关法律法规的规定处理。</w:t>
            </w:r>
          </w:p>
        </w:tc>
        <w:tc>
          <w:tcPr>
            <w:tcW w:w="149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税政与条法股、农业农村股、政府债务管理办公室</w:t>
            </w:r>
          </w:p>
        </w:tc>
      </w:tr>
      <w:tr w:rsidR="008568C5">
        <w:trPr>
          <w:trHeight w:val="1387"/>
          <w:jc w:val="center"/>
        </w:trPr>
        <w:tc>
          <w:tcPr>
            <w:tcW w:w="721"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7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提款</w:t>
            </w:r>
          </w:p>
        </w:tc>
        <w:tc>
          <w:tcPr>
            <w:tcW w:w="31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2.按照项目要求，进行提款报账。</w:t>
            </w:r>
          </w:p>
        </w:tc>
        <w:tc>
          <w:tcPr>
            <w:tcW w:w="320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196"/>
          <w:jc w:val="center"/>
        </w:trPr>
        <w:tc>
          <w:tcPr>
            <w:tcW w:w="721"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4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7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9" w:type="dxa"/>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还款</w:t>
            </w:r>
          </w:p>
        </w:tc>
        <w:tc>
          <w:tcPr>
            <w:tcW w:w="31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3.根据省级财政部门出具的还款通知单，市级财政部门向项目单位出具还款通知单，督促项目单位按时还款。</w:t>
            </w:r>
          </w:p>
        </w:tc>
        <w:tc>
          <w:tcPr>
            <w:tcW w:w="320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91"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textAlignment w:val="center"/>
        <w:rPr>
          <w:rFonts w:ascii="仿宋" w:eastAsia="仿宋" w:hAnsi="仿宋" w:cs="仿宋"/>
          <w:sz w:val="18"/>
          <w:szCs w:val="18"/>
        </w:rPr>
      </w:pPr>
    </w:p>
    <w:tbl>
      <w:tblPr>
        <w:tblpPr w:leftFromText="180" w:rightFromText="180" w:vertAnchor="text" w:horzAnchor="page" w:tblpX="1297" w:tblpY="76"/>
        <w:tblOverlap w:val="never"/>
        <w:tblW w:w="14305" w:type="dxa"/>
        <w:tblLayout w:type="fixed"/>
        <w:tblCellMar>
          <w:left w:w="0" w:type="dxa"/>
          <w:right w:w="0" w:type="dxa"/>
        </w:tblCellMar>
        <w:tblLook w:val="04A0"/>
      </w:tblPr>
      <w:tblGrid>
        <w:gridCol w:w="727"/>
        <w:gridCol w:w="1084"/>
        <w:gridCol w:w="2909"/>
        <w:gridCol w:w="996"/>
        <w:gridCol w:w="771"/>
        <w:gridCol w:w="3121"/>
        <w:gridCol w:w="3219"/>
        <w:gridCol w:w="1478"/>
      </w:tblGrid>
      <w:tr w:rsidR="008568C5">
        <w:trPr>
          <w:trHeight w:val="811"/>
        </w:trPr>
        <w:tc>
          <w:tcPr>
            <w:tcW w:w="72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lastRenderedPageBreak/>
              <w:t>序号</w:t>
            </w:r>
          </w:p>
        </w:tc>
        <w:tc>
          <w:tcPr>
            <w:tcW w:w="108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290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99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职权类别</w:t>
            </w:r>
          </w:p>
        </w:tc>
        <w:tc>
          <w:tcPr>
            <w:tcW w:w="77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31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321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追责情形</w:t>
            </w:r>
          </w:p>
        </w:tc>
        <w:tc>
          <w:tcPr>
            <w:tcW w:w="147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709"/>
        </w:trPr>
        <w:tc>
          <w:tcPr>
            <w:tcW w:w="727"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66</w:t>
            </w:r>
          </w:p>
        </w:tc>
        <w:tc>
          <w:tcPr>
            <w:tcW w:w="1084"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政府采购异地抽取专家备案</w:t>
            </w:r>
          </w:p>
        </w:tc>
        <w:tc>
          <w:tcPr>
            <w:tcW w:w="2909"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关于进一步规范政府采购评审工作有关问题的通知》（财库〔2012〕69号）第四部分：妥善处理评审中的特殊情形：采购项目有特殊需要的，采购人或采购代理机构可以在异地财政部门专家库中抽取专家，但应在事前向本级财政部门备案。</w:t>
            </w:r>
          </w:p>
        </w:tc>
        <w:tc>
          <w:tcPr>
            <w:tcW w:w="99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tc>
        <w:tc>
          <w:tcPr>
            <w:tcW w:w="771"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1.受理责任：受理采购人或采购代理机构申请资料，一次性告知所需备案材料。</w:t>
            </w:r>
          </w:p>
        </w:tc>
        <w:tc>
          <w:tcPr>
            <w:tcW w:w="321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评审专家管理办法》第三十一条：财政部门工作人员在评审专家管理工作中存在滥用职权、玩忽职守、徇私舞弊等违法违纪行为的，依照《政府采购法》《中华人民共和国公务员法》《中华人民共和国行政监察法》《政府采购法实施条例》等国家有关规定追究相应责任；涉嫌犯罪的，移送司法机关处理。</w:t>
            </w:r>
          </w:p>
        </w:tc>
        <w:tc>
          <w:tcPr>
            <w:tcW w:w="147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790"/>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0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7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2.审查责任：审查采购项目异地抽取专家的必要性。</w:t>
            </w:r>
          </w:p>
        </w:tc>
        <w:tc>
          <w:tcPr>
            <w:tcW w:w="32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7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90"/>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0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71"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备案</w:t>
            </w: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3.备案责任：确有特殊需要的，可以异地财政部门抽取。</w:t>
            </w:r>
          </w:p>
        </w:tc>
        <w:tc>
          <w:tcPr>
            <w:tcW w:w="32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7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829"/>
        </w:trPr>
        <w:tc>
          <w:tcPr>
            <w:tcW w:w="727"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09"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71"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监督管理</w:t>
            </w: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4.管理责任：对异地财政部门抽取专家情况进行跟踪检查。</w:t>
            </w:r>
          </w:p>
        </w:tc>
        <w:tc>
          <w:tcPr>
            <w:tcW w:w="3219"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78"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634"/>
        </w:trPr>
        <w:tc>
          <w:tcPr>
            <w:tcW w:w="727"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bottom w:val="single" w:sz="4" w:space="0" w:color="auto"/>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2909" w:type="dxa"/>
            <w:vMerge/>
            <w:tcBorders>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7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321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47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rPr>
          <w:trHeight w:val="709"/>
        </w:trPr>
        <w:tc>
          <w:tcPr>
            <w:tcW w:w="727"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67</w:t>
            </w:r>
          </w:p>
        </w:tc>
        <w:tc>
          <w:tcPr>
            <w:tcW w:w="1084"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落实国有资本运作相关制度规范，组织指导所监管企业开展国有资本运营，推动国有资本保值增值</w:t>
            </w:r>
          </w:p>
        </w:tc>
        <w:tc>
          <w:tcPr>
            <w:tcW w:w="2909"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二章第十四条：“国有资产监督管理机构的主要义务是…（三）探索有效的企业国有资产经营体制和方式，加强企业国有资产监督管理工作，促进企业国有资产保值增值，防止企业国有资产流失”</w:t>
            </w:r>
          </w:p>
        </w:tc>
        <w:tc>
          <w:tcPr>
            <w:tcW w:w="99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tc>
        <w:tc>
          <w:tcPr>
            <w:tcW w:w="771"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依照相关法律法规实话具体措施</w:t>
            </w: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组织指导所监管企业国有资本运营中，推动国有资本保值增值。</w:t>
            </w:r>
          </w:p>
        </w:tc>
        <w:tc>
          <w:tcPr>
            <w:tcW w:w="321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147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3298"/>
        </w:trPr>
        <w:tc>
          <w:tcPr>
            <w:tcW w:w="727"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4"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0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71"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321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7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tbl>
      <w:tblPr>
        <w:tblpPr w:leftFromText="180" w:rightFromText="180" w:vertAnchor="text" w:horzAnchor="page" w:tblpX="1417" w:tblpY="140"/>
        <w:tblOverlap w:val="never"/>
        <w:tblW w:w="14174" w:type="dxa"/>
        <w:tblLayout w:type="fixed"/>
        <w:tblCellMar>
          <w:left w:w="0" w:type="dxa"/>
          <w:right w:w="0" w:type="dxa"/>
        </w:tblCellMar>
        <w:tblLook w:val="04A0"/>
      </w:tblPr>
      <w:tblGrid>
        <w:gridCol w:w="626"/>
        <w:gridCol w:w="836"/>
        <w:gridCol w:w="3843"/>
        <w:gridCol w:w="975"/>
        <w:gridCol w:w="690"/>
        <w:gridCol w:w="3468"/>
        <w:gridCol w:w="2553"/>
        <w:gridCol w:w="1183"/>
      </w:tblGrid>
      <w:tr w:rsidR="008568C5">
        <w:trPr>
          <w:trHeight w:val="593"/>
        </w:trPr>
        <w:tc>
          <w:tcPr>
            <w:tcW w:w="62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lastRenderedPageBreak/>
              <w:t>序号</w:t>
            </w:r>
          </w:p>
        </w:tc>
        <w:tc>
          <w:tcPr>
            <w:tcW w:w="83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项目名称</w:t>
            </w:r>
          </w:p>
        </w:tc>
        <w:tc>
          <w:tcPr>
            <w:tcW w:w="384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实施依据</w:t>
            </w:r>
          </w:p>
        </w:tc>
        <w:tc>
          <w:tcPr>
            <w:tcW w:w="97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职权类别</w:t>
            </w:r>
          </w:p>
        </w:tc>
        <w:tc>
          <w:tcPr>
            <w:tcW w:w="69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346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255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追责情形</w:t>
            </w:r>
          </w:p>
        </w:tc>
        <w:tc>
          <w:tcPr>
            <w:tcW w:w="118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842"/>
        </w:trPr>
        <w:tc>
          <w:tcPr>
            <w:tcW w:w="626"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68</w:t>
            </w:r>
          </w:p>
        </w:tc>
        <w:tc>
          <w:tcPr>
            <w:tcW w:w="83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拟定和审核所监管企业改制、上市、重组等方案和国有资本出资企业的组建方案</w:t>
            </w:r>
          </w:p>
        </w:tc>
        <w:tc>
          <w:tcPr>
            <w:tcW w:w="3843"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20"/>
                <w:szCs w:val="20"/>
              </w:rPr>
              <w:t>《企业国有资产监督管理暂行条例》（国务院令第378号）第二十一条 国有资产监督管理机构依照法定程序决定其所出资企业中的国有独资企业、国有独资公司的分立、合并、破产、解散、增减资本、发行公司债券等重大事项。其中，重要的国有独资企业、国有独资公司分立、合并、破产、解散的，应当由国有资产监督管理机构审核后，报本级人民政府批准。国有资产监督理机构依照法定程序审核、决定国防科技工业领域其所出资企业中的国有独资企业、国有独资公司的有关重大事项时，按照国家有关法律、规定执行</w:t>
            </w:r>
            <w:proofErr w:type="gramStart"/>
            <w:r>
              <w:rPr>
                <w:rFonts w:ascii="仿宋" w:eastAsia="仿宋" w:hAnsi="仿宋" w:cs="仿宋" w:hint="eastAsia"/>
                <w:sz w:val="20"/>
                <w:szCs w:val="20"/>
              </w:rPr>
              <w:t>”</w:t>
            </w:r>
            <w:proofErr w:type="gramEnd"/>
            <w:r>
              <w:rPr>
                <w:rFonts w:ascii="仿宋" w:eastAsia="仿宋" w:hAnsi="仿宋" w:cs="仿宋" w:hint="eastAsia"/>
                <w:sz w:val="20"/>
                <w:szCs w:val="20"/>
              </w:rPr>
              <w:t>；《企业国有资产监管理暂行条例》（国务院令第378号）“第十三条 国有资产监督管理机构的主要职责是：（二）指导推进国有及国有控股企业的改革和重组”；“第二十条 国有资产监督管理机构负责指导国有及国有控股企业建立现代企业制度，审核批准其所出资企业中的国有独资企业，国有独资公司的重组、股份制改造方案和所出资企业中的国有独资公司的章程”；“第二十三条 国有资产监督管理机构决定其所出资企业的国有股权转让，其中，转让全部国有股权或者转让部分国有股权致使国家不再拥有控股地位的，报本级人民政府批准”；“第二十四条 所出资企业投资设立的重要子企业的重大事项，需由所出资企业报国有资产监督管理机构批准的，管理办法由国务院国有资产监督管理机构另行制定，报国务院批准”</w:t>
            </w:r>
            <w:r>
              <w:rPr>
                <w:rFonts w:ascii="仿宋" w:eastAsia="仿宋" w:hAnsi="仿宋" w:cs="仿宋" w:hint="eastAsia"/>
                <w:szCs w:val="21"/>
              </w:rPr>
              <w:t>。</w:t>
            </w:r>
          </w:p>
        </w:tc>
        <w:tc>
          <w:tcPr>
            <w:tcW w:w="975"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tc>
        <w:tc>
          <w:tcPr>
            <w:tcW w:w="690"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4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受理责任：公示依法应当提交的材料，一次性告知需补齐材料，依法受理或不予受理（不予受理的依法告知理由）</w:t>
            </w:r>
          </w:p>
        </w:tc>
        <w:tc>
          <w:tcPr>
            <w:tcW w:w="255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1183"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2392"/>
        </w:trPr>
        <w:tc>
          <w:tcPr>
            <w:tcW w:w="626"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4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4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审查责任：按照国家和我省关于企业改制、重组等相关规定对申报材料进行审查；组织专家对材料进行评审论证；提出审核意见。需要报上级有关部门的相关规定上报。</w:t>
            </w:r>
          </w:p>
        </w:tc>
        <w:tc>
          <w:tcPr>
            <w:tcW w:w="255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trPr>
        <w:tc>
          <w:tcPr>
            <w:tcW w:w="626"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4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4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决定责任：做出决定。审核同意的，制作结果认定文件；审核不同意的，以便函开工告知申请单位。</w:t>
            </w:r>
          </w:p>
        </w:tc>
        <w:tc>
          <w:tcPr>
            <w:tcW w:w="255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48"/>
        </w:trPr>
        <w:tc>
          <w:tcPr>
            <w:tcW w:w="626"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43"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75"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34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对所监管企业改制方案落实情况进行检查</w:t>
            </w:r>
          </w:p>
        </w:tc>
        <w:tc>
          <w:tcPr>
            <w:tcW w:w="255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26"/>
        </w:trPr>
        <w:tc>
          <w:tcPr>
            <w:tcW w:w="626"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6" w:type="dxa"/>
            <w:vMerge/>
            <w:tcBorders>
              <w:left w:val="single" w:sz="4" w:space="0" w:color="000000"/>
              <w:bottom w:val="single" w:sz="4" w:space="0" w:color="auto"/>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3843" w:type="dxa"/>
            <w:vMerge/>
            <w:tcBorders>
              <w:left w:val="single" w:sz="4" w:space="0" w:color="000000"/>
              <w:bottom w:val="single" w:sz="4" w:space="0" w:color="auto"/>
              <w:right w:val="nil"/>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975"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90"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4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255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83"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tbl>
      <w:tblPr>
        <w:tblpPr w:leftFromText="180" w:rightFromText="180" w:vertAnchor="text" w:horzAnchor="page" w:tblpX="1636" w:tblpY="163"/>
        <w:tblOverlap w:val="never"/>
        <w:tblW w:w="14008" w:type="dxa"/>
        <w:tblLayout w:type="fixed"/>
        <w:tblCellMar>
          <w:left w:w="0" w:type="dxa"/>
          <w:right w:w="0" w:type="dxa"/>
        </w:tblCellMar>
        <w:tblLook w:val="04A0"/>
      </w:tblPr>
      <w:tblGrid>
        <w:gridCol w:w="650"/>
        <w:gridCol w:w="1051"/>
        <w:gridCol w:w="5275"/>
        <w:gridCol w:w="1019"/>
        <w:gridCol w:w="514"/>
        <w:gridCol w:w="2708"/>
        <w:gridCol w:w="1609"/>
        <w:gridCol w:w="1182"/>
      </w:tblGrid>
      <w:tr w:rsidR="008568C5">
        <w:trPr>
          <w:trHeight w:val="1239"/>
        </w:trPr>
        <w:tc>
          <w:tcPr>
            <w:tcW w:w="6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pStyle w:val="a3"/>
              <w:rPr>
                <w:rFonts w:ascii="黑体" w:eastAsia="黑体" w:hAnsi="宋体" w:cs="黑体"/>
                <w:sz w:val="24"/>
                <w:szCs w:val="24"/>
              </w:rPr>
            </w:pPr>
            <w:r>
              <w:rPr>
                <w:sz w:val="20"/>
                <w:szCs w:val="21"/>
              </w:rPr>
              <w:lastRenderedPageBreak/>
              <w:br w:type="page"/>
            </w:r>
            <w:r>
              <w:rPr>
                <w:rFonts w:ascii="黑体" w:eastAsia="黑体" w:hAnsi="宋体" w:cs="黑体" w:hint="eastAsia"/>
                <w:kern w:val="0"/>
                <w:sz w:val="24"/>
                <w:szCs w:val="24"/>
              </w:rPr>
              <w:t>序号</w:t>
            </w:r>
          </w:p>
        </w:tc>
        <w:tc>
          <w:tcPr>
            <w:tcW w:w="105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项目名称</w:t>
            </w:r>
          </w:p>
        </w:tc>
        <w:tc>
          <w:tcPr>
            <w:tcW w:w="527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实施依据</w:t>
            </w:r>
          </w:p>
        </w:tc>
        <w:tc>
          <w:tcPr>
            <w:tcW w:w="101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职权类别</w:t>
            </w:r>
          </w:p>
        </w:tc>
        <w:tc>
          <w:tcPr>
            <w:tcW w:w="51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办理环节</w:t>
            </w:r>
          </w:p>
        </w:tc>
        <w:tc>
          <w:tcPr>
            <w:tcW w:w="270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责任事项</w:t>
            </w:r>
          </w:p>
        </w:tc>
        <w:tc>
          <w:tcPr>
            <w:tcW w:w="160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追责情形</w:t>
            </w:r>
          </w:p>
        </w:tc>
        <w:tc>
          <w:tcPr>
            <w:tcW w:w="118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sz w:val="24"/>
              </w:rPr>
            </w:pPr>
            <w:r>
              <w:rPr>
                <w:rFonts w:ascii="黑体" w:eastAsia="黑体" w:hAnsi="宋体" w:cs="黑体" w:hint="eastAsia"/>
                <w:kern w:val="0"/>
                <w:sz w:val="24"/>
              </w:rPr>
              <w:t>责任科室</w:t>
            </w:r>
          </w:p>
        </w:tc>
      </w:tr>
      <w:tr w:rsidR="008568C5">
        <w:trPr>
          <w:trHeight w:val="829"/>
        </w:trPr>
        <w:tc>
          <w:tcPr>
            <w:tcW w:w="650"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ind w:firstLineChars="100" w:firstLine="210"/>
              <w:jc w:val="left"/>
              <w:textAlignment w:val="center"/>
              <w:rPr>
                <w:rFonts w:ascii="仿宋" w:eastAsia="仿宋" w:hAnsi="仿宋" w:cs="仿宋"/>
                <w:szCs w:val="21"/>
              </w:rPr>
            </w:pPr>
            <w:r>
              <w:rPr>
                <w:rFonts w:ascii="仿宋" w:eastAsia="仿宋" w:hAnsi="仿宋" w:cs="仿宋" w:hint="eastAsia"/>
                <w:szCs w:val="21"/>
              </w:rPr>
              <w:t>69</w:t>
            </w:r>
          </w:p>
        </w:tc>
        <w:tc>
          <w:tcPr>
            <w:tcW w:w="1051"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指导所监管企业对所从事的金融业务加强管理与服务，组织指导有关企业投资基金的设立与运作</w:t>
            </w:r>
          </w:p>
        </w:tc>
        <w:tc>
          <w:tcPr>
            <w:tcW w:w="5275"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《内乡县财政局职能配置、内设机构和人员编制规定》第五条第十九款：“指导所监管企业对所从事的金融业务加强管理与服务，组织指导有关企业投资基金的设立与运作。”</w:t>
            </w:r>
            <w:proofErr w:type="gramStart"/>
            <w:r>
              <w:rPr>
                <w:rFonts w:ascii="仿宋" w:eastAsia="仿宋" w:hAnsi="仿宋" w:cs="仿宋" w:hint="eastAsia"/>
                <w:szCs w:val="21"/>
              </w:rPr>
              <w:t>”</w:t>
            </w:r>
            <w:proofErr w:type="gramEnd"/>
          </w:p>
        </w:tc>
        <w:tc>
          <w:tcPr>
            <w:tcW w:w="101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left"/>
              <w:textAlignment w:val="center"/>
              <w:rPr>
                <w:rFonts w:ascii="仿宋" w:eastAsia="仿宋" w:hAnsi="仿宋" w:cs="仿宋"/>
                <w:szCs w:val="21"/>
              </w:rPr>
            </w:pPr>
          </w:p>
        </w:tc>
        <w:tc>
          <w:tcPr>
            <w:tcW w:w="514"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依照相关法律法规实施具体措施</w:t>
            </w:r>
          </w:p>
        </w:tc>
        <w:tc>
          <w:tcPr>
            <w:tcW w:w="2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指导所监管企业所从事的金融企业加强管理与服务，组织指导有关企业投资资金的设立与运作。</w:t>
            </w:r>
          </w:p>
        </w:tc>
        <w:tc>
          <w:tcPr>
            <w:tcW w:w="160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1182"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829"/>
        </w:trPr>
        <w:tc>
          <w:tcPr>
            <w:tcW w:w="650"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051"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5275"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01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514"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27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160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182"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bl>
    <w:tbl>
      <w:tblPr>
        <w:tblpPr w:leftFromText="180" w:rightFromText="180" w:vertAnchor="text" w:horzAnchor="page" w:tblpX="1636" w:tblpY="9"/>
        <w:tblOverlap w:val="never"/>
        <w:tblW w:w="14020" w:type="dxa"/>
        <w:tblLayout w:type="fixed"/>
        <w:tblCellMar>
          <w:left w:w="0" w:type="dxa"/>
          <w:right w:w="0" w:type="dxa"/>
        </w:tblCellMar>
        <w:tblLook w:val="04A0"/>
      </w:tblPr>
      <w:tblGrid>
        <w:gridCol w:w="657"/>
        <w:gridCol w:w="1040"/>
        <w:gridCol w:w="5289"/>
        <w:gridCol w:w="996"/>
        <w:gridCol w:w="537"/>
        <w:gridCol w:w="2687"/>
        <w:gridCol w:w="1616"/>
        <w:gridCol w:w="1198"/>
      </w:tblGrid>
      <w:tr w:rsidR="008568C5">
        <w:trPr>
          <w:trHeight w:val="709"/>
        </w:trPr>
        <w:tc>
          <w:tcPr>
            <w:tcW w:w="657"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ind w:firstLineChars="100" w:firstLine="210"/>
              <w:jc w:val="left"/>
              <w:textAlignment w:val="center"/>
              <w:rPr>
                <w:rFonts w:ascii="仿宋" w:eastAsia="仿宋" w:hAnsi="仿宋" w:cs="仿宋"/>
                <w:szCs w:val="21"/>
              </w:rPr>
            </w:pPr>
            <w:r>
              <w:rPr>
                <w:rFonts w:ascii="仿宋" w:eastAsia="仿宋" w:hAnsi="仿宋" w:cs="仿宋" w:hint="eastAsia"/>
                <w:szCs w:val="21"/>
              </w:rPr>
              <w:t>70</w:t>
            </w:r>
          </w:p>
        </w:tc>
        <w:tc>
          <w:tcPr>
            <w:tcW w:w="104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承担所监管企业资产评估项目的核准和备案工作</w:t>
            </w:r>
          </w:p>
        </w:tc>
        <w:tc>
          <w:tcPr>
            <w:tcW w:w="5289"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《企业国有资产评估管理暂行办法》第三条“各级国有资产监督管理机构负责其所出资企业的国有资产评估监管工作”。第四条“企业国有资产评估项目实行核准制和备案制。”</w:t>
            </w:r>
          </w:p>
        </w:tc>
        <w:tc>
          <w:tcPr>
            <w:tcW w:w="996"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tc>
        <w:tc>
          <w:tcPr>
            <w:tcW w:w="537"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依照相关法律法规实话具体措施</w:t>
            </w:r>
          </w:p>
        </w:tc>
        <w:tc>
          <w:tcPr>
            <w:tcW w:w="26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负责其所出资企业的国有资产评估监管工作</w:t>
            </w:r>
          </w:p>
        </w:tc>
        <w:tc>
          <w:tcPr>
            <w:tcW w:w="161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单位国有资产管理暂行办法》第五十条：财政部门、行政单位及其工作人员违反本办法的规定，擅自占有、使用、处置国有资产的，按照《财政违法行为处罚处分条例》处理。违反国家国有资产管理规定的其他行为，按国家有关法律法规处理。</w:t>
            </w:r>
          </w:p>
        </w:tc>
        <w:tc>
          <w:tcPr>
            <w:tcW w:w="1198"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资产管理股、县属功能类公益类</w:t>
            </w:r>
            <w:r>
              <w:rPr>
                <w:rFonts w:ascii="仿宋" w:eastAsia="仿宋" w:hAnsi="仿宋" w:cs="仿宋" w:hint="eastAsia"/>
                <w:szCs w:val="21"/>
              </w:rPr>
              <w:t>企业</w:t>
            </w:r>
            <w:r>
              <w:rPr>
                <w:rFonts w:ascii="仿宋" w:eastAsia="仿宋" w:hAnsi="仿宋" w:cs="仿宋"/>
                <w:szCs w:val="21"/>
              </w:rPr>
              <w:t>国有资产监管办公室</w:t>
            </w:r>
          </w:p>
        </w:tc>
      </w:tr>
      <w:tr w:rsidR="008568C5">
        <w:trPr>
          <w:trHeight w:val="3453"/>
        </w:trPr>
        <w:tc>
          <w:tcPr>
            <w:tcW w:w="657"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4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289"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37"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6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负责对企业国有资产评估项目实行核准和备案进行监管</w:t>
            </w:r>
          </w:p>
        </w:tc>
        <w:tc>
          <w:tcPr>
            <w:tcW w:w="161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8"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tbl>
      <w:tblPr>
        <w:tblpPr w:leftFromText="180" w:rightFromText="180" w:vertAnchor="text" w:horzAnchor="page" w:tblpX="1188" w:tblpY="111"/>
        <w:tblOverlap w:val="never"/>
        <w:tblW w:w="14546" w:type="dxa"/>
        <w:tblLayout w:type="fixed"/>
        <w:tblCellMar>
          <w:left w:w="0" w:type="dxa"/>
          <w:right w:w="0" w:type="dxa"/>
        </w:tblCellMar>
        <w:tblLook w:val="04A0"/>
      </w:tblPr>
      <w:tblGrid>
        <w:gridCol w:w="987"/>
        <w:gridCol w:w="1530"/>
        <w:gridCol w:w="3167"/>
        <w:gridCol w:w="759"/>
        <w:gridCol w:w="988"/>
        <w:gridCol w:w="2946"/>
        <w:gridCol w:w="2950"/>
        <w:gridCol w:w="1219"/>
      </w:tblGrid>
      <w:tr w:rsidR="008568C5">
        <w:trPr>
          <w:trHeight w:val="635"/>
        </w:trPr>
        <w:tc>
          <w:tcPr>
            <w:tcW w:w="98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序号</w:t>
            </w:r>
          </w:p>
        </w:tc>
        <w:tc>
          <w:tcPr>
            <w:tcW w:w="153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项目名称</w:t>
            </w:r>
          </w:p>
        </w:tc>
        <w:tc>
          <w:tcPr>
            <w:tcW w:w="316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实施依据</w:t>
            </w:r>
          </w:p>
        </w:tc>
        <w:tc>
          <w:tcPr>
            <w:tcW w:w="7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职权</w:t>
            </w:r>
          </w:p>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类别</w:t>
            </w:r>
          </w:p>
        </w:tc>
        <w:tc>
          <w:tcPr>
            <w:tcW w:w="98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办理环节</w:t>
            </w:r>
          </w:p>
        </w:tc>
        <w:tc>
          <w:tcPr>
            <w:tcW w:w="29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责任事项</w:t>
            </w:r>
          </w:p>
        </w:tc>
        <w:tc>
          <w:tcPr>
            <w:tcW w:w="29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追责情形</w:t>
            </w:r>
          </w:p>
        </w:tc>
        <w:tc>
          <w:tcPr>
            <w:tcW w:w="121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宋体" w:cs="黑体"/>
                <w:kern w:val="0"/>
                <w:sz w:val="24"/>
              </w:rPr>
            </w:pPr>
            <w:r>
              <w:rPr>
                <w:rFonts w:ascii="黑体" w:eastAsia="黑体" w:hAnsi="宋体" w:cs="黑体" w:hint="eastAsia"/>
                <w:kern w:val="0"/>
                <w:sz w:val="24"/>
              </w:rPr>
              <w:t>责任科室</w:t>
            </w:r>
          </w:p>
        </w:tc>
      </w:tr>
      <w:tr w:rsidR="008568C5">
        <w:trPr>
          <w:trHeight w:val="1048"/>
        </w:trPr>
        <w:tc>
          <w:tcPr>
            <w:tcW w:w="987"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71</w:t>
            </w:r>
          </w:p>
        </w:tc>
        <w:tc>
          <w:tcPr>
            <w:tcW w:w="153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按照干部管理权限,承担对所监管企业领导人员的考察、任免等相关管理工作,负责所监管企业领导班子日常监督管理工作</w:t>
            </w:r>
          </w:p>
        </w:tc>
        <w:tc>
          <w:tcPr>
            <w:tcW w:w="3167"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三）依照规定向所出资企业派出监事会；（四）依照法定程序对所出资企业的企业负责人进行任免、考核，并根据考核结果对其进行奖惩；《内乡县财政局职能配置、内设机构和人员编制规定》第五条第十六款按照规定权限承担对监管企业领导人员的考核工作并提出任免建议。</w:t>
            </w:r>
          </w:p>
        </w:tc>
        <w:tc>
          <w:tcPr>
            <w:tcW w:w="7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988"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依照相关法律法规执行</w:t>
            </w:r>
          </w:p>
        </w:tc>
        <w:tc>
          <w:tcPr>
            <w:tcW w:w="29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负责依照法定程序对所出资企业的企业负责人进行任免、考核，并根据考核结果对其进行净重。</w:t>
            </w:r>
          </w:p>
        </w:tc>
        <w:tc>
          <w:tcPr>
            <w:tcW w:w="2950"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三十八条：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tc>
        <w:tc>
          <w:tcPr>
            <w:tcW w:w="1219"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2144"/>
        </w:trPr>
        <w:tc>
          <w:tcPr>
            <w:tcW w:w="987"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53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167"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7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988"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负责依照规定向所出资企业派出监事会</w:t>
            </w:r>
          </w:p>
        </w:tc>
        <w:tc>
          <w:tcPr>
            <w:tcW w:w="2950"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c>
          <w:tcPr>
            <w:tcW w:w="1219"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tc>
      </w:tr>
      <w:tr w:rsidR="008568C5">
        <w:tblPrEx>
          <w:tblCellMar>
            <w:left w:w="108" w:type="dxa"/>
            <w:right w:w="108" w:type="dxa"/>
          </w:tblCellMar>
        </w:tblPrEx>
        <w:trPr>
          <w:trHeight w:val="1470"/>
        </w:trPr>
        <w:tc>
          <w:tcPr>
            <w:tcW w:w="987"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72</w:t>
            </w:r>
          </w:p>
        </w:tc>
        <w:tc>
          <w:tcPr>
            <w:tcW w:w="1530"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按照规定权限负责监管企业党的建设和企业领导人员相关管理工作，审核监管企业领导人员的薪酬方案和企业工资总额分配方案等</w:t>
            </w:r>
          </w:p>
        </w:tc>
        <w:tc>
          <w:tcPr>
            <w:tcW w:w="3167"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法》第二十七条：“履行出资人职责的机构……依据考核结果决定对企业管理者的奖惩。履行出资人职责的机构应当按照国家有关规定，确定其任命的国家出资企业管理者的薪酬标准。”第二十九条：“本法第二十二条第一款第一项、第二项规定的企业管理者，国务院和地方人民政府规定由本级人民政府任免的，依照其规定。履行出资人职责的机构依照本章规定对上述企业管理者进行考核、奖惩并确定其薪酬标准。”《企业国有资产监督管理暂行条例》（国务院令第378号）第十九条：“国有资产监督管理机构应当依照有关规定，确定所出资企业中的国有独资企业、国有独资公司的企业负责人的薪酬；依据考核结果，决定其向所出资企业派出的企业负责人的奖惩。”第二十六条：“国有资产监督管理机构依照国家有关规定拟订所出资企业收入分配制度改革的指导意见，调控</w:t>
            </w:r>
            <w:r>
              <w:rPr>
                <w:rFonts w:ascii="仿宋" w:eastAsia="仿宋" w:hAnsi="仿宋" w:cs="仿宋" w:hint="eastAsia"/>
                <w:szCs w:val="21"/>
              </w:rPr>
              <w:lastRenderedPageBreak/>
              <w:t>所出资企业工资分配的总体水平。”《中共河南省委、河南省人民政府关于印发&lt;河南省省管国有企业负责人薪酬制度改革实施意见&gt;的通知》(</w:t>
            </w:r>
            <w:proofErr w:type="gramStart"/>
            <w:r>
              <w:rPr>
                <w:rFonts w:ascii="仿宋" w:eastAsia="仿宋" w:hAnsi="仿宋" w:cs="仿宋" w:hint="eastAsia"/>
                <w:szCs w:val="21"/>
              </w:rPr>
              <w:t>豫发〔2015〕</w:t>
            </w:r>
            <w:proofErr w:type="gramEnd"/>
            <w:r>
              <w:rPr>
                <w:rFonts w:ascii="仿宋" w:eastAsia="仿宋" w:hAnsi="仿宋" w:cs="仿宋" w:hint="eastAsia"/>
                <w:szCs w:val="21"/>
              </w:rPr>
              <w:t>17号）：“省财政厅、省政府国资委和其他有关业务主管部门按照分工，负责省管国有企业负责人的薪酬水平审核。”《中共河南省委办公厅、河南省人民政府办公厅关于印发&lt;关于加强和改进省管企业领导人员管理工作的意见&gt;、&lt;关于进一步完善省管企业负责人薪酬制度的意见&gt;的通知》（豫办〔2017〕6号）：“国有独资和国有控股企业负责人的薪酬方案，由省政府国资委或其他履行出资人职能的部门审核确定。省财政厅、省政府国资委和其他有关部门负责制定省管企业负责人的经营业绩考核和薪酬审核管理办法，并做好企业负责人经营业绩考核和薪酬审核工作。”</w:t>
            </w:r>
          </w:p>
        </w:tc>
        <w:tc>
          <w:tcPr>
            <w:tcW w:w="759"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lastRenderedPageBreak/>
              <w:t>其他职权</w:t>
            </w:r>
          </w:p>
        </w:tc>
        <w:tc>
          <w:tcPr>
            <w:tcW w:w="988"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946"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1.受理责任：明确告知申报单位依法应当提交的材料；一次性告知需补齐材料；依法受理或不予受理（不予受理的需明确告知理由）。</w:t>
            </w:r>
          </w:p>
        </w:tc>
        <w:tc>
          <w:tcPr>
            <w:tcW w:w="2950"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w:t>
            </w:r>
          </w:p>
        </w:tc>
        <w:tc>
          <w:tcPr>
            <w:tcW w:w="1219"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blPrEx>
          <w:tblCellMar>
            <w:left w:w="108" w:type="dxa"/>
            <w:right w:w="108" w:type="dxa"/>
          </w:tblCellMar>
        </w:tblPrEx>
        <w:trPr>
          <w:trHeight w:val="3304"/>
        </w:trPr>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53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16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59"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946"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2.审查责任：按照国家和我省关于企业领导人薪酬方案、工资分配方案等相关规定对申报材料进行审查；组织相关人员或科室对材料进行评审论证；提出审核意见。需要报上级有关部门的按程序规定上报。</w:t>
            </w:r>
          </w:p>
        </w:tc>
        <w:tc>
          <w:tcPr>
            <w:tcW w:w="295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1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blPrEx>
          <w:tblCellMar>
            <w:left w:w="108" w:type="dxa"/>
            <w:right w:w="108" w:type="dxa"/>
          </w:tblCellMar>
        </w:tblPrEx>
        <w:trPr>
          <w:trHeight w:val="2024"/>
        </w:trPr>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53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16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59"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8"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2946"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3.决定责任：做出决定。审核同意的，制作结果认定文件；审核不同意的，以便函形式告知申请单位。</w:t>
            </w:r>
          </w:p>
        </w:tc>
        <w:tc>
          <w:tcPr>
            <w:tcW w:w="295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1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blPrEx>
          <w:tblCellMar>
            <w:left w:w="108" w:type="dxa"/>
            <w:right w:w="108" w:type="dxa"/>
          </w:tblCellMar>
        </w:tblPrEx>
        <w:trPr>
          <w:trHeight w:val="6263"/>
        </w:trPr>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53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16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59"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88" w:type="dxa"/>
            <w:tcBorders>
              <w:top w:val="single" w:sz="4" w:space="0" w:color="auto"/>
              <w:left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2946" w:type="dxa"/>
            <w:tcBorders>
              <w:top w:val="single" w:sz="4" w:space="0" w:color="000000"/>
              <w:left w:val="single" w:sz="4" w:space="0" w:color="auto"/>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4.对所监管企业方案落实情况进行检查。</w:t>
            </w:r>
          </w:p>
        </w:tc>
        <w:tc>
          <w:tcPr>
            <w:tcW w:w="2950"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19"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textAlignment w:val="center"/>
        <w:rPr>
          <w:rFonts w:ascii="仿宋" w:eastAsia="仿宋" w:hAnsi="仿宋" w:cs="仿宋"/>
          <w:sz w:val="18"/>
          <w:szCs w:val="18"/>
        </w:rPr>
      </w:pPr>
    </w:p>
    <w:p w:rsidR="008568C5" w:rsidRDefault="00A65D61">
      <w:pPr>
        <w:autoSpaceDN w:val="0"/>
        <w:snapToGrid w:val="0"/>
        <w:jc w:val="center"/>
        <w:textAlignment w:val="center"/>
      </w:pPr>
      <w:r>
        <w:rPr>
          <w:rFonts w:ascii="仿宋" w:eastAsia="仿宋" w:hAnsi="仿宋" w:cs="仿宋"/>
          <w:sz w:val="18"/>
          <w:szCs w:val="18"/>
        </w:rPr>
        <w:br w:type="page"/>
      </w:r>
    </w:p>
    <w:p w:rsidR="008568C5" w:rsidRDefault="008568C5"/>
    <w:tbl>
      <w:tblPr>
        <w:tblpPr w:leftFromText="180" w:rightFromText="180" w:vertAnchor="text" w:horzAnchor="page" w:tblpX="991" w:tblpY="163"/>
        <w:tblOverlap w:val="never"/>
        <w:tblW w:w="15671" w:type="dxa"/>
        <w:tblLayout w:type="fixed"/>
        <w:tblLook w:val="04A0"/>
      </w:tblPr>
      <w:tblGrid>
        <w:gridCol w:w="1601"/>
        <w:gridCol w:w="1080"/>
        <w:gridCol w:w="2985"/>
        <w:gridCol w:w="1080"/>
        <w:gridCol w:w="1080"/>
        <w:gridCol w:w="3855"/>
        <w:gridCol w:w="2910"/>
        <w:gridCol w:w="1080"/>
      </w:tblGrid>
      <w:tr w:rsidR="008568C5">
        <w:trPr>
          <w:trHeight w:val="1002"/>
        </w:trPr>
        <w:tc>
          <w:tcPr>
            <w:tcW w:w="1601"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序号</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298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91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1390"/>
        </w:trPr>
        <w:tc>
          <w:tcPr>
            <w:tcW w:w="1601"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73</w:t>
            </w:r>
          </w:p>
        </w:tc>
        <w:tc>
          <w:tcPr>
            <w:tcW w:w="1080"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指导所监管企业董事会、监事会的建设</w:t>
            </w:r>
          </w:p>
        </w:tc>
        <w:tc>
          <w:tcPr>
            <w:tcW w:w="2985"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《企业国有资产监督管理暂行条例》：第十七条　国有资产监督管理机构依照有关规定，任免或者建议任免所出资企业的企业负责人：（一）任免国有独资企业的总经理、副总经理、总会计师及其他企业负责人；（二）任免国有独资公司的董事长、副董事长、董事，并向其提出总经理、副总经理、总会计师等的任免建议；（三）依照公司章程，提出向国有控股的公司派出的董事、监事人选，推荐国有控股的公司的董事长、副董事长和监事会主席人选，并向其提出总经理、副总经理、总会计师人选的建议；（四）依照公司章程，提出向国有参股的公司派出的董事、监事人选。</w:t>
            </w:r>
          </w:p>
        </w:tc>
        <w:tc>
          <w:tcPr>
            <w:tcW w:w="1080"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080"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依照相关法律法规执行</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负责：（一）任免国有独资企业的总经理、副总经理、总会计师及其他企业负责人；（二）任免国有独资公司的董事长、副董事长、董事，并向其提出总经理、副总经理、总会计师等的任免建议；</w:t>
            </w:r>
          </w:p>
        </w:tc>
        <w:tc>
          <w:tcPr>
            <w:tcW w:w="2910"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三十八条：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tc>
        <w:tc>
          <w:tcPr>
            <w:tcW w:w="1080"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1287"/>
        </w:trPr>
        <w:tc>
          <w:tcPr>
            <w:tcW w:w="1601"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985"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负责：依照公司单程，提出国有控股的公司派出的董事、监事人选，推荐国有控股的</w:t>
            </w:r>
            <w:proofErr w:type="gramStart"/>
            <w:r>
              <w:rPr>
                <w:rFonts w:ascii="仿宋" w:eastAsia="仿宋" w:hAnsi="仿宋" w:cs="仿宋" w:hint="eastAsia"/>
                <w:szCs w:val="21"/>
              </w:rPr>
              <w:t>的</w:t>
            </w:r>
            <w:proofErr w:type="gramEnd"/>
            <w:r>
              <w:rPr>
                <w:rFonts w:ascii="仿宋" w:eastAsia="仿宋" w:hAnsi="仿宋" w:cs="仿宋" w:hint="eastAsia"/>
                <w:szCs w:val="21"/>
              </w:rPr>
              <w:t>董事长、副董事长和监事会主席人选，并向其提出总经理、副总经理、总会计师人选的建议。</w:t>
            </w:r>
          </w:p>
        </w:tc>
        <w:tc>
          <w:tcPr>
            <w:tcW w:w="2910"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trPr>
        <w:tc>
          <w:tcPr>
            <w:tcW w:w="1601"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985"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负责：依照公司单程，提出向国有参股的公司派出的董事、监事人选。</w:t>
            </w:r>
          </w:p>
        </w:tc>
        <w:tc>
          <w:tcPr>
            <w:tcW w:w="2910"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pPr>
      <w:r>
        <w:rPr>
          <w:rFonts w:ascii="仿宋" w:eastAsia="仿宋" w:hAnsi="仿宋" w:cs="仿宋"/>
          <w:szCs w:val="21"/>
        </w:rPr>
        <w:br w:type="page"/>
      </w:r>
    </w:p>
    <w:tbl>
      <w:tblPr>
        <w:tblW w:w="14917" w:type="dxa"/>
        <w:tblInd w:w="-578" w:type="dxa"/>
        <w:tblLayout w:type="fixed"/>
        <w:tblLook w:val="04A0"/>
      </w:tblPr>
      <w:tblGrid>
        <w:gridCol w:w="963"/>
        <w:gridCol w:w="1075"/>
        <w:gridCol w:w="4036"/>
        <w:gridCol w:w="996"/>
        <w:gridCol w:w="906"/>
        <w:gridCol w:w="3855"/>
        <w:gridCol w:w="1885"/>
        <w:gridCol w:w="1201"/>
      </w:tblGrid>
      <w:tr w:rsidR="008568C5">
        <w:trPr>
          <w:trHeight w:val="1002"/>
        </w:trPr>
        <w:tc>
          <w:tcPr>
            <w:tcW w:w="963"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lastRenderedPageBreak/>
              <w:t>序号</w:t>
            </w:r>
          </w:p>
        </w:tc>
        <w:tc>
          <w:tcPr>
            <w:tcW w:w="107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403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99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90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188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1201"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1002"/>
        </w:trPr>
        <w:tc>
          <w:tcPr>
            <w:tcW w:w="963"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74</w:t>
            </w:r>
          </w:p>
        </w:tc>
        <w:tc>
          <w:tcPr>
            <w:tcW w:w="1075"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审核所监管企业负责人薪酬方案，规范履职待遇、业务支出</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十六条“国有资产监督管理机构应当建立健全适应现代企业制度要求的企业负责人的选用机制和激励约束机制”。第十九条“国有资产监督管理机构应当依照有关规定，确定所出资企业中的国有独资企业、国有独资公司的企业负责人的薪酬”</w:t>
            </w: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906"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依照相关法法规执行</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负责建立健全适应现代企业制度要求的企业负责人的选用机制和激励约束机制。</w:t>
            </w:r>
          </w:p>
        </w:tc>
        <w:tc>
          <w:tcPr>
            <w:tcW w:w="1885"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w:t>
            </w:r>
          </w:p>
        </w:tc>
        <w:tc>
          <w:tcPr>
            <w:tcW w:w="1201"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1002"/>
        </w:trPr>
        <w:tc>
          <w:tcPr>
            <w:tcW w:w="963"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7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4036"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06"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855"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负责依照有关规定，确定所出资企业中的国有独资企业、国有独资公司的企业负责人薪酬。</w:t>
            </w:r>
          </w:p>
        </w:tc>
        <w:tc>
          <w:tcPr>
            <w:tcW w:w="188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1"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02"/>
        </w:trPr>
        <w:tc>
          <w:tcPr>
            <w:tcW w:w="963" w:type="dxa"/>
            <w:vMerge w:val="restart"/>
            <w:tcBorders>
              <w:top w:val="single" w:sz="4" w:space="0" w:color="auto"/>
              <w:left w:val="single" w:sz="4" w:space="0" w:color="auto"/>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75</w:t>
            </w:r>
          </w:p>
        </w:tc>
        <w:tc>
          <w:tcPr>
            <w:tcW w:w="1075" w:type="dxa"/>
            <w:vMerge w:val="restart"/>
            <w:tcBorders>
              <w:top w:val="single" w:sz="4" w:space="0" w:color="auto"/>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依法对需要出资人决定的重大事项研究提出建议</w:t>
            </w:r>
          </w:p>
        </w:tc>
        <w:tc>
          <w:tcPr>
            <w:tcW w:w="4036" w:type="dxa"/>
            <w:vMerge w:val="restart"/>
            <w:tcBorders>
              <w:top w:val="single" w:sz="4" w:space="0" w:color="auto"/>
              <w:left w:val="single" w:sz="4" w:space="0" w:color="000000"/>
              <w:bottom w:val="single" w:sz="4" w:space="0" w:color="000000"/>
              <w:right w:val="single" w:sz="4" w:space="0" w:color="000000"/>
            </w:tcBorders>
            <w:vAlign w:val="center"/>
          </w:tcPr>
          <w:p w:rsidR="008568C5" w:rsidRDefault="00A65D61">
            <w:pPr>
              <w:numPr>
                <w:ilvl w:val="0"/>
                <w:numId w:val="1"/>
              </w:num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制定修改或参与制</w:t>
            </w:r>
            <w:proofErr w:type="gramStart"/>
            <w:r>
              <w:rPr>
                <w:rFonts w:ascii="仿宋" w:eastAsia="仿宋" w:hAnsi="仿宋" w:cs="仿宋" w:hint="eastAsia"/>
                <w:sz w:val="18"/>
                <w:szCs w:val="18"/>
              </w:rPr>
              <w:t>定修改</w:t>
            </w:r>
            <w:proofErr w:type="gramEnd"/>
            <w:r>
              <w:rPr>
                <w:rFonts w:ascii="仿宋" w:eastAsia="仿宋" w:hAnsi="仿宋" w:cs="仿宋" w:hint="eastAsia"/>
                <w:sz w:val="18"/>
                <w:szCs w:val="18"/>
              </w:rPr>
              <w:t xml:space="preserve">公司章程： 《公司法》第23条：“股东共同制定公司章程……”。第37条：“修改公司章程”。 </w:t>
            </w:r>
            <w:r>
              <w:rPr>
                <w:rFonts w:ascii="仿宋" w:eastAsia="仿宋" w:hAnsi="仿宋" w:cs="仿宋" w:hint="eastAsia"/>
                <w:sz w:val="18"/>
                <w:szCs w:val="18"/>
              </w:rPr>
              <w:br/>
              <w:t>（二）审核公司重大经济事项：</w:t>
            </w:r>
            <w:r>
              <w:rPr>
                <w:rFonts w:ascii="仿宋" w:eastAsia="仿宋" w:hAnsi="仿宋" w:cs="仿宋" w:hint="eastAsia"/>
                <w:sz w:val="18"/>
                <w:szCs w:val="18"/>
              </w:rPr>
              <w:br/>
              <w:t>1.《公司法》第37条：“（九）对公司合并、分立、解散、清算或者变更公司形式</w:t>
            </w:r>
            <w:proofErr w:type="gramStart"/>
            <w:r>
              <w:rPr>
                <w:rFonts w:ascii="仿宋" w:eastAsia="仿宋" w:hAnsi="仿宋" w:cs="仿宋" w:hint="eastAsia"/>
                <w:sz w:val="18"/>
                <w:szCs w:val="18"/>
              </w:rPr>
              <w:t>作出</w:t>
            </w:r>
            <w:proofErr w:type="gramEnd"/>
            <w:r>
              <w:rPr>
                <w:rFonts w:ascii="仿宋" w:eastAsia="仿宋" w:hAnsi="仿宋" w:cs="仿宋" w:hint="eastAsia"/>
                <w:sz w:val="18"/>
                <w:szCs w:val="18"/>
              </w:rPr>
              <w:t xml:space="preserve">决议；” 2.《企业国有资产监督管理暂行条例》（国务院令第378号）第22条：“国有资产监督管理机构依照公司法的规定，派出股东代表、董事，参加国有控股的公司、国有参股的公司的股东会、董事会。 国有控股的公司、国有参股的公司的股东会、董事会决定公司的分立、合并、破产、解散、增减资本、发行公司债券、任免企业负责人等重大事项时，国有资产监督管理机构派出的股东代表、董事，应当按照国有资产监督管理机构的指示发表意见、行使表决权。 </w:t>
            </w:r>
          </w:p>
          <w:p w:rsidR="008568C5" w:rsidRDefault="00A65D61">
            <w:pPr>
              <w:numPr>
                <w:ilvl w:val="0"/>
                <w:numId w:val="1"/>
              </w:num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（三）投资负面清单管理：《国务院关于改革和完善国有资产管理体制的若干意见》（国发〔2015〕63 号）：国有资产监管机构根据政府宏观政策和有关管理要求，建立健全国有资本进退机制，制定国有资本投资负面清单。</w:t>
            </w:r>
          </w:p>
        </w:tc>
        <w:tc>
          <w:tcPr>
            <w:tcW w:w="996" w:type="dxa"/>
            <w:vMerge w:val="restart"/>
            <w:tcBorders>
              <w:top w:val="single" w:sz="4" w:space="0" w:color="auto"/>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906"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855" w:type="dxa"/>
            <w:tcBorders>
              <w:top w:val="single" w:sz="4" w:space="0" w:color="auto"/>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1.受理责任：明确告知申报单位依法应当提交的材料；一次性告知需补齐材料；依法受理或不予受理（不予受理的需明确告知理由）。</w:t>
            </w:r>
          </w:p>
        </w:tc>
        <w:tc>
          <w:tcPr>
            <w:tcW w:w="1885" w:type="dxa"/>
            <w:vMerge w:val="restart"/>
            <w:tcBorders>
              <w:top w:val="single" w:sz="4" w:space="0" w:color="auto"/>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 w:val="20"/>
                <w:szCs w:val="20"/>
              </w:rPr>
            </w:pPr>
            <w:r>
              <w:rPr>
                <w:rFonts w:ascii="仿宋" w:eastAsia="仿宋" w:hAnsi="仿宋" w:cs="仿宋" w:hint="eastAsia"/>
                <w:color w:val="000000"/>
                <w:kern w:val="0"/>
                <w:sz w:val="20"/>
                <w:szCs w:val="20"/>
              </w:rPr>
              <w:t xml:space="preserve">《中华人民共和国企业国有资产法》第六十八条： 履行出资人职责的机构有下列行为之一的，对其直接负责的主管人员和其他直接责任人员依法给予处分：（1）违反法定的权限、程序，决定国家出资企业重大事项，造成国有资产损失的； （2）有其他不依法履行出资人职责的行为，造成国有资产损失的。 </w:t>
            </w:r>
            <w:r>
              <w:rPr>
                <w:rFonts w:ascii="仿宋" w:eastAsia="仿宋" w:hAnsi="仿宋" w:cs="仿宋" w:hint="eastAsia"/>
                <w:color w:val="000000"/>
                <w:kern w:val="0"/>
                <w:sz w:val="20"/>
                <w:szCs w:val="20"/>
              </w:rPr>
              <w:br/>
              <w:t xml:space="preserve">  </w:t>
            </w:r>
          </w:p>
        </w:tc>
        <w:tc>
          <w:tcPr>
            <w:tcW w:w="1201" w:type="dxa"/>
            <w:vMerge w:val="restart"/>
            <w:tcBorders>
              <w:top w:val="single" w:sz="4" w:space="0" w:color="auto"/>
              <w:left w:val="single" w:sz="4" w:space="0" w:color="000000"/>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330"/>
        </w:trPr>
        <w:tc>
          <w:tcPr>
            <w:tcW w:w="963" w:type="dxa"/>
            <w:vMerge/>
            <w:tcBorders>
              <w:top w:val="single" w:sz="4" w:space="0" w:color="000000"/>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7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4036"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top w:val="single" w:sz="4" w:space="0" w:color="000000"/>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06"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855" w:type="dxa"/>
            <w:tcBorders>
              <w:top w:val="single" w:sz="4" w:space="0" w:color="000000"/>
              <w:left w:val="single" w:sz="4" w:space="0" w:color="auto"/>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2.审查责任：按照国家和我省关于企业重大事项的相关规定对申报材料进行审查；组织相关人员对材料进行评审论证；提出审核意见。需要报上级有关部门的按程序规定上报。</w:t>
            </w:r>
          </w:p>
        </w:tc>
        <w:tc>
          <w:tcPr>
            <w:tcW w:w="188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1"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30"/>
        </w:trPr>
        <w:tc>
          <w:tcPr>
            <w:tcW w:w="963" w:type="dxa"/>
            <w:vMerge/>
            <w:tcBorders>
              <w:top w:val="single" w:sz="4" w:space="0" w:color="000000"/>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7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4036"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06"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855"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3.决定责任：做出决定。审核同意的，制作结果认定文件；审核不同意的，以便函形式告知申请单位。</w:t>
            </w:r>
          </w:p>
        </w:tc>
        <w:tc>
          <w:tcPr>
            <w:tcW w:w="1885" w:type="dxa"/>
            <w:vMerge/>
            <w:tcBorders>
              <w:top w:val="single" w:sz="4" w:space="0" w:color="000000"/>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1"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trPr>
        <w:tc>
          <w:tcPr>
            <w:tcW w:w="963" w:type="dxa"/>
            <w:vMerge/>
            <w:tcBorders>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75"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4036"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96"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06" w:type="dxa"/>
            <w:tcBorders>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3855"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4.对所监管企业方案落实情况进行检查。</w:t>
            </w:r>
          </w:p>
        </w:tc>
        <w:tc>
          <w:tcPr>
            <w:tcW w:w="1885"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1"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pPr>
    </w:p>
    <w:p w:rsidR="008568C5" w:rsidRDefault="008568C5"/>
    <w:tbl>
      <w:tblPr>
        <w:tblW w:w="15450" w:type="dxa"/>
        <w:jc w:val="center"/>
        <w:tblLayout w:type="fixed"/>
        <w:tblCellMar>
          <w:left w:w="0" w:type="dxa"/>
          <w:right w:w="0" w:type="dxa"/>
        </w:tblCellMar>
        <w:tblLook w:val="04A0"/>
      </w:tblPr>
      <w:tblGrid>
        <w:gridCol w:w="1144"/>
        <w:gridCol w:w="1376"/>
        <w:gridCol w:w="3865"/>
        <w:gridCol w:w="657"/>
        <w:gridCol w:w="788"/>
        <w:gridCol w:w="3722"/>
        <w:gridCol w:w="2847"/>
        <w:gridCol w:w="1051"/>
      </w:tblGrid>
      <w:tr w:rsidR="008568C5">
        <w:trPr>
          <w:trHeight w:val="635"/>
          <w:jc w:val="center"/>
        </w:trPr>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3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8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72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05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54"/>
          <w:jc w:val="center"/>
        </w:trPr>
        <w:tc>
          <w:tcPr>
            <w:tcW w:w="114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76</w:t>
            </w:r>
          </w:p>
        </w:tc>
        <w:tc>
          <w:tcPr>
            <w:tcW w:w="1376"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农村综合改革和基层财政管理财政专项资金拨付和绩效评价</w:t>
            </w:r>
          </w:p>
        </w:tc>
        <w:tc>
          <w:tcPr>
            <w:tcW w:w="3865" w:type="dxa"/>
            <w:vMerge w:val="restart"/>
            <w:tcBorders>
              <w:top w:val="single" w:sz="4" w:space="0" w:color="000000"/>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预算法》第五十二条：“……县级以上地方各级预算安排对下级政府的一般性转移支付和专项转移支付，应当分别在本级人民代表大会批准预算后的三十日和六十日内正式下达。……”第五十三条：“各级预算由本级政府组织执行，具体工作由本级政府财政部门负责。”第五十七条：“各级政府财政部门必须依照法律、行政法规和国务院财政部门的规定，及时、足额地拨付预算支出资金，加强对预算支出的管理和监督。”</w:t>
            </w:r>
          </w:p>
        </w:tc>
        <w:tc>
          <w:tcPr>
            <w:tcW w:w="65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788"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资金安排</w:t>
            </w:r>
          </w:p>
        </w:tc>
        <w:tc>
          <w:tcPr>
            <w:tcW w:w="3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1.资金安排责任：编制年度预算时，由农业农村股提出专项资金安排建议，并</w:t>
            </w:r>
            <w:proofErr w:type="gramStart"/>
            <w:r>
              <w:rPr>
                <w:rFonts w:ascii="仿宋" w:eastAsia="仿宋" w:hAnsi="仿宋" w:cs="仿宋" w:hint="eastAsia"/>
                <w:szCs w:val="21"/>
              </w:rPr>
              <w:t>报预算</w:t>
            </w:r>
            <w:proofErr w:type="gramEnd"/>
            <w:r>
              <w:rPr>
                <w:rFonts w:ascii="仿宋" w:eastAsia="仿宋" w:hAnsi="仿宋" w:cs="仿宋" w:hint="eastAsia"/>
                <w:szCs w:val="21"/>
              </w:rPr>
              <w:t>股，预算</w:t>
            </w:r>
            <w:proofErr w:type="gramStart"/>
            <w:r>
              <w:rPr>
                <w:rFonts w:ascii="仿宋" w:eastAsia="仿宋" w:hAnsi="仿宋" w:cs="仿宋" w:hint="eastAsia"/>
                <w:szCs w:val="21"/>
              </w:rPr>
              <w:t>股根据</w:t>
            </w:r>
            <w:proofErr w:type="gramEnd"/>
            <w:r>
              <w:rPr>
                <w:rFonts w:ascii="仿宋" w:eastAsia="仿宋" w:hAnsi="仿宋" w:cs="仿宋" w:hint="eastAsia"/>
                <w:szCs w:val="21"/>
              </w:rPr>
              <w:t xml:space="preserve">项目轻重缓急情况和县级财力状况提出安排意见按程序报批。                       </w:t>
            </w:r>
          </w:p>
        </w:tc>
        <w:tc>
          <w:tcPr>
            <w:tcW w:w="2847"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20"/>
                <w:szCs w:val="20"/>
              </w:rPr>
              <w:t>《中华人民共和国公务员法》第五十九条：公务员应当遵纪守法，不得有下列行为：1.不担当，不作为，玩忽职守，贻误工作；2.拒绝执行上级依法</w:t>
            </w:r>
            <w:proofErr w:type="gramStart"/>
            <w:r>
              <w:rPr>
                <w:rFonts w:ascii="仿宋" w:eastAsia="仿宋" w:hAnsi="仿宋" w:cs="仿宋" w:hint="eastAsia"/>
                <w:sz w:val="20"/>
                <w:szCs w:val="20"/>
              </w:rPr>
              <w:t>作出</w:t>
            </w:r>
            <w:proofErr w:type="gramEnd"/>
            <w:r>
              <w:rPr>
                <w:rFonts w:ascii="仿宋" w:eastAsia="仿宋" w:hAnsi="仿宋" w:cs="仿宋" w:hint="eastAsia"/>
                <w:sz w:val="20"/>
                <w:szCs w:val="20"/>
              </w:rPr>
              <w:t>的决定和命令；3.对批评、申诉、控告、检举进行压制或者打击报复；4.弄虚作假，误导、欺骗领导和公众；5.贪污贿赂，利用职务之便为自己或者他人谋取私利；6.违反财经纪律，浪费国家资财；7.滥用职权，侵害公民、法人或者其他组织的合法权益；8.泄露国家秘密或者工作秘密；9.违纪违法的其他行为。</w:t>
            </w:r>
          </w:p>
        </w:tc>
        <w:tc>
          <w:tcPr>
            <w:tcW w:w="1051"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税政与条法股、农村农业股</w:t>
            </w:r>
          </w:p>
        </w:tc>
      </w:tr>
      <w:tr w:rsidR="008568C5">
        <w:trPr>
          <w:trHeight w:val="65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6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5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分配下达</w:t>
            </w:r>
          </w:p>
        </w:tc>
        <w:tc>
          <w:tcPr>
            <w:tcW w:w="3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2.分配下达责任：农业农村股提出专项资金初步分配意见，</w:t>
            </w:r>
            <w:proofErr w:type="gramStart"/>
            <w:r>
              <w:rPr>
                <w:rFonts w:ascii="仿宋" w:eastAsia="仿宋" w:hAnsi="仿宋" w:cs="仿宋" w:hint="eastAsia"/>
                <w:szCs w:val="21"/>
              </w:rPr>
              <w:t>报预算</w:t>
            </w:r>
            <w:proofErr w:type="gramEnd"/>
            <w:r>
              <w:rPr>
                <w:rFonts w:ascii="仿宋" w:eastAsia="仿宋" w:hAnsi="仿宋" w:cs="仿宋" w:hint="eastAsia"/>
                <w:szCs w:val="21"/>
              </w:rPr>
              <w:t>科审核后按程序下达。</w:t>
            </w:r>
          </w:p>
        </w:tc>
        <w:tc>
          <w:tcPr>
            <w:tcW w:w="284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94"/>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6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5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组织评价</w:t>
            </w:r>
          </w:p>
        </w:tc>
        <w:tc>
          <w:tcPr>
            <w:tcW w:w="3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3.组织评价责任：直接组织对专项资金的绩效评价。</w:t>
            </w:r>
          </w:p>
        </w:tc>
        <w:tc>
          <w:tcPr>
            <w:tcW w:w="284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62"/>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6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5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结果运用</w:t>
            </w:r>
          </w:p>
        </w:tc>
        <w:tc>
          <w:tcPr>
            <w:tcW w:w="3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4.结果运用责任将绩效评价结果作为以后年度预算安排的重要参考。</w:t>
            </w:r>
          </w:p>
        </w:tc>
        <w:tc>
          <w:tcPr>
            <w:tcW w:w="284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99"/>
          <w:jc w:val="center"/>
        </w:trPr>
        <w:tc>
          <w:tcPr>
            <w:tcW w:w="1144"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37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865"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5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788"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847"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1"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tbl>
      <w:tblPr>
        <w:tblStyle w:val="a6"/>
        <w:tblW w:w="15449" w:type="dxa"/>
        <w:tblInd w:w="-1008" w:type="dxa"/>
        <w:tblLayout w:type="fixed"/>
        <w:tblLook w:val="04A0"/>
      </w:tblPr>
      <w:tblGrid>
        <w:gridCol w:w="1161"/>
        <w:gridCol w:w="1358"/>
        <w:gridCol w:w="3854"/>
        <w:gridCol w:w="700"/>
        <w:gridCol w:w="767"/>
        <w:gridCol w:w="3744"/>
        <w:gridCol w:w="2847"/>
        <w:gridCol w:w="1018"/>
      </w:tblGrid>
      <w:tr w:rsidR="008568C5">
        <w:tc>
          <w:tcPr>
            <w:tcW w:w="1161" w:type="dxa"/>
            <w:vMerge w:val="restart"/>
            <w:vAlign w:val="center"/>
          </w:tcPr>
          <w:p w:rsidR="008568C5" w:rsidRDefault="00A65D61">
            <w:pPr>
              <w:autoSpaceDN w:val="0"/>
              <w:snapToGrid w:val="0"/>
              <w:ind w:firstLineChars="200" w:firstLine="420"/>
              <w:textAlignment w:val="center"/>
              <w:rPr>
                <w:rFonts w:ascii="仿宋" w:eastAsia="仿宋" w:hAnsi="仿宋" w:cs="仿宋"/>
                <w:szCs w:val="21"/>
              </w:rPr>
            </w:pPr>
            <w:r>
              <w:rPr>
                <w:rFonts w:ascii="仿宋" w:eastAsia="仿宋" w:hAnsi="仿宋" w:cs="仿宋" w:hint="eastAsia"/>
                <w:szCs w:val="21"/>
              </w:rPr>
              <w:t>77</w:t>
            </w:r>
          </w:p>
        </w:tc>
        <w:tc>
          <w:tcPr>
            <w:tcW w:w="1358" w:type="dxa"/>
            <w:vMerge w:val="restart"/>
          </w:tcPr>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8568C5">
            <w:pPr>
              <w:autoSpaceDN w:val="0"/>
              <w:snapToGrid w:val="0"/>
              <w:jc w:val="left"/>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承担所出资的国有独资公司章程的审核工作</w:t>
            </w:r>
          </w:p>
        </w:tc>
        <w:tc>
          <w:tcPr>
            <w:tcW w:w="3854" w:type="dxa"/>
            <w:vMerge w:val="restart"/>
          </w:tcPr>
          <w:p w:rsidR="008568C5" w:rsidRDefault="00A65D61">
            <w:pPr>
              <w:autoSpaceDN w:val="0"/>
              <w:snapToGrid w:val="0"/>
              <w:jc w:val="left"/>
              <w:textAlignment w:val="center"/>
              <w:rPr>
                <w:rFonts w:ascii="仿宋" w:eastAsia="仿宋" w:hAnsi="仿宋" w:cs="仿宋"/>
                <w:sz w:val="16"/>
                <w:szCs w:val="16"/>
              </w:rPr>
            </w:pPr>
            <w:r>
              <w:rPr>
                <w:rFonts w:ascii="仿宋" w:eastAsia="仿宋" w:hAnsi="仿宋" w:cs="仿宋" w:hint="eastAsia"/>
                <w:sz w:val="20"/>
                <w:szCs w:val="20"/>
              </w:rPr>
              <w:t>《企业国有资产法》第十二条“ 履行出资人职责的机构依照法律、行政法规的规定，制定或者参与制定国家出资企业的章程”。《公司法》第二十三条“设立有限责任公司，应当具备下列条件：（三）股东共同制定公司章程”；第三十七条“ 股东会行使下列职权；（十）修改公司章程”；第六十五条“ 国有独资公司章程由国有资产监督管理机构制定，或者由董事会制订报国有资产监督管理机构批准。”《企业国有资产监督管理暂行条例》（国务院令第378号）第二十条“ 国有资产监督管理机构负责指导国有及国有控股企业建立现代企业制度，审核批准其所出资企业中的国有独资企业、国有独资公司的重组、股份制改造方案和所出资企业中的国有独资公司的章程”。</w:t>
            </w:r>
          </w:p>
        </w:tc>
        <w:tc>
          <w:tcPr>
            <w:tcW w:w="700" w:type="dxa"/>
            <w:vMerge w:val="restart"/>
          </w:tcPr>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767"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国家出资企业单程制定修改或参与制</w:t>
            </w:r>
            <w:proofErr w:type="gramStart"/>
            <w:r>
              <w:rPr>
                <w:rFonts w:ascii="仿宋" w:eastAsia="仿宋" w:hAnsi="仿宋" w:cs="仿宋" w:hint="eastAsia"/>
                <w:szCs w:val="21"/>
              </w:rPr>
              <w:t>定修改</w:t>
            </w:r>
            <w:proofErr w:type="gramEnd"/>
          </w:p>
        </w:tc>
        <w:tc>
          <w:tcPr>
            <w:tcW w:w="37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审核批准其所出资企业中的国有独资企业，国有独资公司的重组、股份制改造方案和所出资企业中的国有独资公司的章程。国有独资五年成功章程由国有资产监管管理机构制定，或者由董事会制订报国有资产监督管理机构批准。</w:t>
            </w:r>
          </w:p>
        </w:tc>
        <w:tc>
          <w:tcPr>
            <w:tcW w:w="2847"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1018"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资产管理股、县属功能类公益类国有资产监管办公室</w:t>
            </w:r>
          </w:p>
        </w:tc>
      </w:tr>
      <w:tr w:rsidR="008568C5">
        <w:trPr>
          <w:trHeight w:val="1536"/>
        </w:trPr>
        <w:tc>
          <w:tcPr>
            <w:tcW w:w="1161" w:type="dxa"/>
            <w:vMerge/>
          </w:tcPr>
          <w:p w:rsidR="008568C5" w:rsidRDefault="008568C5">
            <w:pPr>
              <w:autoSpaceDN w:val="0"/>
              <w:snapToGrid w:val="0"/>
              <w:jc w:val="center"/>
              <w:textAlignment w:val="center"/>
              <w:rPr>
                <w:rFonts w:ascii="仿宋" w:eastAsia="仿宋" w:hAnsi="仿宋" w:cs="仿宋"/>
                <w:szCs w:val="21"/>
              </w:rPr>
            </w:pPr>
          </w:p>
        </w:tc>
        <w:tc>
          <w:tcPr>
            <w:tcW w:w="1358" w:type="dxa"/>
            <w:vMerge/>
          </w:tcPr>
          <w:p w:rsidR="008568C5" w:rsidRDefault="008568C5">
            <w:pPr>
              <w:autoSpaceDN w:val="0"/>
              <w:snapToGrid w:val="0"/>
              <w:jc w:val="center"/>
              <w:textAlignment w:val="center"/>
              <w:rPr>
                <w:rFonts w:ascii="仿宋" w:eastAsia="仿宋" w:hAnsi="仿宋" w:cs="仿宋"/>
                <w:szCs w:val="21"/>
              </w:rPr>
            </w:pPr>
          </w:p>
        </w:tc>
        <w:tc>
          <w:tcPr>
            <w:tcW w:w="3854" w:type="dxa"/>
            <w:vMerge/>
          </w:tcPr>
          <w:p w:rsidR="008568C5" w:rsidRDefault="008568C5">
            <w:pPr>
              <w:autoSpaceDN w:val="0"/>
              <w:snapToGrid w:val="0"/>
              <w:jc w:val="center"/>
              <w:textAlignment w:val="center"/>
              <w:rPr>
                <w:rFonts w:ascii="仿宋" w:eastAsia="仿宋" w:hAnsi="仿宋" w:cs="仿宋"/>
                <w:szCs w:val="21"/>
              </w:rPr>
            </w:pPr>
          </w:p>
        </w:tc>
        <w:tc>
          <w:tcPr>
            <w:tcW w:w="700" w:type="dxa"/>
            <w:vMerge/>
          </w:tcPr>
          <w:p w:rsidR="008568C5" w:rsidRDefault="008568C5">
            <w:pPr>
              <w:autoSpaceDN w:val="0"/>
              <w:snapToGrid w:val="0"/>
              <w:jc w:val="center"/>
              <w:textAlignment w:val="center"/>
              <w:rPr>
                <w:rFonts w:ascii="仿宋" w:eastAsia="仿宋" w:hAnsi="仿宋" w:cs="仿宋"/>
                <w:szCs w:val="21"/>
              </w:rPr>
            </w:pPr>
          </w:p>
        </w:tc>
        <w:tc>
          <w:tcPr>
            <w:tcW w:w="76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7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对所监管企业章程的落实情况进行检查</w:t>
            </w:r>
          </w:p>
        </w:tc>
        <w:tc>
          <w:tcPr>
            <w:tcW w:w="28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18"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40"/>
        </w:trPr>
        <w:tc>
          <w:tcPr>
            <w:tcW w:w="1161" w:type="dxa"/>
            <w:vMerge/>
          </w:tcPr>
          <w:p w:rsidR="008568C5" w:rsidRDefault="008568C5">
            <w:pPr>
              <w:autoSpaceDN w:val="0"/>
              <w:snapToGrid w:val="0"/>
              <w:jc w:val="center"/>
              <w:textAlignment w:val="center"/>
              <w:rPr>
                <w:rFonts w:ascii="仿宋" w:eastAsia="仿宋" w:hAnsi="仿宋" w:cs="仿宋"/>
                <w:szCs w:val="21"/>
              </w:rPr>
            </w:pPr>
          </w:p>
        </w:tc>
        <w:tc>
          <w:tcPr>
            <w:tcW w:w="1358" w:type="dxa"/>
            <w:vMerge/>
          </w:tcPr>
          <w:p w:rsidR="008568C5" w:rsidRDefault="008568C5">
            <w:pPr>
              <w:autoSpaceDN w:val="0"/>
              <w:snapToGrid w:val="0"/>
              <w:jc w:val="center"/>
              <w:textAlignment w:val="center"/>
              <w:rPr>
                <w:rFonts w:ascii="仿宋" w:eastAsia="仿宋" w:hAnsi="仿宋" w:cs="仿宋"/>
                <w:szCs w:val="21"/>
              </w:rPr>
            </w:pPr>
          </w:p>
        </w:tc>
        <w:tc>
          <w:tcPr>
            <w:tcW w:w="3854" w:type="dxa"/>
            <w:vMerge/>
          </w:tcPr>
          <w:p w:rsidR="008568C5" w:rsidRDefault="008568C5">
            <w:pPr>
              <w:autoSpaceDN w:val="0"/>
              <w:snapToGrid w:val="0"/>
              <w:jc w:val="center"/>
              <w:textAlignment w:val="center"/>
              <w:rPr>
                <w:rFonts w:ascii="仿宋" w:eastAsia="仿宋" w:hAnsi="仿宋" w:cs="仿宋"/>
                <w:szCs w:val="21"/>
              </w:rPr>
            </w:pPr>
          </w:p>
        </w:tc>
        <w:tc>
          <w:tcPr>
            <w:tcW w:w="700" w:type="dxa"/>
            <w:vMerge/>
          </w:tcPr>
          <w:p w:rsidR="008568C5" w:rsidRDefault="008568C5">
            <w:pPr>
              <w:autoSpaceDN w:val="0"/>
              <w:snapToGrid w:val="0"/>
              <w:jc w:val="center"/>
              <w:textAlignment w:val="center"/>
              <w:rPr>
                <w:rFonts w:ascii="仿宋" w:eastAsia="仿宋" w:hAnsi="仿宋" w:cs="仿宋"/>
                <w:szCs w:val="21"/>
              </w:rPr>
            </w:pPr>
          </w:p>
        </w:tc>
        <w:tc>
          <w:tcPr>
            <w:tcW w:w="767" w:type="dxa"/>
            <w:vMerge/>
            <w:vAlign w:val="center"/>
          </w:tcPr>
          <w:p w:rsidR="008568C5" w:rsidRDefault="008568C5">
            <w:pPr>
              <w:autoSpaceDN w:val="0"/>
              <w:snapToGrid w:val="0"/>
              <w:jc w:val="center"/>
              <w:textAlignment w:val="center"/>
              <w:rPr>
                <w:rFonts w:ascii="仿宋" w:eastAsia="仿宋" w:hAnsi="仿宋" w:cs="仿宋"/>
                <w:szCs w:val="21"/>
              </w:rPr>
            </w:pPr>
          </w:p>
        </w:tc>
        <w:tc>
          <w:tcPr>
            <w:tcW w:w="37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284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18"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802306">
      <w:pPr>
        <w:autoSpaceDN w:val="0"/>
        <w:snapToGrid w:val="0"/>
        <w:textAlignment w:val="center"/>
      </w:pPr>
    </w:p>
    <w:tbl>
      <w:tblPr>
        <w:tblW w:w="15198" w:type="dxa"/>
        <w:tblInd w:w="-690" w:type="dxa"/>
        <w:tblLayout w:type="fixed"/>
        <w:tblLook w:val="04A0"/>
      </w:tblPr>
      <w:tblGrid>
        <w:gridCol w:w="898"/>
        <w:gridCol w:w="1406"/>
        <w:gridCol w:w="4139"/>
        <w:gridCol w:w="1268"/>
        <w:gridCol w:w="815"/>
        <w:gridCol w:w="2963"/>
        <w:gridCol w:w="2591"/>
        <w:gridCol w:w="1118"/>
      </w:tblGrid>
      <w:tr w:rsidR="008568C5">
        <w:trPr>
          <w:trHeight w:val="1260"/>
        </w:trPr>
        <w:tc>
          <w:tcPr>
            <w:tcW w:w="898"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序号</w:t>
            </w:r>
          </w:p>
        </w:tc>
        <w:tc>
          <w:tcPr>
            <w:tcW w:w="1406"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4139"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1268"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815"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2963"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591"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1118"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2282"/>
        </w:trPr>
        <w:tc>
          <w:tcPr>
            <w:tcW w:w="898" w:type="dxa"/>
            <w:vMerge w:val="restart"/>
            <w:tcBorders>
              <w:top w:val="single" w:sz="4" w:space="0" w:color="auto"/>
              <w:left w:val="single" w:sz="4" w:space="0" w:color="auto"/>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78</w:t>
            </w:r>
          </w:p>
        </w:tc>
        <w:tc>
          <w:tcPr>
            <w:tcW w:w="1406" w:type="dxa"/>
            <w:vMerge w:val="restart"/>
            <w:tcBorders>
              <w:top w:val="single" w:sz="4" w:space="0" w:color="auto"/>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预算绩效管理</w:t>
            </w:r>
          </w:p>
        </w:tc>
        <w:tc>
          <w:tcPr>
            <w:tcW w:w="4139" w:type="dxa"/>
            <w:vMerge w:val="restart"/>
            <w:tcBorders>
              <w:top w:val="single" w:sz="4" w:space="0" w:color="auto"/>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预算法》第十二条：“各级预算应当遵循统筹兼顾、勤俭节约、量力而行、讲求绩效和收支平衡的原则。”第三十二条：“各部门、各单位应当按照国务院财政部门制定的政府收支分类科目、预算支出标准和要求，以及绩效目标管理等预算编制规定，根据其依法履行职能和事业发展的需要以及存量资产情况，编制本部门、本单位预算草案。”第四十九条：“对执行年度预算、改进预算管理、提高预算绩效、加强预算监督等提出意见和建议。”《中共中央 国务院关于全面实施预算绩效管理的意见》、《中共河南省委、省政府关于全面实施预算绩效管理的实施意见》，构建全方位、全过程、全覆盖的预算绩效管理体系。</w:t>
            </w:r>
          </w:p>
        </w:tc>
        <w:tc>
          <w:tcPr>
            <w:tcW w:w="1268" w:type="dxa"/>
            <w:vMerge w:val="restart"/>
            <w:tcBorders>
              <w:top w:val="single" w:sz="4" w:space="0" w:color="auto"/>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15" w:type="dxa"/>
            <w:tcBorders>
              <w:top w:val="single" w:sz="4" w:space="0" w:color="auto"/>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申报</w:t>
            </w:r>
          </w:p>
        </w:tc>
        <w:tc>
          <w:tcPr>
            <w:tcW w:w="2963" w:type="dxa"/>
            <w:tcBorders>
              <w:top w:val="single" w:sz="4" w:space="0" w:color="auto"/>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1.各单位在编制下年预算时，申报绩效目标上报各业务科室和预算股、</w:t>
            </w:r>
            <w:proofErr w:type="gramStart"/>
            <w:r>
              <w:rPr>
                <w:rFonts w:ascii="仿宋" w:eastAsia="仿宋" w:hAnsi="仿宋" w:cs="仿宋" w:hint="eastAsia"/>
                <w:szCs w:val="21"/>
              </w:rPr>
              <w:t>绩效绩效</w:t>
            </w:r>
            <w:proofErr w:type="gramEnd"/>
            <w:r>
              <w:rPr>
                <w:rFonts w:ascii="仿宋" w:eastAsia="仿宋" w:hAnsi="仿宋" w:cs="仿宋" w:hint="eastAsia"/>
                <w:szCs w:val="21"/>
              </w:rPr>
              <w:t>管理股</w:t>
            </w:r>
          </w:p>
        </w:tc>
        <w:tc>
          <w:tcPr>
            <w:tcW w:w="2591" w:type="dxa"/>
            <w:vMerge w:val="restart"/>
            <w:tcBorders>
              <w:top w:val="single" w:sz="4" w:space="0" w:color="auto"/>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118" w:type="dxa"/>
            <w:vMerge w:val="restart"/>
            <w:tcBorders>
              <w:top w:val="single" w:sz="4" w:space="0" w:color="auto"/>
              <w:left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预算绩效管理股</w:t>
            </w:r>
          </w:p>
        </w:tc>
      </w:tr>
      <w:tr w:rsidR="008568C5">
        <w:trPr>
          <w:trHeight w:val="3627"/>
        </w:trPr>
        <w:tc>
          <w:tcPr>
            <w:tcW w:w="898" w:type="dxa"/>
            <w:vMerge/>
            <w:tcBorders>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406"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4139"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68"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815"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批复</w:t>
            </w:r>
          </w:p>
        </w:tc>
        <w:tc>
          <w:tcPr>
            <w:tcW w:w="2963" w:type="dxa"/>
            <w:tcBorders>
              <w:top w:val="single" w:sz="4" w:space="0" w:color="000000"/>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2.各业务股室和预算股、</w:t>
            </w:r>
            <w:proofErr w:type="gramStart"/>
            <w:r>
              <w:rPr>
                <w:rFonts w:ascii="仿宋" w:eastAsia="仿宋" w:hAnsi="仿宋" w:cs="仿宋" w:hint="eastAsia"/>
                <w:szCs w:val="21"/>
              </w:rPr>
              <w:t>绩效绩效</w:t>
            </w:r>
            <w:proofErr w:type="gramEnd"/>
            <w:r>
              <w:rPr>
                <w:rFonts w:ascii="仿宋" w:eastAsia="仿宋" w:hAnsi="仿宋" w:cs="仿宋" w:hint="eastAsia"/>
                <w:szCs w:val="21"/>
              </w:rPr>
              <w:t>管理股审批后会同预算批复下达各单位。</w:t>
            </w:r>
          </w:p>
        </w:tc>
        <w:tc>
          <w:tcPr>
            <w:tcW w:w="2591"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118"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4926" w:type="dxa"/>
        <w:tblInd w:w="-613" w:type="dxa"/>
        <w:tblLayout w:type="fixed"/>
        <w:tblLook w:val="04A0"/>
      </w:tblPr>
      <w:tblGrid>
        <w:gridCol w:w="722"/>
        <w:gridCol w:w="964"/>
        <w:gridCol w:w="5584"/>
        <w:gridCol w:w="624"/>
        <w:gridCol w:w="821"/>
        <w:gridCol w:w="2663"/>
        <w:gridCol w:w="2745"/>
        <w:gridCol w:w="803"/>
      </w:tblGrid>
      <w:tr w:rsidR="008568C5">
        <w:trPr>
          <w:trHeight w:val="1260"/>
        </w:trPr>
        <w:tc>
          <w:tcPr>
            <w:tcW w:w="722"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lastRenderedPageBreak/>
              <w:t>序号</w:t>
            </w:r>
          </w:p>
        </w:tc>
        <w:tc>
          <w:tcPr>
            <w:tcW w:w="964"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5584"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624"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2663"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745"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803"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1476"/>
        </w:trPr>
        <w:tc>
          <w:tcPr>
            <w:tcW w:w="722" w:type="dxa"/>
            <w:vMerge w:val="restart"/>
            <w:tcBorders>
              <w:top w:val="single" w:sz="4" w:space="0" w:color="000000"/>
              <w:left w:val="single" w:sz="4" w:space="0" w:color="000000"/>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79</w:t>
            </w:r>
          </w:p>
        </w:tc>
        <w:tc>
          <w:tcPr>
            <w:tcW w:w="964"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终止采购活动、撤销采购合同、责成重新开展政府采购活动</w:t>
            </w:r>
          </w:p>
        </w:tc>
        <w:tc>
          <w:tcPr>
            <w:tcW w:w="5584"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 w:val="15"/>
                <w:szCs w:val="15"/>
              </w:rPr>
            </w:pPr>
            <w:r>
              <w:rPr>
                <w:rFonts w:ascii="仿宋" w:eastAsia="仿宋" w:hAnsi="仿宋" w:cs="仿宋" w:hint="eastAsia"/>
                <w:sz w:val="15"/>
                <w:szCs w:val="15"/>
              </w:rPr>
              <w:t>《中华人民共和国政府采购法实施条例》（国务院令第658号）第七十一条：“有政府采购法第七十一条、第七十二条规定的违法行为之一，影响或者可能影响中标、成交结果的，依照下列规定处理：（一）未确定中标或者成交供应商的，终止本次政府采购活动，重新开展政府采购活动。（二）已确定中标或者成交供应商但尚未签订政府采购合同的，中标或者成交结果无效，从合格的中标或者成交候选人中另行确定中标或者成交供应商；没有合格的中标或者成交候选人的，重新开展政府采购活动。(三）政府采购合同已签订但尚未履行的，撤销合同，从合格的中标或者成交候选人中另行确定中标或者成交供应商；没有合格的中标或者成交候选人的，重新开展政府采购活动。（四）政府采购合同已经履行，给采购人、供应商造成损失的，由责任人承担赔偿责任。政府采购当事人有其他违反政府采购法或者本条例规定的行为，经改正后仍然影响或者可能影响中标、成交结果或者依法被认定为中标、成交无效的，依照前款规定处理。”《政府采购质疑和投诉办法》（财政部令第94号）第三十一条 投诉人对采购文件提起的投诉事项，财政部门经查证属实的，应当认定投诉事项成立。经认定成立的投诉事项不影响采购结果的，继续开展采购活动；影响或者可能影响采购结果的，财政部门按照下列情况处理：（一）未确定中标或者成交供应商的，责令重新开展采购活动。（二）已确定中标或者成交</w:t>
            </w:r>
            <w:proofErr w:type="gramStart"/>
            <w:r>
              <w:rPr>
                <w:rFonts w:ascii="仿宋" w:eastAsia="仿宋" w:hAnsi="仿宋" w:cs="仿宋" w:hint="eastAsia"/>
                <w:sz w:val="15"/>
                <w:szCs w:val="15"/>
              </w:rPr>
              <w:t>供应商但尚未</w:t>
            </w:r>
            <w:proofErr w:type="gramEnd"/>
            <w:r>
              <w:rPr>
                <w:rFonts w:ascii="仿宋" w:eastAsia="仿宋" w:hAnsi="仿宋" w:cs="仿宋" w:hint="eastAsia"/>
                <w:sz w:val="15"/>
                <w:szCs w:val="15"/>
              </w:rPr>
              <w:t>签订政府采购合同的，认定中标或者成交结果无效，责令重新开展采购活动。（三）政府采购合同已经签订但尚未履行的，撤销合同，责令重新开展采购活动。（四）政府采购合同已经履行，给他人造成损失的，相关当事人可依法提起诉讼，由责任人承担赔偿责任。第三十二条 投诉人对采购过程或者采购结果提起的投诉事项，财政部门经查证属实的，应当认定投诉事项成立。经认定成立的投诉事项不影响采购结果的，继续开展采购活动；影响或者可能影响采购结果的，财政部门按照下列情况处理：（一）未确定中标或者成交供应商的，责令重新开展采购活动。（二）已确定中标或者成交</w:t>
            </w:r>
            <w:proofErr w:type="gramStart"/>
            <w:r>
              <w:rPr>
                <w:rFonts w:ascii="仿宋" w:eastAsia="仿宋" w:hAnsi="仿宋" w:cs="仿宋" w:hint="eastAsia"/>
                <w:sz w:val="15"/>
                <w:szCs w:val="15"/>
              </w:rPr>
              <w:t>供应商但尚未</w:t>
            </w:r>
            <w:proofErr w:type="gramEnd"/>
            <w:r>
              <w:rPr>
                <w:rFonts w:ascii="仿宋" w:eastAsia="仿宋" w:hAnsi="仿宋" w:cs="仿宋" w:hint="eastAsia"/>
                <w:sz w:val="15"/>
                <w:szCs w:val="15"/>
              </w:rPr>
              <w:t>签订政府采购合同的，认定中标或者成交结果无效。合格供应</w:t>
            </w:r>
            <w:proofErr w:type="gramStart"/>
            <w:r>
              <w:rPr>
                <w:rFonts w:ascii="仿宋" w:eastAsia="仿宋" w:hAnsi="仿宋" w:cs="仿宋" w:hint="eastAsia"/>
                <w:sz w:val="15"/>
                <w:szCs w:val="15"/>
              </w:rPr>
              <w:t>商符合</w:t>
            </w:r>
            <w:proofErr w:type="gramEnd"/>
            <w:r>
              <w:rPr>
                <w:rFonts w:ascii="仿宋" w:eastAsia="仿宋" w:hAnsi="仿宋" w:cs="仿宋" w:hint="eastAsia"/>
                <w:sz w:val="15"/>
                <w:szCs w:val="15"/>
              </w:rPr>
              <w:t>法定数量时，可以从合格的中标或者成交候选人中另行确定中标或者成交供应商的，应当要求采购人依法另行确定中标、成交供应商；否则责令重新开展采购活动。（三）政府采购合同已经签订但尚未履行的，撤销合同。合格供应</w:t>
            </w:r>
            <w:proofErr w:type="gramStart"/>
            <w:r>
              <w:rPr>
                <w:rFonts w:ascii="仿宋" w:eastAsia="仿宋" w:hAnsi="仿宋" w:cs="仿宋" w:hint="eastAsia"/>
                <w:sz w:val="15"/>
                <w:szCs w:val="15"/>
              </w:rPr>
              <w:t>商符合</w:t>
            </w:r>
            <w:proofErr w:type="gramEnd"/>
            <w:r>
              <w:rPr>
                <w:rFonts w:ascii="仿宋" w:eastAsia="仿宋" w:hAnsi="仿宋" w:cs="仿宋" w:hint="eastAsia"/>
                <w:sz w:val="15"/>
                <w:szCs w:val="15"/>
              </w:rPr>
              <w:t>法定数量时，可以从合格的中标或者成交候选人中另行确定中标或者成交供应商的，应当要求采购人依法另行确定中标、成交供应商；否则责令重新开展采购活动。（四）政府采购合同已经履行，给他人造成损失的，相关当事人可依法提起诉讼,由责任人承担赔偿责任。诉人对</w:t>
            </w:r>
            <w:proofErr w:type="gramStart"/>
            <w:r>
              <w:rPr>
                <w:rFonts w:ascii="仿宋" w:eastAsia="仿宋" w:hAnsi="仿宋" w:cs="仿宋" w:hint="eastAsia"/>
                <w:sz w:val="15"/>
                <w:szCs w:val="15"/>
              </w:rPr>
              <w:t>废标行为</w:t>
            </w:r>
            <w:proofErr w:type="gramEnd"/>
            <w:r>
              <w:rPr>
                <w:rFonts w:ascii="仿宋" w:eastAsia="仿宋" w:hAnsi="仿宋" w:cs="仿宋" w:hint="eastAsia"/>
                <w:sz w:val="15"/>
                <w:szCs w:val="15"/>
              </w:rPr>
              <w:t>提起的投诉事项成立的，财政部门应当认定</w:t>
            </w:r>
            <w:proofErr w:type="gramStart"/>
            <w:r>
              <w:rPr>
                <w:rFonts w:ascii="仿宋" w:eastAsia="仿宋" w:hAnsi="仿宋" w:cs="仿宋" w:hint="eastAsia"/>
                <w:sz w:val="15"/>
                <w:szCs w:val="15"/>
              </w:rPr>
              <w:t>废标行为</w:t>
            </w:r>
            <w:proofErr w:type="gramEnd"/>
            <w:r>
              <w:rPr>
                <w:rFonts w:ascii="仿宋" w:eastAsia="仿宋" w:hAnsi="仿宋" w:cs="仿宋" w:hint="eastAsia"/>
                <w:sz w:val="15"/>
                <w:szCs w:val="15"/>
              </w:rPr>
              <w:t>无效。 《政府采购非招标方式管理办法》（财政部令第74号）第五十六条：“有本办法第五十一条、第五十二条、第五十五条违法行为之一，并且影响或者可能影响成交结果的，应当按照下列情形分别处理：（一）未确定成交供应商的，终止本次采购活动，依法重新开展采购活动；（二）已确定成交供应商但采购合同尚未履行的，撤销合同，从合格的成交候选人中另行确定成交供应商，没有合格的成交候选人的，重新开展采购活动；（三）采购合同已经履行的，给采购人、供应商造成损失的，由责任人依法承担赔偿责任。”</w:t>
            </w:r>
          </w:p>
        </w:tc>
        <w:tc>
          <w:tcPr>
            <w:tcW w:w="624"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663"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1.审查责任：对处理投诉、监督检查中发现，或者接到举报，或经有关部门移送此类违法案件予以审查。</w:t>
            </w:r>
          </w:p>
        </w:tc>
        <w:tc>
          <w:tcPr>
            <w:tcW w:w="2745"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803"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476"/>
        </w:trPr>
        <w:tc>
          <w:tcPr>
            <w:tcW w:w="722" w:type="dxa"/>
            <w:vMerge/>
            <w:tcBorders>
              <w:left w:val="single" w:sz="4" w:space="0" w:color="000000"/>
              <w:right w:val="single" w:sz="4" w:space="0" w:color="000000"/>
            </w:tcBorders>
            <w:noWrap/>
            <w:vAlign w:val="center"/>
          </w:tcPr>
          <w:p w:rsidR="008568C5" w:rsidRDefault="008568C5">
            <w:pPr>
              <w:autoSpaceDN w:val="0"/>
              <w:snapToGrid w:val="0"/>
              <w:jc w:val="center"/>
              <w:textAlignment w:val="center"/>
            </w:pPr>
          </w:p>
        </w:tc>
        <w:tc>
          <w:tcPr>
            <w:tcW w:w="96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558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62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认定</w:t>
            </w:r>
          </w:p>
        </w:tc>
        <w:tc>
          <w:tcPr>
            <w:tcW w:w="2663"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2.认定责任：依据政府采购法律法规认定是否影响中标成交结果，或者中标成交结果的产生过程是否存在违法行为。</w:t>
            </w:r>
          </w:p>
        </w:tc>
        <w:tc>
          <w:tcPr>
            <w:tcW w:w="2745"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03"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r>
      <w:tr w:rsidR="008568C5">
        <w:trPr>
          <w:trHeight w:val="1476"/>
        </w:trPr>
        <w:tc>
          <w:tcPr>
            <w:tcW w:w="722" w:type="dxa"/>
            <w:vMerge/>
            <w:tcBorders>
              <w:left w:val="single" w:sz="4" w:space="0" w:color="000000"/>
              <w:right w:val="single" w:sz="4" w:space="0" w:color="000000"/>
            </w:tcBorders>
            <w:noWrap/>
            <w:vAlign w:val="center"/>
          </w:tcPr>
          <w:p w:rsidR="008568C5" w:rsidRDefault="008568C5">
            <w:pPr>
              <w:autoSpaceDN w:val="0"/>
              <w:snapToGrid w:val="0"/>
              <w:jc w:val="center"/>
              <w:textAlignment w:val="center"/>
            </w:pPr>
          </w:p>
        </w:tc>
        <w:tc>
          <w:tcPr>
            <w:tcW w:w="96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558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62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2663"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3.决定责任：根据法律法规规定的情形</w:t>
            </w:r>
            <w:proofErr w:type="gramStart"/>
            <w:r>
              <w:rPr>
                <w:rFonts w:ascii="仿宋" w:eastAsia="仿宋" w:hAnsi="仿宋" w:cs="仿宋" w:hint="eastAsia"/>
                <w:szCs w:val="21"/>
              </w:rPr>
              <w:t>作出</w:t>
            </w:r>
            <w:proofErr w:type="gramEnd"/>
            <w:r>
              <w:rPr>
                <w:rFonts w:ascii="仿宋" w:eastAsia="仿宋" w:hAnsi="仿宋" w:cs="仿宋" w:hint="eastAsia"/>
                <w:szCs w:val="21"/>
              </w:rPr>
              <w:t>终止采购活动、重新开展采购活动、撤销合同等。</w:t>
            </w:r>
          </w:p>
        </w:tc>
        <w:tc>
          <w:tcPr>
            <w:tcW w:w="2745"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03"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r>
      <w:tr w:rsidR="008568C5">
        <w:trPr>
          <w:trHeight w:val="1476"/>
        </w:trPr>
        <w:tc>
          <w:tcPr>
            <w:tcW w:w="722" w:type="dxa"/>
            <w:vMerge/>
            <w:tcBorders>
              <w:left w:val="single" w:sz="4" w:space="0" w:color="000000"/>
              <w:right w:val="single" w:sz="4" w:space="0" w:color="000000"/>
            </w:tcBorders>
            <w:noWrap/>
            <w:vAlign w:val="center"/>
          </w:tcPr>
          <w:p w:rsidR="008568C5" w:rsidRDefault="008568C5">
            <w:pPr>
              <w:autoSpaceDN w:val="0"/>
              <w:snapToGrid w:val="0"/>
              <w:jc w:val="center"/>
              <w:textAlignment w:val="center"/>
            </w:pPr>
          </w:p>
        </w:tc>
        <w:tc>
          <w:tcPr>
            <w:tcW w:w="96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558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624"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监督管理</w:t>
            </w:r>
          </w:p>
        </w:tc>
        <w:tc>
          <w:tcPr>
            <w:tcW w:w="2663"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4.管理责任：监督采购项目后续采购活动依法进行。</w:t>
            </w:r>
          </w:p>
        </w:tc>
        <w:tc>
          <w:tcPr>
            <w:tcW w:w="2745"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c>
          <w:tcPr>
            <w:tcW w:w="803" w:type="dxa"/>
            <w:vMerge/>
            <w:tcBorders>
              <w:left w:val="single" w:sz="4" w:space="0" w:color="000000"/>
              <w:right w:val="single" w:sz="4" w:space="0" w:color="000000"/>
            </w:tcBorders>
            <w:vAlign w:val="center"/>
          </w:tcPr>
          <w:p w:rsidR="008568C5" w:rsidRDefault="008568C5">
            <w:pPr>
              <w:autoSpaceDN w:val="0"/>
              <w:snapToGrid w:val="0"/>
              <w:jc w:val="center"/>
              <w:textAlignment w:val="center"/>
            </w:pPr>
          </w:p>
        </w:tc>
      </w:tr>
      <w:tr w:rsidR="008568C5">
        <w:trPr>
          <w:trHeight w:val="1476"/>
        </w:trPr>
        <w:tc>
          <w:tcPr>
            <w:tcW w:w="722"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pPr>
          </w:p>
        </w:tc>
        <w:tc>
          <w:tcPr>
            <w:tcW w:w="964"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pPr>
          </w:p>
        </w:tc>
        <w:tc>
          <w:tcPr>
            <w:tcW w:w="5584"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pPr>
          </w:p>
        </w:tc>
        <w:tc>
          <w:tcPr>
            <w:tcW w:w="624"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pPr>
          </w:p>
        </w:tc>
        <w:tc>
          <w:tcPr>
            <w:tcW w:w="821" w:type="dxa"/>
            <w:tcBorders>
              <w:top w:val="single" w:sz="4" w:space="0" w:color="000000"/>
              <w:left w:val="single" w:sz="4" w:space="0" w:color="000000"/>
              <w:bottom w:val="single" w:sz="4" w:space="0" w:color="000000"/>
              <w:right w:val="single" w:sz="4" w:space="0" w:color="000000"/>
            </w:tcBorders>
            <w:vAlign w:val="center"/>
          </w:tcPr>
          <w:p w:rsidR="008568C5" w:rsidRDefault="008568C5">
            <w:pPr>
              <w:jc w:val="center"/>
              <w:rPr>
                <w:rFonts w:ascii="仿宋" w:eastAsia="仿宋" w:hAnsi="仿宋" w:cs="仿宋"/>
                <w:szCs w:val="21"/>
              </w:rPr>
            </w:pPr>
          </w:p>
        </w:tc>
        <w:tc>
          <w:tcPr>
            <w:tcW w:w="2663"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745"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pPr>
          </w:p>
        </w:tc>
        <w:tc>
          <w:tcPr>
            <w:tcW w:w="8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pPr>
          </w:p>
        </w:tc>
      </w:tr>
    </w:tbl>
    <w:p w:rsidR="008568C5" w:rsidRDefault="00A65D61">
      <w:pPr>
        <w:autoSpaceDN w:val="0"/>
        <w:snapToGrid w:val="0"/>
        <w:jc w:val="center"/>
        <w:textAlignment w:val="center"/>
      </w:pPr>
      <w:r>
        <w:rPr>
          <w:rFonts w:ascii="仿宋" w:eastAsia="仿宋" w:hAnsi="仿宋" w:cs="仿宋"/>
          <w:szCs w:val="21"/>
        </w:rPr>
        <w:br w:type="page"/>
      </w:r>
    </w:p>
    <w:tbl>
      <w:tblPr>
        <w:tblW w:w="16025" w:type="dxa"/>
        <w:tblInd w:w="-1013" w:type="dxa"/>
        <w:tblLayout w:type="fixed"/>
        <w:tblLook w:val="04A0"/>
      </w:tblPr>
      <w:tblGrid>
        <w:gridCol w:w="870"/>
        <w:gridCol w:w="1303"/>
        <w:gridCol w:w="5239"/>
        <w:gridCol w:w="456"/>
        <w:gridCol w:w="699"/>
        <w:gridCol w:w="4008"/>
        <w:gridCol w:w="2741"/>
        <w:gridCol w:w="709"/>
      </w:tblGrid>
      <w:tr w:rsidR="008568C5">
        <w:trPr>
          <w:trHeight w:val="1260"/>
        </w:trPr>
        <w:tc>
          <w:tcPr>
            <w:tcW w:w="870"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lastRenderedPageBreak/>
              <w:t>序号</w:t>
            </w:r>
          </w:p>
        </w:tc>
        <w:tc>
          <w:tcPr>
            <w:tcW w:w="1303"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5239"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456"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699"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4008"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741"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709"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1282"/>
        </w:trPr>
        <w:tc>
          <w:tcPr>
            <w:tcW w:w="870" w:type="dxa"/>
            <w:vMerge w:val="restart"/>
            <w:tcBorders>
              <w:top w:val="single" w:sz="4" w:space="0" w:color="auto"/>
              <w:left w:val="single" w:sz="4" w:space="0" w:color="auto"/>
              <w:bottom w:val="single" w:sz="4" w:space="0" w:color="auto"/>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80</w:t>
            </w:r>
          </w:p>
        </w:tc>
        <w:tc>
          <w:tcPr>
            <w:tcW w:w="1303" w:type="dxa"/>
            <w:vMerge w:val="restart"/>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供应</w:t>
            </w:r>
            <w:proofErr w:type="gramStart"/>
            <w:r>
              <w:rPr>
                <w:rFonts w:ascii="仿宋" w:eastAsia="仿宋" w:hAnsi="仿宋" w:cs="仿宋" w:hint="eastAsia"/>
                <w:szCs w:val="21"/>
              </w:rPr>
              <w:t>商投诉</w:t>
            </w:r>
            <w:proofErr w:type="gramEnd"/>
            <w:r>
              <w:rPr>
                <w:rFonts w:ascii="仿宋" w:eastAsia="仿宋" w:hAnsi="仿宋" w:cs="仿宋" w:hint="eastAsia"/>
                <w:szCs w:val="21"/>
              </w:rPr>
              <w:t>处理</w:t>
            </w:r>
          </w:p>
        </w:tc>
        <w:tc>
          <w:tcPr>
            <w:tcW w:w="5239" w:type="dxa"/>
            <w:vMerge w:val="restart"/>
            <w:tcBorders>
              <w:top w:val="single" w:sz="4" w:space="0" w:color="auto"/>
              <w:left w:val="single" w:sz="4" w:space="0" w:color="000000"/>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 w:val="15"/>
                <w:szCs w:val="15"/>
              </w:rPr>
            </w:pPr>
            <w:r>
              <w:rPr>
                <w:rFonts w:ascii="仿宋" w:eastAsia="仿宋" w:hAnsi="仿宋" w:cs="仿宋" w:hint="eastAsia"/>
                <w:szCs w:val="21"/>
              </w:rPr>
              <w:t xml:space="preserve"> </w:t>
            </w:r>
            <w:r>
              <w:rPr>
                <w:rFonts w:ascii="仿宋" w:eastAsia="仿宋" w:hAnsi="仿宋" w:cs="仿宋" w:hint="eastAsia"/>
                <w:sz w:val="15"/>
                <w:szCs w:val="15"/>
              </w:rPr>
              <w:t>《中华人民共和国政府采购法》第五十六条：“政府采购监督管理部门应当在收到投诉后三十个工作日内，对投诉事项</w:t>
            </w:r>
            <w:proofErr w:type="gramStart"/>
            <w:r>
              <w:rPr>
                <w:rFonts w:ascii="仿宋" w:eastAsia="仿宋" w:hAnsi="仿宋" w:cs="仿宋" w:hint="eastAsia"/>
                <w:sz w:val="15"/>
                <w:szCs w:val="15"/>
              </w:rPr>
              <w:t>作出</w:t>
            </w:r>
            <w:proofErr w:type="gramEnd"/>
            <w:r>
              <w:rPr>
                <w:rFonts w:ascii="仿宋" w:eastAsia="仿宋" w:hAnsi="仿宋" w:cs="仿宋" w:hint="eastAsia"/>
                <w:sz w:val="15"/>
                <w:szCs w:val="15"/>
              </w:rPr>
              <w:t>处理决定，并以书面形式通知投诉人和与投诉事项相关的当事人。”</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5"/>
                <w:szCs w:val="15"/>
              </w:rPr>
              <w:t xml:space="preserve">    《政府采购质疑和投诉办法》（财政部令第94号）第二十九条：“ 投诉处理过程中，有下列情形之一的，财政部门应当驳回投诉：（一）受理后发现投诉不符合法定受理条件；（二）投诉事项缺乏事实依据，投诉事项不成立；（三）投诉人捏造事实或者提供虚假材料；（四）投诉人以非法手段取得证明材料。证据来源的合法性存在明显疑问，投诉人无法证明其取得方式合法的，视为以非法手段取得证明材料。”第三十条：“ 财政部门受理投诉后,投诉人书面申请撤回投诉的，财政部门应当终止投诉处理程序，并书面告知相关当事人。”第三十一条 ：“投诉人对采购文件提起的投诉事项，财政部门经查证属实的，应当认定投诉事项成立。经认定成立的投诉事项不影响采购结果的，继续开展采购活动；影响或者可能影响采购结果的，财政部门按照下列情况处理：（一）未确定中标或者成交供应商的，责令重新开展采购活动。（二）已确定中标或者成交供应商但尚未签订政府采购合同的，认定中标或者成交结果无效，责令重新开展采购活动。（三）政府采购合同已经签订但尚未履行的，撤销合同，责令重新开展采购活动。（四）政府采购合同已经履行，给他人造成损失的，相关当事人可依法提起诉讼，由责任人承担赔偿责任。”第三十二条：“ 投诉人对采购过程或者采购结果提起的投诉事项，财政部门经查证属实的，应当认定投诉事项成立。经认定成立的投诉事项不影响采购结果的，继续开展采购活动；影响或者可能影响采购结果的，财政部门按照下列情况处理：（一）未确定中标或者成交供应商的，责令重新开展采购活动。（二）已确定中标或者成交供应商但尚未签订政府采购合同的，认定中标或者成交结果无效。合格供应商符合法定数量时，可以从合格的中标或者成交候选人中另行确定中标或者成交供应商的，应当要求采购人依法另行确定中标、成交供应商；否则责令重新开展采购活动。（三）政府采购合同已经签订但尚未履行的，撤销合同。合格供应商符合法定数量时，可以从合格的中标或者成交候选人中另行确定中标或者成交供应商的，应当要求采购人依法另行确定中标、成交供应商；否则责令重新开展采购活动。（四）政府采购合同已经履行，给他人造成损失的，相关当事人可依法提起诉讼,由责任人承担赔偿责任。投诉人对废标行为提起的投诉事项成立的，财政部门应当认定废标行为无效。”</w:t>
            </w:r>
          </w:p>
        </w:tc>
        <w:tc>
          <w:tcPr>
            <w:tcW w:w="456" w:type="dxa"/>
            <w:vMerge w:val="restart"/>
            <w:tcBorders>
              <w:top w:val="single" w:sz="4" w:space="0" w:color="auto"/>
              <w:left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699" w:type="dxa"/>
            <w:tcBorders>
              <w:top w:val="single" w:sz="4" w:space="0" w:color="auto"/>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4008" w:type="dxa"/>
            <w:tcBorders>
              <w:top w:val="single" w:sz="4" w:space="0" w:color="auto"/>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1.受理责任：收到供应</w:t>
            </w:r>
            <w:proofErr w:type="gramStart"/>
            <w:r>
              <w:rPr>
                <w:rFonts w:ascii="仿宋" w:eastAsia="仿宋" w:hAnsi="仿宋" w:cs="仿宋" w:hint="eastAsia"/>
                <w:szCs w:val="21"/>
              </w:rPr>
              <w:t>商投诉</w:t>
            </w:r>
            <w:proofErr w:type="gramEnd"/>
            <w:r>
              <w:rPr>
                <w:rFonts w:ascii="仿宋" w:eastAsia="仿宋" w:hAnsi="仿宋" w:cs="仿宋" w:hint="eastAsia"/>
                <w:szCs w:val="21"/>
              </w:rPr>
              <w:t>书后，5个工作日内进行审查。符合条件的自收到投诉书之日起即为受理；不符合条件的书面告知投诉人。</w:t>
            </w:r>
          </w:p>
        </w:tc>
        <w:tc>
          <w:tcPr>
            <w:tcW w:w="2741" w:type="dxa"/>
            <w:vMerge w:val="restart"/>
            <w:tcBorders>
              <w:top w:val="single" w:sz="4" w:space="0" w:color="auto"/>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《中华人民共和国政府采购法》第八十一条：政府采购监督管理部门对供应商的投诉逾期未作处理的，给予直接负责的主管人员和其他直接责任人员行政处分。 </w:t>
            </w:r>
          </w:p>
        </w:tc>
        <w:tc>
          <w:tcPr>
            <w:tcW w:w="709" w:type="dxa"/>
            <w:vMerge w:val="restart"/>
            <w:tcBorders>
              <w:top w:val="single" w:sz="4" w:space="0" w:color="auto"/>
              <w:left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282"/>
        </w:trPr>
        <w:tc>
          <w:tcPr>
            <w:tcW w:w="870" w:type="dxa"/>
            <w:vMerge/>
            <w:tcBorders>
              <w:top w:val="single" w:sz="4" w:space="0" w:color="auto"/>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303" w:type="dxa"/>
            <w:vMerge/>
            <w:tcBorders>
              <w:top w:val="single" w:sz="4" w:space="0" w:color="auto"/>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39" w:type="dxa"/>
            <w:vMerge/>
            <w:tcBorders>
              <w:top w:val="single" w:sz="4" w:space="0" w:color="auto"/>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45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699" w:type="dxa"/>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调查</w:t>
            </w:r>
          </w:p>
        </w:tc>
        <w:tc>
          <w:tcPr>
            <w:tcW w:w="4008" w:type="dxa"/>
            <w:tcBorders>
              <w:top w:val="single" w:sz="4" w:space="0" w:color="000000"/>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2.调查责任：原则上采取书面审查，必要时可以进行调查取证，也可以组织投诉人与被投诉人当面进行质证。</w:t>
            </w:r>
          </w:p>
        </w:tc>
        <w:tc>
          <w:tcPr>
            <w:tcW w:w="2741"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09"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2"/>
        </w:trPr>
        <w:tc>
          <w:tcPr>
            <w:tcW w:w="870" w:type="dxa"/>
            <w:vMerge/>
            <w:tcBorders>
              <w:top w:val="single" w:sz="4" w:space="0" w:color="auto"/>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303" w:type="dxa"/>
            <w:vMerge/>
            <w:tcBorders>
              <w:top w:val="single" w:sz="4" w:space="0" w:color="auto"/>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39" w:type="dxa"/>
            <w:vMerge/>
            <w:tcBorders>
              <w:top w:val="single" w:sz="4" w:space="0" w:color="auto"/>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45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699" w:type="dxa"/>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008" w:type="dxa"/>
            <w:tcBorders>
              <w:top w:val="single" w:sz="4" w:space="0" w:color="000000"/>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3.决定责任：自受理投诉30个工作日内对投诉事项</w:t>
            </w:r>
            <w:proofErr w:type="gramStart"/>
            <w:r>
              <w:rPr>
                <w:rFonts w:ascii="仿宋" w:eastAsia="仿宋" w:hAnsi="仿宋" w:cs="仿宋" w:hint="eastAsia"/>
                <w:szCs w:val="21"/>
              </w:rPr>
              <w:t>作出</w:t>
            </w:r>
            <w:proofErr w:type="gramEnd"/>
            <w:r>
              <w:rPr>
                <w:rFonts w:ascii="仿宋" w:eastAsia="仿宋" w:hAnsi="仿宋" w:cs="仿宋" w:hint="eastAsia"/>
                <w:szCs w:val="21"/>
              </w:rPr>
              <w:t>决定，制作投诉处理决定书，并加盖印章，通知投诉人、被投诉人及其他与投诉处理结果有利害关系的政府采购当事人。</w:t>
            </w:r>
          </w:p>
        </w:tc>
        <w:tc>
          <w:tcPr>
            <w:tcW w:w="2741"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09"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82"/>
        </w:trPr>
        <w:tc>
          <w:tcPr>
            <w:tcW w:w="870" w:type="dxa"/>
            <w:vMerge/>
            <w:tcBorders>
              <w:top w:val="single" w:sz="4" w:space="0" w:color="auto"/>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303" w:type="dxa"/>
            <w:vMerge/>
            <w:tcBorders>
              <w:top w:val="single" w:sz="4" w:space="0" w:color="auto"/>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39" w:type="dxa"/>
            <w:vMerge/>
            <w:tcBorders>
              <w:top w:val="single" w:sz="4" w:space="0" w:color="auto"/>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45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699" w:type="dxa"/>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4008" w:type="dxa"/>
            <w:tcBorders>
              <w:top w:val="single" w:sz="4" w:space="0" w:color="000000"/>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4.送达责任：依照民事诉讼法关于送达的规定执行。</w:t>
            </w:r>
          </w:p>
        </w:tc>
        <w:tc>
          <w:tcPr>
            <w:tcW w:w="2741"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09"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5"/>
        </w:trPr>
        <w:tc>
          <w:tcPr>
            <w:tcW w:w="870" w:type="dxa"/>
            <w:vMerge/>
            <w:tcBorders>
              <w:top w:val="single" w:sz="4" w:space="0" w:color="auto"/>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303" w:type="dxa"/>
            <w:vMerge/>
            <w:tcBorders>
              <w:top w:val="single" w:sz="4" w:space="0" w:color="auto"/>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39" w:type="dxa"/>
            <w:vMerge/>
            <w:tcBorders>
              <w:top w:val="single" w:sz="4" w:space="0" w:color="auto"/>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45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699" w:type="dxa"/>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公告</w:t>
            </w:r>
          </w:p>
          <w:p w:rsidR="008568C5" w:rsidRDefault="008568C5">
            <w:pPr>
              <w:autoSpaceDN w:val="0"/>
              <w:snapToGrid w:val="0"/>
              <w:jc w:val="center"/>
              <w:textAlignment w:val="center"/>
              <w:rPr>
                <w:rFonts w:ascii="仿宋" w:eastAsia="仿宋" w:hAnsi="仿宋" w:cs="仿宋"/>
                <w:szCs w:val="21"/>
              </w:rPr>
            </w:pPr>
          </w:p>
        </w:tc>
        <w:tc>
          <w:tcPr>
            <w:tcW w:w="4008" w:type="dxa"/>
            <w:tcBorders>
              <w:top w:val="single" w:sz="4" w:space="0" w:color="000000"/>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5.公告责任：投诉处理结果在省级以上财政部门指定的政府采购信息发布媒体上公告。</w:t>
            </w:r>
          </w:p>
        </w:tc>
        <w:tc>
          <w:tcPr>
            <w:tcW w:w="2741" w:type="dxa"/>
            <w:vMerge/>
            <w:tcBorders>
              <w:left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709"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5"/>
        </w:trPr>
        <w:tc>
          <w:tcPr>
            <w:tcW w:w="870" w:type="dxa"/>
            <w:vMerge/>
            <w:tcBorders>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pPr>
          </w:p>
        </w:tc>
        <w:tc>
          <w:tcPr>
            <w:tcW w:w="1303"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pPr>
          </w:p>
        </w:tc>
        <w:tc>
          <w:tcPr>
            <w:tcW w:w="5239"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pPr>
          </w:p>
        </w:tc>
        <w:tc>
          <w:tcPr>
            <w:tcW w:w="456" w:type="dxa"/>
            <w:vMerge/>
            <w:tcBorders>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pPr>
          </w:p>
        </w:tc>
        <w:tc>
          <w:tcPr>
            <w:tcW w:w="699" w:type="dxa"/>
            <w:tcBorders>
              <w:top w:val="single" w:sz="4" w:space="0" w:color="000000"/>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pPr>
          </w:p>
        </w:tc>
        <w:tc>
          <w:tcPr>
            <w:tcW w:w="4008" w:type="dxa"/>
            <w:tcBorders>
              <w:top w:val="single" w:sz="4" w:space="0" w:color="000000"/>
              <w:left w:val="single" w:sz="4" w:space="0" w:color="auto"/>
              <w:bottom w:val="single" w:sz="4" w:space="0" w:color="auto"/>
              <w:right w:val="single" w:sz="4" w:space="0" w:color="000000"/>
            </w:tcBorders>
            <w:vAlign w:val="center"/>
          </w:tcPr>
          <w:p w:rsidR="008568C5" w:rsidRDefault="00A65D61">
            <w:pPr>
              <w:autoSpaceDN w:val="0"/>
              <w:snapToGrid w:val="0"/>
              <w:jc w:val="left"/>
              <w:textAlignment w:val="center"/>
            </w:pPr>
            <w:r>
              <w:rPr>
                <w:rFonts w:ascii="仿宋" w:eastAsia="仿宋" w:hAnsi="仿宋" w:cs="仿宋" w:hint="eastAsia"/>
                <w:szCs w:val="21"/>
              </w:rPr>
              <w:t>6.其他法律法规规章文件规定应履行的责任。</w:t>
            </w:r>
          </w:p>
        </w:tc>
        <w:tc>
          <w:tcPr>
            <w:tcW w:w="2741" w:type="dxa"/>
            <w:vMerge/>
            <w:tcBorders>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pPr>
          </w:p>
        </w:tc>
        <w:tc>
          <w:tcPr>
            <w:tcW w:w="709"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pPr>
          </w:p>
        </w:tc>
      </w:tr>
    </w:tbl>
    <w:p w:rsidR="008568C5" w:rsidRDefault="00A65D61">
      <w:pPr>
        <w:autoSpaceDN w:val="0"/>
        <w:snapToGrid w:val="0"/>
        <w:jc w:val="center"/>
        <w:textAlignment w:val="center"/>
      </w:pPr>
      <w:r>
        <w:rPr>
          <w:rFonts w:ascii="仿宋" w:eastAsia="仿宋" w:hAnsi="仿宋" w:cs="仿宋"/>
          <w:szCs w:val="21"/>
        </w:rPr>
        <w:br w:type="page"/>
      </w:r>
    </w:p>
    <w:tbl>
      <w:tblPr>
        <w:tblW w:w="15282" w:type="dxa"/>
        <w:tblInd w:w="-394" w:type="dxa"/>
        <w:tblLayout w:type="fixed"/>
        <w:tblLook w:val="04A0"/>
      </w:tblPr>
      <w:tblGrid>
        <w:gridCol w:w="744"/>
        <w:gridCol w:w="1264"/>
        <w:gridCol w:w="5240"/>
        <w:gridCol w:w="843"/>
        <w:gridCol w:w="876"/>
        <w:gridCol w:w="3114"/>
        <w:gridCol w:w="2030"/>
        <w:gridCol w:w="1171"/>
      </w:tblGrid>
      <w:tr w:rsidR="008568C5">
        <w:trPr>
          <w:trHeight w:val="1260"/>
        </w:trPr>
        <w:tc>
          <w:tcPr>
            <w:tcW w:w="744"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lastRenderedPageBreak/>
              <w:t>序号</w:t>
            </w:r>
          </w:p>
        </w:tc>
        <w:tc>
          <w:tcPr>
            <w:tcW w:w="1264"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5240"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843"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876"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3114"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030"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1171"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580"/>
        </w:trPr>
        <w:tc>
          <w:tcPr>
            <w:tcW w:w="744" w:type="dxa"/>
            <w:vMerge w:val="restart"/>
            <w:tcBorders>
              <w:top w:val="single" w:sz="4" w:space="0" w:color="000000"/>
              <w:left w:val="single" w:sz="4" w:space="0" w:color="000000"/>
              <w:bottom w:val="single" w:sz="4" w:space="0" w:color="000000"/>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81</w:t>
            </w:r>
          </w:p>
        </w:tc>
        <w:tc>
          <w:tcPr>
            <w:tcW w:w="1264"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审核所监管企业资本金变动、股权管理及发债方案</w:t>
            </w:r>
          </w:p>
        </w:tc>
        <w:tc>
          <w:tcPr>
            <w:tcW w:w="5240"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20"/>
                <w:szCs w:val="20"/>
              </w:rPr>
              <w:t>《企业国有资产法》“第三十一条 国有独资企业、国有独资公司合并、分立，增加或者减少注册资本，发行债券，分配利润，以及解散、申请破产，由履行出资人职责的机构决定”。《公司法》“第六十六条 国有资产监督管理机构可以授权公司董事会行使股东会的部分职权，决定公司的重大事项，但公司的合并、分立、解散、增加或者减少注册资本和发行公司债券，必须由国有资产监督管理机构决定”。《企业国有资产监督管理暂行条例》（国务院令第378号）“第二十一条 国有资产监督管理机构依照法定程序决定其所出资企业中的国有独资企业、国有独资公司的分立、合并、破产、解散、增减资本、发行公司债券等重大事项”。《企业国有资产法》“第三十一条 国有独资企业、国有独资公司合并、分立，增加或者减少注册资本，发行债券，分配利润，以及解散、申请破产，由履行出资人职责的机构决定”。《公司法》“第六十六条 国有资产监督管理机构可以授权公司董事会行使股东会的部分职权，决定公司的重大事项，但公司的合并、分立、解散、增加或者减少注册资本和发行公司债券，必须由国有资产监督管理机构决定”。《企业国有资产监督管理暂行条例》（国务院令第378号）“第二十一条国有资产监督管理机构依照法定程序决定其所出资企业中的国有独资企业、国有独资公司的分立、合并、破产、解散、增减资本、发行公司债券等重大事项”。《企业国有资产法》“第五十四条 转让上市交易的股份依照《中华人民共和国证券法》的规定进行”。《证券法》“第八十三条 国有企业和国有资产控股的企业买卖上市交易的股票，必须遵守国家有关规定”。《内乡县财政局职能配置、内设机构和人员编制规定》第五条（十九）“审核所监管企业资本金变动、股权管理及发债方案”</w:t>
            </w:r>
          </w:p>
        </w:tc>
        <w:tc>
          <w:tcPr>
            <w:tcW w:w="843" w:type="dxa"/>
            <w:vMerge w:val="restart"/>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76" w:type="dxa"/>
            <w:vMerge w:val="restart"/>
            <w:tcBorders>
              <w:top w:val="single" w:sz="4" w:space="0" w:color="auto"/>
              <w:left w:val="single" w:sz="4" w:space="0" w:color="auto"/>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依照相关法律法规具体措施</w:t>
            </w:r>
          </w:p>
        </w:tc>
        <w:tc>
          <w:tcPr>
            <w:tcW w:w="3114" w:type="dxa"/>
            <w:tcBorders>
              <w:top w:val="single" w:sz="4" w:space="0" w:color="auto"/>
              <w:left w:val="single" w:sz="4" w:space="0" w:color="000000"/>
              <w:bottom w:val="single" w:sz="4" w:space="0" w:color="000000"/>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负责决定国有独资企业、国有独资公司合并、分立，增加或者减少注册资本，发行债券，分配利润，以及解散、</w:t>
            </w:r>
            <w:proofErr w:type="gramStart"/>
            <w:r>
              <w:rPr>
                <w:rFonts w:ascii="仿宋" w:eastAsia="仿宋" w:hAnsi="仿宋" w:cs="仿宋" w:hint="eastAsia"/>
                <w:szCs w:val="21"/>
              </w:rPr>
              <w:t>申请确产等</w:t>
            </w:r>
            <w:proofErr w:type="gramEnd"/>
          </w:p>
        </w:tc>
        <w:tc>
          <w:tcPr>
            <w:tcW w:w="2030" w:type="dxa"/>
            <w:vMerge w:val="restart"/>
            <w:tcBorders>
              <w:top w:val="single" w:sz="4" w:space="0" w:color="000000"/>
              <w:left w:val="single" w:sz="4" w:space="0" w:color="auto"/>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三十六条：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tc>
        <w:tc>
          <w:tcPr>
            <w:tcW w:w="1171"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1997"/>
        </w:trPr>
        <w:tc>
          <w:tcPr>
            <w:tcW w:w="744"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6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4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top w:val="single" w:sz="4" w:space="0" w:color="000000"/>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876" w:type="dxa"/>
            <w:vMerge/>
            <w:tcBorders>
              <w:left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3114" w:type="dxa"/>
            <w:tcBorders>
              <w:top w:val="single" w:sz="4" w:space="0" w:color="000000"/>
              <w:left w:val="single" w:sz="4" w:space="0" w:color="000000"/>
              <w:bottom w:val="single" w:sz="4" w:space="0" w:color="000000"/>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负责授予董事会行使股东的部分职权，决定公司的重大事项，决定公司的合并、分立、解散、增加或者减少注册资本和发行公司债券等。</w:t>
            </w:r>
          </w:p>
        </w:tc>
        <w:tc>
          <w:tcPr>
            <w:tcW w:w="2030" w:type="dxa"/>
            <w:vMerge/>
            <w:tcBorders>
              <w:top w:val="single" w:sz="4" w:space="0" w:color="000000"/>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171"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12"/>
        </w:trPr>
        <w:tc>
          <w:tcPr>
            <w:tcW w:w="744"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6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240"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843" w:type="dxa"/>
            <w:vMerge/>
            <w:tcBorders>
              <w:top w:val="single" w:sz="4" w:space="0" w:color="000000"/>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876" w:type="dxa"/>
            <w:vMerge/>
            <w:tcBorders>
              <w:left w:val="single" w:sz="4" w:space="0" w:color="auto"/>
              <w:bottom w:val="single" w:sz="4" w:space="0" w:color="auto"/>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3114" w:type="dxa"/>
            <w:tcBorders>
              <w:top w:val="single" w:sz="4" w:space="0" w:color="000000"/>
              <w:left w:val="single" w:sz="4" w:space="0" w:color="000000"/>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2030" w:type="dxa"/>
            <w:vMerge/>
            <w:tcBorders>
              <w:top w:val="single" w:sz="4" w:space="0" w:color="000000"/>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171"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802306">
      <w:pPr>
        <w:autoSpaceDN w:val="0"/>
        <w:snapToGrid w:val="0"/>
        <w:textAlignment w:val="center"/>
      </w:pPr>
    </w:p>
    <w:tbl>
      <w:tblPr>
        <w:tblW w:w="16378" w:type="dxa"/>
        <w:tblInd w:w="-1380" w:type="dxa"/>
        <w:tblLayout w:type="fixed"/>
        <w:tblLook w:val="04A0"/>
      </w:tblPr>
      <w:tblGrid>
        <w:gridCol w:w="986"/>
        <w:gridCol w:w="1259"/>
        <w:gridCol w:w="3766"/>
        <w:gridCol w:w="1226"/>
        <w:gridCol w:w="931"/>
        <w:gridCol w:w="5009"/>
        <w:gridCol w:w="1998"/>
        <w:gridCol w:w="1203"/>
      </w:tblGrid>
      <w:tr w:rsidR="008568C5">
        <w:trPr>
          <w:trHeight w:val="1260"/>
        </w:trPr>
        <w:tc>
          <w:tcPr>
            <w:tcW w:w="98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序号</w:t>
            </w:r>
          </w:p>
        </w:tc>
        <w:tc>
          <w:tcPr>
            <w:tcW w:w="1259"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3766"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122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931" w:type="dxa"/>
            <w:tcBorders>
              <w:top w:val="single" w:sz="4" w:space="0" w:color="000000"/>
              <w:left w:val="single" w:sz="4" w:space="0" w:color="000000"/>
              <w:bottom w:val="single" w:sz="4" w:space="0" w:color="auto"/>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5009" w:type="dxa"/>
            <w:tcBorders>
              <w:top w:val="single" w:sz="4" w:space="0" w:color="000000"/>
              <w:left w:val="single" w:sz="4" w:space="0" w:color="000000"/>
              <w:bottom w:val="single" w:sz="4" w:space="0" w:color="auto"/>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1998" w:type="dxa"/>
            <w:tcBorders>
              <w:top w:val="single" w:sz="4" w:space="0" w:color="000000"/>
              <w:left w:val="single" w:sz="4" w:space="0" w:color="000000"/>
              <w:bottom w:val="single" w:sz="4" w:space="0" w:color="000000"/>
              <w:right w:val="single" w:sz="4" w:space="0" w:color="000000"/>
            </w:tcBorders>
            <w:noWrap/>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1203"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432"/>
        </w:trPr>
        <w:tc>
          <w:tcPr>
            <w:tcW w:w="986" w:type="dxa"/>
            <w:vMerge w:val="restart"/>
            <w:tcBorders>
              <w:top w:val="single" w:sz="4" w:space="0" w:color="000000"/>
              <w:left w:val="single" w:sz="4" w:space="0" w:color="000000"/>
              <w:right w:val="single" w:sz="4" w:space="0" w:color="000000"/>
            </w:tcBorders>
            <w:noWrap/>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82</w:t>
            </w:r>
          </w:p>
        </w:tc>
        <w:tc>
          <w:tcPr>
            <w:tcW w:w="1259"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非税收入代收银行确定及取消</w:t>
            </w:r>
          </w:p>
        </w:tc>
        <w:tc>
          <w:tcPr>
            <w:tcW w:w="3766"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政府非税收入管理条例》（2013年11月29日河南省第十二届人民代表大会常务委员会第五次会议审议通过）第十三条第三款：“代收银行由县级以上财政部门按照公开、公平、科学和便民原则确定，并向社会公布.财政部门和代收银行应当按照国家有关规定签订代收协议。” 《河南省政府非税收入管理条例》（2013年11月29日河南省第十二届人民代表大会常务委员会第五次会议审议通过）第四十二条：“代收银行不按照规定收纳、清算、划转政府非税收入的，由财政部门责令改正；情节严重的，由财政部门将其从已公布的代收银行名单中除名，并在四年内不得确定其为代收银行。”</w:t>
            </w:r>
          </w:p>
        </w:tc>
        <w:tc>
          <w:tcPr>
            <w:tcW w:w="1226" w:type="dxa"/>
            <w:vMerge w:val="restart"/>
            <w:tcBorders>
              <w:top w:val="single" w:sz="4" w:space="0" w:color="000000"/>
              <w:left w:val="single" w:sz="4" w:space="0" w:color="000000"/>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其他职权1、非税收入代收银行确定</w:t>
            </w:r>
          </w:p>
        </w:tc>
        <w:tc>
          <w:tcPr>
            <w:tcW w:w="931" w:type="dxa"/>
            <w:tcBorders>
              <w:top w:val="single" w:sz="4" w:space="0" w:color="auto"/>
              <w:left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5009"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1.受理责任：受理有代</w:t>
            </w:r>
            <w:proofErr w:type="gramStart"/>
            <w:r>
              <w:rPr>
                <w:rFonts w:ascii="仿宋" w:eastAsia="仿宋" w:hAnsi="仿宋" w:cs="仿宋" w:hint="eastAsia"/>
                <w:szCs w:val="21"/>
              </w:rPr>
              <w:t>收市级</w:t>
            </w:r>
            <w:proofErr w:type="gramEnd"/>
            <w:r>
              <w:rPr>
                <w:rFonts w:ascii="仿宋" w:eastAsia="仿宋" w:hAnsi="仿宋" w:cs="仿宋" w:hint="eastAsia"/>
                <w:szCs w:val="21"/>
              </w:rPr>
              <w:t>非税收入意向的银行提交的材料。</w:t>
            </w:r>
          </w:p>
        </w:tc>
        <w:tc>
          <w:tcPr>
            <w:tcW w:w="1998" w:type="dxa"/>
            <w:vMerge w:val="restart"/>
            <w:tcBorders>
              <w:top w:val="single" w:sz="4" w:space="0" w:color="000000"/>
              <w:left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财政违法行为处罚处分条例》第二十八条：财政部门、审计机关、监察机关的工作人员滥用职权、玩忽职守、徇私舞弊的，给予警告、记过或者记大过处分；情节较重的，给予降级或者撤职处分；情节严重的，给予开除处分。构成犯罪的，依法追究刑事责任。</w:t>
            </w:r>
          </w:p>
        </w:tc>
        <w:tc>
          <w:tcPr>
            <w:tcW w:w="1203" w:type="dxa"/>
            <w:vMerge w:val="restart"/>
            <w:tcBorders>
              <w:top w:val="single" w:sz="4" w:space="0" w:color="000000"/>
              <w:left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税政与</w:t>
            </w:r>
            <w:proofErr w:type="gramStart"/>
            <w:r>
              <w:rPr>
                <w:rFonts w:ascii="仿宋" w:eastAsia="仿宋" w:hAnsi="仿宋" w:cs="仿宋" w:hint="eastAsia"/>
                <w:szCs w:val="21"/>
              </w:rPr>
              <w:t>条法股</w:t>
            </w:r>
            <w:proofErr w:type="gramEnd"/>
          </w:p>
        </w:tc>
      </w:tr>
      <w:tr w:rsidR="008568C5">
        <w:trPr>
          <w:trHeight w:val="432"/>
        </w:trPr>
        <w:tc>
          <w:tcPr>
            <w:tcW w:w="986"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000000"/>
              <w:left w:val="single" w:sz="4" w:space="0" w:color="auto"/>
              <w:bottom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09"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2.审查责任：对提交的材料进行审核，并进行现场审查。</w:t>
            </w:r>
          </w:p>
        </w:tc>
        <w:tc>
          <w:tcPr>
            <w:tcW w:w="1998" w:type="dxa"/>
            <w:vMerge/>
            <w:tcBorders>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5"/>
        </w:trPr>
        <w:tc>
          <w:tcPr>
            <w:tcW w:w="986"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09" w:type="dxa"/>
            <w:tcBorders>
              <w:top w:val="single" w:sz="4" w:space="0" w:color="auto"/>
              <w:left w:val="single" w:sz="4" w:space="0" w:color="auto"/>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3.决定责任：按照公开、公平、科学和便民原则确定市级非税收入代收银行的资格，督促银行按规定程序办理开户相关事项。</w:t>
            </w:r>
          </w:p>
        </w:tc>
        <w:tc>
          <w:tcPr>
            <w:tcW w:w="1998" w:type="dxa"/>
            <w:vMerge/>
            <w:tcBorders>
              <w:top w:val="single" w:sz="4" w:space="0" w:color="000000"/>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5"/>
        </w:trPr>
        <w:tc>
          <w:tcPr>
            <w:tcW w:w="986"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auto"/>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告知</w:t>
            </w:r>
          </w:p>
        </w:tc>
        <w:tc>
          <w:tcPr>
            <w:tcW w:w="5009" w:type="dxa"/>
            <w:tcBorders>
              <w:top w:val="single" w:sz="4" w:space="0" w:color="auto"/>
              <w:left w:val="single" w:sz="4" w:space="0" w:color="000000"/>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4.告知责任：将确定结果告知代收银行，与代收银行</w:t>
            </w:r>
            <w:proofErr w:type="gramStart"/>
            <w:r>
              <w:rPr>
                <w:rFonts w:ascii="仿宋" w:eastAsia="仿宋" w:hAnsi="仿宋" w:cs="仿宋" w:hint="eastAsia"/>
                <w:szCs w:val="21"/>
              </w:rPr>
              <w:t>签定</w:t>
            </w:r>
            <w:proofErr w:type="gramEnd"/>
            <w:r>
              <w:rPr>
                <w:rFonts w:ascii="仿宋" w:eastAsia="仿宋" w:hAnsi="仿宋" w:cs="仿宋" w:hint="eastAsia"/>
                <w:szCs w:val="21"/>
              </w:rPr>
              <w:t>《南阳市政府非税收入收缴银行协议书》，并向社会公布。</w:t>
            </w:r>
          </w:p>
        </w:tc>
        <w:tc>
          <w:tcPr>
            <w:tcW w:w="1998" w:type="dxa"/>
            <w:vMerge/>
            <w:tcBorders>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25"/>
        </w:trPr>
        <w:tc>
          <w:tcPr>
            <w:tcW w:w="986"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auto"/>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5009" w:type="dxa"/>
            <w:tcBorders>
              <w:top w:val="single" w:sz="4" w:space="0" w:color="auto"/>
              <w:left w:val="single" w:sz="4" w:space="0" w:color="000000"/>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5.事后监管责任：监督代收银行切实履行代收协议，提高市级政府非税收入收缴业务水平和服务质量，确保市级政府非税收入资金安全、高效运行。</w:t>
            </w:r>
          </w:p>
        </w:tc>
        <w:tc>
          <w:tcPr>
            <w:tcW w:w="1998" w:type="dxa"/>
            <w:vMerge/>
            <w:tcBorders>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568"/>
        </w:trPr>
        <w:tc>
          <w:tcPr>
            <w:tcW w:w="986"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000000"/>
              <w:bottom w:val="single" w:sz="4" w:space="0" w:color="auto"/>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009" w:type="dxa"/>
            <w:tcBorders>
              <w:top w:val="single" w:sz="4" w:space="0" w:color="auto"/>
              <w:left w:val="single" w:sz="4" w:space="0" w:color="000000"/>
              <w:bottom w:val="single" w:sz="4" w:space="0" w:color="auto"/>
              <w:right w:val="single" w:sz="4" w:space="0" w:color="auto"/>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6.其他法律法规规章文件规定应履行的责任。</w:t>
            </w:r>
          </w:p>
        </w:tc>
        <w:tc>
          <w:tcPr>
            <w:tcW w:w="1998" w:type="dxa"/>
            <w:vMerge/>
            <w:tcBorders>
              <w:left w:val="single" w:sz="4" w:space="0" w:color="auto"/>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12"/>
        </w:trPr>
        <w:tc>
          <w:tcPr>
            <w:tcW w:w="986"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top w:val="single" w:sz="4" w:space="0" w:color="000000"/>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val="restart"/>
            <w:tcBorders>
              <w:top w:val="single" w:sz="4" w:space="0" w:color="auto"/>
              <w:left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其他职权2、非税收入代收银行取消</w:t>
            </w:r>
          </w:p>
        </w:tc>
        <w:tc>
          <w:tcPr>
            <w:tcW w:w="931"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5009"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1.受理责任：受理征收单位或缴款义务人在收缴省级政府非税收入过程中的举报等相关事宜，按规定做好登记。</w:t>
            </w:r>
          </w:p>
        </w:tc>
        <w:tc>
          <w:tcPr>
            <w:tcW w:w="1998"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12"/>
        </w:trPr>
        <w:tc>
          <w:tcPr>
            <w:tcW w:w="986"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top w:val="single" w:sz="4" w:space="0" w:color="000000"/>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5009"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2、审查责任：主要采取约谈相关方，查阅相关资料，调看监控录相等方式组织对举报人反映的情况进行实地调查，确认。</w:t>
            </w:r>
          </w:p>
        </w:tc>
        <w:tc>
          <w:tcPr>
            <w:tcW w:w="1998"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12"/>
        </w:trPr>
        <w:tc>
          <w:tcPr>
            <w:tcW w:w="986" w:type="dxa"/>
            <w:vMerge/>
            <w:tcBorders>
              <w:top w:val="single" w:sz="4" w:space="0" w:color="000000"/>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top w:val="single" w:sz="4" w:space="0" w:color="000000"/>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5009"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3.决定责任：召开非税局局务会对调查取证情况进行集中研究。根据《河南省政府非税收入管理条例》、《南阳市政府非税收入银行代收协议书》提出初步处理意见，</w:t>
            </w:r>
            <w:proofErr w:type="gramStart"/>
            <w:r>
              <w:rPr>
                <w:rFonts w:ascii="仿宋" w:eastAsia="仿宋" w:hAnsi="仿宋" w:cs="仿宋" w:hint="eastAsia"/>
                <w:szCs w:val="21"/>
              </w:rPr>
              <w:t>报局长</w:t>
            </w:r>
            <w:proofErr w:type="gramEnd"/>
            <w:r>
              <w:rPr>
                <w:rFonts w:ascii="仿宋" w:eastAsia="仿宋" w:hAnsi="仿宋" w:cs="仿宋" w:hint="eastAsia"/>
                <w:szCs w:val="21"/>
              </w:rPr>
              <w:t>办公会研究决定后，拟发文件，取消该代收银行代理市级政府非税收入收缴业务资格。</w:t>
            </w:r>
          </w:p>
        </w:tc>
        <w:tc>
          <w:tcPr>
            <w:tcW w:w="1998"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12"/>
        </w:trPr>
        <w:tc>
          <w:tcPr>
            <w:tcW w:w="986" w:type="dxa"/>
            <w:vMerge/>
            <w:tcBorders>
              <w:left w:val="single" w:sz="4" w:space="0" w:color="000000"/>
              <w:bottom w:val="single" w:sz="4" w:space="0" w:color="000000"/>
              <w:right w:val="single" w:sz="4" w:space="0" w:color="000000"/>
            </w:tcBorders>
            <w:noWrap/>
            <w:vAlign w:val="center"/>
          </w:tcPr>
          <w:p w:rsidR="008568C5" w:rsidRDefault="008568C5">
            <w:pPr>
              <w:autoSpaceDN w:val="0"/>
              <w:snapToGrid w:val="0"/>
              <w:jc w:val="center"/>
              <w:textAlignment w:val="center"/>
              <w:rPr>
                <w:rFonts w:ascii="仿宋" w:eastAsia="仿宋" w:hAnsi="仿宋" w:cs="仿宋"/>
                <w:szCs w:val="21"/>
              </w:rPr>
            </w:pPr>
          </w:p>
        </w:tc>
        <w:tc>
          <w:tcPr>
            <w:tcW w:w="1259"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3766" w:type="dxa"/>
            <w:vMerge/>
            <w:tcBorders>
              <w:left w:val="single" w:sz="4" w:space="0" w:color="000000"/>
              <w:bottom w:val="single" w:sz="4" w:space="0" w:color="000000"/>
              <w:right w:val="single" w:sz="4" w:space="0" w:color="auto"/>
            </w:tcBorders>
            <w:vAlign w:val="center"/>
          </w:tcPr>
          <w:p w:rsidR="008568C5" w:rsidRDefault="008568C5">
            <w:pPr>
              <w:autoSpaceDN w:val="0"/>
              <w:snapToGrid w:val="0"/>
              <w:jc w:val="center"/>
              <w:textAlignment w:val="center"/>
              <w:rPr>
                <w:rFonts w:ascii="仿宋" w:eastAsia="仿宋" w:hAnsi="仿宋" w:cs="仿宋"/>
                <w:szCs w:val="21"/>
              </w:rPr>
            </w:pPr>
          </w:p>
        </w:tc>
        <w:tc>
          <w:tcPr>
            <w:tcW w:w="1226" w:type="dxa"/>
            <w:vMerge/>
            <w:tcBorders>
              <w:left w:val="single" w:sz="4" w:space="0" w:color="auto"/>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31" w:type="dxa"/>
            <w:tcBorders>
              <w:top w:val="single" w:sz="4" w:space="0" w:color="auto"/>
              <w:left w:val="single" w:sz="4" w:space="0" w:color="000000"/>
              <w:bottom w:val="single" w:sz="4" w:space="0" w:color="auto"/>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5009" w:type="dxa"/>
            <w:tcBorders>
              <w:top w:val="single" w:sz="4" w:space="0" w:color="auto"/>
              <w:left w:val="single" w:sz="4" w:space="0" w:color="000000"/>
              <w:bottom w:val="single" w:sz="4" w:space="0" w:color="auto"/>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4.其他法律法规规章文件规定应履行的责任。</w:t>
            </w:r>
          </w:p>
        </w:tc>
        <w:tc>
          <w:tcPr>
            <w:tcW w:w="1998"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203" w:type="dxa"/>
            <w:vMerge/>
            <w:tcBorders>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766" w:type="dxa"/>
        <w:jc w:val="center"/>
        <w:tblLayout w:type="fixed"/>
        <w:tblCellMar>
          <w:left w:w="0" w:type="dxa"/>
          <w:right w:w="0" w:type="dxa"/>
        </w:tblCellMar>
        <w:tblLook w:val="04A0"/>
      </w:tblPr>
      <w:tblGrid>
        <w:gridCol w:w="1460"/>
        <w:gridCol w:w="1847"/>
        <w:gridCol w:w="3300"/>
        <w:gridCol w:w="1059"/>
        <w:gridCol w:w="1485"/>
        <w:gridCol w:w="3323"/>
        <w:gridCol w:w="1646"/>
        <w:gridCol w:w="1646"/>
      </w:tblGrid>
      <w:tr w:rsidR="008568C5">
        <w:trPr>
          <w:trHeight w:val="635"/>
          <w:jc w:val="center"/>
        </w:trPr>
        <w:tc>
          <w:tcPr>
            <w:tcW w:w="146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037"/>
          <w:jc w:val="center"/>
        </w:trPr>
        <w:tc>
          <w:tcPr>
            <w:tcW w:w="1460"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83</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承担所监管企业国有资产清产核资结果认定</w:t>
            </w: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国有企业清产核资办法》（国务院国有资产监督管理委员会令第1号）第六条：《国有企业清产核资办法》第六条“各级国有资产监督管理机构是企业清产核资工作的监督管理部门”。第七条：“各级国有资产监督管理机构对符合四种情形之一的，可以要求企业进行清产核资：(</w:t>
            </w:r>
            <w:proofErr w:type="gramStart"/>
            <w:r>
              <w:rPr>
                <w:rFonts w:ascii="仿宋" w:eastAsia="仿宋" w:hAnsi="仿宋" w:cs="仿宋" w:hint="eastAsia"/>
                <w:szCs w:val="21"/>
              </w:rPr>
              <w:t>一</w:t>
            </w:r>
            <w:proofErr w:type="gramEnd"/>
            <w:r>
              <w:rPr>
                <w:rFonts w:ascii="仿宋" w:eastAsia="仿宋" w:hAnsi="仿宋" w:cs="仿宋" w:hint="eastAsia"/>
                <w:szCs w:val="21"/>
              </w:rPr>
              <w:t>)企业资产损失和资金挂账超过所有者权益，或者企业会计信息严重失真、账实严重不符的；(二)企业受重大自然灾害或者其他重大、紧急情况等不可抗力因素影响，造成严重资产损失的；(三)企业账务出现严重异常情况，或者国有资产出现重大流失的；(四)其他应当进行清产核资的情形。”第八条：“需要进行清产核资的，由企业提出申请，报同级国有资产监督管理机构批准。”</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受理责任：受理企业清产核资申请并下达立项批复；受理企业清产核资结果和中介机构专项审计报告。对其材料的齐全性、内容的完整性进行检验。符合要求的，直接受理，不符合要求的，一次性</w:t>
            </w:r>
            <w:proofErr w:type="gramStart"/>
            <w:r>
              <w:rPr>
                <w:rFonts w:ascii="仿宋" w:eastAsia="仿宋" w:hAnsi="仿宋" w:cs="仿宋" w:hint="eastAsia"/>
                <w:szCs w:val="21"/>
              </w:rPr>
              <w:t>告原因</w:t>
            </w:r>
            <w:proofErr w:type="gramEnd"/>
            <w:r>
              <w:rPr>
                <w:rFonts w:ascii="仿宋" w:eastAsia="仿宋" w:hAnsi="仿宋" w:cs="仿宋" w:hint="eastAsia"/>
                <w:szCs w:val="21"/>
              </w:rPr>
              <w:t>及所补材料。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单位国有资产管理暂行办法》第五十条：财政部门、行政单位及其工作人员违反本办法的规定，擅自占有、使用、处置国有资产的，按照《财政违法行为处罚处分条例》处理。违反国家国有资产管理规定的其他行为，按国家有关法律法规处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资产管理股、县属功能类公益类企业国有资产监管办公室</w:t>
            </w:r>
          </w:p>
        </w:tc>
      </w:tr>
      <w:tr w:rsidR="008568C5">
        <w:trPr>
          <w:trHeight w:val="1037"/>
          <w:jc w:val="center"/>
        </w:trPr>
        <w:tc>
          <w:tcPr>
            <w:tcW w:w="146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审核</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组织人员进行审核</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7"/>
          <w:jc w:val="center"/>
        </w:trPr>
        <w:tc>
          <w:tcPr>
            <w:tcW w:w="146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下达清产核资结果批复</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7"/>
          <w:jc w:val="center"/>
        </w:trPr>
        <w:tc>
          <w:tcPr>
            <w:tcW w:w="146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存档</w:t>
            </w:r>
          </w:p>
        </w:tc>
        <w:tc>
          <w:tcPr>
            <w:tcW w:w="3323"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清产核资全套资料立卷存档</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7"/>
          <w:jc w:val="center"/>
        </w:trPr>
        <w:tc>
          <w:tcPr>
            <w:tcW w:w="1460"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w:t>
            </w:r>
          </w:p>
        </w:tc>
        <w:tc>
          <w:tcPr>
            <w:tcW w:w="3323"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Style w:val="a6"/>
        <w:tblW w:w="14748" w:type="dxa"/>
        <w:tblInd w:w="-1073" w:type="dxa"/>
        <w:tblLayout w:type="fixed"/>
        <w:tblLook w:val="04A0"/>
      </w:tblPr>
      <w:tblGrid>
        <w:gridCol w:w="832"/>
        <w:gridCol w:w="909"/>
        <w:gridCol w:w="5737"/>
        <w:gridCol w:w="1281"/>
        <w:gridCol w:w="876"/>
        <w:gridCol w:w="2321"/>
        <w:gridCol w:w="1785"/>
        <w:gridCol w:w="1007"/>
      </w:tblGrid>
      <w:tr w:rsidR="008568C5">
        <w:tc>
          <w:tcPr>
            <w:tcW w:w="832"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lastRenderedPageBreak/>
              <w:t>序号</w:t>
            </w:r>
          </w:p>
        </w:tc>
        <w:tc>
          <w:tcPr>
            <w:tcW w:w="909"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名称</w:t>
            </w:r>
          </w:p>
        </w:tc>
        <w:tc>
          <w:tcPr>
            <w:tcW w:w="5737"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1281"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职权类别</w:t>
            </w:r>
          </w:p>
        </w:tc>
        <w:tc>
          <w:tcPr>
            <w:tcW w:w="876"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2321"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1785"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1007"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科室</w:t>
            </w:r>
          </w:p>
        </w:tc>
      </w:tr>
      <w:tr w:rsidR="008568C5">
        <w:trPr>
          <w:trHeight w:val="1809"/>
        </w:trPr>
        <w:tc>
          <w:tcPr>
            <w:tcW w:w="832" w:type="dxa"/>
            <w:vMerge w:val="restart"/>
            <w:vAlign w:val="center"/>
          </w:tcPr>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84</w:t>
            </w:r>
          </w:p>
        </w:tc>
        <w:tc>
          <w:tcPr>
            <w:tcW w:w="909"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按照规定权限承担对监管企业领导人员的考核工作并提出任免建议</w:t>
            </w:r>
          </w:p>
        </w:tc>
        <w:tc>
          <w:tcPr>
            <w:tcW w:w="5737" w:type="dxa"/>
            <w:vMerge w:val="restart"/>
            <w:vAlign w:val="center"/>
          </w:tcPr>
          <w:p w:rsidR="008568C5" w:rsidRDefault="00A65D61">
            <w:pPr>
              <w:autoSpaceDN w:val="0"/>
              <w:snapToGrid w:val="0"/>
              <w:textAlignment w:val="center"/>
              <w:rPr>
                <w:rFonts w:ascii="仿宋" w:eastAsia="仿宋" w:hAnsi="仿宋" w:cs="仿宋"/>
                <w:szCs w:val="21"/>
              </w:rPr>
            </w:pPr>
            <w:r>
              <w:rPr>
                <w:rFonts w:ascii="仿宋" w:eastAsia="仿宋" w:hAnsi="仿宋" w:cs="仿宋" w:hint="eastAsia"/>
                <w:sz w:val="18"/>
                <w:szCs w:val="18"/>
              </w:rPr>
              <w:t>《企业国有资产法》第二十七条：“国家建立国家出资企业管理者经营业绩考核制度。履行出资人职责的机构应当对其任命的企业管理者进行年度和任期考核，并依据考核结果决定对企业管理者的奖惩。履行出资人职责的机内应当按照国家有关规定，确定其任命的国家出资企业管理者的薪酬标准。”《企业国有资产监督管理暂行条例》（国务院令第378号）第十八条：“国有资产监督管理机构应当建立企业负责人经营业绩考核制度，与其任命的企业负责人签订业绩合同，根据业绩合同对企业负责人进行年度考核和任期考核。”《中共河南省委、河南省人民政府关于印发&lt;河南省省管国有企业负责人薪酬制度改革实施意见》的通知</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w:t>
            </w:r>
            <w:proofErr w:type="gramStart"/>
            <w:r>
              <w:rPr>
                <w:rFonts w:ascii="仿宋" w:eastAsia="仿宋" w:hAnsi="仿宋" w:cs="仿宋" w:hint="eastAsia"/>
                <w:sz w:val="18"/>
                <w:szCs w:val="18"/>
              </w:rPr>
              <w:t>豫发〔2015〕</w:t>
            </w:r>
            <w:proofErr w:type="gramEnd"/>
            <w:r>
              <w:rPr>
                <w:rFonts w:ascii="仿宋" w:eastAsia="仿宋" w:hAnsi="仿宋" w:cs="仿宋" w:hint="eastAsia"/>
                <w:sz w:val="18"/>
                <w:szCs w:val="18"/>
              </w:rPr>
              <w:t>17号）：“按照干部管理权限，由省委组织部、省政府国资委党委和有关部门党组负责对省管国有企业负责人的综合考核评价工作。省财政厅、省政府国资委和其他有关业务主管部门按照分工，负责省国有企业负责人的经营业绩考核。”《中共河南省委、河南省人民政府关于印发〈河南省省属国有非工业企业改革推进方案&gt;的通知》（</w:t>
            </w:r>
            <w:proofErr w:type="gramStart"/>
            <w:r>
              <w:rPr>
                <w:rFonts w:ascii="仿宋" w:eastAsia="仿宋" w:hAnsi="仿宋" w:cs="仿宋" w:hint="eastAsia"/>
                <w:sz w:val="18"/>
                <w:szCs w:val="18"/>
              </w:rPr>
              <w:t>豫发〔2017〕</w:t>
            </w:r>
            <w:proofErr w:type="gramEnd"/>
            <w:r>
              <w:rPr>
                <w:rFonts w:ascii="仿宋" w:eastAsia="仿宋" w:hAnsi="仿宋" w:cs="仿宋" w:hint="eastAsia"/>
                <w:sz w:val="18"/>
                <w:szCs w:val="18"/>
              </w:rPr>
              <w:t>5号）：“董事长的任期目标，由出资人管理机构确定。”《中共河南省委办公厅、河南省人民政府办公厅关于印发&lt;关于加强和改进省管企业领导人员管理工作的意见&gt;、&lt;关于进一步完善省管企业负责人薪酬制度的意见&gt;的通知》（豫办〔2017〕6号）：“省委组织部、省政府国资委及其他履行出资人职责的机构要科学设定企业党委会、董事会任期目标。”“对省管企业领导班子和领导人员实行年度考核和任期考核。年度考核由省政府国资委党委或其他履行出资人职责的机构党组(党委）组织实施，省委组织部派人参加，考核结果报省委组织部；任期考核由省委组织部会同省政府国资委或其他履行出资人职责的机构党组（党委）组织实施。”“省财政厅、省政府国资委和其他有关部门负责定省管企业负责人的经营业绩考核和薪酬审核管理办法，并做好企业负责人经营业绩考核和薪酬审核工作。”《金融企业国有资本保值增值结果确认暂行办法》（财政部令第43号）第四条：“县级以上人民政府财政部门（以下简称财政部门）应当依据经会计师事务所审计的金融企业年度财务会计报告，在全面分析年度内国有资增减变动因素的基础上，按照统一政策、分级管理的原则，对本级直接管理的金融企业国有资本保值增值结果进行确认。”</w:t>
            </w:r>
          </w:p>
        </w:tc>
        <w:tc>
          <w:tcPr>
            <w:tcW w:w="1281"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76"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32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1.受理责任：明确告知申报单位依法应当提交的材料；一次性告知需补齐材料；依法受理或不予受理（不予受理的需明确告知理由）。</w:t>
            </w:r>
          </w:p>
        </w:tc>
        <w:tc>
          <w:tcPr>
            <w:tcW w:w="1785"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三十八条：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tc>
        <w:tc>
          <w:tcPr>
            <w:tcW w:w="1007"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tc>
      </w:tr>
      <w:tr w:rsidR="008568C5">
        <w:trPr>
          <w:trHeight w:val="1809"/>
        </w:trPr>
        <w:tc>
          <w:tcPr>
            <w:tcW w:w="8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909" w:type="dxa"/>
            <w:vMerge/>
            <w:vAlign w:val="center"/>
          </w:tcPr>
          <w:p w:rsidR="008568C5" w:rsidRDefault="008568C5">
            <w:pPr>
              <w:autoSpaceDN w:val="0"/>
              <w:snapToGrid w:val="0"/>
              <w:jc w:val="center"/>
              <w:textAlignment w:val="center"/>
              <w:rPr>
                <w:rFonts w:ascii="仿宋" w:eastAsia="仿宋" w:hAnsi="仿宋" w:cs="仿宋"/>
                <w:szCs w:val="21"/>
              </w:rPr>
            </w:pPr>
          </w:p>
        </w:tc>
        <w:tc>
          <w:tcPr>
            <w:tcW w:w="573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81" w:type="dxa"/>
            <w:vMerge/>
            <w:vAlign w:val="center"/>
          </w:tcPr>
          <w:p w:rsidR="008568C5" w:rsidRDefault="008568C5">
            <w:pPr>
              <w:autoSpaceDN w:val="0"/>
              <w:snapToGrid w:val="0"/>
              <w:jc w:val="center"/>
              <w:textAlignment w:val="center"/>
              <w:rPr>
                <w:rFonts w:ascii="仿宋" w:eastAsia="仿宋" w:hAnsi="仿宋" w:cs="仿宋"/>
                <w:szCs w:val="21"/>
              </w:rPr>
            </w:pPr>
          </w:p>
        </w:tc>
        <w:tc>
          <w:tcPr>
            <w:tcW w:w="876"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32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2.审查责任：按照国家和我省关于监管企业领导人员的考核等相关规定对申报材料进行审查；组织相关人员或科室对材料进行评审论证；提出审核意见，需要报上级有关部门的按程序规定上报。</w:t>
            </w:r>
          </w:p>
        </w:tc>
        <w:tc>
          <w:tcPr>
            <w:tcW w:w="178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07"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809"/>
        </w:trPr>
        <w:tc>
          <w:tcPr>
            <w:tcW w:w="8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909" w:type="dxa"/>
            <w:vMerge/>
            <w:vAlign w:val="center"/>
          </w:tcPr>
          <w:p w:rsidR="008568C5" w:rsidRDefault="008568C5">
            <w:pPr>
              <w:autoSpaceDN w:val="0"/>
              <w:snapToGrid w:val="0"/>
              <w:jc w:val="center"/>
              <w:textAlignment w:val="center"/>
              <w:rPr>
                <w:rFonts w:ascii="仿宋" w:eastAsia="仿宋" w:hAnsi="仿宋" w:cs="仿宋"/>
                <w:szCs w:val="21"/>
              </w:rPr>
            </w:pPr>
          </w:p>
        </w:tc>
        <w:tc>
          <w:tcPr>
            <w:tcW w:w="573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81" w:type="dxa"/>
            <w:vMerge/>
            <w:vAlign w:val="center"/>
          </w:tcPr>
          <w:p w:rsidR="008568C5" w:rsidRDefault="008568C5">
            <w:pPr>
              <w:autoSpaceDN w:val="0"/>
              <w:snapToGrid w:val="0"/>
              <w:jc w:val="center"/>
              <w:textAlignment w:val="center"/>
              <w:rPr>
                <w:rFonts w:ascii="仿宋" w:eastAsia="仿宋" w:hAnsi="仿宋" w:cs="仿宋"/>
                <w:szCs w:val="21"/>
              </w:rPr>
            </w:pPr>
          </w:p>
        </w:tc>
        <w:tc>
          <w:tcPr>
            <w:tcW w:w="876"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232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3.决定责任：做出决定。审核同意的，制作结果认定文件；审核不同意的，以便函形式告知申请单位。</w:t>
            </w:r>
          </w:p>
        </w:tc>
        <w:tc>
          <w:tcPr>
            <w:tcW w:w="178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07"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809"/>
        </w:trPr>
        <w:tc>
          <w:tcPr>
            <w:tcW w:w="832" w:type="dxa"/>
            <w:vMerge/>
            <w:vAlign w:val="center"/>
          </w:tcPr>
          <w:p w:rsidR="008568C5" w:rsidRDefault="008568C5">
            <w:pPr>
              <w:autoSpaceDN w:val="0"/>
              <w:snapToGrid w:val="0"/>
              <w:jc w:val="center"/>
              <w:textAlignment w:val="center"/>
              <w:rPr>
                <w:rFonts w:ascii="仿宋" w:eastAsia="仿宋" w:hAnsi="仿宋" w:cs="仿宋"/>
                <w:szCs w:val="21"/>
              </w:rPr>
            </w:pPr>
          </w:p>
        </w:tc>
        <w:tc>
          <w:tcPr>
            <w:tcW w:w="909" w:type="dxa"/>
            <w:vMerge/>
            <w:vAlign w:val="center"/>
          </w:tcPr>
          <w:p w:rsidR="008568C5" w:rsidRDefault="008568C5">
            <w:pPr>
              <w:autoSpaceDN w:val="0"/>
              <w:snapToGrid w:val="0"/>
              <w:jc w:val="center"/>
              <w:textAlignment w:val="center"/>
              <w:rPr>
                <w:rFonts w:ascii="仿宋" w:eastAsia="仿宋" w:hAnsi="仿宋" w:cs="仿宋"/>
                <w:szCs w:val="21"/>
              </w:rPr>
            </w:pPr>
          </w:p>
        </w:tc>
        <w:tc>
          <w:tcPr>
            <w:tcW w:w="5737"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81" w:type="dxa"/>
            <w:vMerge/>
            <w:vAlign w:val="center"/>
          </w:tcPr>
          <w:p w:rsidR="008568C5" w:rsidRDefault="008568C5">
            <w:pPr>
              <w:autoSpaceDN w:val="0"/>
              <w:snapToGrid w:val="0"/>
              <w:jc w:val="center"/>
              <w:textAlignment w:val="center"/>
              <w:rPr>
                <w:rFonts w:ascii="仿宋" w:eastAsia="仿宋" w:hAnsi="仿宋" w:cs="仿宋"/>
                <w:szCs w:val="21"/>
              </w:rPr>
            </w:pPr>
          </w:p>
        </w:tc>
        <w:tc>
          <w:tcPr>
            <w:tcW w:w="876"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事后监管</w:t>
            </w:r>
          </w:p>
        </w:tc>
        <w:tc>
          <w:tcPr>
            <w:tcW w:w="232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4.对所监管企业方案落实情况进行检查。</w:t>
            </w:r>
          </w:p>
        </w:tc>
        <w:tc>
          <w:tcPr>
            <w:tcW w:w="178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007"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Style w:val="a6"/>
        <w:tblW w:w="15662" w:type="dxa"/>
        <w:tblInd w:w="-854" w:type="dxa"/>
        <w:tblLayout w:type="fixed"/>
        <w:tblLook w:val="04A0"/>
      </w:tblPr>
      <w:tblGrid>
        <w:gridCol w:w="1321"/>
        <w:gridCol w:w="1123"/>
        <w:gridCol w:w="3945"/>
        <w:gridCol w:w="825"/>
        <w:gridCol w:w="1155"/>
        <w:gridCol w:w="4920"/>
        <w:gridCol w:w="1410"/>
        <w:gridCol w:w="963"/>
      </w:tblGrid>
      <w:tr w:rsidR="008568C5">
        <w:tc>
          <w:tcPr>
            <w:tcW w:w="1321"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lastRenderedPageBreak/>
              <w:t>序号</w:t>
            </w:r>
          </w:p>
        </w:tc>
        <w:tc>
          <w:tcPr>
            <w:tcW w:w="1123"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名称</w:t>
            </w:r>
          </w:p>
        </w:tc>
        <w:tc>
          <w:tcPr>
            <w:tcW w:w="3945"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825"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职权类别</w:t>
            </w:r>
          </w:p>
        </w:tc>
        <w:tc>
          <w:tcPr>
            <w:tcW w:w="1155"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4920"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1410"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963"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科室</w:t>
            </w:r>
          </w:p>
        </w:tc>
      </w:tr>
      <w:tr w:rsidR="008568C5">
        <w:trPr>
          <w:trHeight w:val="1660"/>
        </w:trPr>
        <w:tc>
          <w:tcPr>
            <w:tcW w:w="1321"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85</w:t>
            </w:r>
          </w:p>
        </w:tc>
        <w:tc>
          <w:tcPr>
            <w:tcW w:w="1123"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建立健全国有企业绩效评价指标体系,综合考核所监管企业的经营业绩</w:t>
            </w:r>
          </w:p>
        </w:tc>
        <w:tc>
          <w:tcPr>
            <w:tcW w:w="3945"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中华人民共和国企业国有资产法》（中华人民共和国主席令第五号）第十一条：“国务院国有资产监督管理机构和地方人民政府按照国务院的规定设立的国有资产监督管理机构，根据本级人民政府的授权，代表本级人民政府对国家出资企业履行出资人职责。 国务院和地方人民政府根据需要，可以授权其他部门、机构代表本级人民政府对国家出资企业履行出资人职责。 代表本级人民政府履行出资人职责的机构、部门，以下统称履行出资人职责的机构。” 第二十七条：“国家建立国家出资企业管理者经营业绩考核制度。履行出资人职责的机构应当对其任命的企业管理者进行年度和任期考核，并依据考核结果决定对企业管理者的奖惩。”《企业国有资产监督管理暂行条例》（国务院令第378号）第十八条：“国有资产监督管理机构应当建立企业负责人经营业绩考核制度，与其任命的企业负责人签订业绩合同，根据业绩合同对企业负责人进行年度考核和任期考核。”</w:t>
            </w:r>
          </w:p>
        </w:tc>
        <w:tc>
          <w:tcPr>
            <w:tcW w:w="825"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15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4920"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受理责任：受理企业负责人上报年度任期经营业绩目标值完成情况总结分析报告，对其材料的齐全性、内容的完整性进行查验，符合要求的，直接受理，不符合要求的，一次性告知原因及所补材料。</w:t>
            </w:r>
          </w:p>
        </w:tc>
        <w:tc>
          <w:tcPr>
            <w:tcW w:w="1410"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963"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县属功能类公益类企业国有资产监管办公室、资产管理股</w:t>
            </w:r>
          </w:p>
        </w:tc>
      </w:tr>
      <w:tr w:rsidR="008568C5">
        <w:trPr>
          <w:trHeight w:val="1420"/>
        </w:trPr>
        <w:tc>
          <w:tcPr>
            <w:tcW w:w="1321" w:type="dxa"/>
            <w:vMerge/>
          </w:tcPr>
          <w:p w:rsidR="008568C5" w:rsidRDefault="008568C5">
            <w:pPr>
              <w:autoSpaceDN w:val="0"/>
              <w:snapToGrid w:val="0"/>
              <w:jc w:val="center"/>
              <w:textAlignment w:val="center"/>
              <w:rPr>
                <w:rFonts w:ascii="仿宋" w:eastAsia="仿宋" w:hAnsi="仿宋" w:cs="仿宋"/>
                <w:szCs w:val="21"/>
              </w:rPr>
            </w:pPr>
          </w:p>
        </w:tc>
        <w:tc>
          <w:tcPr>
            <w:tcW w:w="1123" w:type="dxa"/>
            <w:vMerge/>
            <w:vAlign w:val="center"/>
          </w:tcPr>
          <w:p w:rsidR="008568C5" w:rsidRDefault="008568C5">
            <w:pPr>
              <w:autoSpaceDN w:val="0"/>
              <w:snapToGrid w:val="0"/>
              <w:jc w:val="center"/>
              <w:textAlignment w:val="center"/>
              <w:rPr>
                <w:rFonts w:ascii="仿宋" w:eastAsia="仿宋" w:hAnsi="仿宋" w:cs="仿宋"/>
                <w:szCs w:val="21"/>
              </w:rPr>
            </w:pPr>
          </w:p>
        </w:tc>
        <w:tc>
          <w:tcPr>
            <w:tcW w:w="394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15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审核</w:t>
            </w:r>
          </w:p>
        </w:tc>
        <w:tc>
          <w:tcPr>
            <w:tcW w:w="4920"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审核责任：对报送的年度任期经营业绩目标值完成情况总结分析和企业财务决算报告进行规范性审核。</w:t>
            </w:r>
          </w:p>
        </w:tc>
        <w:tc>
          <w:tcPr>
            <w:tcW w:w="1410" w:type="dxa"/>
            <w:vMerge/>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38"/>
        </w:trPr>
        <w:tc>
          <w:tcPr>
            <w:tcW w:w="1321" w:type="dxa"/>
            <w:vMerge/>
          </w:tcPr>
          <w:p w:rsidR="008568C5" w:rsidRDefault="008568C5">
            <w:pPr>
              <w:autoSpaceDN w:val="0"/>
              <w:snapToGrid w:val="0"/>
              <w:jc w:val="center"/>
              <w:textAlignment w:val="center"/>
              <w:rPr>
                <w:rFonts w:ascii="仿宋" w:eastAsia="仿宋" w:hAnsi="仿宋" w:cs="仿宋"/>
                <w:szCs w:val="21"/>
              </w:rPr>
            </w:pPr>
          </w:p>
        </w:tc>
        <w:tc>
          <w:tcPr>
            <w:tcW w:w="1123" w:type="dxa"/>
            <w:vMerge/>
            <w:vAlign w:val="center"/>
          </w:tcPr>
          <w:p w:rsidR="008568C5" w:rsidRDefault="008568C5">
            <w:pPr>
              <w:autoSpaceDN w:val="0"/>
              <w:snapToGrid w:val="0"/>
              <w:jc w:val="center"/>
              <w:textAlignment w:val="center"/>
              <w:rPr>
                <w:rFonts w:ascii="仿宋" w:eastAsia="仿宋" w:hAnsi="仿宋" w:cs="仿宋"/>
                <w:szCs w:val="21"/>
              </w:rPr>
            </w:pPr>
          </w:p>
        </w:tc>
        <w:tc>
          <w:tcPr>
            <w:tcW w:w="394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15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4920"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决定责任：形成企业负责人经营业绩考核结果与奖惩意见。</w:t>
            </w:r>
          </w:p>
        </w:tc>
        <w:tc>
          <w:tcPr>
            <w:tcW w:w="1410" w:type="dxa"/>
            <w:vMerge/>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448"/>
        </w:trPr>
        <w:tc>
          <w:tcPr>
            <w:tcW w:w="1321" w:type="dxa"/>
            <w:vMerge/>
          </w:tcPr>
          <w:p w:rsidR="008568C5" w:rsidRDefault="008568C5">
            <w:pPr>
              <w:autoSpaceDN w:val="0"/>
              <w:snapToGrid w:val="0"/>
              <w:jc w:val="center"/>
              <w:textAlignment w:val="center"/>
              <w:rPr>
                <w:rFonts w:ascii="仿宋" w:eastAsia="仿宋" w:hAnsi="仿宋" w:cs="仿宋"/>
                <w:szCs w:val="21"/>
              </w:rPr>
            </w:pPr>
          </w:p>
        </w:tc>
        <w:tc>
          <w:tcPr>
            <w:tcW w:w="1123" w:type="dxa"/>
            <w:vMerge/>
            <w:vAlign w:val="center"/>
          </w:tcPr>
          <w:p w:rsidR="008568C5" w:rsidRDefault="008568C5">
            <w:pPr>
              <w:autoSpaceDN w:val="0"/>
              <w:snapToGrid w:val="0"/>
              <w:jc w:val="center"/>
              <w:textAlignment w:val="center"/>
              <w:rPr>
                <w:rFonts w:ascii="仿宋" w:eastAsia="仿宋" w:hAnsi="仿宋" w:cs="仿宋"/>
                <w:szCs w:val="21"/>
              </w:rPr>
            </w:pPr>
          </w:p>
        </w:tc>
        <w:tc>
          <w:tcPr>
            <w:tcW w:w="394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5" w:type="dxa"/>
            <w:vMerge/>
            <w:vAlign w:val="center"/>
          </w:tcPr>
          <w:p w:rsidR="008568C5" w:rsidRDefault="008568C5">
            <w:pPr>
              <w:autoSpaceDN w:val="0"/>
              <w:snapToGrid w:val="0"/>
              <w:jc w:val="center"/>
              <w:textAlignment w:val="center"/>
              <w:rPr>
                <w:rFonts w:ascii="仿宋" w:eastAsia="仿宋" w:hAnsi="仿宋" w:cs="仿宋"/>
                <w:szCs w:val="21"/>
              </w:rPr>
            </w:pPr>
          </w:p>
        </w:tc>
        <w:tc>
          <w:tcPr>
            <w:tcW w:w="1155"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w:t>
            </w:r>
          </w:p>
        </w:tc>
        <w:tc>
          <w:tcPr>
            <w:tcW w:w="4920"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其他法律法规规定文件规定应履行的责任。</w:t>
            </w:r>
          </w:p>
        </w:tc>
        <w:tc>
          <w:tcPr>
            <w:tcW w:w="1410" w:type="dxa"/>
            <w:vMerge/>
            <w:vAlign w:val="center"/>
          </w:tcPr>
          <w:p w:rsidR="008568C5" w:rsidRDefault="008568C5">
            <w:pPr>
              <w:autoSpaceDN w:val="0"/>
              <w:snapToGrid w:val="0"/>
              <w:jc w:val="center"/>
              <w:textAlignment w:val="center"/>
              <w:rPr>
                <w:rFonts w:ascii="仿宋" w:eastAsia="仿宋" w:hAnsi="仿宋" w:cs="仿宋"/>
                <w:szCs w:val="21"/>
              </w:rPr>
            </w:pPr>
          </w:p>
        </w:tc>
        <w:tc>
          <w:tcPr>
            <w:tcW w:w="963"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279"/>
        <w:gridCol w:w="3529"/>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27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52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123"/>
          <w:jc w:val="center"/>
        </w:trPr>
        <w:tc>
          <w:tcPr>
            <w:tcW w:w="1144" w:type="dxa"/>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86</w:t>
            </w:r>
          </w:p>
        </w:tc>
        <w:tc>
          <w:tcPr>
            <w:tcW w:w="1847"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指导所监管企业建立健全会计和财务管理制度，指导所监管企业总会计师(财务总监)业务工作</w:t>
            </w:r>
          </w:p>
        </w:tc>
        <w:tc>
          <w:tcPr>
            <w:tcW w:w="3300" w:type="dxa"/>
            <w:tcBorders>
              <w:top w:val="single" w:sz="4" w:space="0" w:color="auto"/>
              <w:left w:val="single" w:sz="4" w:space="0" w:color="000000"/>
              <w:bottom w:val="single" w:sz="4" w:space="0" w:color="auto"/>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企业国有资产法》（中华人民共和国主席令第五号）第十八条：“国家出资企业应当依照法律、行政法规和国务院财政部门的规定，建立健全财务、会计制度，设置会计账簿，进行会计核算，依照法律、行政法规以及企业章程的规定向出资人提供真实、完整的财务、会计信息。”《企业国有资产监督管理暂行条例》（国务院令第378号）第三十七条：“所出资企业中的国有独资企业、国有独资公司应当按照规定定期向国有资产监督管理机构报告财务状况、生产经营状况和国有资产保值增值状况。”  《内乡县财政局职能配置、内设机构和人员编制规定》第五条（十九）“指导所监管企业建立健全会计和财务管理制度，指导所监管企业总会计师(财务总监)业务工作”</w:t>
            </w:r>
          </w:p>
        </w:tc>
        <w:tc>
          <w:tcPr>
            <w:tcW w:w="1059"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27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指导</w:t>
            </w:r>
          </w:p>
        </w:tc>
        <w:tc>
          <w:tcPr>
            <w:tcW w:w="3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color w:val="000000"/>
                <w:kern w:val="0"/>
                <w:szCs w:val="21"/>
              </w:rPr>
              <w:t>指导所监管企业建立健全会计和财务管理制度，指导所监管企业总会计师(财务总监)业务工作</w:t>
            </w:r>
          </w:p>
        </w:tc>
        <w:tc>
          <w:tcPr>
            <w:tcW w:w="16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color w:val="000000"/>
                <w:kern w:val="0"/>
                <w:szCs w:val="21"/>
              </w:rPr>
              <w:t>《中华人民共和国企业国有资产法》第六十九条：履行出资人职责的机构的工作人员玩忽职守、滥用职权、徇私舞弊，尚不构成犯罪的，依法给予处分；第七十五条：违反本法规定，构成犯罪的，依法追究刑事责任。</w:t>
            </w:r>
          </w:p>
        </w:tc>
        <w:tc>
          <w:tcPr>
            <w:tcW w:w="16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tc>
      </w:tr>
    </w:tbl>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br w:type="page"/>
      </w:r>
    </w:p>
    <w:tbl>
      <w:tblPr>
        <w:tblStyle w:val="a6"/>
        <w:tblW w:w="15975" w:type="dxa"/>
        <w:tblInd w:w="-1194" w:type="dxa"/>
        <w:tblLayout w:type="fixed"/>
        <w:tblLook w:val="04A0"/>
      </w:tblPr>
      <w:tblGrid>
        <w:gridCol w:w="953"/>
        <w:gridCol w:w="1171"/>
        <w:gridCol w:w="6679"/>
        <w:gridCol w:w="1205"/>
        <w:gridCol w:w="821"/>
        <w:gridCol w:w="2244"/>
        <w:gridCol w:w="1966"/>
        <w:gridCol w:w="936"/>
      </w:tblGrid>
      <w:tr w:rsidR="008568C5">
        <w:tc>
          <w:tcPr>
            <w:tcW w:w="953"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lastRenderedPageBreak/>
              <w:t>序号</w:t>
            </w:r>
          </w:p>
        </w:tc>
        <w:tc>
          <w:tcPr>
            <w:tcW w:w="1171"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项目</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名称</w:t>
            </w:r>
          </w:p>
        </w:tc>
        <w:tc>
          <w:tcPr>
            <w:tcW w:w="6679"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实施依据</w:t>
            </w:r>
          </w:p>
        </w:tc>
        <w:tc>
          <w:tcPr>
            <w:tcW w:w="1205"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职权类别</w:t>
            </w:r>
          </w:p>
        </w:tc>
        <w:tc>
          <w:tcPr>
            <w:tcW w:w="821"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办理环节</w:t>
            </w:r>
          </w:p>
        </w:tc>
        <w:tc>
          <w:tcPr>
            <w:tcW w:w="2244"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责任事项</w:t>
            </w:r>
          </w:p>
        </w:tc>
        <w:tc>
          <w:tcPr>
            <w:tcW w:w="1966"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936" w:type="dxa"/>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责任</w:t>
            </w:r>
          </w:p>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科室</w:t>
            </w:r>
          </w:p>
        </w:tc>
      </w:tr>
      <w:tr w:rsidR="008568C5">
        <w:trPr>
          <w:trHeight w:val="1241"/>
        </w:trPr>
        <w:tc>
          <w:tcPr>
            <w:tcW w:w="953" w:type="dxa"/>
            <w:vMerge w:val="restart"/>
          </w:tcPr>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87</w:t>
            </w:r>
          </w:p>
        </w:tc>
        <w:tc>
          <w:tcPr>
            <w:tcW w:w="1171"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负责所监管企业国有资产的产权界定、产权登记、资产评估监管、清产核资、资产统计、综合评价等基础管理工作，拟订监管企业资产财务监管制度并组织实施</w:t>
            </w:r>
          </w:p>
        </w:tc>
        <w:tc>
          <w:tcPr>
            <w:tcW w:w="6679"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企业国有资产产权登记管理办法》(国务院令第192号）第三条：“国有企业、国有独资公司、持有国家版权的单位以及以其他形式占有国有资产的企业（以下统称企业），应当依照本办法的规定办理产权登记。”第五条：“县级以上各级人民政府国有资产管理部门，按照产权归属关系办理产权登记。”《企业国有资产监督管理暂行条例》（2019年3月2日《国务院关于修改部分行政法规的决定》）第二十九条：“国有资产监督管理机构依照国家有关规定，负责企业国有资产的产权界定、产权登记、资产评估监管、清产核资、资产统计、综合评价等基础管理工作。”《企业国有资产产权登记管理办法实施细则》(</w:t>
            </w:r>
            <w:proofErr w:type="gramStart"/>
            <w:r>
              <w:rPr>
                <w:rFonts w:ascii="仿宋" w:eastAsia="仿宋" w:hAnsi="仿宋" w:cs="仿宋" w:hint="eastAsia"/>
                <w:szCs w:val="21"/>
              </w:rPr>
              <w:t>财管字</w:t>
            </w:r>
            <w:proofErr w:type="gramEnd"/>
            <w:r>
              <w:rPr>
                <w:rFonts w:ascii="仿宋" w:eastAsia="仿宋" w:hAnsi="仿宋" w:cs="仿宋" w:hint="eastAsia"/>
                <w:szCs w:val="21"/>
              </w:rPr>
              <w:t>〔2000〕116号）第十五条：“申请取得法人资格的企业应当于申请办理工商注册登记前30日内，向财政（国有资产管理）部门办理产权登记，填写《企业国有资产占有产权登记表》……。”第二十条：“企业发生下列情形之一的，应当申办变动产权登记：企业名称、住所或法定代表人改变的；企业组织形式发生变动的；企业国有资本额发生增减变动的；企业国有资本出资人发生变动的；产权登记机关规定的其他变动情形。”第二十六条：“企业发生下列情形之一的，应当向原产权登记机关申办注销产权登记：……”第三十条：“企业应当于每个公历年度终了后90日内，办理工商年检登记之前，向原产权登记机关申办产权登记年度检查。”第三十三条：“年检合格后，由产权登记机关在企业产权登记证副本和年度检查表上加盖年检合格章。”《地方金融企业财务监督管理办法》（财金〔2010〕56号）第六条：“地方金融企业应在完成工商登记之日起30日内，按财务隶属关系向地方财政部门办理财务登记。地方财政部门应建立登记档案，作为地方金融企业财务监督管理基础资料，以及作为对其实施考核、评价、财政支持政策等的依据。”第七条：“地方金融企业首次申请办理财务登记的，应提交以下资料……”第八条：“地方金融企业下列情况发生变化时，从发生之日起30日内，向地方财政部门办理变更财务登记……”第九条:“地方金融企业发生以下情形，应办理移交登记手续或注销财务登记……。”</w:t>
            </w:r>
          </w:p>
        </w:tc>
        <w:tc>
          <w:tcPr>
            <w:tcW w:w="1205"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21"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2244"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1、受理责任：明确告知申报单位依法应当提交的材料，一次性告知需补齐材料，依法受理或不予受理（不予受理的需明确告知理由）。</w:t>
            </w:r>
          </w:p>
        </w:tc>
        <w:tc>
          <w:tcPr>
            <w:tcW w:w="1966"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《企业国有资产产权登记管理办法》第十五条：国有资产管理部门工作人员在办理产权登记中玩忽职守、徇私舞弊、滥用职权、谋取私利，构成犯罪的，依法追究刑事责任；尚不构成犯罪的，依法给予行政处分。</w:t>
            </w: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行政单位国有资产管理暂行办法》第五十条：财政部门、行政单位及其工作人员违反本办法的规定，擅自占有、使用、处置国有资产的，按照《财政违法行为处罚处分条例》处理。违反国家国有资产管理规定的其他行为，按国家有关法律法规处理。</w:t>
            </w:r>
          </w:p>
        </w:tc>
        <w:tc>
          <w:tcPr>
            <w:tcW w:w="936"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tc>
      </w:tr>
      <w:tr w:rsidR="008568C5">
        <w:trPr>
          <w:trHeight w:val="90"/>
        </w:trPr>
        <w:tc>
          <w:tcPr>
            <w:tcW w:w="953" w:type="dxa"/>
            <w:vMerge/>
          </w:tcPr>
          <w:p w:rsidR="008568C5" w:rsidRDefault="008568C5">
            <w:pPr>
              <w:autoSpaceDN w:val="0"/>
              <w:snapToGrid w:val="0"/>
              <w:jc w:val="center"/>
              <w:textAlignment w:val="center"/>
              <w:rPr>
                <w:rFonts w:ascii="仿宋" w:eastAsia="仿宋" w:hAnsi="仿宋" w:cs="仿宋"/>
                <w:szCs w:val="21"/>
              </w:rPr>
            </w:pPr>
          </w:p>
        </w:tc>
        <w:tc>
          <w:tcPr>
            <w:tcW w:w="1171" w:type="dxa"/>
            <w:vMerge/>
            <w:vAlign w:val="center"/>
          </w:tcPr>
          <w:p w:rsidR="008568C5" w:rsidRDefault="008568C5">
            <w:pPr>
              <w:autoSpaceDN w:val="0"/>
              <w:snapToGrid w:val="0"/>
              <w:jc w:val="center"/>
              <w:textAlignment w:val="center"/>
              <w:rPr>
                <w:rFonts w:ascii="仿宋" w:eastAsia="仿宋" w:hAnsi="仿宋" w:cs="仿宋"/>
                <w:szCs w:val="21"/>
              </w:rPr>
            </w:pPr>
          </w:p>
        </w:tc>
        <w:tc>
          <w:tcPr>
            <w:tcW w:w="667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0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1"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22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2、审查责任：按照国家和我省关于产权登记、清单核资、资产监管等相关规定对申报材料进行审查；组织相关人员或股室对材料进行评审论证，提出审核意见，需要上报有关部门的按程序规定上报。</w:t>
            </w:r>
          </w:p>
        </w:tc>
        <w:tc>
          <w:tcPr>
            <w:tcW w:w="1966" w:type="dxa"/>
            <w:vMerge/>
            <w:vAlign w:val="center"/>
          </w:tcPr>
          <w:p w:rsidR="008568C5" w:rsidRDefault="008568C5">
            <w:pPr>
              <w:autoSpaceDN w:val="0"/>
              <w:snapToGrid w:val="0"/>
              <w:jc w:val="center"/>
              <w:textAlignment w:val="center"/>
              <w:rPr>
                <w:rFonts w:ascii="仿宋" w:eastAsia="仿宋" w:hAnsi="仿宋" w:cs="仿宋"/>
                <w:szCs w:val="21"/>
              </w:rPr>
            </w:pPr>
          </w:p>
        </w:tc>
        <w:tc>
          <w:tcPr>
            <w:tcW w:w="93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
        </w:trPr>
        <w:tc>
          <w:tcPr>
            <w:tcW w:w="953" w:type="dxa"/>
            <w:vMerge/>
          </w:tcPr>
          <w:p w:rsidR="008568C5" w:rsidRDefault="008568C5">
            <w:pPr>
              <w:autoSpaceDN w:val="0"/>
              <w:snapToGrid w:val="0"/>
              <w:jc w:val="center"/>
              <w:textAlignment w:val="center"/>
              <w:rPr>
                <w:rFonts w:ascii="仿宋" w:eastAsia="仿宋" w:hAnsi="仿宋" w:cs="仿宋"/>
                <w:szCs w:val="21"/>
              </w:rPr>
            </w:pPr>
          </w:p>
        </w:tc>
        <w:tc>
          <w:tcPr>
            <w:tcW w:w="1171" w:type="dxa"/>
            <w:vMerge/>
            <w:vAlign w:val="center"/>
          </w:tcPr>
          <w:p w:rsidR="008568C5" w:rsidRDefault="008568C5">
            <w:pPr>
              <w:autoSpaceDN w:val="0"/>
              <w:snapToGrid w:val="0"/>
              <w:jc w:val="center"/>
              <w:textAlignment w:val="center"/>
              <w:rPr>
                <w:rFonts w:ascii="仿宋" w:eastAsia="仿宋" w:hAnsi="仿宋" w:cs="仿宋"/>
                <w:szCs w:val="21"/>
              </w:rPr>
            </w:pPr>
          </w:p>
        </w:tc>
        <w:tc>
          <w:tcPr>
            <w:tcW w:w="667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0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1" w:type="dxa"/>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22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3、决定责任:做出决定。审核同意的，制作结果认定文件，审核不同意的，以便函形式告知申请单位。</w:t>
            </w:r>
          </w:p>
        </w:tc>
        <w:tc>
          <w:tcPr>
            <w:tcW w:w="1966" w:type="dxa"/>
            <w:vMerge/>
            <w:vAlign w:val="center"/>
          </w:tcPr>
          <w:p w:rsidR="008568C5" w:rsidRDefault="008568C5">
            <w:pPr>
              <w:autoSpaceDN w:val="0"/>
              <w:snapToGrid w:val="0"/>
              <w:jc w:val="center"/>
              <w:textAlignment w:val="center"/>
              <w:rPr>
                <w:rFonts w:ascii="仿宋" w:eastAsia="仿宋" w:hAnsi="仿宋" w:cs="仿宋"/>
                <w:szCs w:val="21"/>
              </w:rPr>
            </w:pPr>
          </w:p>
        </w:tc>
        <w:tc>
          <w:tcPr>
            <w:tcW w:w="93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067"/>
        </w:trPr>
        <w:tc>
          <w:tcPr>
            <w:tcW w:w="953" w:type="dxa"/>
            <w:vMerge/>
          </w:tcPr>
          <w:p w:rsidR="008568C5" w:rsidRDefault="008568C5">
            <w:pPr>
              <w:autoSpaceDN w:val="0"/>
              <w:snapToGrid w:val="0"/>
              <w:jc w:val="center"/>
              <w:textAlignment w:val="center"/>
              <w:rPr>
                <w:rFonts w:ascii="仿宋" w:eastAsia="仿宋" w:hAnsi="仿宋" w:cs="仿宋"/>
                <w:szCs w:val="21"/>
              </w:rPr>
            </w:pPr>
          </w:p>
        </w:tc>
        <w:tc>
          <w:tcPr>
            <w:tcW w:w="1171" w:type="dxa"/>
            <w:vMerge/>
            <w:vAlign w:val="center"/>
          </w:tcPr>
          <w:p w:rsidR="008568C5" w:rsidRDefault="008568C5">
            <w:pPr>
              <w:autoSpaceDN w:val="0"/>
              <w:snapToGrid w:val="0"/>
              <w:jc w:val="center"/>
              <w:textAlignment w:val="center"/>
              <w:rPr>
                <w:rFonts w:ascii="仿宋" w:eastAsia="仿宋" w:hAnsi="仿宋" w:cs="仿宋"/>
                <w:szCs w:val="21"/>
              </w:rPr>
            </w:pPr>
          </w:p>
        </w:tc>
        <w:tc>
          <w:tcPr>
            <w:tcW w:w="6679"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05" w:type="dxa"/>
            <w:vMerge/>
            <w:vAlign w:val="center"/>
          </w:tcPr>
          <w:p w:rsidR="008568C5" w:rsidRDefault="008568C5">
            <w:pPr>
              <w:autoSpaceDN w:val="0"/>
              <w:snapToGrid w:val="0"/>
              <w:jc w:val="center"/>
              <w:textAlignment w:val="center"/>
              <w:rPr>
                <w:rFonts w:ascii="仿宋" w:eastAsia="仿宋" w:hAnsi="仿宋" w:cs="仿宋"/>
                <w:szCs w:val="21"/>
              </w:rPr>
            </w:pPr>
          </w:p>
        </w:tc>
        <w:tc>
          <w:tcPr>
            <w:tcW w:w="821" w:type="dxa"/>
            <w:vAlign w:val="center"/>
          </w:tcPr>
          <w:p w:rsidR="008568C5" w:rsidRDefault="008568C5">
            <w:pPr>
              <w:autoSpaceDN w:val="0"/>
              <w:snapToGrid w:val="0"/>
              <w:jc w:val="center"/>
              <w:textAlignment w:val="center"/>
              <w:rPr>
                <w:rFonts w:ascii="仿宋" w:eastAsia="仿宋" w:hAnsi="仿宋" w:cs="仿宋"/>
                <w:szCs w:val="21"/>
              </w:rPr>
            </w:pPr>
          </w:p>
        </w:tc>
        <w:tc>
          <w:tcPr>
            <w:tcW w:w="2244"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4、对所监管企业方案落实情况进行检查。</w:t>
            </w:r>
          </w:p>
        </w:tc>
        <w:tc>
          <w:tcPr>
            <w:tcW w:w="1966" w:type="dxa"/>
            <w:vMerge/>
            <w:vAlign w:val="center"/>
          </w:tcPr>
          <w:p w:rsidR="008568C5" w:rsidRDefault="008568C5">
            <w:pPr>
              <w:autoSpaceDN w:val="0"/>
              <w:snapToGrid w:val="0"/>
              <w:jc w:val="center"/>
              <w:textAlignment w:val="center"/>
              <w:rPr>
                <w:rFonts w:ascii="仿宋" w:eastAsia="仿宋" w:hAnsi="仿宋" w:cs="仿宋"/>
                <w:szCs w:val="21"/>
              </w:rPr>
            </w:pPr>
          </w:p>
        </w:tc>
        <w:tc>
          <w:tcPr>
            <w:tcW w:w="936"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 w:rsidR="008568C5" w:rsidRDefault="008568C5"/>
    <w:tbl>
      <w:tblPr>
        <w:tblW w:w="15450" w:type="dxa"/>
        <w:jc w:val="center"/>
        <w:tblLayout w:type="fixed"/>
        <w:tblCellMar>
          <w:left w:w="0" w:type="dxa"/>
          <w:right w:w="0" w:type="dxa"/>
        </w:tblCellMar>
        <w:tblLook w:val="04A0"/>
      </w:tblPr>
      <w:tblGrid>
        <w:gridCol w:w="1144"/>
        <w:gridCol w:w="1847"/>
        <w:gridCol w:w="3300"/>
        <w:gridCol w:w="1059"/>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376"/>
          <w:jc w:val="center"/>
        </w:trPr>
        <w:tc>
          <w:tcPr>
            <w:tcW w:w="1144"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88</w:t>
            </w:r>
          </w:p>
        </w:tc>
        <w:tc>
          <w:tcPr>
            <w:tcW w:w="184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中标成交结果变更备案</w:t>
            </w:r>
          </w:p>
          <w:p w:rsidR="008568C5" w:rsidRDefault="008568C5">
            <w:pPr>
              <w:autoSpaceDN w:val="0"/>
              <w:snapToGrid w:val="0"/>
              <w:jc w:val="center"/>
              <w:textAlignment w:val="center"/>
              <w:rPr>
                <w:rFonts w:ascii="仿宋" w:eastAsia="仿宋" w:hAnsi="仿宋" w:cs="仿宋"/>
                <w:szCs w:val="21"/>
              </w:rPr>
            </w:pPr>
          </w:p>
        </w:tc>
        <w:tc>
          <w:tcPr>
            <w:tcW w:w="3300"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关于进一步规范政府采购评审工作有关问题的通知》（财库〔2012〕69号）第四部分第四段：“妥善处理评审中的特殊情形：质疑答复导致中标成交结果改变的，采购人或代理机构应当将相关情况报财政部门备案。”</w:t>
            </w:r>
          </w:p>
        </w:tc>
        <w:tc>
          <w:tcPr>
            <w:tcW w:w="105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1.受理责任：受理采购人或代理机构申请资料，一次性告知所需备案材料。</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101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2.审查责任：审查采购项目质疑答复情况。</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71"/>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备案</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3.备案责任：质疑答复合法且导致中标成交结果改变的，同意备案。</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4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监督管理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4.管理责任：监督中标成交结果改变后结果公告等。</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2675"/>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　</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A65D61">
      <w:pPr>
        <w:autoSpaceDN w:val="0"/>
        <w:snapToGrid w:val="0"/>
        <w:jc w:val="center"/>
        <w:textAlignment w:val="center"/>
      </w:pPr>
      <w:r>
        <w:rPr>
          <w:rFonts w:ascii="仿宋" w:eastAsia="仿宋" w:hAnsi="仿宋" w:cs="仿宋"/>
          <w:szCs w:val="21"/>
        </w:rPr>
        <w:br w:type="page"/>
      </w:r>
    </w:p>
    <w:tbl>
      <w:tblPr>
        <w:tblW w:w="15450" w:type="dxa"/>
        <w:jc w:val="center"/>
        <w:tblLayout w:type="fixed"/>
        <w:tblCellMar>
          <w:left w:w="0" w:type="dxa"/>
          <w:right w:w="0" w:type="dxa"/>
        </w:tblCellMar>
        <w:tblLook w:val="04A0"/>
      </w:tblPr>
      <w:tblGrid>
        <w:gridCol w:w="1144"/>
        <w:gridCol w:w="1847"/>
        <w:gridCol w:w="3300"/>
        <w:gridCol w:w="1059"/>
        <w:gridCol w:w="1485"/>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lastRenderedPageBreak/>
              <w:t>序号</w:t>
            </w:r>
          </w:p>
        </w:tc>
        <w:tc>
          <w:tcPr>
            <w:tcW w:w="184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30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5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48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204"/>
          <w:jc w:val="center"/>
        </w:trPr>
        <w:tc>
          <w:tcPr>
            <w:tcW w:w="1144" w:type="dxa"/>
            <w:vMerge w:val="restart"/>
            <w:tcBorders>
              <w:top w:val="single" w:sz="4" w:space="0" w:color="auto"/>
              <w:left w:val="single" w:sz="4" w:space="0" w:color="auto"/>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89</w:t>
            </w:r>
          </w:p>
        </w:tc>
        <w:tc>
          <w:tcPr>
            <w:tcW w:w="1847" w:type="dxa"/>
            <w:vMerge w:val="restart"/>
            <w:tcBorders>
              <w:top w:val="single" w:sz="4" w:space="0" w:color="auto"/>
              <w:left w:val="single" w:sz="4" w:space="0" w:color="000000"/>
              <w:bottom w:val="nil"/>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政府采购方式变更批准</w:t>
            </w:r>
          </w:p>
          <w:p w:rsidR="008568C5" w:rsidRDefault="008568C5">
            <w:pPr>
              <w:autoSpaceDN w:val="0"/>
              <w:snapToGrid w:val="0"/>
              <w:jc w:val="center"/>
              <w:textAlignment w:val="center"/>
              <w:rPr>
                <w:rFonts w:ascii="仿宋" w:eastAsia="仿宋" w:hAnsi="仿宋" w:cs="仿宋"/>
                <w:szCs w:val="21"/>
              </w:rPr>
            </w:pPr>
          </w:p>
        </w:tc>
        <w:tc>
          <w:tcPr>
            <w:tcW w:w="3300" w:type="dxa"/>
            <w:vMerge w:val="restart"/>
            <w:tcBorders>
              <w:top w:val="single" w:sz="4" w:space="0" w:color="auto"/>
              <w:left w:val="single" w:sz="4" w:space="0" w:color="000000"/>
              <w:bottom w:val="nil"/>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《中华人民共和国政府采购法》第二十七条：“因特殊情况需要采用公开招标以外采购方式的，应该在采购活动开始前获得设区的市、自治州以上人民政府政府采购监督管理部门的批准。” 第三十七条：“废标后，除采购任务取消情形外，应当重新组织招标；需要采取其他方式采购的，应该在采购活动开始前获得设区的市、自治州以上人民政府政府采购监督管理部门或者政府有关部门的批准。”</w:t>
            </w:r>
            <w:r>
              <w:rPr>
                <w:rFonts w:ascii="仿宋" w:eastAsia="仿宋" w:hAnsi="仿宋" w:cs="仿宋" w:hint="eastAsia"/>
                <w:szCs w:val="21"/>
              </w:rPr>
              <w:br/>
              <w:t xml:space="preserve">    《中华人民共和国政府采购法实施条例》（国务院令658号）第二十三条：“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r>
              <w:rPr>
                <w:rFonts w:ascii="仿宋" w:eastAsia="仿宋" w:hAnsi="仿宋" w:cs="仿宋" w:hint="eastAsia"/>
                <w:szCs w:val="21"/>
              </w:rPr>
              <w:br/>
              <w:t xml:space="preserve">    《政府采购非招标采购方式管理办法》（财政部令第74号）第四条：“达到公开招标数额标准的货物、服务采购项目，拟采用非招标采购方式的，采购人应当在采购活动开始前，报经主管预算单位同意后，向设区的市、自治州以上人民政府财政部门申请批准。”</w:t>
            </w:r>
          </w:p>
        </w:tc>
        <w:tc>
          <w:tcPr>
            <w:tcW w:w="1059" w:type="dxa"/>
            <w:vMerge w:val="restart"/>
            <w:tcBorders>
              <w:top w:val="single" w:sz="4" w:space="0" w:color="auto"/>
              <w:left w:val="single" w:sz="4" w:space="0" w:color="000000"/>
              <w:bottom w:val="nil"/>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485" w:type="dxa"/>
            <w:tcBorders>
              <w:top w:val="single" w:sz="4" w:space="0" w:color="auto"/>
              <w:left w:val="single" w:sz="4" w:space="0" w:color="000000"/>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1.受理责任：受理采购人或代理机构申请资料，告知申请材料是否齐全。</w:t>
            </w:r>
          </w:p>
        </w:tc>
        <w:tc>
          <w:tcPr>
            <w:tcW w:w="164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《中华人民共和国政府采购法》第八十条：政府采购监督管理部门的工作人员在实施监督检查中违反规定滥用职权，玩忽职守，徇私舞弊的，依法给与行政处分；构成犯罪的，依法追究刑事责任。</w:t>
            </w:r>
          </w:p>
        </w:tc>
        <w:tc>
          <w:tcPr>
            <w:tcW w:w="164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政府采购监督管理股</w:t>
            </w:r>
          </w:p>
        </w:tc>
      </w:tr>
      <w:tr w:rsidR="008568C5">
        <w:trPr>
          <w:trHeight w:val="807"/>
          <w:jc w:val="center"/>
        </w:trPr>
        <w:tc>
          <w:tcPr>
            <w:tcW w:w="1144" w:type="dxa"/>
            <w:vMerge/>
            <w:tcBorders>
              <w:top w:val="nil"/>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top w:val="nil"/>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top w:val="nil"/>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nil"/>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审查</w:t>
            </w:r>
          </w:p>
        </w:tc>
        <w:tc>
          <w:tcPr>
            <w:tcW w:w="3323" w:type="dxa"/>
            <w:tcBorders>
              <w:top w:val="nil"/>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2.审查责任：依据政府采购法律法规规定的情形审核申请材料。材料不齐全的，通知申请人修改补充。</w:t>
            </w:r>
          </w:p>
        </w:tc>
        <w:tc>
          <w:tcPr>
            <w:tcW w:w="1646" w:type="dxa"/>
            <w:vMerge/>
            <w:tcBorders>
              <w:top w:val="nil"/>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nil"/>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175"/>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3.决定责任：符合法律法规规定的情形的，同意变更方式；不符合条件的，告知申请人不予变更的理由。</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93"/>
          <w:jc w:val="center"/>
        </w:trPr>
        <w:tc>
          <w:tcPr>
            <w:tcW w:w="1144"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监督管理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4.管理责任：监督采购方式变更后采购活动依法进行。</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393"/>
          <w:jc w:val="center"/>
        </w:trPr>
        <w:tc>
          <w:tcPr>
            <w:tcW w:w="1144"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847"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300"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59"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85"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 xml:space="preserve">　</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tbl>
      <w:tblPr>
        <w:tblW w:w="15450" w:type="dxa"/>
        <w:jc w:val="center"/>
        <w:tblLayout w:type="fixed"/>
        <w:tblCellMar>
          <w:left w:w="0" w:type="dxa"/>
          <w:right w:w="0" w:type="dxa"/>
        </w:tblCellMar>
        <w:tblLook w:val="04A0"/>
      </w:tblPr>
      <w:tblGrid>
        <w:gridCol w:w="798"/>
        <w:gridCol w:w="1447"/>
        <w:gridCol w:w="5368"/>
        <w:gridCol w:w="1018"/>
        <w:gridCol w:w="1264"/>
        <w:gridCol w:w="2263"/>
        <w:gridCol w:w="1646"/>
        <w:gridCol w:w="1646"/>
      </w:tblGrid>
      <w:tr w:rsidR="008568C5">
        <w:trPr>
          <w:trHeight w:val="635"/>
          <w:jc w:val="center"/>
        </w:trPr>
        <w:tc>
          <w:tcPr>
            <w:tcW w:w="79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序号</w:t>
            </w:r>
          </w:p>
        </w:tc>
        <w:tc>
          <w:tcPr>
            <w:tcW w:w="14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名称</w:t>
            </w:r>
          </w:p>
        </w:tc>
        <w:tc>
          <w:tcPr>
            <w:tcW w:w="5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实施依据</w:t>
            </w:r>
          </w:p>
        </w:tc>
        <w:tc>
          <w:tcPr>
            <w:tcW w:w="10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职权类别</w:t>
            </w:r>
          </w:p>
        </w:tc>
        <w:tc>
          <w:tcPr>
            <w:tcW w:w="126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办理环节</w:t>
            </w:r>
          </w:p>
        </w:tc>
        <w:tc>
          <w:tcPr>
            <w:tcW w:w="226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kern w:val="0"/>
                <w:sz w:val="24"/>
              </w:rPr>
            </w:pPr>
            <w:r>
              <w:rPr>
                <w:rFonts w:ascii="黑体" w:eastAsia="黑体" w:hAnsi="黑体" w:cs="黑体" w:hint="eastAsia"/>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处室</w:t>
            </w:r>
          </w:p>
        </w:tc>
      </w:tr>
      <w:tr w:rsidR="008568C5">
        <w:trPr>
          <w:trHeight w:val="3912"/>
          <w:jc w:val="center"/>
        </w:trPr>
        <w:tc>
          <w:tcPr>
            <w:tcW w:w="79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90</w:t>
            </w:r>
          </w:p>
        </w:tc>
        <w:tc>
          <w:tcPr>
            <w:tcW w:w="144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负责上市公司国有股权管理有关工作</w:t>
            </w:r>
          </w:p>
        </w:tc>
        <w:tc>
          <w:tcPr>
            <w:tcW w:w="5368" w:type="dxa"/>
            <w:vMerge w:val="restart"/>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金融企业国有资产转让管理办法》（财政部令第54号）第九条:“财政部门对金融企业国有资产转让履行下列监督管理职责：决定或者批准金融企业国有资产转让事项，审核重大资产转让事项并报本级人民政府批准；负责金融企业国有资产转让情况的监督检查工作等。”</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河南省企业国有产权转让监督管理办法》（河南省人民政府令第103号)第八条：“国有资产监督管理机构决定企业（含子企业）国有产权及重大资产转让。”第九条：“下列转让行为由国有资产监督管理机构报本级人民政府批准：国有企业整体转让的或者转让企业国有产权致使国家不再拥有控股地位的；本级政府及部门出资的其他企业国有产权转让；转让国有净资产评估价值，省属企业在5000方元以上，市属企业在3000万元以上。县（市、区）属企业在500万元以上的。”第三十三条：“政企尚未分开的单位以及其他单位所持有的企业国有产权转让由主管财政部门批准，具体比照本办法执行。”《国务院关于国有企业发展混合所有制经济的意见》（国发〔2015〕54号）:“国有企业实施混合所有制改革前，应依据本意见制定方案，报同级国有资产监管机构批准；重要国有企业改制后国有资本不再控股的，报同级人民政府批准。国有资产监管机构要按照本意见要求，明确国有企业混合所有制改革的操作流程。”</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上市公司国有股权监督管理办法》第六条：“上市公司国有股权变动的监督管理由省级以上国有资产监督管理机构负责。省级国有资产监督管理机构报经省级人民政府同意，可以将地市级以下有关上市公司国有股权变动的监督管理交由地市级国有资产监督管理机构负责。”</w:t>
            </w:r>
          </w:p>
        </w:tc>
        <w:tc>
          <w:tcPr>
            <w:tcW w:w="1018"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264"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依照相关法律法规实施</w:t>
            </w:r>
          </w:p>
          <w:p w:rsidR="008568C5" w:rsidRDefault="008568C5">
            <w:pPr>
              <w:autoSpaceDN w:val="0"/>
              <w:snapToGrid w:val="0"/>
              <w:jc w:val="center"/>
              <w:textAlignment w:val="center"/>
              <w:rPr>
                <w:rFonts w:ascii="仿宋" w:eastAsia="仿宋" w:hAnsi="仿宋" w:cs="仿宋"/>
                <w:szCs w:val="21"/>
              </w:rPr>
            </w:pPr>
          </w:p>
        </w:tc>
        <w:tc>
          <w:tcPr>
            <w:tcW w:w="2263"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负责县级有关上市公司国有股权变动的监管。</w:t>
            </w:r>
          </w:p>
          <w:p w:rsidR="008568C5" w:rsidRDefault="008568C5">
            <w:pPr>
              <w:autoSpaceDN w:val="0"/>
              <w:snapToGrid w:val="0"/>
              <w:jc w:val="left"/>
              <w:textAlignment w:val="center"/>
              <w:rPr>
                <w:rFonts w:ascii="仿宋" w:eastAsia="仿宋" w:hAnsi="仿宋" w:cs="仿宋"/>
                <w:szCs w:val="21"/>
              </w:rPr>
            </w:pP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上市公司国有股权监督管理办法》第七十三条：国有资产监督管理机构违反有关法律、法规或本办法的规定审核批准上市公司国有股权变动并造成国有资产损失的，对直接负责的主管人员和其他责任人员给予纪律处分；涉嫌犯罪的，依法移送司法机关处理。</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p w:rsidR="008568C5" w:rsidRDefault="008568C5">
            <w:pPr>
              <w:autoSpaceDN w:val="0"/>
              <w:snapToGrid w:val="0"/>
              <w:jc w:val="center"/>
              <w:textAlignment w:val="center"/>
              <w:rPr>
                <w:rFonts w:ascii="仿宋" w:eastAsia="仿宋" w:hAnsi="仿宋" w:cs="仿宋"/>
                <w:szCs w:val="21"/>
              </w:rPr>
            </w:pPr>
          </w:p>
        </w:tc>
      </w:tr>
      <w:tr w:rsidR="008568C5">
        <w:trPr>
          <w:trHeight w:val="372"/>
          <w:jc w:val="center"/>
        </w:trPr>
        <w:tc>
          <w:tcPr>
            <w:tcW w:w="79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47"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368"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8"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64"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26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其他法律法规规章文件规定应履行的责任。</w:t>
            </w:r>
          </w:p>
          <w:p w:rsidR="008568C5" w:rsidRDefault="008568C5">
            <w:pPr>
              <w:autoSpaceDN w:val="0"/>
              <w:snapToGrid w:val="0"/>
              <w:jc w:val="left"/>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 w:rsidR="008568C5" w:rsidRDefault="008568C5"/>
    <w:p w:rsidR="008568C5" w:rsidRDefault="008568C5"/>
    <w:tbl>
      <w:tblPr>
        <w:tblStyle w:val="a6"/>
        <w:tblW w:w="15463" w:type="dxa"/>
        <w:tblInd w:w="-832" w:type="dxa"/>
        <w:tblLayout w:type="fixed"/>
        <w:tblLook w:val="04A0"/>
      </w:tblPr>
      <w:tblGrid>
        <w:gridCol w:w="804"/>
        <w:gridCol w:w="1438"/>
        <w:gridCol w:w="4248"/>
        <w:gridCol w:w="1568"/>
        <w:gridCol w:w="1295"/>
        <w:gridCol w:w="2141"/>
        <w:gridCol w:w="2673"/>
        <w:gridCol w:w="1296"/>
      </w:tblGrid>
      <w:tr w:rsidR="008568C5">
        <w:tc>
          <w:tcPr>
            <w:tcW w:w="804"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序号</w:t>
            </w:r>
          </w:p>
        </w:tc>
        <w:tc>
          <w:tcPr>
            <w:tcW w:w="1438"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项目</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名称</w:t>
            </w:r>
          </w:p>
        </w:tc>
        <w:tc>
          <w:tcPr>
            <w:tcW w:w="4248" w:type="dxa"/>
            <w:vAlign w:val="center"/>
          </w:tcPr>
          <w:p w:rsidR="008568C5" w:rsidRDefault="00A65D61">
            <w:pPr>
              <w:spacing w:line="360" w:lineRule="exact"/>
              <w:jc w:val="center"/>
              <w:rPr>
                <w:rFonts w:ascii="仿宋" w:eastAsia="仿宋" w:hAnsi="仿宋" w:cs="仿宋"/>
                <w:szCs w:val="21"/>
              </w:rPr>
            </w:pPr>
            <w:r>
              <w:rPr>
                <w:rFonts w:ascii="黑体" w:eastAsia="黑体" w:hAnsi="黑体" w:cs="黑体" w:hint="eastAsia"/>
                <w:sz w:val="24"/>
              </w:rPr>
              <w:t>实施依据</w:t>
            </w:r>
          </w:p>
        </w:tc>
        <w:tc>
          <w:tcPr>
            <w:tcW w:w="1568" w:type="dxa"/>
            <w:vAlign w:val="center"/>
          </w:tcPr>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职权类别</w:t>
            </w:r>
          </w:p>
        </w:tc>
        <w:tc>
          <w:tcPr>
            <w:tcW w:w="1295"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办理环节</w:t>
            </w:r>
          </w:p>
        </w:tc>
        <w:tc>
          <w:tcPr>
            <w:tcW w:w="2141" w:type="dxa"/>
            <w:vAlign w:val="center"/>
          </w:tcPr>
          <w:p w:rsidR="008568C5" w:rsidRDefault="00A65D61">
            <w:pPr>
              <w:spacing w:line="360" w:lineRule="exact"/>
              <w:jc w:val="center"/>
              <w:rPr>
                <w:rFonts w:ascii="仿宋" w:eastAsia="仿宋" w:hAnsi="仿宋" w:cs="仿宋"/>
                <w:kern w:val="0"/>
                <w:szCs w:val="21"/>
              </w:rPr>
            </w:pPr>
            <w:r>
              <w:rPr>
                <w:rFonts w:ascii="黑体" w:eastAsia="黑体" w:hAnsi="黑体" w:cs="黑体" w:hint="eastAsia"/>
                <w:sz w:val="24"/>
              </w:rPr>
              <w:t>责任事项</w:t>
            </w:r>
          </w:p>
        </w:tc>
        <w:tc>
          <w:tcPr>
            <w:tcW w:w="2673"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追责情形</w:t>
            </w:r>
          </w:p>
        </w:tc>
        <w:tc>
          <w:tcPr>
            <w:tcW w:w="1296" w:type="dxa"/>
            <w:vAlign w:val="center"/>
          </w:tcPr>
          <w:p w:rsidR="008568C5" w:rsidRDefault="00A65D61">
            <w:pPr>
              <w:spacing w:line="360" w:lineRule="exact"/>
              <w:jc w:val="center"/>
              <w:rPr>
                <w:rFonts w:ascii="黑体" w:eastAsia="黑体" w:hAnsi="黑体" w:cs="黑体"/>
                <w:sz w:val="24"/>
              </w:rPr>
            </w:pPr>
            <w:r>
              <w:rPr>
                <w:rFonts w:ascii="黑体" w:eastAsia="黑体" w:hAnsi="黑体" w:cs="黑体" w:hint="eastAsia"/>
                <w:sz w:val="24"/>
              </w:rPr>
              <w:t>责任</w:t>
            </w:r>
          </w:p>
          <w:p w:rsidR="008568C5" w:rsidRDefault="00A65D61">
            <w:pPr>
              <w:spacing w:line="360" w:lineRule="exact"/>
              <w:jc w:val="center"/>
              <w:rPr>
                <w:rFonts w:ascii="仿宋" w:eastAsia="仿宋" w:hAnsi="仿宋" w:cs="仿宋"/>
                <w:szCs w:val="21"/>
                <w:shd w:val="clear" w:color="070000" w:fill="FFFFFF"/>
              </w:rPr>
            </w:pPr>
            <w:r>
              <w:rPr>
                <w:rFonts w:ascii="黑体" w:eastAsia="黑体" w:hAnsi="黑体" w:cs="黑体" w:hint="eastAsia"/>
                <w:sz w:val="24"/>
              </w:rPr>
              <w:t>处室</w:t>
            </w:r>
          </w:p>
        </w:tc>
      </w:tr>
      <w:tr w:rsidR="008568C5">
        <w:tc>
          <w:tcPr>
            <w:tcW w:w="804"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91</w:t>
            </w:r>
          </w:p>
        </w:tc>
        <w:tc>
          <w:tcPr>
            <w:tcW w:w="1438"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承担所监管企业国有资产产权界定、登记、划转、处置及产权纠纷调处等工作</w:t>
            </w:r>
          </w:p>
        </w:tc>
        <w:tc>
          <w:tcPr>
            <w:tcW w:w="4248" w:type="dxa"/>
            <w:vMerge w:val="restart"/>
            <w:vAlign w:val="center"/>
          </w:tcPr>
          <w:p w:rsidR="008568C5" w:rsidRDefault="008568C5">
            <w:pPr>
              <w:autoSpaceDN w:val="0"/>
              <w:snapToGrid w:val="0"/>
              <w:jc w:val="center"/>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二十九条：“国有资产监督管理机构依照国家有关规定，负责企业国有资产的产权界定、产权登记、资产评估监管、清产核资、资产统计、综合评价等基础管理工作。国有资产监督管理机构协调其所出资企业之间的企业国有资产产权纠纷。”</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《企业国有资产法》第五十三条 “国有资产转让由履行出资人职责的机构决定。”</w:t>
            </w:r>
          </w:p>
          <w:p w:rsidR="008568C5" w:rsidRDefault="008568C5">
            <w:pPr>
              <w:autoSpaceDN w:val="0"/>
              <w:snapToGrid w:val="0"/>
              <w:jc w:val="center"/>
              <w:textAlignment w:val="center"/>
              <w:rPr>
                <w:rFonts w:ascii="仿宋" w:eastAsia="仿宋" w:hAnsi="仿宋" w:cs="仿宋"/>
                <w:szCs w:val="21"/>
              </w:rPr>
            </w:pPr>
          </w:p>
        </w:tc>
        <w:tc>
          <w:tcPr>
            <w:tcW w:w="1568"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p w:rsidR="008568C5" w:rsidRDefault="008568C5">
            <w:pPr>
              <w:autoSpaceDN w:val="0"/>
              <w:snapToGrid w:val="0"/>
              <w:jc w:val="center"/>
              <w:textAlignment w:val="center"/>
              <w:rPr>
                <w:rFonts w:ascii="仿宋" w:eastAsia="仿宋" w:hAnsi="仿宋" w:cs="仿宋"/>
                <w:szCs w:val="21"/>
              </w:rPr>
            </w:pPr>
          </w:p>
        </w:tc>
        <w:tc>
          <w:tcPr>
            <w:tcW w:w="1295"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依照相关法律法规实施</w:t>
            </w:r>
          </w:p>
          <w:p w:rsidR="008568C5" w:rsidRDefault="008568C5">
            <w:pPr>
              <w:autoSpaceDN w:val="0"/>
              <w:snapToGrid w:val="0"/>
              <w:jc w:val="center"/>
              <w:textAlignment w:val="center"/>
              <w:rPr>
                <w:rFonts w:ascii="仿宋" w:eastAsia="仿宋" w:hAnsi="仿宋" w:cs="仿宋"/>
                <w:szCs w:val="21"/>
              </w:rPr>
            </w:pPr>
          </w:p>
        </w:tc>
        <w:tc>
          <w:tcPr>
            <w:tcW w:w="214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负责所监管企业国有资产的产权界定、产权登记、产权划转、产权处置等工作。</w:t>
            </w:r>
          </w:p>
        </w:tc>
        <w:tc>
          <w:tcPr>
            <w:tcW w:w="2673" w:type="dxa"/>
            <w:vMerge w:val="restart"/>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《企业国有资产产权登记管理办法》第十五条：国有资产管理部门工作人员在办理产权登记中玩忽职守、徇私舞弊、滥用职权、谋取私利，构成犯罪的，依法追究刑事责任；尚不构成犯罪的，依法给予行政处分。</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单位国有资产管理暂行办法》第五十条：财政部门、行政单位及其工作人员违反本办法的规定，擅自占有、使用、处置国有资产的，按照《财政违法行为处罚处分条例》处理。违反国家国有资产管理规定的其他行为，按国家有关法律法规处理。</w:t>
            </w:r>
          </w:p>
        </w:tc>
        <w:tc>
          <w:tcPr>
            <w:tcW w:w="1296" w:type="dxa"/>
            <w:vMerge w:val="restart"/>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p w:rsidR="008568C5" w:rsidRDefault="008568C5">
            <w:pPr>
              <w:autoSpaceDN w:val="0"/>
              <w:snapToGrid w:val="0"/>
              <w:jc w:val="center"/>
              <w:textAlignment w:val="center"/>
              <w:rPr>
                <w:rFonts w:ascii="仿宋" w:eastAsia="仿宋" w:hAnsi="仿宋" w:cs="仿宋"/>
                <w:szCs w:val="21"/>
              </w:rPr>
            </w:pPr>
          </w:p>
        </w:tc>
      </w:tr>
      <w:tr w:rsidR="008568C5">
        <w:tc>
          <w:tcPr>
            <w:tcW w:w="804" w:type="dxa"/>
            <w:vMerge/>
          </w:tcPr>
          <w:p w:rsidR="008568C5" w:rsidRDefault="008568C5">
            <w:pPr>
              <w:autoSpaceDN w:val="0"/>
              <w:snapToGrid w:val="0"/>
              <w:jc w:val="center"/>
              <w:textAlignment w:val="center"/>
              <w:rPr>
                <w:rFonts w:ascii="仿宋" w:eastAsia="仿宋" w:hAnsi="仿宋" w:cs="仿宋"/>
                <w:szCs w:val="21"/>
              </w:rPr>
            </w:pPr>
          </w:p>
        </w:tc>
        <w:tc>
          <w:tcPr>
            <w:tcW w:w="1438" w:type="dxa"/>
            <w:vMerge/>
          </w:tcPr>
          <w:p w:rsidR="008568C5" w:rsidRDefault="008568C5">
            <w:pPr>
              <w:autoSpaceDN w:val="0"/>
              <w:snapToGrid w:val="0"/>
              <w:jc w:val="center"/>
              <w:textAlignment w:val="center"/>
              <w:rPr>
                <w:rFonts w:ascii="仿宋" w:eastAsia="仿宋" w:hAnsi="仿宋" w:cs="仿宋"/>
                <w:szCs w:val="21"/>
              </w:rPr>
            </w:pPr>
          </w:p>
        </w:tc>
        <w:tc>
          <w:tcPr>
            <w:tcW w:w="4248" w:type="dxa"/>
            <w:vMerge/>
          </w:tcPr>
          <w:p w:rsidR="008568C5" w:rsidRDefault="008568C5">
            <w:pPr>
              <w:autoSpaceDN w:val="0"/>
              <w:snapToGrid w:val="0"/>
              <w:jc w:val="center"/>
              <w:textAlignment w:val="center"/>
              <w:rPr>
                <w:rFonts w:ascii="仿宋" w:eastAsia="仿宋" w:hAnsi="仿宋" w:cs="仿宋"/>
                <w:szCs w:val="21"/>
              </w:rPr>
            </w:pPr>
          </w:p>
        </w:tc>
        <w:tc>
          <w:tcPr>
            <w:tcW w:w="1568" w:type="dxa"/>
            <w:vMerge/>
          </w:tcPr>
          <w:p w:rsidR="008568C5" w:rsidRDefault="008568C5">
            <w:pPr>
              <w:autoSpaceDN w:val="0"/>
              <w:snapToGrid w:val="0"/>
              <w:jc w:val="center"/>
              <w:textAlignment w:val="center"/>
              <w:rPr>
                <w:rFonts w:ascii="仿宋" w:eastAsia="仿宋" w:hAnsi="仿宋" w:cs="仿宋"/>
                <w:szCs w:val="21"/>
              </w:rPr>
            </w:pPr>
          </w:p>
        </w:tc>
        <w:tc>
          <w:tcPr>
            <w:tcW w:w="1295" w:type="dxa"/>
            <w:vMerge/>
          </w:tcPr>
          <w:p w:rsidR="008568C5" w:rsidRDefault="008568C5">
            <w:pPr>
              <w:autoSpaceDN w:val="0"/>
              <w:snapToGrid w:val="0"/>
              <w:jc w:val="center"/>
              <w:textAlignment w:val="center"/>
              <w:rPr>
                <w:rFonts w:ascii="仿宋" w:eastAsia="仿宋" w:hAnsi="仿宋" w:cs="仿宋"/>
                <w:szCs w:val="21"/>
              </w:rPr>
            </w:pPr>
          </w:p>
        </w:tc>
        <w:tc>
          <w:tcPr>
            <w:tcW w:w="214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负责协调其所出资企业之间的国有资产产权纠纷。</w:t>
            </w:r>
          </w:p>
        </w:tc>
        <w:tc>
          <w:tcPr>
            <w:tcW w:w="267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4429"/>
        </w:trPr>
        <w:tc>
          <w:tcPr>
            <w:tcW w:w="804" w:type="dxa"/>
            <w:vMerge/>
            <w:vAlign w:val="center"/>
          </w:tcPr>
          <w:p w:rsidR="008568C5" w:rsidRDefault="008568C5">
            <w:pPr>
              <w:autoSpaceDN w:val="0"/>
              <w:snapToGrid w:val="0"/>
              <w:jc w:val="center"/>
              <w:textAlignment w:val="center"/>
              <w:rPr>
                <w:rFonts w:ascii="仿宋" w:eastAsia="仿宋" w:hAnsi="仿宋" w:cs="仿宋"/>
                <w:szCs w:val="21"/>
              </w:rPr>
            </w:pPr>
          </w:p>
        </w:tc>
        <w:tc>
          <w:tcPr>
            <w:tcW w:w="1438" w:type="dxa"/>
            <w:vMerge/>
            <w:vAlign w:val="center"/>
          </w:tcPr>
          <w:p w:rsidR="008568C5" w:rsidRDefault="008568C5">
            <w:pPr>
              <w:autoSpaceDN w:val="0"/>
              <w:snapToGrid w:val="0"/>
              <w:jc w:val="center"/>
              <w:textAlignment w:val="center"/>
              <w:rPr>
                <w:rFonts w:ascii="仿宋" w:eastAsia="仿宋" w:hAnsi="仿宋" w:cs="仿宋"/>
                <w:szCs w:val="21"/>
              </w:rPr>
            </w:pPr>
          </w:p>
        </w:tc>
        <w:tc>
          <w:tcPr>
            <w:tcW w:w="424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568"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5" w:type="dxa"/>
            <w:vMerge/>
            <w:vAlign w:val="center"/>
          </w:tcPr>
          <w:p w:rsidR="008568C5" w:rsidRDefault="008568C5">
            <w:pPr>
              <w:autoSpaceDN w:val="0"/>
              <w:snapToGrid w:val="0"/>
              <w:jc w:val="center"/>
              <w:textAlignment w:val="center"/>
              <w:rPr>
                <w:rFonts w:ascii="仿宋" w:eastAsia="仿宋" w:hAnsi="仿宋" w:cs="仿宋"/>
                <w:szCs w:val="21"/>
              </w:rPr>
            </w:pPr>
          </w:p>
        </w:tc>
        <w:tc>
          <w:tcPr>
            <w:tcW w:w="2141" w:type="dxa"/>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其他法律法规规章文件规定应履行的责任。</w:t>
            </w:r>
          </w:p>
        </w:tc>
        <w:tc>
          <w:tcPr>
            <w:tcW w:w="2673" w:type="dxa"/>
            <w:vMerge/>
            <w:vAlign w:val="center"/>
          </w:tcPr>
          <w:p w:rsidR="008568C5" w:rsidRDefault="008568C5">
            <w:pPr>
              <w:autoSpaceDN w:val="0"/>
              <w:snapToGrid w:val="0"/>
              <w:jc w:val="center"/>
              <w:textAlignment w:val="center"/>
              <w:rPr>
                <w:rFonts w:ascii="仿宋" w:eastAsia="仿宋" w:hAnsi="仿宋" w:cs="仿宋"/>
                <w:szCs w:val="21"/>
              </w:rPr>
            </w:pPr>
          </w:p>
        </w:tc>
        <w:tc>
          <w:tcPr>
            <w:tcW w:w="1296" w:type="dxa"/>
            <w:vMerge/>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 w:rsidR="008568C5" w:rsidRDefault="008568C5"/>
    <w:p w:rsidR="008568C5" w:rsidRDefault="008568C5"/>
    <w:tbl>
      <w:tblPr>
        <w:tblW w:w="14457" w:type="dxa"/>
        <w:jc w:val="center"/>
        <w:tblLayout w:type="fixed"/>
        <w:tblCellMar>
          <w:left w:w="0" w:type="dxa"/>
          <w:right w:w="0" w:type="dxa"/>
        </w:tblCellMar>
        <w:tblLook w:val="04A0"/>
      </w:tblPr>
      <w:tblGrid>
        <w:gridCol w:w="943"/>
        <w:gridCol w:w="1458"/>
        <w:gridCol w:w="4649"/>
        <w:gridCol w:w="547"/>
        <w:gridCol w:w="665"/>
        <w:gridCol w:w="2913"/>
        <w:gridCol w:w="2118"/>
        <w:gridCol w:w="1164"/>
      </w:tblGrid>
      <w:tr w:rsidR="008568C5">
        <w:trPr>
          <w:trHeight w:val="635"/>
          <w:jc w:val="center"/>
        </w:trPr>
        <w:tc>
          <w:tcPr>
            <w:tcW w:w="9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序号</w:t>
            </w:r>
          </w:p>
        </w:tc>
        <w:tc>
          <w:tcPr>
            <w:tcW w:w="14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职权类别</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9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6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90"/>
          <w:jc w:val="center"/>
        </w:trPr>
        <w:tc>
          <w:tcPr>
            <w:tcW w:w="94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w:t>
            </w:r>
            <w:r>
              <w:rPr>
                <w:rFonts w:ascii="仿宋" w:eastAsia="仿宋" w:hAnsi="仿宋" w:cs="仿宋"/>
                <w:szCs w:val="21"/>
              </w:rPr>
              <w:t>2</w:t>
            </w:r>
          </w:p>
        </w:tc>
        <w:tc>
          <w:tcPr>
            <w:tcW w:w="14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县级</w:t>
            </w:r>
            <w:r>
              <w:rPr>
                <w:rFonts w:ascii="仿宋" w:eastAsia="仿宋" w:hAnsi="仿宋" w:cs="仿宋"/>
                <w:szCs w:val="21"/>
              </w:rPr>
              <w:t>行政事业单位所属企业国有资产产权登记和转让批准</w:t>
            </w:r>
          </w:p>
        </w:tc>
        <w:tc>
          <w:tcPr>
            <w:tcW w:w="464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企业国有资产产权登记管理办法》（国务院令第192号）第三条：“国有企业、国有独资公司、持有国家股权的单位以及以其他形式占有国有资产的企业（以下统称企业），应当依照本办法的规定办理产权登记。”第五条第一款：“县级以上各级人民政府国有资产管理部门，按照产权归属关系办理产权登记。”</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《财政部关于企业国有资产办理无偿划转手续的规定》（</w:t>
            </w:r>
            <w:proofErr w:type="gramStart"/>
            <w:r>
              <w:rPr>
                <w:rFonts w:ascii="仿宋" w:eastAsia="仿宋" w:hAnsi="仿宋" w:cs="仿宋"/>
                <w:szCs w:val="21"/>
              </w:rPr>
              <w:t>财管字</w:t>
            </w:r>
            <w:proofErr w:type="gramEnd"/>
            <w:r>
              <w:rPr>
                <w:rFonts w:ascii="仿宋" w:eastAsia="仿宋" w:hAnsi="仿宋" w:cs="仿宋"/>
                <w:szCs w:val="21"/>
              </w:rPr>
              <w:t>〔1999〕301号）第四条：“企业国有资产的无偿划转由各级财政(国有资产管理)部门负责办理。”第七条：“各级财政（国有资产管理）部门在接到完整的资产划转申报材料后，应认真审查，及时</w:t>
            </w:r>
            <w:proofErr w:type="gramStart"/>
            <w:r>
              <w:rPr>
                <w:rFonts w:ascii="仿宋" w:eastAsia="仿宋" w:hAnsi="仿宋" w:cs="仿宋"/>
                <w:szCs w:val="21"/>
              </w:rPr>
              <w:t>作出</w:t>
            </w:r>
            <w:proofErr w:type="gramEnd"/>
            <w:r>
              <w:rPr>
                <w:rFonts w:ascii="仿宋" w:eastAsia="仿宋" w:hAnsi="仿宋" w:cs="仿宋"/>
                <w:szCs w:val="21"/>
              </w:rPr>
              <w:t>是否批准资产划转的决定，并发文批复。”</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《财政部关于印发&lt;事业单位及事业单位所办企业国有资产产权登记管理办法&gt;的通知》（</w:t>
            </w:r>
            <w:proofErr w:type="gramStart"/>
            <w:r>
              <w:rPr>
                <w:rFonts w:ascii="仿宋" w:eastAsia="仿宋" w:hAnsi="仿宋" w:cs="仿宋"/>
                <w:szCs w:val="21"/>
              </w:rPr>
              <w:t>财教〔2012〕</w:t>
            </w:r>
            <w:proofErr w:type="gramEnd"/>
            <w:r>
              <w:rPr>
                <w:rFonts w:ascii="仿宋" w:eastAsia="仿宋" w:hAnsi="仿宋" w:cs="仿宋"/>
                <w:szCs w:val="21"/>
              </w:rPr>
              <w:t>242号）第六条：“事业单位及其所办企业产权登记按照‘统一政策、分级管理’原则由各级财政部门负责组织实施。”</w:t>
            </w:r>
          </w:p>
        </w:tc>
        <w:tc>
          <w:tcPr>
            <w:tcW w:w="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其他职权</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受理</w:t>
            </w: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1.公示依法应当提交的材料；一次性告知需补齐材料；依法受理或不予受理（不予受理的依法告知理由）。</w:t>
            </w:r>
          </w:p>
        </w:tc>
        <w:tc>
          <w:tcPr>
            <w:tcW w:w="2118"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《企业国有资产产权登记管理办法》第十五条</w:t>
            </w:r>
            <w:r>
              <w:rPr>
                <w:rFonts w:ascii="仿宋" w:eastAsia="仿宋" w:hAnsi="仿宋" w:cs="仿宋" w:hint="eastAsia"/>
                <w:szCs w:val="21"/>
              </w:rPr>
              <w:t>：</w:t>
            </w:r>
            <w:r>
              <w:rPr>
                <w:rFonts w:ascii="仿宋" w:eastAsia="仿宋" w:hAnsi="仿宋" w:cs="仿宋"/>
                <w:szCs w:val="21"/>
              </w:rPr>
              <w:t>国有资产管理部门工作人员在办理产权登记中玩忽职守、徇私舞弊、滥用职权、谋取私利，构成犯罪的，依法追究刑事责任；尚不构成犯罪的，依法给予行政处分。</w:t>
            </w:r>
          </w:p>
        </w:tc>
        <w:tc>
          <w:tcPr>
            <w:tcW w:w="1164"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资产管理股</w:t>
            </w:r>
          </w:p>
        </w:tc>
      </w:tr>
      <w:tr w:rsidR="008568C5">
        <w:trPr>
          <w:trHeight w:val="1233"/>
          <w:jc w:val="center"/>
        </w:trPr>
        <w:tc>
          <w:tcPr>
            <w:tcW w:w="9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审查</w:t>
            </w: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2.按照国家</w:t>
            </w:r>
            <w:r>
              <w:rPr>
                <w:rFonts w:ascii="仿宋" w:eastAsia="仿宋" w:hAnsi="仿宋" w:cs="仿宋" w:hint="eastAsia"/>
                <w:szCs w:val="21"/>
              </w:rPr>
              <w:t>、</w:t>
            </w:r>
            <w:r>
              <w:rPr>
                <w:rFonts w:ascii="仿宋" w:eastAsia="仿宋" w:hAnsi="仿宋" w:cs="仿宋"/>
                <w:szCs w:val="21"/>
              </w:rPr>
              <w:t>省关于行政事业单位所属企业国有资产产权管理相关规定对申报材料进行审查，提出审核意见。</w:t>
            </w:r>
          </w:p>
        </w:tc>
        <w:tc>
          <w:tcPr>
            <w:tcW w:w="211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64"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227"/>
          <w:jc w:val="center"/>
        </w:trPr>
        <w:tc>
          <w:tcPr>
            <w:tcW w:w="9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决定</w:t>
            </w: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3.做出决定。审核同意的，制作批复文件或者办理相关手续；审核不同意的，以便函形式告知申请单位。</w:t>
            </w:r>
          </w:p>
        </w:tc>
        <w:tc>
          <w:tcPr>
            <w:tcW w:w="211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64"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69"/>
          <w:jc w:val="center"/>
        </w:trPr>
        <w:tc>
          <w:tcPr>
            <w:tcW w:w="9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送达</w:t>
            </w: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4.将文件送主管部门，由主管部门告知申请单位。</w:t>
            </w:r>
          </w:p>
        </w:tc>
        <w:tc>
          <w:tcPr>
            <w:tcW w:w="211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64"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0"/>
          <w:jc w:val="center"/>
        </w:trPr>
        <w:tc>
          <w:tcPr>
            <w:tcW w:w="9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46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事后监管</w:t>
            </w: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5.对产权登记及转让事项落实情况进行检查。</w:t>
            </w:r>
          </w:p>
        </w:tc>
        <w:tc>
          <w:tcPr>
            <w:tcW w:w="211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64"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80"/>
          <w:jc w:val="center"/>
        </w:trPr>
        <w:tc>
          <w:tcPr>
            <w:tcW w:w="9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4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6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1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6.其他法律法规规章文件规定应履行的责任。</w:t>
            </w:r>
          </w:p>
        </w:tc>
        <w:tc>
          <w:tcPr>
            <w:tcW w:w="2118"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64"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 w:rsidR="008568C5" w:rsidRDefault="008568C5"/>
    <w:p w:rsidR="008568C5" w:rsidRDefault="008568C5"/>
    <w:p w:rsidR="008568C5" w:rsidRDefault="008568C5"/>
    <w:p w:rsidR="008568C5" w:rsidRDefault="008568C5"/>
    <w:p w:rsidR="008568C5" w:rsidRDefault="008568C5"/>
    <w:p w:rsidR="008568C5" w:rsidRDefault="008568C5"/>
    <w:p w:rsidR="008568C5" w:rsidRDefault="008568C5"/>
    <w:tbl>
      <w:tblPr>
        <w:tblW w:w="14088" w:type="dxa"/>
        <w:jc w:val="center"/>
        <w:tblLayout w:type="fixed"/>
        <w:tblCellMar>
          <w:left w:w="0" w:type="dxa"/>
          <w:right w:w="0" w:type="dxa"/>
        </w:tblCellMar>
        <w:tblLook w:val="04A0"/>
      </w:tblPr>
      <w:tblGrid>
        <w:gridCol w:w="820"/>
        <w:gridCol w:w="1274"/>
        <w:gridCol w:w="4547"/>
        <w:gridCol w:w="547"/>
        <w:gridCol w:w="671"/>
        <w:gridCol w:w="2912"/>
        <w:gridCol w:w="2121"/>
        <w:gridCol w:w="1196"/>
      </w:tblGrid>
      <w:tr w:rsidR="008568C5">
        <w:trPr>
          <w:trHeight w:val="635"/>
          <w:jc w:val="center"/>
        </w:trPr>
        <w:tc>
          <w:tcPr>
            <w:tcW w:w="8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序号</w:t>
            </w:r>
          </w:p>
        </w:tc>
        <w:tc>
          <w:tcPr>
            <w:tcW w:w="12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职权类别</w:t>
            </w: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21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widowControl/>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1162"/>
          <w:jc w:val="center"/>
        </w:trPr>
        <w:tc>
          <w:tcPr>
            <w:tcW w:w="8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w:t>
            </w:r>
            <w:r>
              <w:rPr>
                <w:rFonts w:ascii="仿宋" w:eastAsia="仿宋" w:hAnsi="仿宋" w:cs="仿宋"/>
                <w:szCs w:val="21"/>
              </w:rPr>
              <w:t>3</w:t>
            </w:r>
          </w:p>
        </w:tc>
        <w:tc>
          <w:tcPr>
            <w:tcW w:w="12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县级</w:t>
            </w:r>
            <w:r>
              <w:rPr>
                <w:rFonts w:ascii="仿宋" w:eastAsia="仿宋" w:hAnsi="仿宋" w:cs="仿宋"/>
                <w:szCs w:val="21"/>
              </w:rPr>
              <w:t>行政事业单位所属企业清产核资结果认定</w:t>
            </w:r>
          </w:p>
        </w:tc>
        <w:tc>
          <w:tcPr>
            <w:tcW w:w="4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财政部关于印发&lt;行政事业单位资产清查核实管理办法&gt;的通知》（财办〔2016〕1号）第五十九条：“行政单位附属未脱钩企业，执行企业财务和会计制度的事业单位，以及事业单位所办的全资企业和控股企业，其国有资产的清查核实工作按照企业清产核资的有关规定执行。”</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《财政部关于印发&lt;企业国有资本与财务管理暂行办法&gt;的通知》（财企〔2001〕325号）第十二条：“企业按照国家有关规定进行清产核资时，所持有的国有资本按照经主管财政机关审核的结果调整。”</w:t>
            </w:r>
          </w:p>
        </w:tc>
        <w:tc>
          <w:tcPr>
            <w:tcW w:w="54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其他职权</w:t>
            </w: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受理</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1.公示依法应当提交的材料；一次性告知需补齐材料；依法受理或不予受理（不予受理的依法告知理由）。</w:t>
            </w:r>
          </w:p>
        </w:tc>
        <w:tc>
          <w:tcPr>
            <w:tcW w:w="212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《行政事业单位资产清查核实管理办法》第五十四条</w:t>
            </w:r>
            <w:r>
              <w:rPr>
                <w:rFonts w:ascii="仿宋" w:eastAsia="仿宋" w:hAnsi="仿宋" w:cs="仿宋" w:hint="eastAsia"/>
                <w:szCs w:val="21"/>
              </w:rPr>
              <w:t>：</w:t>
            </w:r>
            <w:r>
              <w:rPr>
                <w:rFonts w:ascii="仿宋" w:eastAsia="仿宋" w:hAnsi="仿宋" w:cs="仿宋"/>
                <w:szCs w:val="21"/>
              </w:rPr>
              <w:t>财政部门和主管部门工作人员在对单位清查核实进行审核过程中徇私舞弊，造成严重后果的，由有关部门依法给予行政处分或纪律处分。</w:t>
            </w:r>
          </w:p>
        </w:tc>
        <w:tc>
          <w:tcPr>
            <w:tcW w:w="1196"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资产管理股</w:t>
            </w:r>
          </w:p>
        </w:tc>
      </w:tr>
      <w:tr w:rsidR="008568C5">
        <w:trPr>
          <w:trHeight w:val="1444"/>
          <w:jc w:val="center"/>
        </w:trPr>
        <w:tc>
          <w:tcPr>
            <w:tcW w:w="8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审查</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2.按照国家和我省关于行政事业单位所属企业国有资产清查和清产核资相关规定对申报材料进行审查；组织专家对材料进行评审论证；提出审核意见。</w:t>
            </w:r>
          </w:p>
        </w:tc>
        <w:tc>
          <w:tcPr>
            <w:tcW w:w="21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900"/>
          <w:jc w:val="center"/>
        </w:trPr>
        <w:tc>
          <w:tcPr>
            <w:tcW w:w="8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决定</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3.做出决定。审核同意的，制作结果认定文件；审核不同意的，以便函形式告知申请单位。</w:t>
            </w:r>
          </w:p>
        </w:tc>
        <w:tc>
          <w:tcPr>
            <w:tcW w:w="21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50"/>
          <w:jc w:val="center"/>
        </w:trPr>
        <w:tc>
          <w:tcPr>
            <w:tcW w:w="8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送达</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4.将相关文书送主管部门，由主管部门告知申报单位。</w:t>
            </w:r>
          </w:p>
        </w:tc>
        <w:tc>
          <w:tcPr>
            <w:tcW w:w="21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98"/>
          <w:jc w:val="center"/>
        </w:trPr>
        <w:tc>
          <w:tcPr>
            <w:tcW w:w="8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4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szCs w:val="21"/>
              </w:rPr>
              <w:t>事后监管</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5.对清产核资认定结果落实情况进行检查。</w:t>
            </w:r>
          </w:p>
        </w:tc>
        <w:tc>
          <w:tcPr>
            <w:tcW w:w="2121"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cantSplit/>
          <w:trHeight w:val="720"/>
          <w:jc w:val="center"/>
        </w:trPr>
        <w:tc>
          <w:tcPr>
            <w:tcW w:w="8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54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6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left"/>
              <w:textAlignment w:val="center"/>
              <w:rPr>
                <w:rFonts w:ascii="仿宋" w:eastAsia="仿宋" w:hAnsi="仿宋" w:cs="仿宋"/>
                <w:szCs w:val="21"/>
              </w:rPr>
            </w:pP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szCs w:val="21"/>
              </w:rPr>
              <w:t>6</w:t>
            </w:r>
            <w:r>
              <w:rPr>
                <w:rFonts w:ascii="仿宋" w:eastAsia="仿宋" w:hAnsi="仿宋" w:cs="仿宋" w:hint="eastAsia"/>
                <w:szCs w:val="21"/>
              </w:rPr>
              <w:t>.</w:t>
            </w:r>
            <w:r>
              <w:rPr>
                <w:rFonts w:ascii="仿宋" w:eastAsia="仿宋" w:hAnsi="仿宋" w:cs="仿宋"/>
                <w:szCs w:val="21"/>
              </w:rPr>
              <w:t>其他法律法规规章文件规定应履行的责任。</w:t>
            </w:r>
          </w:p>
          <w:p w:rsidR="008568C5" w:rsidRDefault="008568C5">
            <w:pPr>
              <w:autoSpaceDN w:val="0"/>
              <w:snapToGrid w:val="0"/>
              <w:jc w:val="left"/>
              <w:textAlignment w:val="center"/>
              <w:rPr>
                <w:rFonts w:ascii="仿宋" w:eastAsia="仿宋" w:hAnsi="仿宋" w:cs="仿宋"/>
                <w:szCs w:val="21"/>
              </w:rPr>
            </w:pPr>
          </w:p>
        </w:tc>
        <w:tc>
          <w:tcPr>
            <w:tcW w:w="212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196"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8568C5"/>
    <w:p w:rsidR="008568C5" w:rsidRDefault="008568C5"/>
    <w:p w:rsidR="008568C5" w:rsidRDefault="008568C5"/>
    <w:p w:rsidR="008568C5" w:rsidRDefault="008568C5"/>
    <w:p w:rsidR="008568C5" w:rsidRDefault="008568C5"/>
    <w:p w:rsidR="008568C5" w:rsidRDefault="008568C5"/>
    <w:p w:rsidR="008568C5" w:rsidRDefault="008568C5"/>
    <w:tbl>
      <w:tblPr>
        <w:tblW w:w="14923" w:type="dxa"/>
        <w:tblInd w:w="-478" w:type="dxa"/>
        <w:tblLayout w:type="fixed"/>
        <w:tblLook w:val="04A0"/>
      </w:tblPr>
      <w:tblGrid>
        <w:gridCol w:w="934"/>
        <w:gridCol w:w="1797"/>
        <w:gridCol w:w="2426"/>
        <w:gridCol w:w="1639"/>
        <w:gridCol w:w="1080"/>
        <w:gridCol w:w="3855"/>
        <w:gridCol w:w="2205"/>
        <w:gridCol w:w="987"/>
      </w:tblGrid>
      <w:tr w:rsidR="008568C5">
        <w:trPr>
          <w:trHeight w:val="1002"/>
        </w:trPr>
        <w:tc>
          <w:tcPr>
            <w:tcW w:w="934"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序号</w:t>
            </w:r>
          </w:p>
        </w:tc>
        <w:tc>
          <w:tcPr>
            <w:tcW w:w="1797"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项目名称</w:t>
            </w:r>
          </w:p>
        </w:tc>
        <w:tc>
          <w:tcPr>
            <w:tcW w:w="2426"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实施依据</w:t>
            </w: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职权类别</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办理环节</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责任事项</w:t>
            </w:r>
          </w:p>
        </w:tc>
        <w:tc>
          <w:tcPr>
            <w:tcW w:w="2205"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追责情形</w:t>
            </w:r>
          </w:p>
        </w:tc>
        <w:tc>
          <w:tcPr>
            <w:tcW w:w="987" w:type="dxa"/>
            <w:tcBorders>
              <w:top w:val="single" w:sz="4" w:space="0" w:color="000000"/>
              <w:left w:val="single" w:sz="4" w:space="0" w:color="000000"/>
              <w:bottom w:val="single" w:sz="4" w:space="0" w:color="000000"/>
              <w:right w:val="single" w:sz="4" w:space="0" w:color="000000"/>
            </w:tcBorders>
            <w:vAlign w:val="center"/>
          </w:tcPr>
          <w:p w:rsidR="008568C5" w:rsidRDefault="00A65D61">
            <w:pPr>
              <w:widowControl/>
              <w:jc w:val="center"/>
              <w:textAlignment w:val="center"/>
              <w:rPr>
                <w:rFonts w:ascii="黑体" w:eastAsia="黑体" w:hAnsi="宋体" w:cs="黑体"/>
                <w:color w:val="000000"/>
                <w:sz w:val="24"/>
              </w:rPr>
            </w:pPr>
            <w:r>
              <w:rPr>
                <w:rFonts w:ascii="黑体" w:eastAsia="黑体" w:hAnsi="宋体" w:cs="黑体" w:hint="eastAsia"/>
                <w:color w:val="000000"/>
                <w:kern w:val="0"/>
                <w:sz w:val="24"/>
              </w:rPr>
              <w:t>责任科室</w:t>
            </w:r>
          </w:p>
        </w:tc>
      </w:tr>
      <w:tr w:rsidR="008568C5">
        <w:trPr>
          <w:trHeight w:val="1470"/>
        </w:trPr>
        <w:tc>
          <w:tcPr>
            <w:tcW w:w="934"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94</w:t>
            </w:r>
          </w:p>
        </w:tc>
        <w:tc>
          <w:tcPr>
            <w:tcW w:w="1797"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监督指导所监管企业财务预决算工作，承担所监管企业经济运行和国有资产统计分析工作</w:t>
            </w:r>
          </w:p>
        </w:tc>
        <w:tc>
          <w:tcPr>
            <w:tcW w:w="2426"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《内乡县财政局职能配置、内设机构和人员编制规定》第（十六）条“负责所监管企业清产核资、资产统计、综合评价等基础性工作，拟订监管企业资产财务监管制度并组织实施。”</w:t>
            </w: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1.受理责任：受理县属企业报送的财务快报和预决算报告，对其材料的齐全性、内容的完整性进行查验。符合要求的，直接受理。不符合要求的，一次性告知原因及所补材料。</w:t>
            </w:r>
          </w:p>
        </w:tc>
        <w:tc>
          <w:tcPr>
            <w:tcW w:w="2205"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依据《企业国有资产法》第六十九条和第七十五条，履行出资人职责的机构的工作人员玩忽职守、滥用职权、徇私舞弊，尚不构成犯罪的，依法给予处分。构成犯罪的，依法追究刑事责任。</w:t>
            </w:r>
          </w:p>
        </w:tc>
        <w:tc>
          <w:tcPr>
            <w:tcW w:w="987" w:type="dxa"/>
            <w:vMerge w:val="restart"/>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p w:rsidR="008568C5" w:rsidRDefault="008568C5">
            <w:pPr>
              <w:autoSpaceDN w:val="0"/>
              <w:snapToGrid w:val="0"/>
              <w:jc w:val="center"/>
              <w:textAlignment w:val="center"/>
              <w:rPr>
                <w:rFonts w:ascii="仿宋" w:eastAsia="仿宋" w:hAnsi="仿宋" w:cs="仿宋"/>
                <w:szCs w:val="21"/>
              </w:rPr>
            </w:pPr>
          </w:p>
        </w:tc>
      </w:tr>
      <w:tr w:rsidR="008568C5">
        <w:trPr>
          <w:trHeight w:val="1002"/>
        </w:trPr>
        <w:tc>
          <w:tcPr>
            <w:tcW w:w="93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79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426"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审核</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2.审核责任：对报送的财务快报和预决算报告进行规范性审核。</w:t>
            </w:r>
          </w:p>
        </w:tc>
        <w:tc>
          <w:tcPr>
            <w:tcW w:w="2205"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02"/>
        </w:trPr>
        <w:tc>
          <w:tcPr>
            <w:tcW w:w="93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79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426"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汇总</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3.汇总责任：对县属企业的财务快报和预决算报告进行汇总、分析。</w:t>
            </w:r>
          </w:p>
        </w:tc>
        <w:tc>
          <w:tcPr>
            <w:tcW w:w="2205"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02"/>
        </w:trPr>
        <w:tc>
          <w:tcPr>
            <w:tcW w:w="93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79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426"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转报</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4.转报责任：依据规定将汇总结果</w:t>
            </w:r>
            <w:proofErr w:type="gramStart"/>
            <w:r>
              <w:rPr>
                <w:rFonts w:ascii="仿宋" w:eastAsia="仿宋" w:hAnsi="仿宋" w:cs="仿宋" w:hint="eastAsia"/>
                <w:szCs w:val="21"/>
              </w:rPr>
              <w:t>报送国</w:t>
            </w:r>
            <w:proofErr w:type="gramEnd"/>
            <w:r>
              <w:rPr>
                <w:rFonts w:ascii="仿宋" w:eastAsia="仿宋" w:hAnsi="仿宋" w:cs="仿宋" w:hint="eastAsia"/>
                <w:szCs w:val="21"/>
              </w:rPr>
              <w:t>资委</w:t>
            </w:r>
          </w:p>
        </w:tc>
        <w:tc>
          <w:tcPr>
            <w:tcW w:w="2205"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822"/>
        </w:trPr>
        <w:tc>
          <w:tcPr>
            <w:tcW w:w="934"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79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2426"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639" w:type="dxa"/>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w:t>
            </w:r>
          </w:p>
        </w:tc>
        <w:tc>
          <w:tcPr>
            <w:tcW w:w="3855" w:type="dxa"/>
            <w:tcBorders>
              <w:top w:val="single" w:sz="4" w:space="0" w:color="000000"/>
              <w:left w:val="single" w:sz="4" w:space="0" w:color="000000"/>
              <w:bottom w:val="single" w:sz="4" w:space="0" w:color="000000"/>
              <w:right w:val="single" w:sz="4" w:space="0" w:color="000000"/>
            </w:tcBorders>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2205"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c>
          <w:tcPr>
            <w:tcW w:w="987" w:type="dxa"/>
            <w:vMerge/>
            <w:tcBorders>
              <w:top w:val="single" w:sz="4" w:space="0" w:color="000000"/>
              <w:left w:val="single" w:sz="4" w:space="0" w:color="000000"/>
              <w:bottom w:val="single" w:sz="4" w:space="0" w:color="000000"/>
              <w:right w:val="single" w:sz="4" w:space="0" w:color="000000"/>
            </w:tcBorders>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Pr>
        <w:autoSpaceDN w:val="0"/>
        <w:snapToGrid w:val="0"/>
        <w:jc w:val="center"/>
        <w:textAlignment w:val="center"/>
        <w:rPr>
          <w:rFonts w:ascii="仿宋" w:eastAsia="仿宋" w:hAnsi="仿宋" w:cs="仿宋"/>
          <w:szCs w:val="21"/>
        </w:rPr>
      </w:pPr>
    </w:p>
    <w:p w:rsidR="008568C5" w:rsidRDefault="008568C5"/>
    <w:p w:rsidR="008568C5" w:rsidRDefault="008568C5"/>
    <w:p w:rsidR="008568C5" w:rsidRDefault="008568C5"/>
    <w:tbl>
      <w:tblPr>
        <w:tblW w:w="15450" w:type="dxa"/>
        <w:jc w:val="center"/>
        <w:tblLayout w:type="fixed"/>
        <w:tblCellMar>
          <w:left w:w="0" w:type="dxa"/>
          <w:right w:w="0" w:type="dxa"/>
        </w:tblCellMar>
        <w:tblLook w:val="04A0"/>
      </w:tblPr>
      <w:tblGrid>
        <w:gridCol w:w="1144"/>
        <w:gridCol w:w="1222"/>
        <w:gridCol w:w="4373"/>
        <w:gridCol w:w="1015"/>
        <w:gridCol w:w="1081"/>
        <w:gridCol w:w="3323"/>
        <w:gridCol w:w="1646"/>
        <w:gridCol w:w="1646"/>
      </w:tblGrid>
      <w:tr w:rsidR="008568C5">
        <w:trPr>
          <w:trHeight w:val="635"/>
          <w:jc w:val="center"/>
        </w:trPr>
        <w:tc>
          <w:tcPr>
            <w:tcW w:w="114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22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437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01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108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32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654"/>
          <w:jc w:val="center"/>
        </w:trPr>
        <w:tc>
          <w:tcPr>
            <w:tcW w:w="1144"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95</w:t>
            </w:r>
          </w:p>
        </w:tc>
        <w:tc>
          <w:tcPr>
            <w:tcW w:w="1222" w:type="dxa"/>
            <w:vMerge w:val="restart"/>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县直行政事业单位及所属企业国有资产评估项目核准和备案</w:t>
            </w:r>
          </w:p>
        </w:tc>
        <w:tc>
          <w:tcPr>
            <w:tcW w:w="4373" w:type="dxa"/>
            <w:vMerge w:val="restart"/>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《行政单位国有资产管理暂行办法》(财政部令第3 5号)第三十七条：“行政单位国有资产评估项目实行核准制和备案制。实行核准制和备案制的项目范围、权限由财政部门另行规定。”</w:t>
            </w:r>
          </w:p>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《事业单位国有资管理暂行办法》(财政部令第3 6号)第四十一条：“事业单位国有资产评估项目实行核准制和备案制。核准和备案工作按照国家有关国有资产评估项目核准和备案管理的规定执行。”</w:t>
            </w:r>
          </w:p>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 xml:space="preserve"> 中华人民共和国财政部令第100号第四十二条 事业单位国有资产评估项目实行核准制和备案制。核准和备案工作按照国家有关国有资产评估项目核准和备案管理的规定执行关规定执行。” </w:t>
            </w:r>
          </w:p>
          <w:p w:rsidR="008568C5" w:rsidRDefault="00A65D61">
            <w:pPr>
              <w:autoSpaceDN w:val="0"/>
              <w:snapToGrid w:val="0"/>
              <w:jc w:val="left"/>
              <w:textAlignment w:val="center"/>
              <w:rPr>
                <w:rFonts w:ascii="仿宋" w:eastAsia="仿宋" w:hAnsi="仿宋" w:cs="仿宋"/>
                <w:sz w:val="18"/>
                <w:szCs w:val="18"/>
              </w:rPr>
            </w:pPr>
            <w:r>
              <w:rPr>
                <w:rFonts w:ascii="仿宋" w:eastAsia="仿宋" w:hAnsi="仿宋" w:cs="仿宋" w:hint="eastAsia"/>
                <w:sz w:val="18"/>
                <w:szCs w:val="18"/>
              </w:rPr>
              <w:t>《国有资产评估管理办法》（国务院令第91号）1991年11月16日，中华人民共和国国务院令第91号发布《国有资产评估管理办法》。第十八条：“国有资产占有单位收到资产评估结果报告书，经主管部门审查同意后，报同级国有资产管理行政主管部门确认资产评估结果。”</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 w:val="18"/>
                <w:szCs w:val="18"/>
              </w:rPr>
              <w:t>《河南省行政事业单位国有资产管理办法》(河南省人民政府令第1 0 8号) 第二十二条：“行政事业单位出售、 出让及置换土地、房屋、 车辆以及大型 (贵重)仪器、设备等, 应当经具有相应资质的评估机构评估并报财政部门核准或者备案后, 采取拍卖、招投标、协议转让等方式公开处置。” 第二十七条：“行政事业单位国有资产评估项目实行核准制和备案制。实行核准制和备案制的项目、范围、权限依据国家财政部有国有资产评估管理办法</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(国务院令第9 1号) 第十八条：“国有资产占有单位收到资产评估结果报告书, 经主管部门审查同意后, 报同级国有资产管理行政主管部门确认资产评估结果。”</w:t>
            </w:r>
          </w:p>
        </w:tc>
        <w:tc>
          <w:tcPr>
            <w:tcW w:w="1015" w:type="dxa"/>
            <w:vMerge w:val="restart"/>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1081"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受理</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收到申请文件及材料之日起，县财政资产评估管理办公室3日内决定是否受理</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行政单位国有资产管理暂行办法》第五十条：财政部门、行政单位及其工作人员违反本办法的规定，擅自占有、使用、处置国有资产的，按照《财政违法行为处罚处分条例》处理。违反国家国有资产管理规定的其他行为，按国家有关法律法规处理。</w:t>
            </w:r>
          </w:p>
        </w:tc>
        <w:tc>
          <w:tcPr>
            <w:tcW w:w="164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资产管理股</w:t>
            </w:r>
          </w:p>
        </w:tc>
      </w:tr>
      <w:tr w:rsidR="008568C5">
        <w:trPr>
          <w:trHeight w:val="654"/>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2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73"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5" w:type="dxa"/>
            <w:vMerge/>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1" w:type="dxa"/>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审核</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不属于本机关职权范围内的，不予受理，并通知申请单位。申请材料齐全、符合法定形式，或者申请单位按照要求提交全部补齐申请资料的，予以受理。虽然申请资料不齐全或者不符合规定的，但自接收之日起3个工作日内不告知主管部门的，自收到申请资料之日起即为受理。按照有关规定对申报事项进行审查;对重大事项或者存疑事项组织专家评审论证；20 </w:t>
            </w:r>
            <w:proofErr w:type="gramStart"/>
            <w:r>
              <w:rPr>
                <w:rFonts w:ascii="仿宋" w:eastAsia="仿宋" w:hAnsi="仿宋" w:cs="仿宋" w:hint="eastAsia"/>
                <w:szCs w:val="21"/>
              </w:rPr>
              <w:t>个</w:t>
            </w:r>
            <w:proofErr w:type="gramEnd"/>
            <w:r>
              <w:rPr>
                <w:rFonts w:ascii="仿宋" w:eastAsia="仿宋" w:hAnsi="仿宋" w:cs="仿宋" w:hint="eastAsia"/>
                <w:szCs w:val="21"/>
              </w:rPr>
              <w:t>工作日内提出审查意</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54"/>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2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73"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5"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1"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决定</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对于符合要求的七日内予以核准备案，申请材料不齐全或者不符合有关规定的，应当在3日内一次告知主管部门需要补齐的全部内容。</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654"/>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2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73"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5"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1"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送达</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5日内将文件送主管部门，由主管部门告知申请单位。</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566"/>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2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4373"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15"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081" w:type="dxa"/>
            <w:tcBorders>
              <w:top w:val="single" w:sz="4" w:space="0" w:color="000000"/>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归档</w:t>
            </w: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核准备案结束后资料归档</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103"/>
          <w:jc w:val="center"/>
        </w:trPr>
        <w:tc>
          <w:tcPr>
            <w:tcW w:w="1144" w:type="dxa"/>
            <w:vMerge/>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c>
          <w:tcPr>
            <w:tcW w:w="1222" w:type="dxa"/>
            <w:vMerge/>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c>
          <w:tcPr>
            <w:tcW w:w="4373" w:type="dxa"/>
            <w:vMerge/>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c>
          <w:tcPr>
            <w:tcW w:w="1015"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c>
          <w:tcPr>
            <w:tcW w:w="1081"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 w:eastAsia="仿宋" w:hAnsi="仿宋" w:cs="仿宋"/>
                <w:kern w:val="2"/>
                <w:sz w:val="21"/>
                <w:szCs w:val="21"/>
              </w:rPr>
            </w:pPr>
          </w:p>
        </w:tc>
        <w:tc>
          <w:tcPr>
            <w:tcW w:w="33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pStyle w:val="1"/>
              <w:widowControl/>
              <w:spacing w:before="0" w:beforeAutospacing="0" w:after="0" w:afterAutospacing="0"/>
              <w:rPr>
                <w:rFonts w:ascii="仿宋" w:eastAsia="仿宋" w:hAnsi="仿宋" w:cs="仿宋"/>
                <w:kern w:val="2"/>
                <w:sz w:val="21"/>
                <w:szCs w:val="21"/>
              </w:rPr>
            </w:pPr>
            <w:r>
              <w:rPr>
                <w:rFonts w:ascii="仿宋" w:eastAsia="仿宋" w:hAnsi="仿宋" w:cs="仿宋" w:hint="eastAsia"/>
                <w:kern w:val="2"/>
                <w:sz w:val="21"/>
                <w:szCs w:val="21"/>
              </w:rPr>
              <w:t>其他法律法规文件规定应履行的责任</w:t>
            </w: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c>
          <w:tcPr>
            <w:tcW w:w="1646"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pStyle w:val="1"/>
              <w:widowControl/>
              <w:spacing w:before="0" w:beforeAutospacing="0" w:after="0" w:afterAutospacing="0"/>
              <w:jc w:val="center"/>
              <w:rPr>
                <w:rFonts w:ascii="仿宋_GB2312" w:eastAsia="仿宋_GB2312" w:hAnsi="仿宋_GB2312" w:cs="仿宋_GB2312"/>
              </w:rPr>
            </w:pPr>
          </w:p>
        </w:tc>
      </w:tr>
    </w:tbl>
    <w:p w:rsidR="008568C5" w:rsidRDefault="008568C5"/>
    <w:tbl>
      <w:tblPr>
        <w:tblW w:w="15450" w:type="dxa"/>
        <w:jc w:val="center"/>
        <w:tblLayout w:type="fixed"/>
        <w:tblCellMar>
          <w:left w:w="0" w:type="dxa"/>
          <w:right w:w="0" w:type="dxa"/>
        </w:tblCellMar>
        <w:tblLook w:val="04A0"/>
      </w:tblPr>
      <w:tblGrid>
        <w:gridCol w:w="750"/>
        <w:gridCol w:w="1662"/>
        <w:gridCol w:w="3658"/>
        <w:gridCol w:w="1280"/>
        <w:gridCol w:w="831"/>
        <w:gridCol w:w="3977"/>
        <w:gridCol w:w="1646"/>
        <w:gridCol w:w="1646"/>
      </w:tblGrid>
      <w:tr w:rsidR="008568C5">
        <w:trPr>
          <w:trHeight w:val="635"/>
          <w:jc w:val="center"/>
        </w:trPr>
        <w:tc>
          <w:tcPr>
            <w:tcW w:w="75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序号</w:t>
            </w:r>
          </w:p>
        </w:tc>
        <w:tc>
          <w:tcPr>
            <w:tcW w:w="166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项目名称</w:t>
            </w:r>
          </w:p>
        </w:tc>
        <w:tc>
          <w:tcPr>
            <w:tcW w:w="365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实施依据</w:t>
            </w:r>
          </w:p>
        </w:tc>
        <w:tc>
          <w:tcPr>
            <w:tcW w:w="1280"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职权</w:t>
            </w:r>
          </w:p>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类别</w:t>
            </w:r>
          </w:p>
        </w:tc>
        <w:tc>
          <w:tcPr>
            <w:tcW w:w="83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办理环节</w:t>
            </w:r>
          </w:p>
        </w:tc>
        <w:tc>
          <w:tcPr>
            <w:tcW w:w="397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责任事项</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kern w:val="0"/>
                <w:sz w:val="24"/>
              </w:rPr>
            </w:pPr>
            <w:r>
              <w:rPr>
                <w:rFonts w:ascii="黑体" w:eastAsia="黑体" w:hAnsi="黑体" w:cs="黑体" w:hint="eastAsia"/>
                <w:kern w:val="0"/>
                <w:sz w:val="24"/>
              </w:rPr>
              <w:t>追责情形</w:t>
            </w:r>
          </w:p>
        </w:tc>
        <w:tc>
          <w:tcPr>
            <w:tcW w:w="1646"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8568C5" w:rsidRDefault="00A65D61">
            <w:pPr>
              <w:widowControl/>
              <w:snapToGrid w:val="0"/>
              <w:jc w:val="center"/>
              <w:textAlignment w:val="center"/>
              <w:rPr>
                <w:rFonts w:ascii="黑体" w:eastAsia="黑体" w:hAnsi="黑体" w:cs="黑体"/>
                <w:sz w:val="24"/>
              </w:rPr>
            </w:pPr>
            <w:r>
              <w:rPr>
                <w:rFonts w:ascii="黑体" w:eastAsia="黑体" w:hAnsi="黑体" w:cs="黑体" w:hint="eastAsia"/>
                <w:kern w:val="0"/>
                <w:sz w:val="24"/>
              </w:rPr>
              <w:t>责任科室</w:t>
            </w:r>
          </w:p>
        </w:tc>
      </w:tr>
      <w:tr w:rsidR="008568C5">
        <w:trPr>
          <w:trHeight w:val="864"/>
          <w:jc w:val="center"/>
        </w:trPr>
        <w:tc>
          <w:tcPr>
            <w:tcW w:w="750"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96</w:t>
            </w:r>
          </w:p>
        </w:tc>
        <w:tc>
          <w:tcPr>
            <w:tcW w:w="1662"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会计管理工作</w:t>
            </w:r>
          </w:p>
        </w:tc>
        <w:tc>
          <w:tcPr>
            <w:tcW w:w="3658" w:type="dxa"/>
            <w:vMerge w:val="restart"/>
            <w:tcBorders>
              <w:top w:val="single" w:sz="4" w:space="0" w:color="auto"/>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《中华人民共和国会计法》第七条：“县级以上地方各级人民政府财政部门管理本行政区域内的会计工作。”</w:t>
            </w:r>
          </w:p>
        </w:tc>
        <w:tc>
          <w:tcPr>
            <w:tcW w:w="1280"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31" w:type="dxa"/>
            <w:vMerge w:val="restart"/>
            <w:tcBorders>
              <w:top w:val="single" w:sz="4" w:space="0" w:color="auto"/>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依照相关法律法规实施</w:t>
            </w:r>
          </w:p>
        </w:tc>
        <w:tc>
          <w:tcPr>
            <w:tcW w:w="39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1.组织实施国家会计法律、法规、规章、制度。</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中华人民共和国会计法》第四十七条：财政部门及有关行政部门的工作人员在实施监督管理中滥用职权、玩忽职守、徇私舞弊或者泄露国家秘密、商业秘密、构成犯罪的，依法追究刑事责任；尚构不成犯罪的，依法给予行政处分。</w:t>
            </w:r>
          </w:p>
        </w:tc>
        <w:tc>
          <w:tcPr>
            <w:tcW w:w="1646" w:type="dxa"/>
            <w:vMerge w:val="restart"/>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会计股</w:t>
            </w:r>
          </w:p>
        </w:tc>
      </w:tr>
      <w:tr w:rsidR="008568C5">
        <w:trPr>
          <w:trHeight w:val="848"/>
          <w:jc w:val="center"/>
        </w:trPr>
        <w:tc>
          <w:tcPr>
            <w:tcW w:w="75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8"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1" w:type="dxa"/>
            <w:vMerge/>
            <w:tcBorders>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2.管理全市会计从业资格；按规定承担会计专业技术资格管理工作。</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300"/>
          <w:jc w:val="center"/>
        </w:trPr>
        <w:tc>
          <w:tcPr>
            <w:tcW w:w="75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8"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1" w:type="dxa"/>
            <w:vMerge/>
            <w:tcBorders>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3.负责会计师事务所、代理记账机构的日常监督管理工作。</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848"/>
          <w:jc w:val="center"/>
        </w:trPr>
        <w:tc>
          <w:tcPr>
            <w:tcW w:w="750" w:type="dxa"/>
            <w:vMerge/>
            <w:tcBorders>
              <w:left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62"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8"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0"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1" w:type="dxa"/>
            <w:vMerge/>
            <w:tcBorders>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4.组织实施会计信息化标准，指导全市会计电算化、信息化工作。</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r w:rsidR="008568C5">
        <w:trPr>
          <w:trHeight w:val="728"/>
          <w:jc w:val="center"/>
        </w:trPr>
        <w:tc>
          <w:tcPr>
            <w:tcW w:w="750" w:type="dxa"/>
            <w:vMerge/>
            <w:tcBorders>
              <w:left w:val="single" w:sz="4" w:space="0" w:color="auto"/>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62"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58" w:type="dxa"/>
            <w:vMerge/>
            <w:tcBorders>
              <w:left w:val="single" w:sz="4" w:space="0" w:color="000000"/>
              <w:bottom w:val="single" w:sz="4" w:space="0" w:color="auto"/>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0"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1" w:type="dxa"/>
            <w:vMerge/>
            <w:tcBorders>
              <w:left w:val="single" w:sz="4" w:space="0" w:color="000000"/>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5.其他法律法规规章文件规定应履行的责任。</w:t>
            </w: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tbl>
      <w:tblPr>
        <w:tblpPr w:leftFromText="180" w:rightFromText="180" w:vertAnchor="text" w:horzAnchor="page" w:tblpX="704" w:tblpY="18"/>
        <w:tblOverlap w:val="never"/>
        <w:tblW w:w="1545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745"/>
        <w:gridCol w:w="1673"/>
        <w:gridCol w:w="3646"/>
        <w:gridCol w:w="1286"/>
        <w:gridCol w:w="837"/>
        <w:gridCol w:w="3971"/>
        <w:gridCol w:w="1646"/>
        <w:gridCol w:w="1646"/>
      </w:tblGrid>
      <w:tr w:rsidR="008568C5">
        <w:trPr>
          <w:trHeight w:val="2449"/>
        </w:trPr>
        <w:tc>
          <w:tcPr>
            <w:tcW w:w="745" w:type="dxa"/>
            <w:vMerge w:val="restart"/>
            <w:tcBorders>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97</w:t>
            </w:r>
          </w:p>
        </w:tc>
        <w:tc>
          <w:tcPr>
            <w:tcW w:w="1673" w:type="dxa"/>
            <w:vMerge w:val="restart"/>
            <w:tcBorders>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定向国有控股和参股公司派出股东代表的工作方案</w:t>
            </w:r>
          </w:p>
        </w:tc>
        <w:tc>
          <w:tcPr>
            <w:tcW w:w="3646" w:type="dxa"/>
            <w:vMerge w:val="restart"/>
            <w:tcBorders>
              <w:left w:val="single" w:sz="4" w:space="0" w:color="000000"/>
              <w:right w:val="nil"/>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《企业国有资产监督管理暂行条例》第二十二条 国有资产监督管理机构依照公司法的规定，派出股东代表、董事，参加国有控股公司、国有参股公司的股东会、董事会。</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国有控股公司、国有参股公司的股东会。董事会决定公司的分立、合并、破产、解散、任免企业负责人等重大事项时，国有资产监督管理机构派出的股东代表董事，应当按照国有资产监督管理机构的指示发表意见、行使表决权。</w:t>
            </w:r>
          </w:p>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 xml:space="preserve">  国有资产监督管理机构派出的股东代表、董事，应当将其履行职责的有关情况及时向国有资产监督管理机构报告。 </w:t>
            </w:r>
          </w:p>
        </w:tc>
        <w:tc>
          <w:tcPr>
            <w:tcW w:w="1286" w:type="dxa"/>
            <w:vMerge w:val="restart"/>
            <w:tcBorders>
              <w:left w:val="single" w:sz="4" w:space="0" w:color="000000"/>
              <w:right w:val="single" w:sz="4" w:space="0" w:color="000000"/>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其他职权</w:t>
            </w:r>
          </w:p>
        </w:tc>
        <w:tc>
          <w:tcPr>
            <w:tcW w:w="837" w:type="dxa"/>
            <w:vMerge w:val="restart"/>
            <w:tcBorders>
              <w:left w:val="single" w:sz="4" w:space="0" w:color="000000"/>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依照相关法律法规实施具体措施</w:t>
            </w:r>
          </w:p>
        </w:tc>
        <w:tc>
          <w:tcPr>
            <w:tcW w:w="3971" w:type="dxa"/>
            <w:tcBorders>
              <w:left w:val="single" w:sz="4" w:space="0" w:color="auto"/>
              <w:bottom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1.国有资产监督管理机构依照公司法的规定，派出股东代表、董事，参加国有控股的公司、国有参股的公司的股东会、董事会。</w:t>
            </w:r>
          </w:p>
        </w:tc>
        <w:tc>
          <w:tcPr>
            <w:tcW w:w="1646" w:type="dxa"/>
            <w:vMerge w:val="restart"/>
            <w:tcBorders>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《中华人民共和国企业国有资产法》第七十条：履行出资人职责的机构委派的股东代表未按照委派机构的指示履行职责，造成国有资产损失的，依法承担赔偿责任；属于国家工作人员的，并依法给予处分。</w:t>
            </w:r>
          </w:p>
        </w:tc>
        <w:tc>
          <w:tcPr>
            <w:tcW w:w="1646" w:type="dxa"/>
            <w:vMerge w:val="restart"/>
            <w:tcBorders>
              <w:left w:val="single" w:sz="4" w:space="0" w:color="auto"/>
            </w:tcBorders>
            <w:tcMar>
              <w:top w:w="15" w:type="dxa"/>
              <w:left w:w="15" w:type="dxa"/>
              <w:right w:w="15" w:type="dxa"/>
            </w:tcMar>
            <w:vAlign w:val="center"/>
          </w:tcPr>
          <w:p w:rsidR="008568C5" w:rsidRDefault="00A65D61">
            <w:pPr>
              <w:autoSpaceDN w:val="0"/>
              <w:snapToGrid w:val="0"/>
              <w:jc w:val="center"/>
              <w:textAlignment w:val="center"/>
              <w:rPr>
                <w:rFonts w:ascii="仿宋" w:eastAsia="仿宋" w:hAnsi="仿宋" w:cs="仿宋"/>
                <w:szCs w:val="21"/>
              </w:rPr>
            </w:pPr>
            <w:r>
              <w:rPr>
                <w:rFonts w:ascii="仿宋" w:eastAsia="仿宋" w:hAnsi="仿宋" w:cs="仿宋" w:hint="eastAsia"/>
                <w:szCs w:val="21"/>
              </w:rPr>
              <w:t>县属功能类公益类企业国有资产监管办公室</w:t>
            </w:r>
          </w:p>
          <w:p w:rsidR="008568C5" w:rsidRDefault="008568C5">
            <w:pPr>
              <w:autoSpaceDN w:val="0"/>
              <w:snapToGrid w:val="0"/>
              <w:jc w:val="center"/>
              <w:textAlignment w:val="center"/>
              <w:rPr>
                <w:rFonts w:ascii="仿宋" w:eastAsia="仿宋" w:hAnsi="仿宋" w:cs="仿宋"/>
                <w:szCs w:val="21"/>
              </w:rPr>
            </w:pPr>
          </w:p>
        </w:tc>
      </w:tr>
      <w:tr w:rsidR="008568C5">
        <w:trPr>
          <w:trHeight w:val="1605"/>
        </w:trPr>
        <w:tc>
          <w:tcPr>
            <w:tcW w:w="745" w:type="dxa"/>
            <w:vMerge/>
            <w:tcBorders>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73"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646" w:type="dxa"/>
            <w:vMerge/>
            <w:tcBorders>
              <w:left w:val="single" w:sz="4" w:space="0" w:color="000000"/>
              <w:right w:val="nil"/>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286" w:type="dxa"/>
            <w:vMerge/>
            <w:tcBorders>
              <w:left w:val="single" w:sz="4" w:space="0" w:color="000000"/>
              <w:right w:val="single" w:sz="4" w:space="0" w:color="000000"/>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837" w:type="dxa"/>
            <w:vMerge/>
            <w:tcBorders>
              <w:left w:val="single" w:sz="4" w:space="0" w:color="000000"/>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3971" w:type="dxa"/>
            <w:tcBorders>
              <w:top w:val="single" w:sz="4" w:space="0" w:color="auto"/>
              <w:left w:val="single" w:sz="4" w:space="0" w:color="auto"/>
              <w:right w:val="single" w:sz="4" w:space="0" w:color="auto"/>
            </w:tcBorders>
            <w:tcMar>
              <w:top w:w="15" w:type="dxa"/>
              <w:left w:w="15" w:type="dxa"/>
              <w:right w:w="15" w:type="dxa"/>
            </w:tcMar>
            <w:vAlign w:val="center"/>
          </w:tcPr>
          <w:p w:rsidR="008568C5" w:rsidRDefault="00A65D61">
            <w:pPr>
              <w:autoSpaceDN w:val="0"/>
              <w:snapToGrid w:val="0"/>
              <w:jc w:val="left"/>
              <w:textAlignment w:val="center"/>
              <w:rPr>
                <w:rFonts w:ascii="仿宋" w:eastAsia="仿宋" w:hAnsi="仿宋" w:cs="仿宋"/>
                <w:szCs w:val="21"/>
              </w:rPr>
            </w:pPr>
            <w:r>
              <w:rPr>
                <w:rFonts w:ascii="仿宋" w:eastAsia="仿宋" w:hAnsi="仿宋" w:cs="仿宋" w:hint="eastAsia"/>
                <w:szCs w:val="21"/>
              </w:rPr>
              <w:t>2.其他法律法规规章文件规定应履行的责任。</w:t>
            </w:r>
          </w:p>
        </w:tc>
        <w:tc>
          <w:tcPr>
            <w:tcW w:w="1646" w:type="dxa"/>
            <w:vMerge/>
            <w:tcBorders>
              <w:left w:val="single" w:sz="4" w:space="0" w:color="auto"/>
              <w:righ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c>
          <w:tcPr>
            <w:tcW w:w="1646" w:type="dxa"/>
            <w:vMerge/>
            <w:tcBorders>
              <w:left w:val="single" w:sz="4" w:space="0" w:color="auto"/>
            </w:tcBorders>
            <w:tcMar>
              <w:top w:w="15" w:type="dxa"/>
              <w:left w:w="15" w:type="dxa"/>
              <w:right w:w="15" w:type="dxa"/>
            </w:tcMar>
            <w:vAlign w:val="center"/>
          </w:tcPr>
          <w:p w:rsidR="008568C5" w:rsidRDefault="008568C5">
            <w:pPr>
              <w:autoSpaceDN w:val="0"/>
              <w:snapToGrid w:val="0"/>
              <w:jc w:val="center"/>
              <w:textAlignment w:val="center"/>
              <w:rPr>
                <w:rFonts w:ascii="仿宋" w:eastAsia="仿宋" w:hAnsi="仿宋" w:cs="仿宋"/>
                <w:szCs w:val="21"/>
              </w:rPr>
            </w:pPr>
          </w:p>
        </w:tc>
      </w:tr>
    </w:tbl>
    <w:p w:rsidR="008568C5" w:rsidRDefault="008568C5" w:rsidP="00D97991">
      <w:pPr>
        <w:autoSpaceDN w:val="0"/>
        <w:snapToGrid w:val="0"/>
        <w:textAlignment w:val="center"/>
        <w:rPr>
          <w:b/>
          <w:bCs/>
        </w:rPr>
      </w:pPr>
    </w:p>
    <w:sectPr w:rsidR="008568C5" w:rsidSect="008568C5">
      <w:footerReference w:type="default" r:id="rId8"/>
      <w:pgSz w:w="16838" w:h="11906" w:orient="landscape"/>
      <w:pgMar w:top="1440" w:right="1800" w:bottom="1440" w:left="1800" w:header="0" w:footer="0"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748" w:rsidRDefault="00AA1748" w:rsidP="008568C5">
      <w:r>
        <w:separator/>
      </w:r>
    </w:p>
  </w:endnote>
  <w:endnote w:type="continuationSeparator" w:id="0">
    <w:p w:rsidR="00AA1748" w:rsidRDefault="00AA1748" w:rsidP="00856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embedRegular r:id="rId1" w:subsetted="1" w:fontKey="{422A82DE-9A99-4260-A3E8-894773521DEC}"/>
  </w:font>
  <w:font w:name="方正小标宋_GBK">
    <w:charset w:val="86"/>
    <w:family w:val="auto"/>
    <w:pitch w:val="default"/>
    <w:sig w:usb0="00000000" w:usb1="00000000" w:usb2="00000000" w:usb3="00000000" w:csb0="00000000" w:csb1="00000000"/>
    <w:embedRegular r:id="rId2" w:subsetted="1" w:fontKey="{9E248624-B136-4EA2-B6EA-560CC475622C}"/>
  </w:font>
  <w:font w:name="黑体">
    <w:altName w:val="SimHei"/>
    <w:panose1 w:val="02010609060101010101"/>
    <w:charset w:val="86"/>
    <w:family w:val="modern"/>
    <w:pitch w:val="fixed"/>
    <w:sig w:usb0="800002BF" w:usb1="38CF7CFA" w:usb2="00000016" w:usb3="00000000" w:csb0="00040001" w:csb1="00000000"/>
    <w:embedRegular r:id="rId3" w:subsetted="1" w:fontKey="{57430EAF-EEF6-4084-8B3B-AC9111B18912}"/>
  </w:font>
  <w:font w:name="仿宋_GB2312">
    <w:altName w:val="仿宋"/>
    <w:panose1 w:val="02010609030101010101"/>
    <w:charset w:val="86"/>
    <w:family w:val="modern"/>
    <w:pitch w:val="fixed"/>
    <w:sig w:usb0="00000001" w:usb1="080E0000" w:usb2="00000010" w:usb3="00000000" w:csb0="00040000" w:csb1="00000000"/>
    <w:embedRegular r:id="rId4" w:subsetted="1" w:fontKey="{CB4E0132-395A-4F79-A9DA-1D8CD9890CB1}"/>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8C5" w:rsidRDefault="00E0120B">
    <w:pPr>
      <w:pStyle w:val="a4"/>
      <w:framePr w:wrap="around" w:vAnchor="text" w:hAnchor="margin" w:xAlign="center" w:y="1"/>
      <w:rPr>
        <w:rStyle w:val="a7"/>
        <w:rFonts w:ascii="仿宋_GB2312" w:eastAsia="仿宋_GB2312"/>
        <w:sz w:val="32"/>
        <w:szCs w:val="32"/>
      </w:rPr>
    </w:pPr>
    <w:r>
      <w:rPr>
        <w:rFonts w:ascii="仿宋_GB2312" w:eastAsia="仿宋_GB2312" w:hint="eastAsia"/>
        <w:sz w:val="32"/>
        <w:szCs w:val="32"/>
      </w:rPr>
      <w:fldChar w:fldCharType="begin"/>
    </w:r>
    <w:r w:rsidR="00A65D61">
      <w:rPr>
        <w:rStyle w:val="a7"/>
        <w:rFonts w:ascii="仿宋_GB2312" w:eastAsia="仿宋_GB2312" w:hint="eastAsia"/>
        <w:sz w:val="32"/>
        <w:szCs w:val="32"/>
      </w:rPr>
      <w:instrText xml:space="preserve">PAGE  </w:instrText>
    </w:r>
    <w:r>
      <w:rPr>
        <w:rFonts w:ascii="仿宋_GB2312" w:eastAsia="仿宋_GB2312" w:hint="eastAsia"/>
        <w:sz w:val="32"/>
        <w:szCs w:val="32"/>
      </w:rPr>
      <w:fldChar w:fldCharType="separate"/>
    </w:r>
    <w:r w:rsidR="00D97991">
      <w:rPr>
        <w:rStyle w:val="a7"/>
        <w:rFonts w:ascii="仿宋_GB2312" w:eastAsia="仿宋_GB2312"/>
        <w:noProof/>
        <w:sz w:val="32"/>
        <w:szCs w:val="32"/>
      </w:rPr>
      <w:t>- 98 -</w:t>
    </w:r>
    <w:r>
      <w:rPr>
        <w:rFonts w:ascii="仿宋_GB2312" w:eastAsia="仿宋_GB2312" w:hint="eastAsia"/>
        <w:sz w:val="32"/>
        <w:szCs w:val="32"/>
      </w:rPr>
      <w:fldChar w:fldCharType="end"/>
    </w:r>
  </w:p>
  <w:p w:rsidR="008568C5" w:rsidRDefault="008568C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748" w:rsidRDefault="00AA1748" w:rsidP="008568C5">
      <w:r>
        <w:separator/>
      </w:r>
    </w:p>
  </w:footnote>
  <w:footnote w:type="continuationSeparator" w:id="0">
    <w:p w:rsidR="00AA1748" w:rsidRDefault="00AA1748" w:rsidP="008568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9F29D"/>
    <w:multiLevelType w:val="singleLevel"/>
    <w:tmpl w:val="4F99F29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I4MjU4NWEwNTYxNjEyZmY1Y2Q1NzIyYTAxZDU4MjYifQ=="/>
  </w:docVars>
  <w:rsids>
    <w:rsidRoot w:val="603B0C86"/>
    <w:rsid w:val="00802306"/>
    <w:rsid w:val="008568C5"/>
    <w:rsid w:val="00A65D61"/>
    <w:rsid w:val="00AA1748"/>
    <w:rsid w:val="00C12502"/>
    <w:rsid w:val="00D97991"/>
    <w:rsid w:val="00E0120B"/>
    <w:rsid w:val="016E1EF0"/>
    <w:rsid w:val="035E347F"/>
    <w:rsid w:val="04C959D7"/>
    <w:rsid w:val="056B77C2"/>
    <w:rsid w:val="059C6184"/>
    <w:rsid w:val="05E337FC"/>
    <w:rsid w:val="05E76E48"/>
    <w:rsid w:val="065D535C"/>
    <w:rsid w:val="068F332E"/>
    <w:rsid w:val="06EE4206"/>
    <w:rsid w:val="070C28DE"/>
    <w:rsid w:val="076369A2"/>
    <w:rsid w:val="08002651"/>
    <w:rsid w:val="08C57884"/>
    <w:rsid w:val="094F63E6"/>
    <w:rsid w:val="096411BD"/>
    <w:rsid w:val="09B33A77"/>
    <w:rsid w:val="0AD16319"/>
    <w:rsid w:val="0C433405"/>
    <w:rsid w:val="0CB70557"/>
    <w:rsid w:val="0D5063DF"/>
    <w:rsid w:val="0D892CEA"/>
    <w:rsid w:val="0DE34399"/>
    <w:rsid w:val="0E462748"/>
    <w:rsid w:val="0FD3668F"/>
    <w:rsid w:val="10036F74"/>
    <w:rsid w:val="108C51BC"/>
    <w:rsid w:val="10B9308A"/>
    <w:rsid w:val="11DD37F5"/>
    <w:rsid w:val="13B81E24"/>
    <w:rsid w:val="1457788F"/>
    <w:rsid w:val="15AF1BFE"/>
    <w:rsid w:val="16922E00"/>
    <w:rsid w:val="17AB2F08"/>
    <w:rsid w:val="185365BF"/>
    <w:rsid w:val="19744A3F"/>
    <w:rsid w:val="1BA62EAA"/>
    <w:rsid w:val="1C0D294B"/>
    <w:rsid w:val="1D1B6AD7"/>
    <w:rsid w:val="1F33156F"/>
    <w:rsid w:val="1F9A5927"/>
    <w:rsid w:val="21393A5D"/>
    <w:rsid w:val="21E85FCA"/>
    <w:rsid w:val="23A85A1D"/>
    <w:rsid w:val="252512E3"/>
    <w:rsid w:val="266C3EE1"/>
    <w:rsid w:val="274F43F6"/>
    <w:rsid w:val="27C512CF"/>
    <w:rsid w:val="28463A4A"/>
    <w:rsid w:val="2B3045F2"/>
    <w:rsid w:val="2B7034BB"/>
    <w:rsid w:val="2B9C6B20"/>
    <w:rsid w:val="2C813499"/>
    <w:rsid w:val="2CE72C46"/>
    <w:rsid w:val="2D1E6D44"/>
    <w:rsid w:val="2DAC25A2"/>
    <w:rsid w:val="2E7B0797"/>
    <w:rsid w:val="305670D3"/>
    <w:rsid w:val="30E97669"/>
    <w:rsid w:val="31786B3E"/>
    <w:rsid w:val="322D12EF"/>
    <w:rsid w:val="3257018C"/>
    <w:rsid w:val="357F7ED1"/>
    <w:rsid w:val="38E946AA"/>
    <w:rsid w:val="3A704957"/>
    <w:rsid w:val="3B537D64"/>
    <w:rsid w:val="3B7346FF"/>
    <w:rsid w:val="3BE23632"/>
    <w:rsid w:val="3D736C38"/>
    <w:rsid w:val="3FE21E53"/>
    <w:rsid w:val="406805AA"/>
    <w:rsid w:val="40F63CDB"/>
    <w:rsid w:val="40FC6F44"/>
    <w:rsid w:val="41DA7286"/>
    <w:rsid w:val="41EA3241"/>
    <w:rsid w:val="43645A60"/>
    <w:rsid w:val="4387364A"/>
    <w:rsid w:val="43FD54AD"/>
    <w:rsid w:val="455947E7"/>
    <w:rsid w:val="455B3A96"/>
    <w:rsid w:val="456F4189"/>
    <w:rsid w:val="49AE1473"/>
    <w:rsid w:val="4A463ED2"/>
    <w:rsid w:val="4ADE3C92"/>
    <w:rsid w:val="4C07259F"/>
    <w:rsid w:val="4C431ECB"/>
    <w:rsid w:val="4C73414A"/>
    <w:rsid w:val="4CEE0089"/>
    <w:rsid w:val="4E1641ED"/>
    <w:rsid w:val="4E4D258F"/>
    <w:rsid w:val="51C63383"/>
    <w:rsid w:val="526E7576"/>
    <w:rsid w:val="54484523"/>
    <w:rsid w:val="54F2448F"/>
    <w:rsid w:val="58E92FC0"/>
    <w:rsid w:val="59AD1935"/>
    <w:rsid w:val="5A5D05FC"/>
    <w:rsid w:val="5B6D2AC1"/>
    <w:rsid w:val="5C003935"/>
    <w:rsid w:val="5C076A71"/>
    <w:rsid w:val="5CDD5A24"/>
    <w:rsid w:val="5D8D2FA6"/>
    <w:rsid w:val="5E1F3890"/>
    <w:rsid w:val="5EAB4F7B"/>
    <w:rsid w:val="603B0C86"/>
    <w:rsid w:val="60F35816"/>
    <w:rsid w:val="625C29CE"/>
    <w:rsid w:val="62D358FF"/>
    <w:rsid w:val="64D140C0"/>
    <w:rsid w:val="65143FAD"/>
    <w:rsid w:val="6565189F"/>
    <w:rsid w:val="6599162C"/>
    <w:rsid w:val="65E250FE"/>
    <w:rsid w:val="66277FA6"/>
    <w:rsid w:val="6716400D"/>
    <w:rsid w:val="671C46C3"/>
    <w:rsid w:val="68012907"/>
    <w:rsid w:val="6852246C"/>
    <w:rsid w:val="6A486BD3"/>
    <w:rsid w:val="6B881251"/>
    <w:rsid w:val="6B917CA4"/>
    <w:rsid w:val="6C783609"/>
    <w:rsid w:val="6CE355F5"/>
    <w:rsid w:val="6CFA7F2C"/>
    <w:rsid w:val="6D4F0278"/>
    <w:rsid w:val="6ED36C87"/>
    <w:rsid w:val="6FF366BF"/>
    <w:rsid w:val="70785438"/>
    <w:rsid w:val="707B1384"/>
    <w:rsid w:val="714D2D21"/>
    <w:rsid w:val="71887C3A"/>
    <w:rsid w:val="72173D04"/>
    <w:rsid w:val="74161BB3"/>
    <w:rsid w:val="74F11C15"/>
    <w:rsid w:val="765E32DA"/>
    <w:rsid w:val="76B4099D"/>
    <w:rsid w:val="776C1A27"/>
    <w:rsid w:val="792D7857"/>
    <w:rsid w:val="7C2F0999"/>
    <w:rsid w:val="7EA437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68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rsid w:val="008568C5"/>
    <w:pPr>
      <w:spacing w:after="120"/>
    </w:pPr>
    <w:rPr>
      <w:rFonts w:ascii="Calibri" w:hAnsi="Calibri"/>
      <w:szCs w:val="22"/>
    </w:rPr>
  </w:style>
  <w:style w:type="paragraph" w:styleId="a4">
    <w:name w:val="footer"/>
    <w:basedOn w:val="a"/>
    <w:qFormat/>
    <w:rsid w:val="008568C5"/>
    <w:pPr>
      <w:tabs>
        <w:tab w:val="center" w:pos="4153"/>
        <w:tab w:val="right" w:pos="8306"/>
      </w:tabs>
      <w:snapToGrid w:val="0"/>
      <w:jc w:val="left"/>
    </w:pPr>
    <w:rPr>
      <w:sz w:val="18"/>
      <w:szCs w:val="18"/>
    </w:rPr>
  </w:style>
  <w:style w:type="paragraph" w:styleId="a5">
    <w:name w:val="Normal (Web)"/>
    <w:basedOn w:val="a"/>
    <w:qFormat/>
    <w:rsid w:val="008568C5"/>
    <w:pPr>
      <w:spacing w:before="100" w:beforeAutospacing="1" w:after="100" w:afterAutospacing="1"/>
      <w:jc w:val="left"/>
    </w:pPr>
    <w:rPr>
      <w:kern w:val="0"/>
      <w:sz w:val="24"/>
    </w:rPr>
  </w:style>
  <w:style w:type="table" w:styleId="a6">
    <w:name w:val="Table Grid"/>
    <w:basedOn w:val="a1"/>
    <w:qFormat/>
    <w:rsid w:val="008568C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8568C5"/>
  </w:style>
  <w:style w:type="paragraph" w:customStyle="1" w:styleId="1">
    <w:name w:val="普通(网站)1"/>
    <w:basedOn w:val="a"/>
    <w:qFormat/>
    <w:rsid w:val="008568C5"/>
    <w:pPr>
      <w:spacing w:before="100" w:beforeAutospacing="1" w:after="100" w:afterAutospacing="1"/>
      <w:jc w:val="left"/>
    </w:pPr>
    <w:rPr>
      <w:kern w:val="0"/>
      <w:sz w:val="24"/>
    </w:rPr>
  </w:style>
  <w:style w:type="paragraph" w:customStyle="1" w:styleId="10">
    <w:name w:val="普通(网站)1"/>
    <w:basedOn w:val="a"/>
    <w:qFormat/>
    <w:rsid w:val="008568C5"/>
    <w:pPr>
      <w:spacing w:beforeAutospacing="1" w:afterAutospacing="1"/>
      <w:jc w:val="left"/>
    </w:pPr>
    <w:rPr>
      <w:rFonts w:ascii="Calibri" w:hAnsi="Calibri"/>
      <w:kern w:val="0"/>
      <w:sz w:val="24"/>
      <w:szCs w:val="22"/>
    </w:rPr>
  </w:style>
  <w:style w:type="character" w:customStyle="1" w:styleId="font01">
    <w:name w:val="font01"/>
    <w:basedOn w:val="a0"/>
    <w:qFormat/>
    <w:rsid w:val="008568C5"/>
    <w:rPr>
      <w:rFonts w:ascii="仿宋" w:eastAsia="仿宋" w:hAnsi="仿宋" w:cs="仿宋" w:hint="eastAsia"/>
      <w:color w:val="000000"/>
      <w:sz w:val="21"/>
      <w:szCs w:val="21"/>
      <w:u w:val="none"/>
    </w:rPr>
  </w:style>
  <w:style w:type="character" w:customStyle="1" w:styleId="font11">
    <w:name w:val="font11"/>
    <w:basedOn w:val="a0"/>
    <w:qFormat/>
    <w:rsid w:val="008568C5"/>
    <w:rPr>
      <w:rFonts w:ascii="宋体" w:eastAsia="宋体" w:hAnsi="宋体" w:cs="宋体" w:hint="eastAsia"/>
      <w:color w:val="000000"/>
      <w:sz w:val="22"/>
      <w:szCs w:val="22"/>
      <w:u w:val="none"/>
    </w:rPr>
  </w:style>
  <w:style w:type="character" w:customStyle="1" w:styleId="font21">
    <w:name w:val="font21"/>
    <w:basedOn w:val="a0"/>
    <w:qFormat/>
    <w:rsid w:val="008568C5"/>
    <w:rPr>
      <w:rFonts w:ascii="Times New Roman" w:hAnsi="Times New Roman" w:cs="Times New Roman" w:hint="default"/>
      <w:color w:val="000000"/>
      <w:sz w:val="22"/>
      <w:szCs w:val="22"/>
      <w:u w:val="none"/>
    </w:rPr>
  </w:style>
  <w:style w:type="paragraph" w:styleId="a8">
    <w:name w:val="List Paragraph"/>
    <w:basedOn w:val="a"/>
    <w:uiPriority w:val="34"/>
    <w:qFormat/>
    <w:rsid w:val="008568C5"/>
    <w:pPr>
      <w:ind w:firstLineChars="200" w:firstLine="420"/>
    </w:pPr>
  </w:style>
  <w:style w:type="paragraph" w:styleId="a9">
    <w:name w:val="header"/>
    <w:basedOn w:val="a"/>
    <w:link w:val="Char"/>
    <w:rsid w:val="00C125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C12502"/>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99</Pages>
  <Words>14975</Words>
  <Characters>85364</Characters>
  <Application>Microsoft Office Word</Application>
  <DocSecurity>0</DocSecurity>
  <Lines>711</Lines>
  <Paragraphs>200</Paragraphs>
  <ScaleCrop>false</ScaleCrop>
  <Company/>
  <LinksUpToDate>false</LinksUpToDate>
  <CharactersWithSpaces>100139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茄子</dc:creator>
  <cp:lastModifiedBy>nynxbb</cp:lastModifiedBy>
  <cp:revision>6</cp:revision>
  <cp:lastPrinted>2023-10-23T07:46:00Z</cp:lastPrinted>
  <dcterms:created xsi:type="dcterms:W3CDTF">2023-10-20T07:16:00Z</dcterms:created>
  <dcterms:modified xsi:type="dcterms:W3CDTF">2023-12-06T01:56:00Z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368C93A0E0294F34A902F68205AC71D7_13</vt:lpwstr>
  </property>
</Properties>
</file>