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r>
        <w:drawing>
          <wp:anchor distT="0" distB="0" distL="0" distR="0" simplePos="0" relativeHeight="251659264" behindDoc="1" locked="0" layoutInCell="1" allowOverlap="1">
            <wp:simplePos x="0" y="0"/>
            <wp:positionH relativeFrom="page">
              <wp:posOffset>-278765</wp:posOffset>
            </wp:positionH>
            <wp:positionV relativeFrom="page">
              <wp:posOffset>-234950</wp:posOffset>
            </wp:positionV>
            <wp:extent cx="14218285" cy="201041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14218066" cy="20104100"/>
                    </a:xfrm>
                    <a:prstGeom prst="rect">
                      <a:avLst/>
                    </a:prstGeom>
                  </pic:spPr>
                </pic:pic>
              </a:graphicData>
            </a:graphic>
          </wp:anchor>
        </w:drawing>
      </w:r>
    </w:p>
    <w:p>
      <w:pPr>
        <w:pStyle w:val="3"/>
        <w:rPr>
          <w:rFonts w:ascii="Times New Roman"/>
          <w:sz w:val="20"/>
        </w:rPr>
      </w:pPr>
    </w:p>
    <w:p>
      <w:pPr>
        <w:spacing w:before="29"/>
        <w:ind w:left="1604" w:right="0" w:firstLine="0"/>
        <w:jc w:val="left"/>
        <w:rPr>
          <w:sz w:val="149"/>
        </w:rPr>
      </w:pPr>
      <w:r>
        <w:rPr>
          <w:position w:val="1"/>
          <w:sz w:val="135"/>
        </w:rPr>
        <w:t>内</w:t>
      </w:r>
      <w:r>
        <w:rPr>
          <w:spacing w:val="22"/>
          <w:w w:val="150"/>
          <w:position w:val="1"/>
          <w:sz w:val="135"/>
        </w:rPr>
        <w:t xml:space="preserve"> </w:t>
      </w:r>
      <w:r>
        <w:rPr>
          <w:position w:val="11"/>
          <w:sz w:val="125"/>
        </w:rPr>
        <w:t>乡</w:t>
      </w:r>
      <w:r>
        <w:rPr>
          <w:spacing w:val="-114"/>
          <w:w w:val="150"/>
          <w:position w:val="11"/>
          <w:sz w:val="125"/>
        </w:rPr>
        <w:t xml:space="preserve"> </w:t>
      </w:r>
      <w:r>
        <w:rPr>
          <w:spacing w:val="13"/>
          <w:position w:val="2"/>
          <w:sz w:val="147"/>
        </w:rPr>
        <w:t xml:space="preserve">县 </w:t>
      </w:r>
      <w:r>
        <w:rPr>
          <w:spacing w:val="95"/>
          <w:sz w:val="149"/>
        </w:rPr>
        <w:t>水 利</w:t>
      </w:r>
      <w:r>
        <w:rPr>
          <w:rFonts w:hint="eastAsia"/>
          <w:spacing w:val="95"/>
          <w:sz w:val="149"/>
          <w:lang w:val="en-US" w:eastAsia="zh-CN"/>
        </w:rPr>
        <w:t xml:space="preserve"> </w:t>
      </w:r>
      <w:r>
        <w:rPr>
          <w:spacing w:val="95"/>
          <w:sz w:val="149"/>
        </w:rPr>
        <w:t>局</w:t>
      </w:r>
    </w:p>
    <w:p>
      <w:pPr>
        <w:pStyle w:val="4"/>
      </w:pPr>
      <w:r>
        <w:rPr>
          <w:spacing w:val="-1"/>
        </w:rPr>
        <w:t>关于印发“信用+取水许可办理”实施方案的</w:t>
      </w:r>
    </w:p>
    <w:p>
      <w:pPr>
        <w:tabs>
          <w:tab w:val="left" w:pos="2392"/>
        </w:tabs>
        <w:spacing w:before="159"/>
        <w:ind w:left="0" w:right="213" w:firstLine="0"/>
        <w:jc w:val="center"/>
        <w:rPr>
          <w:sz w:val="79"/>
        </w:rPr>
      </w:pPr>
      <w:r>
        <w:rPr>
          <w:spacing w:val="-10"/>
          <w:sz w:val="84"/>
        </w:rPr>
        <w:t>通</w:t>
      </w:r>
      <w:r>
        <w:rPr>
          <w:sz w:val="84"/>
        </w:rPr>
        <w:tab/>
      </w:r>
      <w:r>
        <w:rPr>
          <w:spacing w:val="-10"/>
          <w:position w:val="1"/>
          <w:sz w:val="79"/>
        </w:rPr>
        <w:t>知</w:t>
      </w:r>
    </w:p>
    <w:p>
      <w:pPr>
        <w:pStyle w:val="3"/>
        <w:spacing w:before="6"/>
        <w:rPr>
          <w:sz w:val="102"/>
        </w:rPr>
      </w:pPr>
    </w:p>
    <w:p>
      <w:pPr>
        <w:pStyle w:val="3"/>
        <w:keepNext w:val="0"/>
        <w:keepLines w:val="0"/>
        <w:pageBreakBefore w:val="0"/>
        <w:widowControl w:val="0"/>
        <w:kinsoku/>
        <w:wordWrap/>
        <w:overflowPunct/>
        <w:topLinePunct w:val="0"/>
        <w:autoSpaceDE w:val="0"/>
        <w:autoSpaceDN w:val="0"/>
        <w:bidi w:val="0"/>
        <w:adjustRightInd/>
        <w:snapToGrid/>
        <w:spacing w:before="1" w:line="360" w:lineRule="auto"/>
        <w:ind w:left="110" w:firstLine="1150" w:firstLineChars="200"/>
        <w:textAlignment w:val="auto"/>
        <w:rPr>
          <w:rFonts w:hint="eastAsia" w:ascii="宋体" w:hAnsi="宋体" w:eastAsia="宋体" w:cs="宋体"/>
          <w:w w:val="101"/>
          <w:sz w:val="57"/>
          <w:szCs w:val="22"/>
          <w:lang w:val="en-US" w:eastAsia="zh-CN" w:bidi="ar-SA"/>
        </w:rPr>
      </w:pPr>
      <w:r>
        <w:rPr>
          <w:rFonts w:hint="eastAsia" w:ascii="宋体" w:hAnsi="宋体" w:eastAsia="宋体" w:cs="宋体"/>
          <w:w w:val="101"/>
          <w:sz w:val="57"/>
          <w:szCs w:val="22"/>
          <w:lang w:val="en-US" w:eastAsia="zh-CN" w:bidi="ar-SA"/>
        </w:rPr>
        <w:t>各相关单位：</w:t>
      </w:r>
    </w:p>
    <w:p>
      <w:pPr>
        <w:pStyle w:val="3"/>
        <w:keepNext w:val="0"/>
        <w:keepLines w:val="0"/>
        <w:pageBreakBefore w:val="0"/>
        <w:widowControl w:val="0"/>
        <w:kinsoku/>
        <w:wordWrap/>
        <w:overflowPunct/>
        <w:topLinePunct w:val="0"/>
        <w:autoSpaceDE w:val="0"/>
        <w:autoSpaceDN w:val="0"/>
        <w:bidi w:val="0"/>
        <w:adjustRightInd/>
        <w:snapToGrid/>
        <w:spacing w:before="300" w:line="360" w:lineRule="auto"/>
        <w:ind w:right="374" w:firstLine="1150" w:firstLineChars="200"/>
        <w:jc w:val="both"/>
        <w:textAlignment w:val="auto"/>
        <w:rPr>
          <w:rFonts w:ascii="宋体" w:hAnsi="宋体" w:eastAsia="宋体" w:cs="宋体"/>
          <w:w w:val="101"/>
          <w:sz w:val="57"/>
          <w:szCs w:val="22"/>
          <w:lang w:val="en-US" w:eastAsia="zh-CN" w:bidi="ar-SA"/>
        </w:rPr>
      </w:pPr>
      <w:r>
        <w:rPr>
          <w:rFonts w:hint="eastAsia" w:ascii="宋体" w:hAnsi="宋体" w:eastAsia="宋体" w:cs="宋体"/>
          <w:w w:val="101"/>
          <w:sz w:val="57"/>
          <w:szCs w:val="22"/>
          <w:lang w:val="en-US" w:eastAsia="zh-CN" w:bidi="ar-SA"/>
        </w:rPr>
        <w:t>为进一步贯彻落实《国务院办公厅关于加快推进社会信用体系建设构建以信用为基础的新型监管机制的指导意见》（国办发〔2019〕35号）、《关于印发&lt;南阳市推进“信易+”守信激励实施方案〉的通知》等文件要求，推进我县社会信用体系建设，强化守信激励、失信惩戒机制建设力度，积极营造守信受益、信用有价的价值导向，结合我县实际情况，制定本方案。</w:t>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pPr>
      <w:bookmarkStart w:id="0" w:name="_GoBack"/>
      <w:bookmarkEnd w:id="0"/>
      <w:r>
        <w:rPr>
          <w:w w:val="95"/>
        </w:rPr>
        <w:t>一、指导思</w:t>
      </w:r>
      <w:r>
        <w:rPr>
          <w:spacing w:val="-10"/>
          <w:w w:val="95"/>
        </w:rPr>
        <w:t>想</w:t>
      </w:r>
    </w:p>
    <w:p>
      <w:pPr>
        <w:keepNext w:val="0"/>
        <w:keepLines w:val="0"/>
        <w:pageBreakBefore w:val="0"/>
        <w:widowControl w:val="0"/>
        <w:kinsoku/>
        <w:wordWrap/>
        <w:overflowPunct/>
        <w:topLinePunct w:val="0"/>
        <w:autoSpaceDE w:val="0"/>
        <w:autoSpaceDN w:val="0"/>
        <w:bidi w:val="0"/>
        <w:adjustRightInd/>
        <w:snapToGrid/>
        <w:spacing w:before="278" w:line="360" w:lineRule="auto"/>
        <w:ind w:left="109" w:right="102" w:firstLine="1188" w:firstLineChars="200"/>
        <w:jc w:val="left"/>
        <w:textAlignment w:val="auto"/>
        <w:rPr>
          <w:w w:val="99"/>
          <w:sz w:val="61"/>
        </w:rPr>
      </w:pPr>
      <w:r>
        <w:rPr>
          <w:w w:val="99"/>
          <w:sz w:val="60"/>
        </w:rPr>
        <w:t>深入学习贯彻习近平新时代中国特色社会主义思想和党的</w:t>
      </w:r>
      <w:r>
        <w:rPr>
          <w:w w:val="100"/>
          <w:sz w:val="59"/>
        </w:rPr>
        <w:t>十九大精神，落实《国务院关于建立完善守信联合激励和失信联</w:t>
      </w:r>
      <w:r>
        <w:rPr>
          <w:w w:val="101"/>
          <w:sz w:val="57"/>
        </w:rPr>
        <w:t>合惩戒制度加快推进社会诚信建设的指导意见》（国发</w:t>
      </w:r>
      <w:r>
        <w:rPr>
          <w:rFonts w:hint="eastAsia" w:ascii="宋体" w:hAnsi="宋体" w:eastAsia="宋体" w:cs="宋体"/>
          <w:w w:val="101"/>
          <w:sz w:val="57"/>
          <w:szCs w:val="22"/>
          <w:lang w:val="en-US" w:eastAsia="zh-CN" w:bidi="ar-SA"/>
        </w:rPr>
        <w:t>〔2016〕</w:t>
      </w:r>
      <w:r>
        <w:rPr>
          <w:w w:val="100"/>
          <w:sz w:val="60"/>
        </w:rPr>
        <w:t>33号）</w:t>
      </w:r>
      <w:r>
        <w:rPr>
          <w:rFonts w:hint="eastAsia"/>
          <w:w w:val="100"/>
          <w:sz w:val="60"/>
          <w:lang w:eastAsia="zh-CN"/>
        </w:rPr>
        <w:t>、</w:t>
      </w:r>
      <w:r>
        <w:rPr>
          <w:w w:val="100"/>
          <w:sz w:val="60"/>
        </w:rPr>
        <w:t>《关于加快推进社会信用体系建设构建以信用为基础的</w:t>
      </w:r>
      <w:r>
        <w:rPr>
          <w:w w:val="100"/>
          <w:sz w:val="58"/>
        </w:rPr>
        <w:t>新型监管机制的指导意见》（国办发</w:t>
      </w:r>
      <w:r>
        <w:rPr>
          <w:rFonts w:hint="eastAsia" w:ascii="宋体" w:hAnsi="宋体" w:eastAsia="宋体" w:cs="宋体"/>
          <w:w w:val="101"/>
          <w:sz w:val="57"/>
          <w:szCs w:val="22"/>
          <w:lang w:val="en-US" w:eastAsia="zh-CN" w:bidi="ar-SA"/>
        </w:rPr>
        <w:t>〔2019〕</w:t>
      </w:r>
      <w:r>
        <w:rPr>
          <w:w w:val="100"/>
          <w:sz w:val="58"/>
        </w:rPr>
        <w:t>35号）等文件要求，</w:t>
      </w:r>
      <w:r>
        <w:rPr>
          <w:w w:val="99"/>
          <w:sz w:val="59"/>
        </w:rPr>
        <w:t>以信用惠民为抓手，加大对守信企业法人的激励力度，为诚实守信企业提供更为便捷的服务，增强水利行业诚信意识，营造诚实</w:t>
      </w:r>
      <w:r>
        <w:rPr>
          <w:w w:val="99"/>
          <w:sz w:val="61"/>
        </w:rPr>
        <w:t>守信的水利系统工作环境。</w:t>
      </w:r>
    </w:p>
    <w:p>
      <w:pPr>
        <w:keepNext w:val="0"/>
        <w:keepLines w:val="0"/>
        <w:pageBreakBefore w:val="0"/>
        <w:widowControl w:val="0"/>
        <w:kinsoku/>
        <w:wordWrap/>
        <w:overflowPunct/>
        <w:topLinePunct w:val="0"/>
        <w:autoSpaceDE w:val="0"/>
        <w:autoSpaceDN w:val="0"/>
        <w:bidi w:val="0"/>
        <w:adjustRightInd/>
        <w:snapToGrid/>
        <w:spacing w:before="285" w:line="360" w:lineRule="auto"/>
        <w:ind w:left="202" w:right="345" w:firstLine="1172" w:firstLineChars="200"/>
        <w:jc w:val="both"/>
        <w:textAlignment w:val="auto"/>
        <w:rPr>
          <w:rFonts w:ascii="宋体" w:hAnsi="宋体" w:eastAsia="宋体" w:cs="宋体"/>
          <w:spacing w:val="-2"/>
          <w:sz w:val="59"/>
          <w:szCs w:val="59"/>
          <w:lang w:val="en-US" w:eastAsia="zh-CN" w:bidi="ar-SA"/>
        </w:rPr>
      </w:pPr>
      <w:r>
        <w:rPr>
          <w:rFonts w:ascii="宋体" w:hAnsi="宋体" w:eastAsia="宋体" w:cs="宋体"/>
          <w:spacing w:val="-2"/>
          <w:sz w:val="59"/>
          <w:szCs w:val="59"/>
          <w:lang w:val="en-US" w:eastAsia="zh-CN" w:bidi="ar-SA"/>
        </w:rPr>
        <w:t>二、工作目标</w:t>
      </w:r>
    </w:p>
    <w:p>
      <w:pPr>
        <w:pStyle w:val="2"/>
        <w:keepNext w:val="0"/>
        <w:keepLines w:val="0"/>
        <w:pageBreakBefore w:val="0"/>
        <w:widowControl w:val="0"/>
        <w:kinsoku/>
        <w:wordWrap/>
        <w:overflowPunct/>
        <w:topLinePunct w:val="0"/>
        <w:autoSpaceDE w:val="0"/>
        <w:autoSpaceDN w:val="0"/>
        <w:bidi w:val="0"/>
        <w:adjustRightInd/>
        <w:snapToGrid/>
        <w:spacing w:before="290" w:line="360" w:lineRule="auto"/>
        <w:textAlignment w:val="auto"/>
      </w:pPr>
      <w:r>
        <w:drawing>
          <wp:anchor distT="0" distB="0" distL="0" distR="0" simplePos="0" relativeHeight="251659264" behindDoc="1" locked="0" layoutInCell="1" allowOverlap="1">
            <wp:simplePos x="0" y="0"/>
            <wp:positionH relativeFrom="page">
              <wp:posOffset>-161290</wp:posOffset>
            </wp:positionH>
            <wp:positionV relativeFrom="page">
              <wp:posOffset>73025</wp:posOffset>
            </wp:positionV>
            <wp:extent cx="14170660" cy="2003742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14170830" cy="20037308"/>
                    </a:xfrm>
                    <a:prstGeom prst="rect">
                      <a:avLst/>
                    </a:prstGeom>
                  </pic:spPr>
                </pic:pic>
              </a:graphicData>
            </a:graphic>
          </wp:anchor>
        </w:drawing>
      </w:r>
      <w:r>
        <w:rPr>
          <w:w w:val="95"/>
        </w:rPr>
        <w:t>通过开展“信用+取水许可办理”工作，进一步提升全县</w:t>
      </w:r>
      <w:r>
        <w:rPr>
          <w:spacing w:val="-10"/>
          <w:w w:val="95"/>
        </w:rPr>
        <w:t>水</w:t>
      </w:r>
    </w:p>
    <w:p>
      <w:pPr>
        <w:keepNext w:val="0"/>
        <w:keepLines w:val="0"/>
        <w:pageBreakBefore w:val="0"/>
        <w:widowControl w:val="0"/>
        <w:kinsoku/>
        <w:wordWrap/>
        <w:overflowPunct/>
        <w:topLinePunct w:val="0"/>
        <w:autoSpaceDE w:val="0"/>
        <w:autoSpaceDN w:val="0"/>
        <w:bidi w:val="0"/>
        <w:adjustRightInd/>
        <w:snapToGrid/>
        <w:spacing w:before="4" w:line="360" w:lineRule="auto"/>
        <w:ind w:right="320"/>
        <w:jc w:val="left"/>
        <w:textAlignment w:val="auto"/>
        <w:rPr>
          <w:w w:val="101"/>
          <w:sz w:val="59"/>
        </w:rPr>
      </w:pPr>
      <w:r>
        <w:rPr>
          <w:spacing w:val="-1"/>
          <w:sz w:val="59"/>
        </w:rPr>
        <w:t>利行业信用体系建设意识，深入推进水利系统诚信建设，加强水</w:t>
      </w:r>
      <w:r>
        <w:rPr>
          <w:w w:val="101"/>
          <w:sz w:val="59"/>
        </w:rPr>
        <w:t>利信用信息的归集和共享，健全水利系统守信激励失信惩戒机</w:t>
      </w:r>
      <w:r>
        <w:rPr>
          <w:w w:val="101"/>
          <w:sz w:val="58"/>
        </w:rPr>
        <w:t>制，构建以信用为基础的新型监管机制，不断规范行业秩序、优</w:t>
      </w:r>
      <w:r>
        <w:rPr>
          <w:w w:val="101"/>
          <w:sz w:val="59"/>
        </w:rPr>
        <w:t>化行业环境，推进水利行业高质量发展。</w:t>
      </w:r>
    </w:p>
    <w:p>
      <w:pPr>
        <w:keepNext w:val="0"/>
        <w:keepLines w:val="0"/>
        <w:pageBreakBefore w:val="0"/>
        <w:widowControl w:val="0"/>
        <w:kinsoku/>
        <w:wordWrap/>
        <w:overflowPunct/>
        <w:topLinePunct w:val="0"/>
        <w:autoSpaceDE w:val="0"/>
        <w:autoSpaceDN w:val="0"/>
        <w:bidi w:val="0"/>
        <w:adjustRightInd/>
        <w:snapToGrid/>
        <w:spacing w:before="285" w:line="360" w:lineRule="auto"/>
        <w:ind w:left="202" w:right="345" w:firstLine="1172" w:firstLineChars="200"/>
        <w:jc w:val="both"/>
        <w:textAlignment w:val="auto"/>
        <w:rPr>
          <w:rFonts w:ascii="宋体" w:hAnsi="宋体" w:eastAsia="宋体" w:cs="宋体"/>
          <w:spacing w:val="-2"/>
          <w:sz w:val="59"/>
          <w:szCs w:val="59"/>
          <w:lang w:val="en-US" w:eastAsia="zh-CN" w:bidi="ar-SA"/>
        </w:rPr>
      </w:pPr>
      <w:r>
        <w:rPr>
          <w:rFonts w:ascii="宋体" w:hAnsi="宋体" w:eastAsia="宋体" w:cs="宋体"/>
          <w:spacing w:val="-2"/>
          <w:sz w:val="59"/>
          <w:szCs w:val="59"/>
          <w:lang w:val="en-US" w:eastAsia="zh-CN" w:bidi="ar-SA"/>
        </w:rPr>
        <w:t>三、实施对象</w:t>
      </w:r>
    </w:p>
    <w:p>
      <w:pPr>
        <w:keepNext w:val="0"/>
        <w:keepLines w:val="0"/>
        <w:pageBreakBefore w:val="0"/>
        <w:widowControl w:val="0"/>
        <w:kinsoku/>
        <w:wordWrap/>
        <w:overflowPunct/>
        <w:topLinePunct w:val="0"/>
        <w:autoSpaceDE w:val="0"/>
        <w:autoSpaceDN w:val="0"/>
        <w:bidi w:val="0"/>
        <w:adjustRightInd/>
        <w:snapToGrid/>
        <w:spacing w:before="285" w:line="360" w:lineRule="auto"/>
        <w:ind w:left="202" w:right="345" w:firstLine="1164" w:firstLineChars="200"/>
        <w:jc w:val="both"/>
        <w:textAlignment w:val="auto"/>
        <w:rPr>
          <w:w w:val="100"/>
          <w:sz w:val="60"/>
        </w:rPr>
      </w:pPr>
      <w:r>
        <w:rPr>
          <w:spacing w:val="-1"/>
          <w:w w:val="99"/>
          <w:sz w:val="59"/>
        </w:rPr>
        <w:t>信用状况良好的内乡县企业，包括但不限于内乡县信用信息</w:t>
      </w:r>
      <w:r>
        <w:rPr>
          <w:w w:val="99"/>
          <w:sz w:val="61"/>
        </w:rPr>
        <w:t>共享平台信用评价等级为A级或受评A级纳税人、文明单位、诚</w:t>
      </w:r>
      <w:r>
        <w:rPr>
          <w:w w:val="100"/>
          <w:sz w:val="60"/>
        </w:rPr>
        <w:t>信单位等称号的企业。</w:t>
      </w:r>
    </w:p>
    <w:p>
      <w:pPr>
        <w:keepNext w:val="0"/>
        <w:keepLines w:val="0"/>
        <w:pageBreakBefore w:val="0"/>
        <w:widowControl w:val="0"/>
        <w:kinsoku/>
        <w:wordWrap/>
        <w:overflowPunct/>
        <w:topLinePunct w:val="0"/>
        <w:autoSpaceDE w:val="0"/>
        <w:autoSpaceDN w:val="0"/>
        <w:bidi w:val="0"/>
        <w:adjustRightInd/>
        <w:snapToGrid/>
        <w:spacing w:before="285" w:line="360" w:lineRule="auto"/>
        <w:ind w:left="202" w:right="345" w:firstLine="1172" w:firstLineChars="200"/>
        <w:jc w:val="both"/>
        <w:textAlignment w:val="auto"/>
        <w:rPr>
          <w:rFonts w:ascii="宋体" w:hAnsi="宋体" w:eastAsia="宋体" w:cs="宋体"/>
          <w:spacing w:val="-2"/>
          <w:sz w:val="59"/>
          <w:szCs w:val="59"/>
          <w:lang w:val="en-US" w:eastAsia="zh-CN" w:bidi="ar-SA"/>
        </w:rPr>
      </w:pPr>
      <w:r>
        <w:rPr>
          <w:rFonts w:ascii="宋体" w:hAnsi="宋体" w:eastAsia="宋体" w:cs="宋体"/>
          <w:spacing w:val="-2"/>
          <w:sz w:val="59"/>
          <w:szCs w:val="59"/>
          <w:lang w:val="en-US" w:eastAsia="zh-CN" w:bidi="ar-SA"/>
        </w:rPr>
        <w:t>四、激励内容</w:t>
      </w:r>
    </w:p>
    <w:p>
      <w:pPr>
        <w:keepNext w:val="0"/>
        <w:keepLines w:val="0"/>
        <w:pageBreakBefore w:val="0"/>
        <w:widowControl w:val="0"/>
        <w:kinsoku/>
        <w:wordWrap/>
        <w:overflowPunct/>
        <w:topLinePunct w:val="0"/>
        <w:autoSpaceDE w:val="0"/>
        <w:autoSpaceDN w:val="0"/>
        <w:bidi w:val="0"/>
        <w:adjustRightInd/>
        <w:snapToGrid/>
        <w:spacing w:before="273" w:line="360" w:lineRule="auto"/>
        <w:ind w:left="138" w:right="351" w:firstLine="1212" w:firstLineChars="200"/>
        <w:jc w:val="both"/>
        <w:textAlignment w:val="auto"/>
        <w:rPr>
          <w:sz w:val="60"/>
        </w:rPr>
      </w:pPr>
      <w:r>
        <w:rPr>
          <w:spacing w:val="-2"/>
          <w:sz w:val="61"/>
        </w:rPr>
        <w:t xml:space="preserve">1、对内乡县信用信息共享平台信用评价等级为A级或受评 </w:t>
      </w:r>
      <w:r>
        <w:rPr>
          <w:spacing w:val="-2"/>
          <w:sz w:val="60"/>
        </w:rPr>
        <w:t>A级纳税人、文明单位、诚信单位等称号的企业，享受行政审批绿色通道，优先办理、加快办理。</w:t>
      </w:r>
    </w:p>
    <w:p>
      <w:pPr>
        <w:keepNext w:val="0"/>
        <w:keepLines w:val="0"/>
        <w:pageBreakBefore w:val="0"/>
        <w:widowControl w:val="0"/>
        <w:kinsoku/>
        <w:wordWrap/>
        <w:overflowPunct/>
        <w:topLinePunct w:val="0"/>
        <w:autoSpaceDE w:val="0"/>
        <w:autoSpaceDN w:val="0"/>
        <w:bidi w:val="0"/>
        <w:adjustRightInd/>
        <w:snapToGrid/>
        <w:spacing w:before="14" w:line="360" w:lineRule="auto"/>
        <w:ind w:left="134" w:right="364" w:firstLine="1212" w:firstLineChars="200"/>
        <w:jc w:val="both"/>
        <w:textAlignment w:val="auto"/>
        <w:rPr>
          <w:sz w:val="57"/>
        </w:rPr>
      </w:pPr>
      <w:r>
        <w:rPr>
          <w:spacing w:val="-2"/>
          <w:sz w:val="61"/>
        </w:rPr>
        <w:t xml:space="preserve">2、对内乡县信用信息共享平台信用评价等级为A级或受评 </w:t>
      </w:r>
      <w:r>
        <w:rPr>
          <w:spacing w:val="-2"/>
          <w:sz w:val="60"/>
        </w:rPr>
        <w:t>A级纳税人、文明单位、诚信单位等称号的企业，没有项目备案</w:t>
      </w:r>
      <w:r>
        <w:rPr>
          <w:spacing w:val="-2"/>
          <w:sz w:val="57"/>
        </w:rPr>
        <w:t>的，可以提供发改委（规划、水利等部门）批复文件或者环境评价</w:t>
      </w:r>
      <w:r>
        <w:rPr>
          <w:spacing w:val="-2"/>
          <w:sz w:val="58"/>
        </w:rPr>
        <w:t>报告，证明企业的合法性；年代久远的单位项目备案丢失的，且行业不是淘汰类的，只需提供情况说明；较小的私营单位（服务行业如：饭店、宾馆、理发店、洗浴等不需备案的项目）没有项目备案的，只需提供情况说明；一些项目的附属设施（如地温空</w:t>
      </w:r>
      <w:r>
        <w:rPr>
          <w:spacing w:val="-2"/>
          <w:sz w:val="57"/>
        </w:rPr>
        <w:t>调等），可以不提供相关资料，只需提供情况说明。</w:t>
      </w:r>
    </w:p>
    <w:p>
      <w:pPr>
        <w:keepNext w:val="0"/>
        <w:keepLines w:val="0"/>
        <w:pageBreakBefore w:val="0"/>
        <w:widowControl w:val="0"/>
        <w:kinsoku/>
        <w:wordWrap/>
        <w:overflowPunct/>
        <w:topLinePunct w:val="0"/>
        <w:autoSpaceDE w:val="0"/>
        <w:autoSpaceDN w:val="0"/>
        <w:bidi w:val="0"/>
        <w:adjustRightInd/>
        <w:snapToGrid/>
        <w:spacing w:before="2" w:line="360" w:lineRule="auto"/>
        <w:ind w:left="119" w:right="117" w:firstLine="1220" w:firstLineChars="200"/>
        <w:jc w:val="left"/>
        <w:textAlignment w:val="auto"/>
        <w:rPr>
          <w:sz w:val="59"/>
        </w:rPr>
      </w:pPr>
      <w:r>
        <w:rPr>
          <w:w w:val="100"/>
          <w:sz w:val="61"/>
        </w:rPr>
        <w:t xml:space="preserve">3、对内乡县信用信息共享平台信用评价等级为A级或受评 </w:t>
      </w:r>
      <w:r>
        <w:rPr>
          <w:w w:val="100"/>
          <w:sz w:val="60"/>
        </w:rPr>
        <w:t>A级纳税人、文明单位、诚信单位等称号的企业，企业在申请办</w:t>
      </w:r>
      <w:r>
        <w:rPr>
          <w:w w:val="99"/>
          <w:sz w:val="59"/>
        </w:rPr>
        <w:t>理取水许可时，取水量较小（年取用地下水30000立方米以下的）</w:t>
      </w:r>
      <w:r>
        <w:rPr>
          <w:w w:val="101"/>
          <w:sz w:val="56"/>
        </w:rPr>
        <w:t>的，简化论证资料（只需提供河南省建设项目水资源论证简表），</w:t>
      </w:r>
      <w:r>
        <w:rPr>
          <w:w w:val="100"/>
          <w:sz w:val="59"/>
        </w:rPr>
        <w:t>全面实行承诺制，提高审批效率。</w:t>
      </w:r>
    </w:p>
    <w:p>
      <w:pPr>
        <w:keepNext w:val="0"/>
        <w:keepLines w:val="0"/>
        <w:pageBreakBefore w:val="0"/>
        <w:widowControl w:val="0"/>
        <w:kinsoku/>
        <w:wordWrap/>
        <w:overflowPunct/>
        <w:topLinePunct w:val="0"/>
        <w:autoSpaceDE w:val="0"/>
        <w:autoSpaceDN w:val="0"/>
        <w:bidi w:val="0"/>
        <w:adjustRightInd/>
        <w:snapToGrid/>
        <w:spacing w:before="5" w:line="360" w:lineRule="auto"/>
        <w:ind w:left="128" w:right="115" w:firstLine="440" w:firstLineChars="200"/>
        <w:jc w:val="left"/>
        <w:textAlignment w:val="auto"/>
        <w:rPr>
          <w:w w:val="100"/>
          <w:sz w:val="59"/>
        </w:rPr>
      </w:pPr>
      <w:r>
        <w:drawing>
          <wp:anchor distT="0" distB="0" distL="0" distR="0" simplePos="0" relativeHeight="251660288" behindDoc="1" locked="0" layoutInCell="1" allowOverlap="1">
            <wp:simplePos x="0" y="0"/>
            <wp:positionH relativeFrom="page">
              <wp:posOffset>0</wp:posOffset>
            </wp:positionH>
            <wp:positionV relativeFrom="page">
              <wp:posOffset>0</wp:posOffset>
            </wp:positionV>
            <wp:extent cx="14092555" cy="1992693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8" cstate="print"/>
                    <a:stretch>
                      <a:fillRect/>
                    </a:stretch>
                  </pic:blipFill>
                  <pic:spPr>
                    <a:xfrm>
                      <a:off x="0" y="0"/>
                      <a:ext cx="14092796" cy="19926971"/>
                    </a:xfrm>
                    <a:prstGeom prst="rect">
                      <a:avLst/>
                    </a:prstGeom>
                  </pic:spPr>
                </pic:pic>
              </a:graphicData>
            </a:graphic>
          </wp:anchor>
        </w:drawing>
      </w:r>
      <w:r>
        <w:rPr>
          <w:w w:val="100"/>
          <w:sz w:val="59"/>
        </w:rPr>
        <w:t>4、在各类评优活动中，同等条件下优先考虑在内乡县信用</w:t>
      </w:r>
      <w:r>
        <w:rPr>
          <w:w w:val="99"/>
          <w:sz w:val="60"/>
        </w:rPr>
        <w:t>信息共享平台信用评价等级为A级或受评A级纳税人、文明单位、</w:t>
      </w:r>
      <w:r>
        <w:rPr>
          <w:w w:val="100"/>
          <w:sz w:val="59"/>
        </w:rPr>
        <w:t>诚信单位等称号的企业。</w:t>
      </w:r>
    </w:p>
    <w:p>
      <w:pPr>
        <w:keepNext w:val="0"/>
        <w:keepLines w:val="0"/>
        <w:pageBreakBefore w:val="0"/>
        <w:widowControl w:val="0"/>
        <w:kinsoku/>
        <w:wordWrap/>
        <w:overflowPunct/>
        <w:topLinePunct w:val="0"/>
        <w:autoSpaceDE w:val="0"/>
        <w:autoSpaceDN w:val="0"/>
        <w:bidi w:val="0"/>
        <w:adjustRightInd/>
        <w:snapToGrid/>
        <w:spacing w:before="5" w:line="360" w:lineRule="auto"/>
        <w:ind w:left="128" w:right="115" w:firstLine="1160" w:firstLineChars="200"/>
        <w:jc w:val="left"/>
        <w:textAlignment w:val="auto"/>
        <w:rPr>
          <w:sz w:val="58"/>
        </w:rPr>
      </w:pPr>
      <w:r>
        <w:rPr>
          <w:sz w:val="58"/>
        </w:rPr>
        <w:t>五、工作要</w:t>
      </w:r>
      <w:r>
        <w:rPr>
          <w:spacing w:val="-10"/>
          <w:sz w:val="58"/>
        </w:rPr>
        <w:t>求</w:t>
      </w:r>
    </w:p>
    <w:p>
      <w:pPr>
        <w:keepNext w:val="0"/>
        <w:keepLines w:val="0"/>
        <w:pageBreakBefore w:val="0"/>
        <w:widowControl w:val="0"/>
        <w:kinsoku/>
        <w:wordWrap/>
        <w:overflowPunct/>
        <w:topLinePunct w:val="0"/>
        <w:autoSpaceDE w:val="0"/>
        <w:autoSpaceDN w:val="0"/>
        <w:bidi w:val="0"/>
        <w:adjustRightInd/>
        <w:snapToGrid/>
        <w:spacing w:before="308" w:line="360" w:lineRule="auto"/>
        <w:ind w:left="110" w:right="137" w:firstLine="1140" w:firstLineChars="200"/>
        <w:jc w:val="left"/>
        <w:textAlignment w:val="auto"/>
        <w:rPr>
          <w:sz w:val="59"/>
        </w:rPr>
      </w:pPr>
      <w:r>
        <w:rPr>
          <w:sz w:val="57"/>
        </w:rPr>
        <w:t>（一）取水许可办理工作人员要充分认识开展“信易+取水许</w:t>
      </w:r>
      <w:r>
        <w:rPr>
          <w:w w:val="99"/>
          <w:sz w:val="58"/>
        </w:rPr>
        <w:t>可办理”工作的重要意义，要严格按照方案开展工作，各司其职，</w:t>
      </w:r>
      <w:r>
        <w:rPr>
          <w:w w:val="101"/>
          <w:sz w:val="59"/>
        </w:rPr>
        <w:t>各尽其责，着力营造守信激励失信惩戒的营商环境。</w:t>
      </w:r>
    </w:p>
    <w:p>
      <w:pPr>
        <w:keepNext w:val="0"/>
        <w:keepLines w:val="0"/>
        <w:pageBreakBefore w:val="0"/>
        <w:widowControl w:val="0"/>
        <w:kinsoku/>
        <w:wordWrap/>
        <w:overflowPunct/>
        <w:topLinePunct w:val="0"/>
        <w:autoSpaceDE w:val="0"/>
        <w:autoSpaceDN w:val="0"/>
        <w:bidi w:val="0"/>
        <w:adjustRightInd/>
        <w:snapToGrid/>
        <w:spacing w:before="0" w:line="360" w:lineRule="auto"/>
        <w:ind w:left="130" w:right="228" w:firstLine="1112" w:firstLineChars="200"/>
        <w:jc w:val="left"/>
        <w:textAlignment w:val="auto"/>
        <w:rPr>
          <w:sz w:val="61"/>
        </w:rPr>
      </w:pPr>
      <w:r>
        <w:rPr>
          <w:spacing w:val="-2"/>
          <w:sz w:val="56"/>
        </w:rPr>
        <w:t>（二）要广泛宣传“互联网+取水许可办理”的典型工作事例，</w:t>
      </w:r>
      <w:r>
        <w:rPr>
          <w:spacing w:val="-2"/>
          <w:sz w:val="58"/>
        </w:rPr>
        <w:t>提高社会知晓率和认可度，营造诚实守信的社会氛围，共建诚实</w:t>
      </w:r>
      <w:r>
        <w:rPr>
          <w:spacing w:val="-2"/>
          <w:sz w:val="61"/>
        </w:rPr>
        <w:t>守信的社会环境。</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1200" w:firstLineChars="200"/>
        <w:textAlignment w:val="auto"/>
        <w:rPr>
          <w:sz w:val="60"/>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1200" w:firstLineChars="200"/>
        <w:textAlignment w:val="auto"/>
        <w:rPr>
          <w:sz w:val="60"/>
        </w:rPr>
      </w:pPr>
    </w:p>
    <w:p>
      <w:pPr>
        <w:keepNext w:val="0"/>
        <w:keepLines w:val="0"/>
        <w:pageBreakBefore w:val="0"/>
        <w:widowControl w:val="0"/>
        <w:kinsoku/>
        <w:wordWrap/>
        <w:overflowPunct/>
        <w:topLinePunct w:val="0"/>
        <w:autoSpaceDE w:val="0"/>
        <w:autoSpaceDN w:val="0"/>
        <w:bidi w:val="0"/>
        <w:adjustRightInd/>
        <w:snapToGrid/>
        <w:spacing w:before="412" w:line="360" w:lineRule="auto"/>
        <w:ind w:left="10607" w:right="0" w:firstLine="1260" w:firstLineChars="200"/>
        <w:jc w:val="left"/>
        <w:textAlignment w:val="auto"/>
        <w:rPr>
          <w:sz w:val="63"/>
        </w:rPr>
      </w:pPr>
      <w:r>
        <w:rPr>
          <w:sz w:val="63"/>
        </w:rPr>
        <w:t>2023年3月20</w:t>
      </w:r>
      <w:r>
        <w:rPr>
          <w:spacing w:val="-10"/>
          <w:sz w:val="63"/>
        </w:rPr>
        <w:t>日</w:t>
      </w: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1280" w:firstLineChars="200"/>
        <w:textAlignment w:val="auto"/>
        <w:rPr>
          <w:sz w:val="64"/>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1280" w:firstLineChars="200"/>
        <w:textAlignment w:val="auto"/>
        <w:rPr>
          <w:sz w:val="64"/>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1280" w:firstLineChars="200"/>
        <w:textAlignment w:val="auto"/>
        <w:rPr>
          <w:sz w:val="64"/>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1280" w:firstLineChars="200"/>
        <w:textAlignment w:val="auto"/>
        <w:rPr>
          <w:sz w:val="64"/>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1280" w:firstLineChars="200"/>
        <w:textAlignment w:val="auto"/>
        <w:rPr>
          <w:sz w:val="64"/>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firstLine="1280" w:firstLineChars="200"/>
        <w:textAlignment w:val="auto"/>
        <w:rPr>
          <w:sz w:val="64"/>
        </w:rPr>
      </w:pPr>
    </w:p>
    <w:p>
      <w:pPr>
        <w:spacing w:before="1"/>
        <w:ind w:right="8292"/>
        <w:jc w:val="both"/>
        <w:rPr>
          <w:sz w:val="41"/>
        </w:rPr>
      </w:pPr>
    </w:p>
    <w:sectPr>
      <w:pgSz w:w="22200" w:h="31660"/>
      <w:pgMar w:top="3680" w:right="2460" w:bottom="280" w:left="2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I4NWYzZGFkNDJiYTY1ODFjMTg3YjM5MmNjODNlNDkifQ=="/>
  </w:docVars>
  <w:rsids>
    <w:rsidRoot w:val="00000000"/>
    <w:rsid w:val="1888340F"/>
    <w:rsid w:val="4D1B06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1315"/>
      <w:outlineLvl w:val="1"/>
    </w:pPr>
    <w:rPr>
      <w:rFonts w:ascii="宋体" w:hAnsi="宋体" w:eastAsia="宋体" w:cs="宋体"/>
      <w:sz w:val="60"/>
      <w:szCs w:val="60"/>
      <w:lang w:val="en-US" w:eastAsia="zh-CN" w:bidi="ar-SA"/>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59"/>
      <w:szCs w:val="59"/>
      <w:lang w:val="en-US" w:eastAsia="zh-CN" w:bidi="ar-SA"/>
    </w:rPr>
  </w:style>
  <w:style w:type="paragraph" w:styleId="4">
    <w:name w:val="Title"/>
    <w:basedOn w:val="1"/>
    <w:qFormat/>
    <w:uiPriority w:val="1"/>
    <w:pPr>
      <w:spacing w:before="786"/>
      <w:ind w:right="212"/>
      <w:jc w:val="center"/>
    </w:pPr>
    <w:rPr>
      <w:rFonts w:ascii="宋体" w:hAnsi="宋体" w:eastAsia="宋体" w:cs="宋体"/>
      <w:sz w:val="79"/>
      <w:szCs w:val="79"/>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n-US" w:eastAsia="zh-CN" w:bidi="ar-SA"/>
    </w:rPr>
  </w:style>
  <w:style w:type="paragraph" w:customStyle="1" w:styleId="9">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2023-05-11T01:43:00Z</dcterms:created>
  <dc:creator>nxfgwfwg</dc:creator>
  <cp:lastModifiedBy>nxfgwfwg</cp:lastModifiedBy>
  <dcterms:modified xsi:type="dcterms:W3CDTF">2023-05-11T02:05:02Z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6109F059D53F48F296B1DBCB2B206251_13</vt:lpwstr>
  </property>
</Properties>
</file>