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0" w:lineRule="atLeast"/>
        <w:jc w:val="center"/>
        <w:rPr>
          <w:rFonts w:hint="default" w:ascii="微软雅黑" w:hAnsi="微软雅黑" w:eastAsia="微软雅黑" w:cs="微软雅黑"/>
          <w:b w:val="0"/>
        </w:rPr>
      </w:pPr>
      <w:r>
        <w:rPr>
          <w:rFonts w:ascii="黑体" w:eastAsia="黑体" w:cs="黑体"/>
          <w:b w:val="0"/>
          <w:color w:val="333333"/>
          <w:sz w:val="44"/>
          <w:szCs w:val="44"/>
          <w:shd w:val="clear" w:color="auto" w:fill="FFFFFF"/>
        </w:rPr>
        <w:t>2020年度内乡县科学技术和工业信息化局</w:t>
      </w:r>
    </w:p>
    <w:p>
      <w:pPr>
        <w:pStyle w:val="2"/>
        <w:widowControl/>
        <w:spacing w:beforeAutospacing="0" w:afterAutospacing="0" w:line="450" w:lineRule="atLeast"/>
        <w:jc w:val="center"/>
        <w:rPr>
          <w:rFonts w:hint="default" w:ascii="微软雅黑" w:hAnsi="微软雅黑" w:eastAsia="微软雅黑" w:cs="微软雅黑"/>
          <w:b w:val="0"/>
        </w:rPr>
      </w:pPr>
      <w:r>
        <w:rPr>
          <w:rFonts w:ascii="黑体" w:eastAsia="黑体" w:cs="黑体"/>
          <w:b w:val="0"/>
          <w:color w:val="333333"/>
          <w:sz w:val="44"/>
          <w:szCs w:val="44"/>
          <w:shd w:val="clear" w:color="auto" w:fill="FFFFFF"/>
        </w:rPr>
        <w:t>部门预算公开</w:t>
      </w:r>
    </w:p>
    <w:p>
      <w:pPr>
        <w:widowControl/>
        <w:spacing w:line="450" w:lineRule="atLeast"/>
        <w:rPr>
          <w:rFonts w:ascii="微软雅黑" w:hAnsi="微软雅黑" w:eastAsia="微软雅黑" w:cs="微软雅黑"/>
          <w:sz w:val="24"/>
        </w:rPr>
      </w:pPr>
      <w:r>
        <w:rPr>
          <w:rFonts w:hint="eastAsia" w:ascii="微软雅黑" w:hAnsi="微软雅黑" w:eastAsia="微软雅黑" w:cs="微软雅黑"/>
          <w:color w:val="333333"/>
          <w:kern w:val="0"/>
          <w:sz w:val="24"/>
          <w:shd w:val="clear" w:color="auto" w:fill="FFFFFF"/>
        </w:rPr>
        <w:t> </w:t>
      </w:r>
    </w:p>
    <w:p>
      <w:pPr>
        <w:widowControl/>
        <w:spacing w:line="450" w:lineRule="atLeast"/>
        <w:rPr>
          <w:rFonts w:ascii="微软雅黑" w:hAnsi="微软雅黑" w:eastAsia="微软雅黑" w:cs="微软雅黑"/>
          <w:sz w:val="24"/>
        </w:rPr>
      </w:pPr>
      <w:r>
        <w:rPr>
          <w:rFonts w:hint="eastAsia" w:ascii="微软雅黑" w:hAnsi="微软雅黑" w:eastAsia="微软雅黑" w:cs="微软雅黑"/>
          <w:color w:val="333333"/>
          <w:kern w:val="0"/>
          <w:sz w:val="24"/>
          <w:u w:val="single"/>
          <w:shd w:val="clear" w:color="auto" w:fill="FFFFFF"/>
        </w:rPr>
        <w:t> </w:t>
      </w:r>
    </w:p>
    <w:p>
      <w:pPr>
        <w:widowControl/>
        <w:spacing w:line="450" w:lineRule="atLeast"/>
        <w:rPr>
          <w:rFonts w:ascii="微软雅黑" w:hAnsi="微软雅黑" w:eastAsia="微软雅黑" w:cs="微软雅黑"/>
          <w:sz w:val="24"/>
        </w:rPr>
      </w:pPr>
      <w:r>
        <w:rPr>
          <w:rFonts w:hint="eastAsia" w:ascii="微软雅黑" w:hAnsi="微软雅黑" w:eastAsia="微软雅黑" w:cs="微软雅黑"/>
          <w:color w:val="333333"/>
          <w:kern w:val="0"/>
          <w:sz w:val="24"/>
          <w:shd w:val="clear" w:color="auto" w:fill="FFFFFF"/>
        </w:rPr>
        <w:t> </w:t>
      </w:r>
    </w:p>
    <w:p>
      <w:pPr>
        <w:widowControl/>
        <w:spacing w:line="450" w:lineRule="atLeast"/>
        <w:jc w:val="center"/>
        <w:rPr>
          <w:rFonts w:ascii="微软雅黑" w:hAnsi="微软雅黑" w:eastAsia="微软雅黑" w:cs="微软雅黑"/>
          <w:sz w:val="24"/>
        </w:rPr>
      </w:pPr>
      <w:r>
        <w:rPr>
          <w:rFonts w:hint="eastAsia" w:ascii="微软雅黑" w:hAnsi="微软雅黑" w:eastAsia="微软雅黑" w:cs="微软雅黑"/>
          <w:color w:val="333333"/>
          <w:kern w:val="0"/>
          <w:sz w:val="24"/>
          <w:shd w:val="clear" w:color="auto" w:fill="FFFFFF"/>
        </w:rPr>
        <w:t>目  录</w:t>
      </w:r>
    </w:p>
    <w:p>
      <w:pPr>
        <w:pStyle w:val="3"/>
        <w:widowControl/>
        <w:spacing w:beforeAutospacing="0" w:afterAutospacing="0" w:line="450" w:lineRule="atLeast"/>
        <w:jc w:val="both"/>
        <w:rPr>
          <w:rFonts w:hint="default" w:ascii="黑体" w:hAnsi="微软雅黑" w:eastAsia="黑体" w:cs="微软雅黑"/>
          <w:b w:val="0"/>
          <w:sz w:val="30"/>
          <w:szCs w:val="30"/>
        </w:rPr>
      </w:pPr>
      <w:r>
        <w:rPr>
          <w:rFonts w:ascii="黑体" w:hAnsi="微软雅黑" w:eastAsia="黑体" w:cs="微软雅黑"/>
          <w:b w:val="0"/>
          <w:color w:val="333333"/>
          <w:sz w:val="30"/>
          <w:szCs w:val="30"/>
          <w:shd w:val="clear" w:color="auto" w:fill="FFFFFF"/>
        </w:rPr>
        <w:t>第一部分</w:t>
      </w:r>
      <w:r>
        <w:rPr>
          <w:rFonts w:ascii="黑体" w:eastAsia="黑体" w:cs="黑体"/>
          <w:b w:val="0"/>
          <w:color w:val="333333"/>
          <w:sz w:val="30"/>
          <w:szCs w:val="30"/>
          <w:shd w:val="clear" w:color="auto" w:fill="FFFFFF"/>
        </w:rPr>
        <w:t>  内乡县科学技术和工业信息化局概况</w:t>
      </w:r>
    </w:p>
    <w:p>
      <w:pPr>
        <w:pStyle w:val="4"/>
        <w:widowControl/>
        <w:spacing w:beforeAutospacing="0" w:afterAutospacing="0" w:line="450" w:lineRule="atLeast"/>
        <w:ind w:firstLine="320" w:firstLineChars="100"/>
        <w:jc w:val="both"/>
        <w:rPr>
          <w:rFonts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一、主要职责</w:t>
      </w:r>
    </w:p>
    <w:p>
      <w:pPr>
        <w:pStyle w:val="4"/>
        <w:widowControl/>
        <w:spacing w:beforeAutospacing="0" w:afterAutospacing="0" w:line="540" w:lineRule="atLeast"/>
        <w:ind w:right="118" w:firstLine="320" w:firstLineChars="100"/>
        <w:jc w:val="both"/>
        <w:rPr>
          <w:rFonts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二、预算单位构成</w:t>
      </w:r>
    </w:p>
    <w:p>
      <w:pPr>
        <w:pStyle w:val="3"/>
        <w:widowControl/>
        <w:spacing w:beforeAutospacing="0" w:afterAutospacing="0" w:line="450" w:lineRule="atLeast"/>
        <w:jc w:val="both"/>
        <w:rPr>
          <w:rFonts w:hint="default" w:ascii="黑体" w:eastAsia="黑体" w:cs="黑体"/>
          <w:b w:val="0"/>
          <w:color w:val="333333"/>
          <w:sz w:val="30"/>
          <w:szCs w:val="30"/>
          <w:shd w:val="clear" w:color="auto" w:fill="FFFFFF"/>
        </w:rPr>
      </w:pPr>
      <w:r>
        <w:rPr>
          <w:rFonts w:ascii="黑体" w:eastAsia="黑体" w:cs="黑体"/>
          <w:b w:val="0"/>
          <w:color w:val="333333"/>
          <w:sz w:val="30"/>
          <w:szCs w:val="30"/>
          <w:shd w:val="clear" w:color="auto" w:fill="FFFFFF"/>
        </w:rPr>
        <w:t>第二部分 内乡县科学技术和工业信息化局2020年部门预算情况说明</w:t>
      </w:r>
    </w:p>
    <w:p>
      <w:pPr>
        <w:pStyle w:val="3"/>
        <w:widowControl/>
        <w:spacing w:beforeAutospacing="0" w:afterAutospacing="0" w:line="450" w:lineRule="atLeast"/>
        <w:jc w:val="both"/>
        <w:rPr>
          <w:rFonts w:hint="default" w:ascii="黑体" w:eastAsia="黑体" w:cs="黑体"/>
          <w:b w:val="0"/>
          <w:color w:val="333333"/>
          <w:sz w:val="30"/>
          <w:szCs w:val="30"/>
          <w:shd w:val="clear" w:color="auto" w:fill="FFFFFF"/>
        </w:rPr>
      </w:pPr>
      <w:r>
        <w:rPr>
          <w:rFonts w:ascii="黑体" w:eastAsia="黑体" w:cs="黑体"/>
          <w:b w:val="0"/>
          <w:color w:val="333333"/>
          <w:sz w:val="30"/>
          <w:szCs w:val="30"/>
          <w:shd w:val="clear" w:color="auto" w:fill="FFFFFF"/>
        </w:rPr>
        <w:t>第三部分  名词解释</w:t>
      </w:r>
    </w:p>
    <w:p>
      <w:pPr>
        <w:pStyle w:val="3"/>
        <w:widowControl/>
        <w:spacing w:beforeAutospacing="0" w:afterAutospacing="0" w:line="450" w:lineRule="atLeast"/>
        <w:jc w:val="both"/>
        <w:rPr>
          <w:rFonts w:hint="default" w:ascii="黑体" w:eastAsia="黑体" w:cs="黑体"/>
          <w:b w:val="0"/>
          <w:color w:val="333333"/>
          <w:sz w:val="30"/>
          <w:szCs w:val="30"/>
          <w:shd w:val="clear" w:color="auto" w:fill="FFFFFF"/>
        </w:rPr>
      </w:pPr>
      <w:r>
        <w:rPr>
          <w:rFonts w:ascii="黑体" w:eastAsia="黑体" w:cs="黑体"/>
          <w:b w:val="0"/>
          <w:color w:val="333333"/>
          <w:sz w:val="30"/>
          <w:szCs w:val="30"/>
          <w:shd w:val="clear" w:color="auto" w:fill="FFFFFF"/>
        </w:rPr>
        <w:t>附件： 内乡县科学技术和工业信息化局2020年度部门预算表</w:t>
      </w:r>
    </w:p>
    <w:p>
      <w:pPr>
        <w:kinsoku w:val="0"/>
        <w:overflowPunct w:val="0"/>
        <w:adjustRightInd w:val="0"/>
        <w:snapToGrid w:val="0"/>
        <w:spacing w:line="360" w:lineRule="auto"/>
        <w:ind w:right="51" w:firstLine="320" w:firstLineChars="1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一、部门收支预算总表</w:t>
      </w:r>
    </w:p>
    <w:p>
      <w:pPr>
        <w:kinsoku w:val="0"/>
        <w:overflowPunct w:val="0"/>
        <w:adjustRightInd w:val="0"/>
        <w:snapToGrid w:val="0"/>
        <w:spacing w:line="360" w:lineRule="auto"/>
        <w:ind w:right="51" w:firstLine="320" w:firstLineChars="1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二、部门收入预算总表</w:t>
      </w:r>
    </w:p>
    <w:p>
      <w:pPr>
        <w:kinsoku w:val="0"/>
        <w:overflowPunct w:val="0"/>
        <w:adjustRightInd w:val="0"/>
        <w:snapToGrid w:val="0"/>
        <w:spacing w:line="360" w:lineRule="auto"/>
        <w:ind w:right="51" w:firstLine="320" w:firstLineChars="1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三、部门支出总体情况表</w:t>
      </w:r>
    </w:p>
    <w:p>
      <w:pPr>
        <w:kinsoku w:val="0"/>
        <w:overflowPunct w:val="0"/>
        <w:adjustRightInd w:val="0"/>
        <w:snapToGrid w:val="0"/>
        <w:spacing w:line="360" w:lineRule="auto"/>
        <w:ind w:right="51" w:firstLine="320" w:firstLineChars="1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四、财政拨款预算收支总体情况表</w:t>
      </w:r>
    </w:p>
    <w:p>
      <w:pPr>
        <w:kinsoku w:val="0"/>
        <w:overflowPunct w:val="0"/>
        <w:adjustRightInd w:val="0"/>
        <w:snapToGrid w:val="0"/>
        <w:spacing w:line="360" w:lineRule="auto"/>
        <w:ind w:right="51" w:firstLine="320" w:firstLineChars="1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五、一般公共预算支出情况表</w:t>
      </w:r>
    </w:p>
    <w:p>
      <w:pPr>
        <w:kinsoku w:val="0"/>
        <w:overflowPunct w:val="0"/>
        <w:adjustRightInd w:val="0"/>
        <w:snapToGrid w:val="0"/>
        <w:spacing w:line="360" w:lineRule="auto"/>
        <w:ind w:right="51" w:firstLine="320" w:firstLineChars="1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六、一般公共预算基本支出情况表</w:t>
      </w:r>
    </w:p>
    <w:p>
      <w:pPr>
        <w:kinsoku w:val="0"/>
        <w:overflowPunct w:val="0"/>
        <w:adjustRightInd w:val="0"/>
        <w:snapToGrid w:val="0"/>
        <w:spacing w:line="360" w:lineRule="auto"/>
        <w:ind w:right="51" w:firstLine="320" w:firstLineChars="1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七、政府性基金支出情况表</w:t>
      </w:r>
    </w:p>
    <w:p>
      <w:pPr>
        <w:kinsoku w:val="0"/>
        <w:overflowPunct w:val="0"/>
        <w:adjustRightInd w:val="0"/>
        <w:snapToGrid w:val="0"/>
        <w:spacing w:line="360" w:lineRule="auto"/>
        <w:ind w:right="51" w:firstLine="320" w:firstLineChars="1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八、一般公共预算“三公”经费支出情况表</w:t>
      </w:r>
    </w:p>
    <w:p>
      <w:pPr>
        <w:pStyle w:val="4"/>
        <w:widowControl/>
        <w:spacing w:beforeAutospacing="0" w:afterAutospacing="0" w:line="450" w:lineRule="atLeast"/>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 </w:t>
      </w:r>
    </w:p>
    <w:p>
      <w:pPr>
        <w:adjustRightInd w:val="0"/>
        <w:snapToGrid w:val="0"/>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p>
    <w:p>
      <w:pPr>
        <w:adjustRightInd w:val="0"/>
        <w:snapToGrid w:val="0"/>
        <w:spacing w:line="360" w:lineRule="auto"/>
        <w:jc w:val="center"/>
        <w:rPr>
          <w:rFonts w:ascii="黑体" w:hAnsi="黑体" w:eastAsia="黑体" w:cs="Times New Roman"/>
          <w:sz w:val="32"/>
          <w:szCs w:val="32"/>
        </w:rPr>
      </w:pPr>
      <w:r>
        <w:rPr>
          <w:rFonts w:hint="eastAsia" w:ascii="黑体" w:hAnsi="黑体" w:eastAsia="黑体" w:cs="Times New Roman"/>
          <w:sz w:val="32"/>
          <w:szCs w:val="32"/>
        </w:rPr>
        <w:t>内乡县科学技术和工业信息化局概况</w:t>
      </w:r>
    </w:p>
    <w:p>
      <w:pPr>
        <w:pStyle w:val="4"/>
        <w:widowControl/>
        <w:spacing w:beforeAutospacing="0" w:afterAutospacing="0" w:line="450" w:lineRule="atLeast"/>
        <w:ind w:firstLine="320" w:firstLineChars="100"/>
        <w:jc w:val="both"/>
        <w:rPr>
          <w:rFonts w:ascii="黑体" w:hAnsi="黑体" w:eastAsia="黑体"/>
          <w:kern w:val="2"/>
          <w:sz w:val="32"/>
          <w:szCs w:val="32"/>
        </w:rPr>
      </w:pPr>
      <w:r>
        <w:rPr>
          <w:rFonts w:hint="eastAsia" w:ascii="黑体" w:hAnsi="黑体" w:eastAsia="黑体"/>
          <w:kern w:val="2"/>
          <w:sz w:val="32"/>
          <w:szCs w:val="32"/>
        </w:rPr>
        <w:t>一、内乡县科学技术和工业信息化局主要职责</w:t>
      </w:r>
    </w:p>
    <w:p>
      <w:pPr>
        <w:widowControl/>
        <w:spacing w:line="450" w:lineRule="atLeast"/>
        <w:ind w:firstLine="640"/>
        <w:rPr>
          <w:rFonts w:ascii="仿宋_GB2312" w:hAnsi="Times New Roman" w:eastAsia="仿宋_GB2312" w:cs="仿宋_GB2312"/>
          <w:spacing w:val="2"/>
          <w:kern w:val="0"/>
          <w:sz w:val="32"/>
          <w:szCs w:val="32"/>
        </w:rPr>
      </w:pPr>
      <w:r>
        <w:rPr>
          <w:rFonts w:hint="eastAsia" w:ascii="仿宋_GB2312" w:hAnsi="Times New Roman" w:eastAsia="仿宋_GB2312" w:cs="仿宋_GB2312"/>
          <w:spacing w:val="2"/>
          <w:kern w:val="0"/>
          <w:sz w:val="32"/>
          <w:szCs w:val="32"/>
        </w:rPr>
        <w:t>1、贯彻执行国家、省、市科技工作、工业和信息化的法律、法规和方针、政策，牵头拟订县创新驱动发展、科技发展、引进国外智力的规划和政策性措施，并组织实施。协调解决新型工业化进程中的重大问题，拟订并组织实施全县工业和信息化的发展规划，组织实施推动传统产业技术改造相关政策，推进产业结构战略性调整和优化升级，推进信息化和工业化融合。2、统筹推进全县自主创新体系建设和科技体制改革。会同有关部门健全技术创新激励机制，优化科研体系建设，指导科研机构改革发展。推动企业科技创新能力建设，推进重大科技决策咨询制度建设，承担推进科技军民融合发展相关工作。3、建立统一的县级科技管理信息系统和科研项目资金协调、评估、监管机制。会同有关部门提出优化配置科技资源的措施建议，推动多元化科技投入体系建设。会同有关部门统筹管理县级财政科技计划（专项、基金等）并监督实施。促进科技金融紧密结合。4、拟订全县基础研究、应用基础研究和重大科技创新基地建设规划、政策性措施并组织实施。牵头组织县级各类科技创新平台建设，推动科研条件保障建设和科技资源开放共享。5、编制县重大科技项目规划并监督实施，统筹关键共性技术、前沿引领技术、现代工程技术、颠覆性技术研发和创新，牵头组织重大技术攻关和成果应用示范。6、组织拟订高新技术发展及产业化、科技促进农业农村和社会发展规划。组织开展重点领域技术发展需求分析，提出关键核心技术需求并监督实施。指导科技创新创业载体平台建设。支持安全生产领域的科学技术研究。7、牵头全县技术转移体系建设，拟订科技成果转移转化和促进产学研结合的相关政策性措施并监督实施。承担科技扶贫相关工作。8、负责科技监督评价体系建设和相关科技评估管理，推进科技评价机制改革，统筹科研诚信建设。组织实施创新调查和科技报告制度，指导全县科技保密工作。9、会同有关部门拟订全县科技人才队伍建设规划和政策性措施，组织实施相关科技人才计划。负责全县中国科学院、中国工程院院士的培育和支持等工作，承担院士工作站的建设与管理。拟订科学普及和科学传播规划、政策性措施。10、拟订并组织实施全县工业行业中长期规划、计划，提出优化产业布局和结构政策性建议；引导和扶持工业和信息产业发展，组织实施行业技术规范和标准，指导行业质量管理工作。11、监测分析全县工业运行态势，统计并发布相关信息，进行预测预警和信息引导，协调解决行业运行发展中的有关问题并提出政策性建议；指导相关行业加强安全生产管理，负责工业行业领域安全生产应急管理、产业安全等相关工作；承担发电企业日常运行中的安全生产监督管理相关职责。12、拟订并组织实施全市制造业服务化、平台化发展中长期规划和年度计划，促进制造业和生产性服务业融合发展，推进产业融合、生产性服务业功能区和公共服务平台建设；促进供应链管理技术推广应用，协同推进现代物流业发展。13、负责提出全县工业和信息化固定资产投资规模和方向(含利用外资和境外投资)，国家、省、市对口部门和本县用于工业和产业信息化财政性建设资金安排的意见，组织实施国家、省、市、县规划内及年度计划规模内固定资产投资项目。14、组织实施国家、省、市高技术产业中涉及生物医药、新材料、航空航天、信息产业等的规划、政策和标准，指导行业技术创新和技术进步，以先进适用技术改造提升传统产业，组织实施国家、省、市、县有关科技重大专项，推进相关科研成果产业化，推动全县软件业、信息服务业和新兴产业发展。15、组织实施全县工业和信息化能源节约和资源综合利用、循环经济、绿色化改造促进规划、政策，组织协调相关重大示范工程建设和新产品、新技术、新设备、新材料推广应用。16、负责全县振兴装备制造业的组织协调工作，组织拟订重大技术装备发展和自主创新规划，依托国家、省、市、县重点工程建设协调有关重大专项的实施，推进重大技术装备国产化，指导引进重大技术装备的消化创新。17、负责全县中小企业、民营经济发展的宏观指导，拟订并组织实施中小企业发展中长期规划；负责推动建立完善中小企业服务体系，协调解决重大问题；会同有关部门拟订促进中小企业发展和非公有经济发展的相关政策性措施并监督检查执行情况；承担内乡县企业服务工作领导小组办公室常工作。18、统筹推进全县信息化工作。19、承担相关信息安全管理责任。20、负责全县科学技术和工业信息化领域对外交流合作事务。21、根据县政府授权，指导国有企业改革和重组。22、综合协调推进军民融合发展工作。23、负责全县民用爆破器材行业的监督管理工作。24、统一规划、配置和管理全县无线电频谱资源。25、负责盐业行业管理;负责全县煤炭经营监督管理。26、负责内乡县科学技术奖励相关工作。27、完成县委、县政府交办的其它任务。</w:t>
      </w:r>
    </w:p>
    <w:p>
      <w:pPr>
        <w:numPr>
          <w:ilvl w:val="0"/>
          <w:numId w:val="1"/>
        </w:numPr>
        <w:tabs>
          <w:tab w:val="left" w:pos="5040"/>
        </w:tabs>
        <w:adjustRightInd w:val="0"/>
        <w:snapToGrid w:val="0"/>
        <w:spacing w:line="360" w:lineRule="auto"/>
        <w:ind w:firstLine="640" w:firstLineChars="200"/>
        <w:rPr>
          <w:rFonts w:ascii="黑体" w:hAnsi="黑体" w:eastAsia="黑体"/>
          <w:sz w:val="32"/>
          <w:szCs w:val="32"/>
        </w:rPr>
      </w:pPr>
      <w:r>
        <w:rPr>
          <w:rFonts w:hint="eastAsia" w:ascii="黑体" w:hAnsi="黑体" w:eastAsia="黑体" w:cs="Times New Roman"/>
          <w:sz w:val="32"/>
          <w:szCs w:val="32"/>
        </w:rPr>
        <w:t>内乡县科学技术和工业信息化局</w:t>
      </w:r>
      <w:r>
        <w:rPr>
          <w:rFonts w:hint="eastAsia" w:ascii="黑体" w:hAnsi="黑体" w:eastAsia="黑体"/>
          <w:sz w:val="32"/>
          <w:szCs w:val="32"/>
        </w:rPr>
        <w:t>机构设置及部门预算单位构成</w:t>
      </w:r>
      <w:r>
        <w:rPr>
          <w:rFonts w:hint="eastAsia" w:ascii="微软雅黑" w:hAnsi="微软雅黑" w:eastAsia="微软雅黑" w:cs="微软雅黑"/>
          <w:color w:val="333333"/>
          <w:sz w:val="24"/>
          <w:shd w:val="clear" w:color="auto" w:fill="FFFFFF"/>
        </w:rPr>
        <w:t>     </w:t>
      </w:r>
    </w:p>
    <w:p>
      <w:pPr>
        <w:numPr>
          <w:ilvl w:val="0"/>
          <w:numId w:val="2"/>
        </w:numPr>
        <w:kinsoku w:val="0"/>
        <w:overflowPunct w:val="0"/>
        <w:autoSpaceDE w:val="0"/>
        <w:autoSpaceDN w:val="0"/>
        <w:adjustRightInd w:val="0"/>
        <w:snapToGrid w:val="0"/>
        <w:spacing w:line="360" w:lineRule="auto"/>
        <w:ind w:left="270" w:right="118" w:firstLine="360"/>
        <w:jc w:val="left"/>
        <w:rPr>
          <w:rFonts w:ascii="仿宋_GB2312" w:hAnsi="Times New Roman" w:eastAsia="仿宋_GB2312" w:cs="仿宋_GB2312"/>
          <w:spacing w:val="2"/>
          <w:kern w:val="0"/>
          <w:sz w:val="32"/>
          <w:szCs w:val="32"/>
        </w:rPr>
      </w:pPr>
      <w:r>
        <w:rPr>
          <w:rFonts w:hint="eastAsia" w:ascii="微软雅黑" w:hAnsi="微软雅黑" w:eastAsia="微软雅黑" w:cs="微软雅黑"/>
          <w:color w:val="333333"/>
          <w:sz w:val="24"/>
          <w:shd w:val="clear" w:color="auto" w:fill="FFFFFF"/>
        </w:rPr>
        <w:t>      </w:t>
      </w:r>
      <w:r>
        <w:rPr>
          <w:rFonts w:hint="eastAsia" w:ascii="仿宋_GB2312" w:hAnsi="Times New Roman" w:eastAsia="仿宋_GB2312" w:cs="仿宋_GB2312"/>
          <w:spacing w:val="2"/>
          <w:kern w:val="0"/>
          <w:sz w:val="32"/>
          <w:szCs w:val="32"/>
        </w:rPr>
        <w:t>机构设置</w:t>
      </w:r>
    </w:p>
    <w:p>
      <w:pPr>
        <w:pStyle w:val="4"/>
        <w:widowControl/>
        <w:spacing w:beforeAutospacing="0" w:afterAutospacing="0" w:line="450" w:lineRule="atLeast"/>
        <w:ind w:firstLine="640"/>
        <w:jc w:val="both"/>
        <w:rPr>
          <w:rFonts w:ascii="仿宋_GB2312" w:hAnsi="Times New Roman" w:eastAsia="仿宋_GB2312" w:cs="仿宋_GB2312"/>
          <w:spacing w:val="2"/>
          <w:sz w:val="32"/>
          <w:szCs w:val="32"/>
        </w:rPr>
      </w:pPr>
      <w:r>
        <w:rPr>
          <w:rFonts w:hint="eastAsia" w:ascii="仿宋_GB2312" w:hAnsi="Times New Roman" w:eastAsia="仿宋_GB2312" w:cs="仿宋_GB2312"/>
          <w:spacing w:val="2"/>
          <w:sz w:val="32"/>
          <w:szCs w:val="32"/>
        </w:rPr>
        <w:t>我局内设8个股室，分别是：办公室、运行办、信访办、行业管理办、产业指导办、对外合作办、安全生产办和中小企业服务办。</w:t>
      </w:r>
    </w:p>
    <w:p>
      <w:pPr>
        <w:numPr>
          <w:ilvl w:val="0"/>
          <w:numId w:val="2"/>
        </w:numPr>
        <w:kinsoku w:val="0"/>
        <w:overflowPunct w:val="0"/>
        <w:autoSpaceDE w:val="0"/>
        <w:autoSpaceDN w:val="0"/>
        <w:adjustRightInd w:val="0"/>
        <w:snapToGrid w:val="0"/>
        <w:spacing w:line="360" w:lineRule="auto"/>
        <w:ind w:left="270" w:right="118" w:firstLine="360"/>
        <w:jc w:val="left"/>
        <w:rPr>
          <w:rFonts w:ascii="仿宋_GB2312" w:hAnsi="宋体" w:eastAsia="仿宋_GB2312" w:cs="Courier New"/>
          <w:kern w:val="0"/>
          <w:sz w:val="32"/>
          <w:szCs w:val="32"/>
        </w:rPr>
      </w:pPr>
      <w:r>
        <w:rPr>
          <w:rFonts w:hint="eastAsia" w:ascii="仿宋_GB2312" w:hAnsi="宋体" w:eastAsia="仿宋_GB2312" w:cs="Courier New"/>
          <w:kern w:val="0"/>
          <w:sz w:val="32"/>
          <w:szCs w:val="32"/>
        </w:rPr>
        <w:t>部门预算单位构成</w:t>
      </w:r>
    </w:p>
    <w:p>
      <w:pPr>
        <w:kinsoku w:val="0"/>
        <w:overflowPunct w:val="0"/>
        <w:autoSpaceDE w:val="0"/>
        <w:autoSpaceDN w:val="0"/>
        <w:adjustRightInd w:val="0"/>
        <w:snapToGrid w:val="0"/>
        <w:spacing w:line="360" w:lineRule="auto"/>
        <w:ind w:left="630" w:right="118"/>
        <w:jc w:val="left"/>
        <w:rPr>
          <w:rFonts w:ascii="Times New Roman" w:hAnsi="Times New Roman" w:eastAsia="仿宋_GB2312"/>
          <w:sz w:val="15"/>
          <w:szCs w:val="15"/>
        </w:rPr>
      </w:pPr>
      <w:r>
        <w:rPr>
          <w:rFonts w:hint="eastAsia" w:ascii="仿宋_GB2312" w:hAnsi="宋体" w:eastAsia="仿宋_GB2312" w:cs="Courier New"/>
          <w:kern w:val="0"/>
          <w:sz w:val="32"/>
          <w:szCs w:val="32"/>
        </w:rPr>
        <w:t>我局</w:t>
      </w:r>
      <w:r>
        <w:rPr>
          <w:rFonts w:hint="eastAsia" w:ascii="仿宋_GB2312" w:hAnsi="Times New Roman" w:eastAsia="仿宋_GB2312" w:cs="仿宋_GB2312"/>
          <w:spacing w:val="2"/>
          <w:kern w:val="0"/>
          <w:sz w:val="32"/>
          <w:szCs w:val="32"/>
        </w:rPr>
        <w:t>部门</w:t>
      </w:r>
      <w:r>
        <w:rPr>
          <w:rFonts w:hint="eastAsia" w:ascii="仿宋_GB2312" w:hAnsi="Times New Roman" w:eastAsia="仿宋_GB2312" w:cs="仿宋_GB2312"/>
          <w:kern w:val="0"/>
          <w:sz w:val="32"/>
          <w:szCs w:val="32"/>
        </w:rPr>
        <w:t>预算</w:t>
      </w:r>
      <w:r>
        <w:rPr>
          <w:rFonts w:hint="eastAsia" w:ascii="仿宋_GB2312" w:hAnsi="Times New Roman" w:eastAsia="仿宋_GB2312" w:cs="仿宋_GB2312"/>
          <w:spacing w:val="2"/>
          <w:kern w:val="0"/>
          <w:sz w:val="32"/>
          <w:szCs w:val="32"/>
        </w:rPr>
        <w:t>包括局机关本级</w:t>
      </w:r>
      <w:r>
        <w:rPr>
          <w:rFonts w:hint="eastAsia" w:ascii="仿宋_GB2312" w:hAnsi="Times New Roman" w:eastAsia="仿宋_GB2312" w:cs="仿宋_GB2312"/>
          <w:spacing w:val="-1"/>
          <w:kern w:val="0"/>
          <w:sz w:val="32"/>
          <w:szCs w:val="32"/>
        </w:rPr>
        <w:t>预算。</w:t>
      </w:r>
    </w:p>
    <w:p>
      <w:pPr>
        <w:pStyle w:val="4"/>
        <w:widowControl/>
        <w:spacing w:beforeAutospacing="0" w:afterAutospacing="0" w:line="450" w:lineRule="atLeast"/>
        <w:ind w:firstLine="640"/>
        <w:jc w:val="both"/>
        <w:rPr>
          <w:rFonts w:ascii="仿宋_GB2312" w:hAnsi="Times New Roman" w:eastAsia="仿宋_GB2312" w:cs="仿宋_GB2312"/>
          <w:spacing w:val="2"/>
          <w:sz w:val="32"/>
          <w:szCs w:val="32"/>
        </w:rPr>
      </w:pPr>
    </w:p>
    <w:p>
      <w:pPr>
        <w:pStyle w:val="3"/>
        <w:widowControl/>
        <w:spacing w:beforeAutospacing="0" w:afterAutospacing="0" w:line="450" w:lineRule="atLeast"/>
        <w:jc w:val="center"/>
        <w:rPr>
          <w:rFonts w:hint="default" w:ascii="黑体" w:eastAsia="黑体" w:cs="黑体"/>
          <w:color w:val="333333"/>
          <w:shd w:val="clear" w:color="auto" w:fill="FFFFFF"/>
        </w:rPr>
      </w:pPr>
    </w:p>
    <w:p>
      <w:pPr>
        <w:pStyle w:val="3"/>
        <w:widowControl/>
        <w:spacing w:beforeAutospacing="0" w:afterAutospacing="0" w:line="450" w:lineRule="atLeast"/>
        <w:jc w:val="center"/>
        <w:rPr>
          <w:rFonts w:hint="default" w:ascii="黑体" w:hAnsi="Times New Roman" w:eastAsia="黑体" w:cs="黑体"/>
          <w:b w:val="0"/>
          <w:bCs w:val="0"/>
          <w:kern w:val="2"/>
          <w:sz w:val="32"/>
          <w:szCs w:val="32"/>
        </w:rPr>
      </w:pPr>
      <w:r>
        <w:rPr>
          <w:rFonts w:ascii="黑体" w:hAnsi="Times New Roman" w:eastAsia="黑体" w:cs="黑体"/>
          <w:b w:val="0"/>
          <w:bCs w:val="0"/>
          <w:kern w:val="2"/>
          <w:sz w:val="32"/>
          <w:szCs w:val="32"/>
        </w:rPr>
        <w:t>第二部分</w:t>
      </w:r>
    </w:p>
    <w:p>
      <w:pPr>
        <w:pStyle w:val="3"/>
        <w:widowControl/>
        <w:spacing w:beforeAutospacing="0" w:afterAutospacing="0" w:line="450" w:lineRule="atLeast"/>
        <w:jc w:val="center"/>
        <w:rPr>
          <w:rFonts w:hint="default" w:ascii="黑体" w:hAnsi="Times New Roman" w:eastAsia="黑体" w:cs="黑体"/>
          <w:b w:val="0"/>
          <w:bCs w:val="0"/>
          <w:kern w:val="2"/>
          <w:sz w:val="32"/>
          <w:szCs w:val="32"/>
        </w:rPr>
      </w:pPr>
      <w:r>
        <w:rPr>
          <w:rFonts w:ascii="黑体" w:hAnsi="Times New Roman" w:eastAsia="黑体" w:cs="黑体"/>
          <w:b w:val="0"/>
          <w:bCs w:val="0"/>
          <w:kern w:val="2"/>
          <w:sz w:val="32"/>
          <w:szCs w:val="32"/>
        </w:rPr>
        <w:t>内乡县科学技术和工业信息化局</w:t>
      </w:r>
    </w:p>
    <w:p>
      <w:pPr>
        <w:pStyle w:val="3"/>
        <w:widowControl/>
        <w:spacing w:beforeAutospacing="0" w:afterAutospacing="0" w:line="450" w:lineRule="atLeast"/>
        <w:jc w:val="center"/>
        <w:rPr>
          <w:rFonts w:hint="default" w:ascii="黑体" w:hAnsi="Times New Roman" w:eastAsia="黑体" w:cs="黑体"/>
          <w:b w:val="0"/>
          <w:bCs w:val="0"/>
          <w:kern w:val="2"/>
          <w:sz w:val="32"/>
          <w:szCs w:val="32"/>
        </w:rPr>
      </w:pPr>
      <w:r>
        <w:rPr>
          <w:rFonts w:ascii="黑体" w:hAnsi="Times New Roman" w:eastAsia="黑体" w:cs="黑体"/>
          <w:b w:val="0"/>
          <w:bCs w:val="0"/>
          <w:kern w:val="2"/>
          <w:sz w:val="32"/>
          <w:szCs w:val="32"/>
        </w:rPr>
        <w:t>2020年部门预算情况说明</w:t>
      </w:r>
    </w:p>
    <w:p>
      <w:pPr>
        <w:widowControl/>
        <w:spacing w:line="450" w:lineRule="atLeast"/>
        <w:rPr>
          <w:rFonts w:ascii="黑体" w:hAnsi="黑体" w:eastAsia="黑体" w:cs="Times New Roman"/>
          <w:sz w:val="32"/>
          <w:szCs w:val="32"/>
        </w:rPr>
      </w:pPr>
      <w:r>
        <w:rPr>
          <w:rFonts w:hint="eastAsia" w:ascii="黑体" w:hAnsi="黑体" w:eastAsia="黑体" w:cs="Times New Roman"/>
          <w:sz w:val="32"/>
          <w:szCs w:val="32"/>
        </w:rPr>
        <w:t>一、收入支出预算总体情况说明</w:t>
      </w:r>
    </w:p>
    <w:p>
      <w:pPr>
        <w:widowControl/>
        <w:spacing w:line="450" w:lineRule="atLeas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我局2020年收入总计817.4 万元，支出总计 817.4 万元，与2019年相比，收入减少293.3  万元，下降 26.41 %。支出减少293.3  万元，下降 26.41 %。主要原因：项目经费减少及压缩三公经费。</w:t>
      </w:r>
    </w:p>
    <w:p>
      <w:pPr>
        <w:widowControl/>
        <w:spacing w:line="450" w:lineRule="atLeast"/>
        <w:rPr>
          <w:rFonts w:ascii="黑体" w:hAnsi="黑体" w:eastAsia="黑体" w:cs="Times New Roman"/>
          <w:sz w:val="32"/>
          <w:szCs w:val="32"/>
        </w:rPr>
      </w:pPr>
      <w:r>
        <w:rPr>
          <w:rFonts w:hint="eastAsia" w:ascii="黑体" w:hAnsi="黑体" w:eastAsia="黑体" w:cs="Times New Roman"/>
          <w:sz w:val="32"/>
          <w:szCs w:val="32"/>
        </w:rPr>
        <w:t>二、收入预算总体情况说明</w:t>
      </w:r>
    </w:p>
    <w:p>
      <w:pPr>
        <w:widowControl/>
        <w:spacing w:line="450" w:lineRule="atLeas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我局2020年收入总计817.4  万元，其中：一般公共预算收入817.4  万元；政府性基金预算收入  0万元。</w:t>
      </w:r>
    </w:p>
    <w:p>
      <w:pPr>
        <w:widowControl/>
        <w:spacing w:line="450" w:lineRule="atLeast"/>
        <w:rPr>
          <w:rFonts w:ascii="黑体" w:hAnsi="黑体" w:eastAsia="黑体" w:cs="Times New Roman"/>
          <w:sz w:val="32"/>
          <w:szCs w:val="32"/>
        </w:rPr>
      </w:pPr>
      <w:r>
        <w:rPr>
          <w:rFonts w:hint="eastAsia" w:ascii="黑体" w:hAnsi="黑体" w:eastAsia="黑体" w:cs="Times New Roman"/>
          <w:sz w:val="32"/>
          <w:szCs w:val="32"/>
        </w:rPr>
        <w:t>三、支出预算总体情况说明</w:t>
      </w:r>
    </w:p>
    <w:p>
      <w:pPr>
        <w:widowControl/>
        <w:spacing w:line="450" w:lineRule="atLeas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我局2020年支出总计 817.4 万元，其中：基本支出 498.5 万元，占总支出的60.99；项目支出318.9万元，占总支出的 39.01  %。</w:t>
      </w:r>
    </w:p>
    <w:p>
      <w:pPr>
        <w:widowControl/>
        <w:spacing w:line="450" w:lineRule="atLeast"/>
        <w:rPr>
          <w:rFonts w:ascii="黑体" w:hAnsi="黑体" w:eastAsia="黑体" w:cs="Times New Roman"/>
          <w:sz w:val="32"/>
          <w:szCs w:val="32"/>
        </w:rPr>
      </w:pPr>
      <w:r>
        <w:rPr>
          <w:rFonts w:hint="eastAsia" w:ascii="黑体" w:hAnsi="黑体" w:eastAsia="黑体" w:cs="Times New Roman"/>
          <w:sz w:val="32"/>
          <w:szCs w:val="32"/>
        </w:rPr>
        <w:t>四、财政拨款收入支出预算总体情况说明</w:t>
      </w:r>
    </w:p>
    <w:p>
      <w:pPr>
        <w:widowControl/>
        <w:spacing w:line="450" w:lineRule="atLeas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我局2020年收入总计817.4  万元，支出总计 817.4 万元，与2019年相比，收入减少293.3  万元，下降 26.41 %。支出减少293.3  万元，下降 26.41 %。主要原因：项目经费减少及压缩三公经费。</w:t>
      </w:r>
    </w:p>
    <w:p>
      <w:pPr>
        <w:widowControl/>
        <w:spacing w:line="450" w:lineRule="atLeast"/>
        <w:rPr>
          <w:rFonts w:ascii="黑体" w:hAnsi="黑体" w:eastAsia="黑体" w:cs="Times New Roman"/>
          <w:sz w:val="32"/>
          <w:szCs w:val="32"/>
        </w:rPr>
      </w:pPr>
      <w:r>
        <w:rPr>
          <w:rFonts w:hint="eastAsia" w:ascii="黑体" w:hAnsi="黑体" w:eastAsia="黑体" w:cs="Times New Roman"/>
          <w:sz w:val="32"/>
          <w:szCs w:val="32"/>
        </w:rPr>
        <w:t>五、一般公共预算支出预算总体情况说明</w:t>
      </w:r>
    </w:p>
    <w:p>
      <w:pPr>
        <w:widowControl/>
        <w:spacing w:line="450" w:lineRule="atLeast"/>
        <w:ind w:firstLine="640"/>
        <w:rPr>
          <w:rFonts w:ascii="仿宋_GB2312" w:hAnsi="宋体" w:eastAsia="仿宋_GB2312" w:cs="Courier New"/>
          <w:sz w:val="32"/>
          <w:szCs w:val="32"/>
        </w:rPr>
      </w:pPr>
      <w:r>
        <w:rPr>
          <w:rFonts w:hint="eastAsia" w:ascii="仿宋_GB2312" w:hAnsi="Times New Roman" w:eastAsia="仿宋_GB2312" w:cs="Times New Roman"/>
          <w:sz w:val="32"/>
          <w:szCs w:val="32"/>
        </w:rPr>
        <w:t>我局2020年一般公共预算支出年初预算 817.4 万元。</w:t>
      </w:r>
      <w:r>
        <w:rPr>
          <w:rFonts w:hint="eastAsia" w:ascii="仿宋_GB2312" w:hAnsi="宋体" w:eastAsia="仿宋_GB2312" w:cs="Courier New"/>
          <w:sz w:val="32"/>
          <w:szCs w:val="32"/>
        </w:rPr>
        <w:t>主要用于以下方面：社会保障和就业支出（类）支出</w:t>
      </w:r>
      <w:r>
        <w:rPr>
          <w:rFonts w:hint="eastAsia" w:ascii="仿宋_GB2312" w:eastAsia="仿宋_GB2312"/>
          <w:sz w:val="32"/>
          <w:szCs w:val="32"/>
        </w:rPr>
        <w:t>38.7</w:t>
      </w:r>
      <w:r>
        <w:rPr>
          <w:rFonts w:hint="eastAsia" w:ascii="仿宋_GB2312" w:hAnsi="宋体" w:eastAsia="仿宋_GB2312" w:cs="Courier New"/>
          <w:sz w:val="32"/>
          <w:szCs w:val="32"/>
        </w:rPr>
        <w:t>万元，占</w:t>
      </w:r>
      <w:r>
        <w:rPr>
          <w:rFonts w:hint="eastAsia" w:ascii="仿宋_GB2312" w:eastAsia="仿宋_GB2312"/>
          <w:sz w:val="32"/>
          <w:szCs w:val="32"/>
        </w:rPr>
        <w:t>4.73</w:t>
      </w:r>
      <w:r>
        <w:rPr>
          <w:rFonts w:ascii="仿宋_GB2312" w:hAnsi="宋体" w:eastAsia="仿宋_GB2312" w:cs="Courier New"/>
          <w:sz w:val="32"/>
          <w:szCs w:val="32"/>
        </w:rPr>
        <w:t>%</w:t>
      </w:r>
      <w:r>
        <w:rPr>
          <w:rFonts w:hint="eastAsia" w:ascii="仿宋_GB2312" w:hAnsi="宋体" w:eastAsia="仿宋_GB2312" w:cs="Courier New"/>
          <w:sz w:val="32"/>
          <w:szCs w:val="32"/>
        </w:rPr>
        <w:t>；卫生健康支出（类）支出32.8万元，占4.01%；资源勘探工业信息等支出（类）支出719万元，占87.96%；住房保障（类）支出</w:t>
      </w:r>
      <w:r>
        <w:rPr>
          <w:rFonts w:hint="eastAsia" w:ascii="仿宋_GB2312" w:eastAsia="仿宋_GB2312"/>
          <w:sz w:val="32"/>
          <w:szCs w:val="32"/>
        </w:rPr>
        <w:t>26.9</w:t>
      </w:r>
      <w:r>
        <w:rPr>
          <w:rFonts w:hint="eastAsia" w:ascii="仿宋_GB2312" w:hAnsi="宋体" w:eastAsia="仿宋_GB2312" w:cs="Courier New"/>
          <w:sz w:val="32"/>
          <w:szCs w:val="32"/>
        </w:rPr>
        <w:t>万元，占</w:t>
      </w:r>
      <w:r>
        <w:rPr>
          <w:rFonts w:hint="eastAsia" w:ascii="仿宋_GB2312" w:eastAsia="仿宋_GB2312"/>
          <w:sz w:val="32"/>
          <w:szCs w:val="32"/>
        </w:rPr>
        <w:t>3.3</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widowControl/>
        <w:spacing w:line="450" w:lineRule="atLeast"/>
        <w:ind w:firstLine="640"/>
        <w:rPr>
          <w:rFonts w:ascii="黑体" w:hAnsi="黑体" w:eastAsia="黑体" w:cs="Times New Roman"/>
          <w:sz w:val="32"/>
          <w:szCs w:val="32"/>
        </w:rPr>
      </w:pPr>
      <w:r>
        <w:rPr>
          <w:rFonts w:hint="eastAsia" w:ascii="黑体" w:hAnsi="黑体" w:eastAsia="黑体" w:cs="Times New Roman"/>
          <w:sz w:val="32"/>
          <w:szCs w:val="32"/>
        </w:rPr>
        <w:t>六、支出预算经济分类情况说明</w:t>
      </w:r>
    </w:p>
    <w:p>
      <w:pPr>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局《支出经济分类汇总表》按两套经济分类科目分别反映不同资金来源的全部预算支出。</w:t>
      </w:r>
    </w:p>
    <w:p>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我单位2020年一般公共预算基本支出498.5万元，其中：人员经费467.9万元，主要包括：基本工资、津贴补贴、奖金、社会保障缴费、伙食补助费、绩效工资、其他工资福利支出、离休费、退休费、退职（役）费、抚恤金、生活补助、医疗费、助学金、奖励金、住房公积金、提租补贴、购房补贴、其他对个人和家庭的补助支出；公用经费30.6</w:t>
      </w:r>
      <w:bookmarkStart w:id="0" w:name="_GoBack"/>
      <w:bookmarkEnd w:id="0"/>
      <w:r>
        <w:rPr>
          <w:rFonts w:hint="eastAsia" w:ascii="仿宋_GB2312" w:eastAsia="仿宋_GB2312"/>
          <w:sz w:val="32"/>
          <w:szCs w:val="32"/>
          <w:highlight w:val="none"/>
          <w:lang w:val="en-US" w:eastAsia="zh-CN"/>
        </w:rPr>
        <w:t>万元，主要包括：办公费、印刷费、咨询费、手续费、水费、电费、邮电费、取暖费、物业管理费、差旅费、因公出国（境）费、维 修（护）费、租赁费、会议费、培训费、公务接待费、专用材料费、劳务费、委托业务费、工会经费、福利费、公务用车运行维护费、其他交通费用、税金及附加费用、其他商品和服务支出、办公设备购置、专用设备购置、大型修缮、信息网络及软件购置更新、其他资本性支出。</w:t>
      </w:r>
    </w:p>
    <w:p>
      <w:pPr>
        <w:widowControl/>
        <w:spacing w:line="450" w:lineRule="atLeast"/>
        <w:ind w:firstLine="640"/>
        <w:rPr>
          <w:rFonts w:hint="eastAsia" w:ascii="仿宋_GB2312" w:hAnsi="Calibri" w:eastAsia="仿宋_GB2312" w:cs="Times New Roman"/>
          <w:sz w:val="32"/>
          <w:szCs w:val="32"/>
        </w:rPr>
      </w:pPr>
    </w:p>
    <w:p>
      <w:pPr>
        <w:widowControl/>
        <w:spacing w:line="450" w:lineRule="atLeast"/>
        <w:rPr>
          <w:rFonts w:ascii="黑体" w:hAnsi="黑体" w:eastAsia="黑体" w:cs="Times New Roman"/>
          <w:sz w:val="32"/>
          <w:szCs w:val="32"/>
        </w:rPr>
      </w:pPr>
      <w:r>
        <w:rPr>
          <w:rFonts w:hint="eastAsia" w:ascii="黑体" w:hAnsi="黑体" w:eastAsia="黑体" w:cs="Times New Roman"/>
          <w:sz w:val="32"/>
          <w:szCs w:val="32"/>
        </w:rPr>
        <w:t>七、政府性基金预算支出情况说明</w:t>
      </w:r>
    </w:p>
    <w:p>
      <w:pPr>
        <w:widowControl/>
        <w:spacing w:line="450" w:lineRule="atLeast"/>
        <w:ind w:firstLine="640"/>
        <w:rPr>
          <w:rFonts w:hint="eastAsia" w:ascii="仿宋_GB2312" w:hAnsi="Calibri" w:eastAsia="仿宋_GB2312" w:cs="Times New Roman"/>
          <w:sz w:val="32"/>
          <w:szCs w:val="32"/>
        </w:rPr>
      </w:pPr>
      <w:r>
        <w:rPr>
          <w:rFonts w:hint="eastAsia" w:ascii="仿宋_GB2312" w:hAnsi="Calibri" w:eastAsia="仿宋_GB2312" w:cs="Times New Roman"/>
          <w:sz w:val="32"/>
          <w:szCs w:val="32"/>
        </w:rPr>
        <w:t>我局2020年无使用政府性基金预算拨款安排的支出。</w:t>
      </w:r>
    </w:p>
    <w:p>
      <w:pPr>
        <w:widowControl/>
        <w:spacing w:line="450" w:lineRule="atLeast"/>
        <w:rPr>
          <w:rFonts w:ascii="黑体" w:hAnsi="黑体" w:eastAsia="黑体" w:cs="Times New Roman"/>
          <w:sz w:val="32"/>
          <w:szCs w:val="32"/>
        </w:rPr>
      </w:pPr>
      <w:r>
        <w:rPr>
          <w:rFonts w:hint="eastAsia" w:ascii="黑体" w:hAnsi="黑体" w:eastAsia="黑体" w:cs="Times New Roman"/>
          <w:sz w:val="32"/>
          <w:szCs w:val="32"/>
        </w:rPr>
        <w:t>八、“三公”经费支出预算情况说明</w:t>
      </w:r>
    </w:p>
    <w:p>
      <w:pPr>
        <w:widowControl/>
        <w:spacing w:line="450" w:lineRule="atLeast"/>
        <w:ind w:firstLine="640"/>
        <w:rPr>
          <w:rFonts w:hint="eastAsia" w:ascii="仿宋_GB2312" w:hAnsi="Calibri" w:eastAsia="仿宋_GB2312" w:cs="Times New Roman"/>
          <w:sz w:val="32"/>
          <w:szCs w:val="32"/>
        </w:rPr>
      </w:pPr>
      <w:r>
        <w:rPr>
          <w:rFonts w:hint="eastAsia" w:ascii="仿宋_GB2312" w:hAnsi="Calibri" w:eastAsia="仿宋_GB2312" w:cs="Times New Roman"/>
          <w:sz w:val="32"/>
          <w:szCs w:val="32"/>
        </w:rPr>
        <w:t>我局2020年一般公共预算安排的“三公”经费预算为 10 万元。2020年“三公”经费支出预算数与2019年持平。</w:t>
      </w:r>
    </w:p>
    <w:p>
      <w:pPr>
        <w:widowControl/>
        <w:spacing w:line="450" w:lineRule="atLeas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具体支出情况如下：</w:t>
      </w:r>
    </w:p>
    <w:p>
      <w:pPr>
        <w:widowControl/>
        <w:spacing w:line="450" w:lineRule="atLeas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（一）因公出国（境）费 0  万元，主要用于单位工作人员公务出国（境）的住宿费、旅费、伙食补助费、杂费、培训费等支出。预算数与2019年持平。</w:t>
      </w:r>
    </w:p>
    <w:p>
      <w:pPr>
        <w:widowControl/>
        <w:spacing w:line="450" w:lineRule="atLeas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（二）公务用车购置及运行费 5 万元，其中，公务用车购置费 0 万元；公务用车运行维护费 5  万元，主要用于开展工作所需公务用车的燃料费、维修费、过路过桥费、保险费等支出。公务用车购置费预算数与2019年相比无变化。公务用车运行维护费预算数比上年减少  0  万元，下降0%。</w:t>
      </w:r>
    </w:p>
    <w:p>
      <w:pPr>
        <w:widowControl/>
        <w:spacing w:line="450" w:lineRule="atLeast"/>
        <w:ind w:firstLine="480" w:firstLineChars="150"/>
        <w:rPr>
          <w:rFonts w:ascii="微软雅黑" w:hAnsi="微软雅黑" w:eastAsia="微软雅黑" w:cs="微软雅黑"/>
          <w:sz w:val="24"/>
        </w:rPr>
      </w:pPr>
      <w:r>
        <w:rPr>
          <w:rFonts w:hint="eastAsia" w:ascii="仿宋_GB2312" w:hAnsi="Calibri" w:eastAsia="仿宋_GB2312" w:cs="Times New Roman"/>
          <w:sz w:val="32"/>
          <w:szCs w:val="32"/>
        </w:rPr>
        <w:t xml:space="preserve">（三）公务接待费  5 万元，主要用于按规定开支的各类公务接待（含外宾接待）支出。预算数比2019年减少  0 万元，下降0%。      </w:t>
      </w:r>
      <w:r>
        <w:rPr>
          <w:rFonts w:hint="eastAsia" w:ascii="微软雅黑" w:hAnsi="微软雅黑" w:eastAsia="微软雅黑" w:cs="微软雅黑"/>
          <w:color w:val="333333"/>
          <w:kern w:val="0"/>
          <w:sz w:val="24"/>
          <w:shd w:val="clear" w:color="auto" w:fill="FFFFFF"/>
        </w:rPr>
        <w:t>   </w:t>
      </w:r>
    </w:p>
    <w:p>
      <w:pPr>
        <w:widowControl/>
        <w:spacing w:line="450" w:lineRule="atLeast"/>
        <w:rPr>
          <w:rFonts w:ascii="黑体" w:hAnsi="黑体" w:eastAsia="黑体" w:cs="Times New Roman"/>
          <w:sz w:val="32"/>
          <w:szCs w:val="32"/>
        </w:rPr>
      </w:pPr>
      <w:r>
        <w:rPr>
          <w:rFonts w:hint="eastAsia" w:ascii="黑体" w:hAnsi="黑体" w:eastAsia="黑体" w:cs="Times New Roman"/>
          <w:sz w:val="32"/>
          <w:szCs w:val="32"/>
        </w:rPr>
        <w:t>九、其他重要事项情况的说明</w:t>
      </w:r>
    </w:p>
    <w:p>
      <w:pPr>
        <w:widowControl/>
        <w:spacing w:line="450" w:lineRule="atLeast"/>
        <w:ind w:firstLine="480" w:firstLineChars="150"/>
        <w:rPr>
          <w:rFonts w:hint="eastAsia" w:ascii="仿宋_GB2312" w:hAnsi="Calibri" w:eastAsia="仿宋_GB2312" w:cs="Times New Roman"/>
          <w:sz w:val="32"/>
          <w:szCs w:val="32"/>
        </w:rPr>
      </w:pPr>
      <w:r>
        <w:rPr>
          <w:rFonts w:hint="eastAsia" w:ascii="仿宋_GB2312" w:hAnsi="Calibri" w:eastAsia="仿宋_GB2312" w:cs="Times New Roman"/>
          <w:sz w:val="32"/>
          <w:szCs w:val="32"/>
        </w:rPr>
        <w:t>（一）机关运行经费支出情况</w:t>
      </w:r>
    </w:p>
    <w:p>
      <w:pPr>
        <w:widowControl/>
        <w:spacing w:line="450" w:lineRule="atLeas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2020年我单位一般公共预算财政拨款的机关运行经费支出为38.9万元，主要用于保障机关正常运转等经费。</w:t>
      </w:r>
    </w:p>
    <w:p>
      <w:pPr>
        <w:widowControl/>
        <w:spacing w:line="450" w:lineRule="atLeast"/>
        <w:ind w:firstLine="480" w:firstLineChars="150"/>
        <w:rPr>
          <w:rFonts w:hint="eastAsia" w:ascii="仿宋_GB2312" w:hAnsi="Calibri" w:eastAsia="仿宋_GB2312" w:cs="Times New Roman"/>
          <w:sz w:val="32"/>
          <w:szCs w:val="32"/>
        </w:rPr>
      </w:pPr>
      <w:r>
        <w:rPr>
          <w:rFonts w:hint="eastAsia" w:ascii="仿宋_GB2312" w:hAnsi="Calibri" w:eastAsia="仿宋_GB2312" w:cs="Times New Roman"/>
          <w:sz w:val="32"/>
          <w:szCs w:val="32"/>
        </w:rPr>
        <w:t>（二）政府采购支出情况</w:t>
      </w:r>
    </w:p>
    <w:p>
      <w:pPr>
        <w:widowControl/>
        <w:spacing w:line="450" w:lineRule="atLeast"/>
        <w:ind w:firstLine="480" w:firstLineChars="150"/>
        <w:rPr>
          <w:rFonts w:hint="eastAsia" w:ascii="仿宋_GB2312" w:hAnsi="Calibri" w:eastAsia="仿宋_GB2312" w:cs="Times New Roman"/>
          <w:sz w:val="32"/>
          <w:szCs w:val="32"/>
        </w:rPr>
      </w:pPr>
      <w:r>
        <w:rPr>
          <w:rFonts w:hint="eastAsia" w:ascii="仿宋_GB2312" w:hAnsi="Calibri" w:eastAsia="仿宋_GB2312" w:cs="Times New Roman"/>
          <w:sz w:val="32"/>
          <w:szCs w:val="32"/>
        </w:rPr>
        <w:t>我局2020年政府采购预算安排   0万元。</w:t>
      </w:r>
    </w:p>
    <w:p>
      <w:pPr>
        <w:widowControl/>
        <w:spacing w:line="450" w:lineRule="atLeast"/>
        <w:ind w:firstLine="480" w:firstLineChars="150"/>
        <w:rPr>
          <w:rFonts w:hint="eastAsia" w:ascii="仿宋_GB2312" w:hAnsi="Calibri" w:eastAsia="仿宋_GB2312" w:cs="Times New Roman"/>
          <w:sz w:val="32"/>
          <w:szCs w:val="32"/>
        </w:rPr>
      </w:pPr>
      <w:r>
        <w:rPr>
          <w:rFonts w:hint="eastAsia" w:ascii="仿宋_GB2312" w:hAnsi="Calibri" w:eastAsia="仿宋_GB2312" w:cs="Times New Roman"/>
          <w:sz w:val="32"/>
          <w:szCs w:val="32"/>
        </w:rPr>
        <w:t>（三）关于预算绩效管理工作开展情况说明</w:t>
      </w:r>
    </w:p>
    <w:p>
      <w:pPr>
        <w:widowControl/>
        <w:spacing w:line="450" w:lineRule="atLeas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2020年我单位未安排预算绩效目标，因为无符合绩效评价的项目。</w:t>
      </w:r>
    </w:p>
    <w:p>
      <w:pPr>
        <w:widowControl/>
        <w:spacing w:line="450" w:lineRule="atLeast"/>
        <w:ind w:firstLine="480" w:firstLineChars="150"/>
        <w:rPr>
          <w:rFonts w:hint="eastAsia" w:ascii="仿宋_GB2312" w:hAnsi="Calibri" w:eastAsia="仿宋_GB2312" w:cs="Times New Roman"/>
          <w:sz w:val="32"/>
          <w:szCs w:val="32"/>
        </w:rPr>
      </w:pPr>
      <w:r>
        <w:rPr>
          <w:rFonts w:hint="eastAsia" w:ascii="仿宋_GB2312" w:hAnsi="Calibri" w:eastAsia="仿宋_GB2312" w:cs="Times New Roman"/>
          <w:sz w:val="32"/>
          <w:szCs w:val="32"/>
        </w:rPr>
        <w:t>（四）国有资产占用情况</w:t>
      </w:r>
    </w:p>
    <w:p>
      <w:pPr>
        <w:widowControl/>
        <w:spacing w:line="450" w:lineRule="atLeas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2019年末，我局所属单位共有车改保留车辆1辆，其中：应急保障用车0辆、一般执法执勤用车0辆、特种专业技术用车0辆，离退休干部用车0辆，其他用车1辆；单价50万元以上通用设备0台（套）。</w:t>
      </w:r>
    </w:p>
    <w:p>
      <w:pPr>
        <w:widowControl/>
        <w:spacing w:line="450" w:lineRule="atLeast"/>
        <w:ind w:firstLine="480" w:firstLineChars="150"/>
        <w:rPr>
          <w:rFonts w:hint="eastAsia" w:ascii="仿宋_GB2312" w:hAnsi="Calibri" w:eastAsia="仿宋_GB2312" w:cs="Times New Roman"/>
          <w:sz w:val="32"/>
          <w:szCs w:val="32"/>
        </w:rPr>
      </w:pPr>
      <w:r>
        <w:rPr>
          <w:rFonts w:hint="eastAsia" w:ascii="仿宋_GB2312" w:hAnsi="Calibri" w:eastAsia="仿宋_GB2312" w:cs="Times New Roman"/>
          <w:sz w:val="32"/>
          <w:szCs w:val="32"/>
        </w:rPr>
        <w:t>（五）专项转移支付项目情况</w:t>
      </w:r>
    </w:p>
    <w:p>
      <w:pPr>
        <w:widowControl/>
        <w:spacing w:line="450" w:lineRule="atLeas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我局2020年无专项转移支付项目。</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第三部分</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名词解释</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一、财政拨款收入：是指省级财政当年拨付的资金。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 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djustRightInd w:val="0"/>
        <w:snapToGrid w:val="0"/>
        <w:spacing w:line="360" w:lineRule="auto"/>
        <w:rPr>
          <w:rFonts w:ascii="黑体" w:hAnsi="黑体" w:eastAsia="黑体"/>
          <w:sz w:val="32"/>
          <w:szCs w:val="32"/>
        </w:rPr>
      </w:pPr>
      <w:r>
        <w:rPr>
          <w:rFonts w:hint="eastAsia" w:ascii="微软雅黑" w:hAnsi="微软雅黑" w:eastAsia="微软雅黑" w:cs="微软雅黑"/>
          <w:b/>
          <w:bCs/>
          <w:color w:val="333333"/>
          <w:sz w:val="24"/>
          <w:shd w:val="clear" w:color="auto" w:fill="FFFFFF"/>
        </w:rPr>
        <w:t> </w:t>
      </w:r>
      <w:r>
        <w:rPr>
          <w:rFonts w:hint="eastAsia" w:ascii="黑体" w:hAnsi="黑体" w:eastAsia="黑体"/>
          <w:sz w:val="32"/>
          <w:szCs w:val="32"/>
        </w:rPr>
        <w:t>附件：</w:t>
      </w:r>
    </w:p>
    <w:p>
      <w:pPr>
        <w:pStyle w:val="4"/>
        <w:widowControl/>
        <w:spacing w:beforeAutospacing="0" w:afterAutospacing="0" w:line="450" w:lineRule="atLeast"/>
        <w:jc w:val="both"/>
        <w:rPr>
          <w:rFonts w:ascii="黑体" w:hAnsi="黑体" w:eastAsia="黑体"/>
          <w:kern w:val="2"/>
          <w:sz w:val="32"/>
          <w:szCs w:val="32"/>
        </w:rPr>
      </w:pPr>
      <w:r>
        <w:rPr>
          <w:rFonts w:hint="eastAsia" w:ascii="黑体" w:hAnsi="黑体" w:eastAsia="黑体"/>
          <w:kern w:val="2"/>
          <w:sz w:val="32"/>
          <w:szCs w:val="32"/>
        </w:rPr>
        <w:t>内乡县科学技术和工业信息化局2020年度部门预算表</w:t>
      </w:r>
    </w:p>
    <w:p>
      <w:pPr>
        <w:rPr>
          <w:rFonts w:hint="eastAsia"/>
        </w:rPr>
        <w:sectPr>
          <w:pgSz w:w="11906" w:h="16838"/>
          <w:pgMar w:top="1440" w:right="1800" w:bottom="1440" w:left="1800" w:header="851" w:footer="992" w:gutter="0"/>
          <w:cols w:space="425" w:num="1"/>
          <w:docGrid w:type="lines" w:linePitch="312" w:charSpace="0"/>
        </w:sectPr>
      </w:pPr>
    </w:p>
    <w:p>
      <w:pPr>
        <w:rPr>
          <w:rFonts w:hint="eastAsia"/>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60790" cy="5301615"/>
            <wp:effectExtent l="0" t="0" r="1651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8860790" cy="5301615"/>
                    </a:xfrm>
                    <a:prstGeom prst="rect">
                      <a:avLst/>
                    </a:prstGeom>
                    <a:noFill/>
                    <a:ln>
                      <a:noFill/>
                    </a:ln>
                  </pic:spPr>
                </pic:pic>
              </a:graphicData>
            </a:graphic>
          </wp:inline>
        </w:drawing>
      </w:r>
    </w:p>
    <w:p>
      <w:pPr>
        <w:rPr>
          <w:rFonts w:hint="eastAsia"/>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8250" cy="5871210"/>
            <wp:effectExtent l="0" t="0" r="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8858250" cy="5871210"/>
                    </a:xfrm>
                    <a:prstGeom prst="rect">
                      <a:avLst/>
                    </a:prstGeom>
                    <a:noFill/>
                    <a:ln>
                      <a:noFill/>
                    </a:ln>
                  </pic:spPr>
                </pic:pic>
              </a:graphicData>
            </a:graphic>
          </wp:inline>
        </w:drawing>
      </w:r>
    </w:p>
    <w:p>
      <w:pPr>
        <w:rPr>
          <w:rFonts w:hint="eastAsia"/>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7615" cy="3837940"/>
            <wp:effectExtent l="0" t="0" r="63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857615" cy="3837940"/>
                    </a:xfrm>
                    <a:prstGeom prst="rect">
                      <a:avLst/>
                    </a:prstGeom>
                    <a:noFill/>
                    <a:ln>
                      <a:noFill/>
                    </a:ln>
                  </pic:spPr>
                </pic:pic>
              </a:graphicData>
            </a:graphic>
          </wp:inline>
        </w:drawing>
      </w:r>
    </w:p>
    <w:p>
      <w:pPr>
        <w:rPr>
          <w:rFonts w:hint="eastAsia"/>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8250" cy="5432425"/>
            <wp:effectExtent l="0" t="0" r="0"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8858250" cy="5432425"/>
                    </a:xfrm>
                    <a:prstGeom prst="rect">
                      <a:avLst/>
                    </a:prstGeom>
                    <a:noFill/>
                    <a:ln>
                      <a:noFill/>
                    </a:ln>
                  </pic:spPr>
                </pic:pic>
              </a:graphicData>
            </a:graphic>
          </wp:inline>
        </w:drawing>
      </w:r>
    </w:p>
    <w:p>
      <w:pPr>
        <w:rPr>
          <w:rFonts w:hint="eastAsia"/>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3805" cy="3978275"/>
            <wp:effectExtent l="0" t="0" r="4445"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8853805" cy="3978275"/>
                    </a:xfrm>
                    <a:prstGeom prst="rect">
                      <a:avLst/>
                    </a:prstGeom>
                    <a:noFill/>
                    <a:ln>
                      <a:noFill/>
                    </a:ln>
                  </pic:spPr>
                </pic:pic>
              </a:graphicData>
            </a:graphic>
          </wp:inline>
        </w:drawing>
      </w:r>
    </w:p>
    <w:p>
      <w:pPr>
        <w:rPr>
          <w:rFonts w:hint="eastAsia"/>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60155" cy="5690870"/>
            <wp:effectExtent l="0" t="0" r="1714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8860155" cy="5690870"/>
                    </a:xfrm>
                    <a:prstGeom prst="rect">
                      <a:avLst/>
                    </a:prstGeom>
                    <a:noFill/>
                    <a:ln>
                      <a:noFill/>
                    </a:ln>
                  </pic:spPr>
                </pic:pic>
              </a:graphicData>
            </a:graphic>
          </wp:inline>
        </w:drawing>
      </w:r>
    </w:p>
    <w:p>
      <w:pPr>
        <w:rPr>
          <w:rFonts w:hint="eastAsia"/>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60155" cy="2689860"/>
            <wp:effectExtent l="0" t="0" r="17145" b="152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8860155" cy="2689860"/>
                    </a:xfrm>
                    <a:prstGeom prst="rect">
                      <a:avLst/>
                    </a:prstGeom>
                    <a:noFill/>
                    <a:ln>
                      <a:noFill/>
                    </a:ln>
                  </pic:spPr>
                </pic:pic>
              </a:graphicData>
            </a:graphic>
          </wp:inline>
        </w:drawing>
      </w:r>
    </w:p>
    <w:p>
      <w:p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6345" cy="4309110"/>
            <wp:effectExtent l="0" t="0" r="1905" b="152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8856345" cy="4309110"/>
                    </a:xfrm>
                    <a:prstGeom prst="rect">
                      <a:avLst/>
                    </a:prstGeom>
                    <a:noFill/>
                    <a:ln>
                      <a:noFill/>
                    </a:ln>
                  </pic:spPr>
                </pic:pic>
              </a:graphicData>
            </a:graphic>
          </wp:inline>
        </w:drawing>
      </w:r>
    </w:p>
    <w:p>
      <w:pPr>
        <w:rPr>
          <w:rFonts w:hint="eastAsia"/>
        </w:rPr>
      </w:pPr>
      <w:r>
        <w:drawing>
          <wp:inline distT="0" distB="0" distL="114300" distR="114300">
            <wp:extent cx="8862695" cy="5527675"/>
            <wp:effectExtent l="0" t="0" r="14605" b="158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8862695" cy="5527675"/>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7E4C0"/>
    <w:multiLevelType w:val="singleLevel"/>
    <w:tmpl w:val="DCA7E4C0"/>
    <w:lvl w:ilvl="0" w:tentative="0">
      <w:start w:val="2"/>
      <w:numFmt w:val="chineseCounting"/>
      <w:suff w:val="nothing"/>
      <w:lvlText w:val="%1、"/>
      <w:lvlJc w:val="left"/>
      <w:rPr>
        <w:rFonts w:hint="eastAsia"/>
      </w:rPr>
    </w:lvl>
  </w:abstractNum>
  <w:abstractNum w:abstractNumId="1">
    <w:nsid w:val="E9EEEF50"/>
    <w:multiLevelType w:val="singleLevel"/>
    <w:tmpl w:val="E9EEEF50"/>
    <w:lvl w:ilvl="0" w:tentative="0">
      <w:start w:val="1"/>
      <w:numFmt w:val="chineseCounting"/>
      <w:suff w:val="nothing"/>
      <w:lvlText w:val="（%1）"/>
      <w:lvlJc w:val="left"/>
      <w:pPr>
        <w:ind w:left="14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3BF8"/>
    <w:rsid w:val="00091EB8"/>
    <w:rsid w:val="000F4B45"/>
    <w:rsid w:val="0017768C"/>
    <w:rsid w:val="002F0E06"/>
    <w:rsid w:val="00335C35"/>
    <w:rsid w:val="00544CA0"/>
    <w:rsid w:val="005F71A7"/>
    <w:rsid w:val="0076680D"/>
    <w:rsid w:val="008408ED"/>
    <w:rsid w:val="00877B7E"/>
    <w:rsid w:val="009E3223"/>
    <w:rsid w:val="00A87194"/>
    <w:rsid w:val="00BB305D"/>
    <w:rsid w:val="00C13588"/>
    <w:rsid w:val="00C73E28"/>
    <w:rsid w:val="00E12187"/>
    <w:rsid w:val="00E33BF8"/>
    <w:rsid w:val="00FB3ACC"/>
    <w:rsid w:val="0E3F180A"/>
    <w:rsid w:val="1A691758"/>
    <w:rsid w:val="1E72701B"/>
    <w:rsid w:val="260B6D6B"/>
    <w:rsid w:val="3EBA7290"/>
    <w:rsid w:val="48103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688</Words>
  <Characters>3925</Characters>
  <Lines>32</Lines>
  <Paragraphs>9</Paragraphs>
  <TotalTime>9</TotalTime>
  <ScaleCrop>false</ScaleCrop>
  <LinksUpToDate>false</LinksUpToDate>
  <CharactersWithSpaces>4604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2021-06-04T01:26:00Z</dcterms:created>
  <dc:creator>Administrator</dc:creator>
  <cp:lastModifiedBy>yhy
</cp:lastModifiedBy>
  <dcterms:modified xsi:type="dcterms:W3CDTF">2021-06-15T09:39:41Z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AAAC7DD10FBA4AA38CD32F88F3979CB9</vt:lpwstr>
  </property>
</Properties>
</file>