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Style w:val="a6"/>
        <w:spacing w:line="700" w:lineRule="exact"/>
        <w:jc w:val="center"/>
        <w:rPr>
          <w:rFonts w:ascii="方正小标宋简体" w:eastAsia="方正小标宋简体" w:hAnsi="微软雅黑" w:hint="eastAsia"/>
          <w:b/>
          <w:bCs/>
          <w:spacing w:val="17"/>
          <w:sz w:val="44"/>
          <w:szCs w:val="44"/>
        </w:rPr>
      </w:pPr>
      <w:r>
        <w:rPr>
          <w:rFonts w:ascii="方正小标宋简体" w:eastAsia="方正小标宋简体" w:hAnsi="微软雅黑" w:hint="eastAsia"/>
          <w:b/>
          <w:bCs/>
          <w:spacing w:val="17"/>
          <w:sz w:val="44"/>
          <w:szCs w:val="44"/>
        </w:rPr>
        <w:t>南召县2022年财政预算执行情况和</w:t>
      </w:r>
    </w:p>
    <w:p w:rsidR="00000000" w:rsidRDefault="00000000">
      <w:pPr>
        <w:pStyle w:val="a6"/>
        <w:spacing w:line="700" w:lineRule="exact"/>
        <w:jc w:val="center"/>
        <w:rPr>
          <w:rFonts w:ascii="方正小标宋简体" w:eastAsia="方正小标宋简体" w:hAnsi="微软雅黑"/>
          <w:b/>
          <w:bCs/>
          <w:spacing w:val="17"/>
          <w:sz w:val="44"/>
          <w:szCs w:val="44"/>
        </w:rPr>
      </w:pPr>
      <w:r>
        <w:rPr>
          <w:rFonts w:ascii="方正小标宋简体" w:eastAsia="方正小标宋简体" w:hAnsi="微软雅黑" w:hint="eastAsia"/>
          <w:b/>
          <w:bCs/>
          <w:spacing w:val="17"/>
          <w:sz w:val="44"/>
          <w:szCs w:val="44"/>
        </w:rPr>
        <w:t>2023年财政预算（草案）的报告</w:t>
      </w:r>
    </w:p>
    <w:p w:rsidR="00000000" w:rsidRDefault="00000000">
      <w:pPr>
        <w:pStyle w:val="a6"/>
        <w:jc w:val="center"/>
        <w:rPr>
          <w:rFonts w:ascii="楷体" w:eastAsia="楷体" w:hAnsi="楷体" w:hint="eastAsia"/>
          <w:sz w:val="32"/>
          <w:szCs w:val="32"/>
        </w:rPr>
      </w:pPr>
    </w:p>
    <w:p w:rsidR="00000000" w:rsidRDefault="00000000">
      <w:pPr>
        <w:pStyle w:val="a6"/>
        <w:jc w:val="center"/>
        <w:rPr>
          <w:rFonts w:ascii="楷体_GB2312" w:eastAsia="楷体_GB2312" w:hAnsi="楷体_GB2312" w:cs="楷体_GB2312" w:hint="eastAsia"/>
          <w:spacing w:val="-11"/>
          <w:sz w:val="32"/>
          <w:szCs w:val="32"/>
        </w:rPr>
      </w:pPr>
      <w:r>
        <w:rPr>
          <w:rFonts w:ascii="楷体_GB2312" w:eastAsia="楷体_GB2312" w:hAnsi="楷体_GB2312" w:cs="楷体_GB2312" w:hint="eastAsia"/>
          <w:spacing w:val="-11"/>
          <w:sz w:val="32"/>
          <w:szCs w:val="32"/>
        </w:rPr>
        <w:t>——2023年2月4日在南召县第十六届人民代表大会第三次会议上</w:t>
      </w:r>
    </w:p>
    <w:p w:rsidR="00000000" w:rsidRDefault="00000000">
      <w:pPr>
        <w:pStyle w:val="a6"/>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南召县财政局局长  余春来</w:t>
      </w:r>
    </w:p>
    <w:p w:rsidR="00000000" w:rsidRDefault="00000000">
      <w:pPr>
        <w:pStyle w:val="a6"/>
        <w:ind w:firstLineChars="200" w:firstLine="640"/>
        <w:rPr>
          <w:rFonts w:ascii="仿宋_GB2312" w:eastAsia="仿宋_GB2312" w:hAnsi="仿宋_GB2312" w:cs="仿宋_GB2312" w:hint="eastAsia"/>
          <w:sz w:val="32"/>
          <w:szCs w:val="32"/>
        </w:rPr>
      </w:pPr>
    </w:p>
    <w:p w:rsidR="00000000" w:rsidRDefault="00000000">
      <w:pPr>
        <w:pStyle w:val="a6"/>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各位代表：</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受县人民政府委托，我向大会报告南召县2022年财政预算执行情况和2023年财政预算草案，请予审议，并请各位政协委员和其他列席会议的同志提出意见。</w:t>
      </w:r>
    </w:p>
    <w:p w:rsidR="00000000" w:rsidRDefault="00000000">
      <w:pPr>
        <w:pStyle w:val="a6"/>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一、2022年预算执行情况</w:t>
      </w:r>
    </w:p>
    <w:p w:rsidR="00000000" w:rsidRDefault="00000000">
      <w:pPr>
        <w:pStyle w:val="a6"/>
        <w:ind w:firstLineChars="200" w:firstLine="640"/>
        <w:jc w:val="both"/>
        <w:rPr>
          <w:rFonts w:ascii="楷体_GB2312" w:eastAsia="楷体_GB2312" w:hAnsi="楷体_GB2312" w:cs="楷体_GB2312" w:hint="eastAsia"/>
          <w:b/>
          <w:bCs/>
          <w:sz w:val="32"/>
          <w:szCs w:val="32"/>
        </w:rPr>
      </w:pPr>
      <w:r>
        <w:rPr>
          <w:rStyle w:val="16"/>
          <w:rFonts w:ascii="楷体_GB2312" w:eastAsia="楷体_GB2312" w:hAnsi="楷体_GB2312" w:cs="楷体_GB2312" w:hint="eastAsia"/>
          <w:sz w:val="32"/>
          <w:szCs w:val="32"/>
        </w:rPr>
        <w:t>（一）一般公共预算执行情况</w:t>
      </w:r>
    </w:p>
    <w:p w:rsidR="00000000" w:rsidRDefault="00000000">
      <w:pPr>
        <w:pStyle w:val="a6"/>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1.全县一般公共预算执行情况</w:t>
      </w:r>
      <w:r>
        <w:rPr>
          <w:rFonts w:ascii="仿宋_GB2312" w:eastAsia="仿宋_GB2312" w:hAnsi="仿宋_GB2312" w:cs="仿宋_GB2312" w:hint="eastAsia"/>
          <w:sz w:val="32"/>
          <w:szCs w:val="32"/>
        </w:rPr>
        <w:t>（详见附表一、二）。</w:t>
      </w:r>
    </w:p>
    <w:p w:rsidR="00000000" w:rsidRDefault="00000000">
      <w:pPr>
        <w:pStyle w:val="a6"/>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全县地方一般公共预算收入实际完成88613万元，占县十六届人大一次会议批准的收入任务84500万元的104.9%，同口径（剔除增值税留抵退税因素，下同）增长14.3%。其中：税收收入实际完成61375万元，增长19.4%；非税收入实际完成27238万元，增长4.3%；税收收入占一般公共预算收入的比重为69.3%。2022年全县一般公共预算支出实际完成386711万元，占县十六届人大常委会五次会议批准调整预算任务444662万元的87%，增长10.1%。</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2022年全县地方一般公共预算收入加上税收返还8619万元、上级各项补助316538万元、债务转贷收入12654万元、调入资金7538万元和上年结余结转58659万元，全县一般公共预算总收入实现492621万元。相应安排一般公共预算支出和上解上级、债务还本以及结转下年支出后，全县一般公共预算实现收支平衡。</w:t>
      </w:r>
    </w:p>
    <w:p w:rsidR="00000000" w:rsidRDefault="00000000">
      <w:pPr>
        <w:pStyle w:val="a6"/>
        <w:ind w:firstLineChars="200" w:firstLine="640"/>
        <w:jc w:val="both"/>
        <w:rPr>
          <w:rFonts w:ascii="仿宋_GB2312" w:eastAsia="仿宋_GB2312" w:hAnsi="仿宋_GB2312" w:cs="仿宋_GB2312" w:hint="eastAsia"/>
          <w:b/>
          <w:bCs/>
          <w:sz w:val="32"/>
          <w:szCs w:val="32"/>
        </w:rPr>
      </w:pPr>
      <w:r>
        <w:rPr>
          <w:rStyle w:val="16"/>
          <w:rFonts w:ascii="仿宋_GB2312" w:eastAsia="仿宋_GB2312" w:hAnsi="仿宋_GB2312" w:cs="仿宋_GB2312" w:hint="eastAsia"/>
          <w:sz w:val="32"/>
          <w:szCs w:val="32"/>
        </w:rPr>
        <w:t>2.县级一般公共预算执行情况</w:t>
      </w:r>
      <w:r>
        <w:rPr>
          <w:rFonts w:ascii="仿宋_GB2312" w:eastAsia="仿宋_GB2312" w:hAnsi="仿宋_GB2312" w:cs="仿宋_GB2312" w:hint="eastAsia"/>
          <w:sz w:val="32"/>
          <w:szCs w:val="32"/>
        </w:rPr>
        <w:t>（详见附表三、四）。</w:t>
      </w:r>
    </w:p>
    <w:p w:rsidR="00000000" w:rsidRDefault="00000000">
      <w:pPr>
        <w:pStyle w:val="a6"/>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县级地方一般公共预算收入实际完成40330万元，占县十六届人大一次会议批准的收入任务41500万元的97.2%，增长4.1%。其中：税收收入实际完成13092万元，增长3.3%；非税收入实际完成27238万元，增长4.3%；税收收入占一般公共预算收入的比重为32.4%。2022年县级一般公共预算支出实际完成346617万元，占县十六届人大常委会五次会议批准调整预算任务404568万元的85.7%，增长8.2%。</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县级一般公共预算收入加上税收返还8619万元、上级各项补助316538万元、乡镇上解21664万元、债务转贷收入12654万元、调入资金7538万元和上年结余结转58659万元，总收入合计466002万元。相应安排一般公共预算支出和上解上级、债务还本以及结转下年支出后，县级一般公共预算实现收支平衡。</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（二）政府性基金预算执行情况</w:t>
      </w:r>
    </w:p>
    <w:p w:rsidR="00000000" w:rsidRDefault="00000000">
      <w:pPr>
        <w:pStyle w:val="a6"/>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lastRenderedPageBreak/>
        <w:t>1.全县政府性基金预算执行情况</w:t>
      </w:r>
      <w:r>
        <w:rPr>
          <w:rFonts w:ascii="仿宋_GB2312" w:eastAsia="仿宋_GB2312" w:hAnsi="仿宋_GB2312" w:cs="仿宋_GB2312" w:hint="eastAsia"/>
          <w:sz w:val="32"/>
          <w:szCs w:val="32"/>
        </w:rPr>
        <w:t>（详见附表五）。</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全县地方政府性基金预算收入实际完成23829万元，占县十六届人大常委会五次会议批准调整预算任务23829万元的100%，下降51.8%。2022年全县政府性基金预算支出实际完成158678万元，占调整预算任务的82.6%，增长31%。</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全县地方政府性基金预算收入23829万元，加上债务收入113400万元、上级各项补助收入16340万元和上年结转41668万元，基金预算总收入195327万元。相应安排政府性基金支出158678万元、上解支出131万元、调出资金3000万元，基金预算总支出161789万元，结转下年支出33448万元，全县政府性基金预算实现收支平衡。</w:t>
      </w:r>
    </w:p>
    <w:p w:rsidR="00000000" w:rsidRDefault="00000000">
      <w:pPr>
        <w:pStyle w:val="a6"/>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2.县级政府性基金预算执行情况</w:t>
      </w:r>
      <w:r>
        <w:rPr>
          <w:rFonts w:ascii="仿宋_GB2312" w:eastAsia="仿宋_GB2312" w:hAnsi="仿宋_GB2312" w:cs="仿宋_GB2312" w:hint="eastAsia"/>
          <w:sz w:val="32"/>
          <w:szCs w:val="32"/>
        </w:rPr>
        <w:t>（详见附表六）。</w:t>
      </w:r>
    </w:p>
    <w:p w:rsidR="00000000" w:rsidRDefault="00000000">
      <w:pPr>
        <w:pStyle w:val="a6"/>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2022年全县地方政府性基金预算收支数均为县级政府性基金预算收支。</w:t>
      </w:r>
    </w:p>
    <w:p w:rsidR="00000000" w:rsidRDefault="00000000">
      <w:pPr>
        <w:pStyle w:val="a6"/>
        <w:ind w:firstLineChars="200" w:firstLine="640"/>
        <w:jc w:val="both"/>
        <w:rPr>
          <w:rFonts w:ascii="仿宋_GB2312" w:eastAsia="仿宋_GB2312" w:hAnsi="仿宋_GB2312" w:cs="仿宋_GB2312" w:hint="eastAsia"/>
          <w:sz w:val="32"/>
          <w:szCs w:val="32"/>
        </w:rPr>
      </w:pPr>
      <w:r>
        <w:rPr>
          <w:rStyle w:val="16"/>
          <w:rFonts w:ascii="楷体_GB2312" w:eastAsia="楷体_GB2312" w:hAnsi="楷体_GB2312" w:cs="楷体_GB2312" w:hint="eastAsia"/>
          <w:sz w:val="32"/>
          <w:szCs w:val="32"/>
        </w:rPr>
        <w:t>（三）社会保险基金预算执行情况</w:t>
      </w:r>
      <w:r>
        <w:rPr>
          <w:rStyle w:val="16"/>
          <w:rFonts w:ascii="楷体_GB2312" w:eastAsia="楷体_GB2312" w:hAnsi="楷体_GB2312" w:cs="楷体_GB2312" w:hint="eastAsia"/>
          <w:b w:val="0"/>
          <w:bCs w:val="0"/>
          <w:sz w:val="32"/>
          <w:szCs w:val="32"/>
        </w:rPr>
        <w:t>（</w:t>
      </w:r>
      <w:r>
        <w:rPr>
          <w:rFonts w:ascii="仿宋_GB2312" w:eastAsia="仿宋_GB2312" w:hAnsi="仿宋_GB2312" w:cs="仿宋_GB2312" w:hint="eastAsia"/>
          <w:sz w:val="32"/>
          <w:szCs w:val="32"/>
        </w:rPr>
        <w:t>详见附表七）</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全县社会保险基金收入实际完成88320万元，占县十六届人大常委会五次会议批准调整预算任务88320万元的100%，增长2.4%；全县社会保险基金支出实际完成75410万元，占调整预算的100%，增长6.6%。2022年全县社会保险基金当期结余12910万元。</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（四）国有资本经营预算执行情况</w:t>
      </w:r>
    </w:p>
    <w:p w:rsidR="00000000" w:rsidRDefault="00000000">
      <w:pPr>
        <w:autoSpaceDE w:val="0"/>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2022年国有资本经营预算收入实际完成5079万元，</w:t>
      </w:r>
      <w:r>
        <w:rPr>
          <w:rFonts w:ascii="仿宋_GB2312" w:eastAsia="仿宋_GB2312" w:hAnsi="仿宋_GB2312" w:cs="仿宋_GB2312" w:hint="eastAsia"/>
          <w:sz w:val="32"/>
          <w:szCs w:val="32"/>
        </w:rPr>
        <w:t>占县十六届人大常委会五次会议批准调整预算任务5079万元的100%，主要来自于金财公司和城投公司利润上缴</w:t>
      </w:r>
      <w:r>
        <w:rPr>
          <w:rFonts w:ascii="仿宋_GB2312" w:eastAsia="仿宋_GB2312" w:hAnsi="仿宋_GB2312" w:cs="仿宋_GB2312" w:hint="eastAsia"/>
          <w:kern w:val="0"/>
          <w:sz w:val="32"/>
          <w:szCs w:val="32"/>
        </w:rPr>
        <w:t>收入。国有资本经营预算支出实际完成5079万元，占调整预算的100 %，其中调入一般预算4538万元，安排其他国有资本支出541万元。国有资本经营预算收支相抵，国有资本经营预算收支平衡。</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（五）地方政府债务情况</w:t>
      </w:r>
    </w:p>
    <w:p w:rsidR="00000000" w:rsidRDefault="00000000">
      <w:pPr>
        <w:pStyle w:val="a6"/>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1.地方政府债务余额情况。</w:t>
      </w:r>
      <w:r>
        <w:rPr>
          <w:rFonts w:ascii="仿宋_GB2312" w:eastAsia="仿宋_GB2312" w:hAnsi="仿宋_GB2312" w:cs="仿宋_GB2312" w:hint="eastAsia"/>
          <w:sz w:val="32"/>
          <w:szCs w:val="32"/>
        </w:rPr>
        <w:t>2022年全县地方政府债务余额50.3亿元，其中：一般债务余额11.5亿元、专项债务余额38.8亿元。</w:t>
      </w:r>
    </w:p>
    <w:p w:rsidR="00000000" w:rsidRDefault="00000000">
      <w:pPr>
        <w:pStyle w:val="a6"/>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2.地方政府债券转贷情况。</w:t>
      </w:r>
      <w:r>
        <w:rPr>
          <w:rFonts w:ascii="仿宋_GB2312" w:eastAsia="仿宋_GB2312" w:hAnsi="仿宋_GB2312" w:cs="仿宋_GB2312" w:hint="eastAsia"/>
          <w:sz w:val="32"/>
          <w:szCs w:val="32"/>
        </w:rPr>
        <w:t>2022年全县争取地方政府债券资金13.63亿元。其中争取</w:t>
      </w:r>
      <w:r>
        <w:rPr>
          <w:rStyle w:val="16"/>
          <w:rFonts w:ascii="仿宋_GB2312" w:eastAsia="仿宋_GB2312" w:hAnsi="仿宋_GB2312" w:cs="仿宋_GB2312" w:hint="eastAsia"/>
          <w:b w:val="0"/>
          <w:bCs w:val="0"/>
          <w:sz w:val="32"/>
          <w:szCs w:val="32"/>
        </w:rPr>
        <w:t>新增债券</w:t>
      </w:r>
      <w:r>
        <w:rPr>
          <w:rFonts w:ascii="仿宋_GB2312" w:eastAsia="仿宋_GB2312" w:hAnsi="仿宋_GB2312" w:cs="仿宋_GB2312" w:hint="eastAsia"/>
          <w:sz w:val="32"/>
          <w:szCs w:val="32"/>
        </w:rPr>
        <w:t>资金11.41亿元（新增一般债券0.07</w:t>
      </w:r>
      <w:r>
        <w:rPr>
          <w:rFonts w:ascii="仿宋_GB2312" w:eastAsia="仿宋_GB2312" w:hAnsi="仿宋_GB2312" w:cs="仿宋_GB2312" w:hint="eastAsia"/>
          <w:sz w:val="32"/>
          <w:szCs w:val="32"/>
          <w:lang w:val="zh-CN"/>
        </w:rPr>
        <w:t>亿元</w:t>
      </w:r>
      <w:r>
        <w:rPr>
          <w:rFonts w:ascii="仿宋_GB2312" w:eastAsia="仿宋_GB2312" w:hAnsi="仿宋_GB2312" w:cs="仿宋_GB2312" w:hint="eastAsia"/>
          <w:sz w:val="32"/>
          <w:szCs w:val="32"/>
        </w:rPr>
        <w:t>、专项债券11.34亿元）；争取再融资债券资金2.22亿元。</w:t>
      </w:r>
    </w:p>
    <w:p w:rsidR="00000000" w:rsidRDefault="00000000">
      <w:pPr>
        <w:pStyle w:val="a6"/>
        <w:ind w:firstLineChars="200" w:firstLine="640"/>
        <w:jc w:val="both"/>
        <w:rPr>
          <w:rFonts w:ascii="仿宋_GB2312" w:eastAsia="仿宋_GB2312" w:hAnsi="仿宋_GB2312" w:cs="仿宋_GB2312"/>
          <w:sz w:val="32"/>
          <w:szCs w:val="32"/>
        </w:rPr>
      </w:pPr>
      <w:r>
        <w:rPr>
          <w:rStyle w:val="16"/>
          <w:rFonts w:ascii="仿宋_GB2312" w:eastAsia="仿宋_GB2312" w:hAnsi="仿宋_GB2312" w:cs="仿宋_GB2312" w:hint="eastAsia"/>
          <w:sz w:val="32"/>
          <w:szCs w:val="32"/>
        </w:rPr>
        <w:t>3.地方政府债务还本付息情况。</w:t>
      </w:r>
      <w:r>
        <w:rPr>
          <w:rFonts w:ascii="仿宋_GB2312" w:eastAsia="仿宋_GB2312" w:hAnsi="仿宋_GB2312" w:cs="仿宋_GB2312" w:hint="eastAsia"/>
          <w:sz w:val="32"/>
          <w:szCs w:val="32"/>
        </w:rPr>
        <w:t>2022年全县偿还地方政府债券本金2.25亿元，其中一般债券本金1.23亿元、专项债券本金1.02亿元；全县支付地方政府债券利息1.51亿元，其中一般债券利息0.42亿元、专项债券利息1.09亿元。</w:t>
      </w:r>
    </w:p>
    <w:p w:rsidR="00000000" w:rsidRDefault="00000000">
      <w:pPr>
        <w:pStyle w:val="a6"/>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需要说明的是，目前省财政厅对我县决算正在进行中，上述数字最终会有微调变动。待决算报告正式编制完成后，再按规定专题向县人大常委会报告。</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lastRenderedPageBreak/>
        <w:t>（六）落实县人大预算决议及主要工作情况</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全县财税部门在县委坚强领导下，在县人大和政协监督指导下，始终不折不扣落实中央决策部署和省市县工作要求，科学统筹疫情防控和经济社会发展，积极发挥财税职能作用，着力强化收入征管，优化财政支出结构，深化预算管理改革，圆满完成各项财政工作任务，有力服务保障了全县四大战略、五大振兴等重点工作任务顺利实施。</w:t>
      </w:r>
    </w:p>
    <w:p w:rsidR="00000000" w:rsidRDefault="00000000">
      <w:pPr>
        <w:pStyle w:val="a6"/>
        <w:ind w:firstLineChars="200" w:firstLine="640"/>
        <w:rPr>
          <w:rStyle w:val="16"/>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1.坚持提质增量，着力稳定收入壮财力</w:t>
      </w:r>
    </w:p>
    <w:p w:rsidR="00000000" w:rsidRDefault="00000000">
      <w:pPr>
        <w:pStyle w:val="a6"/>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b w:val="0"/>
          <w:bCs w:val="0"/>
          <w:sz w:val="32"/>
          <w:szCs w:val="32"/>
        </w:rPr>
        <w:t>强化税源分析研判和收入调度，密切关注经济走势，加强对重点行业、重点领域的税收征管，持续抓好重大项目和重点企业跟踪管控，及时完成税收入库。支持乡镇立足资源优势拓展招商财源建设，落实税收增收激励政策，巩固矿产品行业税费征缴改革成果，全力以赴堵遗补漏挖潜增收。坚持职能部门齐抓共管，强化易漏难管行业综合控税措施，提高成品油批零、医药零售、河砂采销、石材加工、项目占地等行业税收征管实效。挖潜政府性基金预算收入，推进</w:t>
      </w:r>
      <w:r>
        <w:rPr>
          <w:rFonts w:ascii="仿宋_GB2312" w:eastAsia="仿宋_GB2312" w:hAnsi="仿宋_GB2312" w:cs="仿宋_GB2312" w:hint="eastAsia"/>
          <w:sz w:val="32"/>
          <w:szCs w:val="32"/>
        </w:rPr>
        <w:t>成熟优质国有土地出让，支持开展补充耕地占补平衡、拆旧复垦拓展财源，提升土地收益对综合财力的支撑。统筹国有资产资源，通过盘活处置国有资产、完善国有资本收益上缴和调入一般公共预算等机制，推动实现收支平衡。用足用好上级政策，积极争取交通、水利、社保、卫生、教育等重点领域上级转移支付资金31.6亿元，统筹支持社会事业发展；争</w:t>
      </w:r>
      <w:r>
        <w:rPr>
          <w:rFonts w:ascii="仿宋_GB2312" w:eastAsia="仿宋_GB2312" w:hAnsi="仿宋_GB2312" w:cs="仿宋_GB2312" w:hint="eastAsia"/>
          <w:sz w:val="32"/>
          <w:szCs w:val="32"/>
        </w:rPr>
        <w:lastRenderedPageBreak/>
        <w:t>取地方政府新增专项债券资金11.34亿元，有力保障了南召县上河苑城中村改造项目三期、南召县卫生职业中等专业学校附属医院提升改造项目、</w:t>
      </w:r>
      <w:r>
        <w:rPr>
          <w:rStyle w:val="16"/>
          <w:rFonts w:ascii="仿宋_GB2312" w:eastAsia="仿宋_GB2312" w:hAnsi="仿宋_GB2312" w:cs="仿宋_GB2312" w:hint="eastAsia"/>
          <w:b w:val="0"/>
          <w:bCs w:val="0"/>
          <w:sz w:val="32"/>
          <w:szCs w:val="32"/>
        </w:rPr>
        <w:t>南河店镇污水处理厂建设项目</w:t>
      </w:r>
      <w:r>
        <w:rPr>
          <w:rFonts w:ascii="仿宋_GB2312" w:eastAsia="仿宋_GB2312" w:hAnsi="仿宋_GB2312" w:cs="仿宋_GB2312" w:hint="eastAsia"/>
          <w:sz w:val="32"/>
          <w:szCs w:val="32"/>
        </w:rPr>
        <w:t>等重点项目建设，有效缓解了政府年度支出压力。</w:t>
      </w:r>
    </w:p>
    <w:p w:rsidR="00000000" w:rsidRDefault="00000000">
      <w:pPr>
        <w:pStyle w:val="a6"/>
        <w:ind w:firstLineChars="200" w:firstLine="640"/>
        <w:rPr>
          <w:rStyle w:val="16"/>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2.坚持发展要务，着力巩固大盘保重点</w:t>
      </w:r>
    </w:p>
    <w:p w:rsidR="00000000" w:rsidRDefault="00000000">
      <w:pPr>
        <w:pStyle w:val="a6"/>
        <w:ind w:firstLineChars="200" w:firstLine="640"/>
        <w:jc w:val="both"/>
        <w:rPr>
          <w:rStyle w:val="16"/>
          <w:rFonts w:ascii="仿宋_GB2312" w:eastAsia="仿宋_GB2312" w:hAnsi="仿宋_GB2312" w:cs="仿宋_GB2312"/>
          <w:b w:val="0"/>
          <w:bCs w:val="0"/>
          <w:sz w:val="32"/>
          <w:szCs w:val="32"/>
        </w:rPr>
      </w:pPr>
      <w:r>
        <w:rPr>
          <w:rStyle w:val="16"/>
          <w:rFonts w:ascii="仿宋_GB2312" w:eastAsia="仿宋_GB2312" w:hAnsi="仿宋_GB2312" w:cs="仿宋_GB2312" w:hint="eastAsia"/>
          <w:b w:val="0"/>
          <w:bCs w:val="0"/>
          <w:sz w:val="32"/>
          <w:szCs w:val="32"/>
        </w:rPr>
        <w:t>全面释放政策效能，全力稳定经济发展大盘。落实新的组合式减税降费和房租减免等稳经济政策，对县内承租行政事业单位房产的小微企业和个体工商户减免3个月租金，全面落实增值税留抵退税应退尽退政策，为市场主体降成本增加现金流，提升市场主体活力。加大创业担保贷款支持，发挥财政资金撬动引导作用，为受疫情影响的创业个人和小微企业提供资金扶持，推动发放创业担保贷款522笔 11808 万元，惠及各类社会创业人群。完善融资担保增信体系，创新“总对总”直保业务和风险共担机制，通过增加财政担保机构注册资本金、扩大协作金融机构、降低担保费率，着力打造小微企业“贷款+担保+转贷”全链条融资服务，推动金融机构支持小微企业、个体工商户和农户实现低成本融资，累计在保业务171户，在保金额14575万元。强化财政与保险政策联动，全力支持特色优势农业品种保险工作，为全县种植业、养殖业、林业及特色产业稳定发展保驾护航。创新推出政府采购合同信用融资新模式，积极搭建财银企精准对接平台，有效发挥政府采购合同信用价值，为政府采购中标企业融资</w:t>
      </w:r>
      <w:r>
        <w:rPr>
          <w:rStyle w:val="16"/>
          <w:rFonts w:ascii="仿宋_GB2312" w:eastAsia="仿宋_GB2312" w:hAnsi="仿宋_GB2312" w:cs="仿宋_GB2312" w:hint="eastAsia"/>
          <w:b w:val="0"/>
          <w:bCs w:val="0"/>
          <w:sz w:val="32"/>
          <w:szCs w:val="32"/>
        </w:rPr>
        <w:lastRenderedPageBreak/>
        <w:t>纾困解难。聚焦扶持市场主体，全面落实各项优化营商环境惠企利企政策措施。积极协助申报上级制造业高质量发展专项资金、企业创新发展贴息资金、“三大改造”奖补资金和规上工业企业满负荷生产奖励资金，持续开展“万人助万企”点对点精准服务活动，配合做好涉企违规收费专项整治工作，推动各项惠企利企政策落地见效。发挥财政投资在关键时期的逆周期调节作用，利用中央预算内基建补助资金、专项债券资金、</w:t>
      </w:r>
      <w:r>
        <w:rPr>
          <w:rFonts w:ascii="仿宋_GB2312" w:eastAsia="仿宋_GB2312" w:hAnsi="仿宋_GB2312" w:cs="仿宋_GB2312" w:hint="eastAsia"/>
          <w:bCs/>
          <w:kern w:val="2"/>
          <w:sz w:val="32"/>
          <w:szCs w:val="32"/>
        </w:rPr>
        <w:t>PPP项目资金</w:t>
      </w:r>
      <w:r>
        <w:rPr>
          <w:rStyle w:val="16"/>
          <w:rFonts w:ascii="仿宋_GB2312" w:eastAsia="仿宋_GB2312" w:hAnsi="仿宋_GB2312" w:cs="仿宋_GB2312" w:hint="eastAsia"/>
          <w:b w:val="0"/>
          <w:bCs w:val="0"/>
          <w:sz w:val="32"/>
          <w:szCs w:val="32"/>
        </w:rPr>
        <w:t>支持实施了青峰山大桥、县城再生水处理建设项目、黄鸭河风光带景观提升建设项目、城区排水防涝建设项目、县老年养护中心养护院综合楼建设项目、农村学校教师周转宿舍建设项目等一批公共基础设施工程。</w:t>
      </w:r>
    </w:p>
    <w:p w:rsidR="00000000" w:rsidRDefault="00000000">
      <w:pPr>
        <w:pStyle w:val="a6"/>
        <w:ind w:firstLineChars="200" w:firstLine="640"/>
        <w:rPr>
          <w:rStyle w:val="16"/>
          <w:rFonts w:ascii="仿宋_GB2312" w:eastAsia="仿宋_GB2312" w:hAnsi="仿宋_GB2312" w:cs="仿宋_GB2312"/>
          <w:sz w:val="32"/>
          <w:szCs w:val="32"/>
        </w:rPr>
      </w:pPr>
      <w:r>
        <w:rPr>
          <w:rStyle w:val="16"/>
          <w:rFonts w:ascii="仿宋_GB2312" w:eastAsia="仿宋_GB2312" w:hAnsi="仿宋_GB2312" w:cs="仿宋_GB2312" w:hint="eastAsia"/>
          <w:sz w:val="32"/>
          <w:szCs w:val="32"/>
        </w:rPr>
        <w:t>3.坚持有的放矢，着力集中财力惠民生</w:t>
      </w:r>
    </w:p>
    <w:p w:rsidR="00000000" w:rsidRDefault="00000000">
      <w:pPr>
        <w:pStyle w:val="a6"/>
        <w:ind w:firstLineChars="200" w:firstLine="640"/>
        <w:jc w:val="both"/>
        <w:rPr>
          <w:rStyle w:val="16"/>
          <w:rFonts w:ascii="仿宋_GB2312" w:eastAsia="仿宋_GB2312" w:hAnsi="仿宋_GB2312" w:cs="仿宋_GB2312"/>
          <w:sz w:val="32"/>
          <w:szCs w:val="32"/>
        </w:rPr>
      </w:pPr>
      <w:r>
        <w:rPr>
          <w:rStyle w:val="16"/>
          <w:rFonts w:ascii="仿宋_GB2312" w:eastAsia="仿宋_GB2312" w:hAnsi="仿宋_GB2312" w:cs="仿宋_GB2312" w:hint="eastAsia"/>
          <w:b w:val="0"/>
          <w:bCs w:val="0"/>
          <w:sz w:val="32"/>
          <w:szCs w:val="32"/>
        </w:rPr>
        <w:t>2022年全县涉及民生支出占一般公共预算支出比重保持在87%以上。全面实施乡村振兴战略，激活农村发展活力。按照“四个不摘”要求，全年利用统筹整合上级涉农项目资金、县级专项安排等方式，共完成投入29514.6万元，有力支持了巩固脱贫攻坚成果同乡村振兴战略有效衔接；通过惠民一卡通发放农业支持保护资金9927.7万元，落实种粮农民一次性补贴、稻谷补贴、耕地地力保护补贴、农机购置补贴、</w:t>
      </w:r>
      <w:r>
        <w:rPr>
          <w:rFonts w:ascii="仿宋_GB2312" w:eastAsia="仿宋_GB2312" w:hAnsi="仿宋_GB2312" w:cs="仿宋_GB2312" w:hint="eastAsia"/>
          <w:sz w:val="32"/>
          <w:szCs w:val="32"/>
        </w:rPr>
        <w:t>水库移民后期扶持</w:t>
      </w:r>
      <w:r>
        <w:rPr>
          <w:rStyle w:val="16"/>
          <w:rFonts w:ascii="仿宋_GB2312" w:eastAsia="仿宋_GB2312" w:hAnsi="仿宋_GB2312" w:cs="仿宋_GB2312" w:hint="eastAsia"/>
          <w:b w:val="0"/>
          <w:bCs w:val="0"/>
          <w:sz w:val="32"/>
          <w:szCs w:val="32"/>
        </w:rPr>
        <w:t>等惠农强农政策。坚持教育事业优先发展，支持建设高质量教育体系。落实教育生均公用经费投入机制，保障各学校正常教学运转，“两</w:t>
      </w:r>
      <w:r>
        <w:rPr>
          <w:rStyle w:val="16"/>
          <w:rFonts w:ascii="仿宋_GB2312" w:eastAsia="仿宋_GB2312" w:hAnsi="仿宋_GB2312" w:cs="仿宋_GB2312" w:hint="eastAsia"/>
          <w:b w:val="0"/>
          <w:bCs w:val="0"/>
          <w:sz w:val="32"/>
          <w:szCs w:val="32"/>
        </w:rPr>
        <w:lastRenderedPageBreak/>
        <w:t>免一补”资助政策惠及全县义务教育阶段学生78994名；拨付资金4062万元，用于落实义务教育阶段学生营养改善计划；拨付资金4740万元，支持推进中小学校舍维修改造。建立公共卫生稳定投入机制，推进全民卫生健康体系建设。全力做好疫情防控物资采购、全民核酸检测、临时隔离点等资金服务保障工作，统筹推进疫情防控和经济发展；城乡居民基本医疗保险政策补助标准由每人每年580元提高到610元；城乡居民养老保险基础养老金由每人每月108元提高到每人每月113元；及时拨付居民基本医疗保险基金、居民基本养老保险基金等财政补助资金，保障各项基金稳健运行。深化医药卫生体制改革，完善城乡基层医疗卫生机构多渠道补偿机制，持续实施基本药物制度，稳步提升基本卫生服务标准，全面落实公立医院改革六项投入政策，推动紧密型县域医共体建设落地见效。依法提高社会保障水平，筑牢民生保障安全网。拨付资金2亿元，扎实做好城市低保、农村低保、特困供养、孤儿救助、残疾人补贴和医疗救助等困难群众救助；拨付资金1534万元，按照人均300元的标准向城乡低保对象、特困人员发放爱心消费券，确保困难群众不因疫情影响而生活困顿；拨付就业再就业资金1450万元，用于落实大学生公益岗、建档立卡贫困人员公益岗和职业技能培训政策。大力推进文旅体产业全面发展。文化馆、图书馆、博物馆等公益性文化设</w:t>
      </w:r>
      <w:r>
        <w:rPr>
          <w:rStyle w:val="16"/>
          <w:rFonts w:ascii="仿宋_GB2312" w:eastAsia="仿宋_GB2312" w:hAnsi="仿宋_GB2312" w:cs="仿宋_GB2312" w:hint="eastAsia"/>
          <w:b w:val="0"/>
          <w:bCs w:val="0"/>
          <w:sz w:val="32"/>
          <w:szCs w:val="32"/>
        </w:rPr>
        <w:lastRenderedPageBreak/>
        <w:t>施向社会免费开放，举办送戏下乡、戏曲进校园等各类文化活动，启动诸葛书屋建设。</w:t>
      </w:r>
    </w:p>
    <w:p w:rsidR="00000000" w:rsidRDefault="00000000">
      <w:pPr>
        <w:pStyle w:val="a6"/>
        <w:ind w:firstLineChars="200" w:firstLine="640"/>
        <w:rPr>
          <w:rStyle w:val="16"/>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4.坚持破立结合，着力攻坚改革破难题</w:t>
      </w:r>
    </w:p>
    <w:p w:rsidR="00000000" w:rsidRDefault="00000000">
      <w:pPr>
        <w:pStyle w:val="a6"/>
        <w:ind w:firstLineChars="200" w:firstLine="640"/>
        <w:jc w:val="both"/>
        <w:rPr>
          <w:rFonts w:ascii="仿宋_GB2312" w:eastAsia="仿宋_GB2312" w:hAnsi="仿宋_GB2312" w:cs="仿宋_GB2312"/>
          <w:sz w:val="32"/>
          <w:szCs w:val="32"/>
        </w:rPr>
      </w:pPr>
      <w:r>
        <w:rPr>
          <w:rStyle w:val="16"/>
          <w:rFonts w:ascii="仿宋_GB2312" w:eastAsia="仿宋_GB2312" w:hAnsi="仿宋_GB2312" w:cs="仿宋_GB2312" w:hint="eastAsia"/>
          <w:b w:val="0"/>
          <w:bCs w:val="0"/>
          <w:sz w:val="32"/>
          <w:szCs w:val="32"/>
        </w:rPr>
        <w:t>加强预算管理。以项目库建设为龙头，以资金使用绩效为导向，以信息一体化系统为支撑，坚持先谋事、再排钱，严格按照零基预算要求科学编制预算，精准配置资产，坚持有所为有所不为，大力压减三公经费等一般性开支，兜牢“三保”底线，规范预算支出执行，增强预算刚性约束，科学调度拨付国库资金，促进财政预算稳健运行。加强直达资金监管，督促预算单位加快资金分配和使用，防止挤占挪用、沉淀闲置，有效发挥直达机制作用。加强政府债务风险管控。严格按照依法限额举借债务和分类预算管理的要求，管好用好政府债券资金，完善债务风险预警机制，妥善做好国有平台公司债务风险处置。加强财政监督检查管理。审查部门预算单位2021年预算、2020年决算公开情况，按照财政部、省财政厅工作部署组织开展落实减税降费、压减一般性开支过紧日子等7个领域财经秩序专项整治行动，建立健全依法理财、规范用财长效约束制度。加强政府采购领域优化营商环境管理。全面推进政府采购信用平台建设、市场主体信用分级监管、降低企业制度性交易成本、规范采购人内控机制建设、完善质疑答复和投诉处理机制、及时拨付财政资金等，提升政府采购质量和服务水平。加强投资评审管理。强化</w:t>
      </w:r>
      <w:r>
        <w:rPr>
          <w:rFonts w:ascii="仿宋_GB2312" w:eastAsia="仿宋_GB2312" w:hAnsi="仿宋_GB2312" w:cs="仿宋_GB2312" w:hint="eastAsia"/>
          <w:sz w:val="32"/>
          <w:szCs w:val="32"/>
        </w:rPr>
        <w:t>投资评审初审、复</w:t>
      </w:r>
      <w:r>
        <w:rPr>
          <w:rFonts w:ascii="仿宋_GB2312" w:eastAsia="仿宋_GB2312" w:hAnsi="仿宋_GB2312" w:cs="仿宋_GB2312" w:hint="eastAsia"/>
          <w:sz w:val="32"/>
          <w:szCs w:val="32"/>
        </w:rPr>
        <w:lastRenderedPageBreak/>
        <w:t>核、总稽核三级复核制度，运用政府购买服务方式聘请专业中介机构驻点评审增强工作力量，加大对工程建设项目跟踪评审力度，依法依规科学合理审定工程造价，节约政府投资成本。2022年全年共评审预结算项目442个，评审资金额度40.85亿元，审定金额34.13亿元，审减各类不合理资金6.72亿元，平均审减率16.5%。落实国企改革三年行动方案，协同推进国资国企管理体制改革，提升国有优质资产统筹盘活运用效率和国有企业市场化经营水平。</w:t>
      </w:r>
    </w:p>
    <w:p w:rsidR="00000000" w:rsidRDefault="00000000">
      <w:pPr>
        <w:pStyle w:val="a6"/>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在肯定成绩的同时，我们也清醒地认识到当前财政工作仍然存在一些困难和问题：一是财政收入持续增收困难。受疫情反复冲击、新增财源项目不足、土地市场招拍挂难度加大等因素的影响，财政增收压力很大，新增可用财力有限；二是财政收支矛盾突出。刚性开支扩大，政府债券还本付息、乡村振兴建设投入、文明城市创建、养老保险财政补助、增资等支出政策，形成大额刚性开支，财政暂付款规模过大，财政“紧平衡”状态下资金调度十分紧张；三是绩效预算理念尚未牢固确立，财政资源配置和使用效益还有待提升。对此，我们将高度重视，采取有效措施，认真加以解决。</w:t>
      </w:r>
    </w:p>
    <w:p w:rsidR="00000000" w:rsidRDefault="00000000">
      <w:pPr>
        <w:pStyle w:val="a6"/>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二、2023年财政预算草案</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（一）2023年全县预算编制的指导思想</w:t>
      </w:r>
    </w:p>
    <w:p w:rsidR="00000000" w:rsidRDefault="00000000">
      <w:pPr>
        <w:autoSpaceDE w:val="0"/>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2023年预算编制和财政工作将以习近平新时代中国特色社</w:t>
      </w:r>
      <w:r>
        <w:rPr>
          <w:rFonts w:ascii="仿宋_GB2312" w:eastAsia="仿宋_GB2312" w:hAnsi="仿宋_GB2312" w:cs="仿宋_GB2312" w:hint="eastAsia"/>
          <w:kern w:val="0"/>
          <w:sz w:val="32"/>
          <w:szCs w:val="32"/>
        </w:rPr>
        <w:lastRenderedPageBreak/>
        <w:t>会主义思想为指导，全面贯彻落实党的二十大精神，坚持稳中求进工作总基调，完整、准确、全面贯彻新发展理念，加快构建新发展格局，着力推动高质量发展，更好统筹疫情防控和经济社会发展，更好统筹发展和安全，全面深化改革开放，大力提振市场信心，突出做好稳增长、稳就业、稳物价工作，有效防范化解重大风险，推动经济运行整体好转。精准有效实施积极的财政政策，促进经济高质量发展；加强财政资源统筹，加大优化支出结构力度，增强“三保”（保基本民生、保工资、保运转）重点领域财力保障；坚持艰苦奋斗、勤俭节约、精打细算，为全方位推动高质量发展跨越提供坚实的财力保障。</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（二）2023年全县预算编制重点把握原则</w:t>
      </w:r>
    </w:p>
    <w:p w:rsidR="00000000" w:rsidRDefault="00000000">
      <w:pPr>
        <w:autoSpaceDE w:val="0"/>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一是财政资源统筹整合原则。</w:t>
      </w:r>
      <w:r>
        <w:rPr>
          <w:rFonts w:ascii="仿宋_GB2312" w:eastAsia="仿宋_GB2312" w:hAnsi="仿宋_GB2312" w:cs="仿宋_GB2312" w:hint="eastAsia"/>
          <w:sz w:val="32"/>
          <w:szCs w:val="32"/>
        </w:rPr>
        <w:t>树立全口径收入观念，统筹协调一般公共预算、政府性基金预算、社会保险基金预算和国有资本经营预算“四本预算”。能利用政府基金预算安排的项目一般公共预算不再安排，能使用上级专项资金安排的项目本级不再安排。优先消化使用结转资金，积极清理盘活财政存量资金。统筹各类资产资源，通过市场化方式依法依规筹集重大项目建设资金。</w:t>
      </w:r>
    </w:p>
    <w:p w:rsidR="00000000" w:rsidRDefault="00000000">
      <w:pPr>
        <w:autoSpaceDE w:val="0"/>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二是集中财力保重点原则。</w:t>
      </w:r>
      <w:r>
        <w:rPr>
          <w:rFonts w:ascii="仿宋_GB2312" w:eastAsia="仿宋_GB2312" w:hAnsi="仿宋_GB2312" w:cs="仿宋_GB2312" w:hint="eastAsia"/>
          <w:sz w:val="32"/>
          <w:szCs w:val="32"/>
        </w:rPr>
        <w:t>坚持量力而行、尽力而为、收支平衡，集中财力，突出重点，优先保障工资发放、机关运转、基本民生等“三保”支出和偿还政府债务本息等刚性开支，保障中</w:t>
      </w:r>
      <w:r>
        <w:rPr>
          <w:rFonts w:ascii="仿宋_GB2312" w:eastAsia="仿宋_GB2312" w:hAnsi="仿宋_GB2312" w:cs="仿宋_GB2312" w:hint="eastAsia"/>
          <w:sz w:val="32"/>
          <w:szCs w:val="32"/>
        </w:rPr>
        <w:lastRenderedPageBreak/>
        <w:t>央、省、市决策部署和县委、县政府确定的重大项目、重点工作和重要改革支出。</w:t>
      </w:r>
    </w:p>
    <w:p w:rsidR="00000000" w:rsidRDefault="00000000">
      <w:pPr>
        <w:autoSpaceDE w:val="0"/>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三是厉行勤俭节约“过紧日子”原则。</w:t>
      </w:r>
      <w:r>
        <w:rPr>
          <w:rFonts w:ascii="仿宋_GB2312" w:eastAsia="仿宋_GB2312" w:hAnsi="仿宋_GB2312" w:cs="仿宋_GB2312" w:hint="eastAsia"/>
          <w:sz w:val="32"/>
          <w:szCs w:val="32"/>
        </w:rPr>
        <w:t>坚持厉行节约勤俭理财方针，以政府过“紧日子”换取百姓过好日子。建立健全常态化“过紧日子”制度措施，对三公经费、会议费、培训费等非急需非刚性开支应压尽压、可压尽压，严格执行各项经费开支标准，严格新增资产配置管理，切实降低行政运行成本，精打细算节用裕民和支持市场主体发展。</w:t>
      </w:r>
    </w:p>
    <w:p w:rsidR="00000000" w:rsidRDefault="00000000">
      <w:pPr>
        <w:autoSpaceDE w:val="0"/>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四是全面实施预算绩效管理原则。</w:t>
      </w:r>
      <w:r>
        <w:rPr>
          <w:rFonts w:ascii="仿宋_GB2312" w:eastAsia="仿宋_GB2312" w:hAnsi="仿宋_GB2312" w:cs="仿宋_GB2312" w:hint="eastAsia"/>
          <w:sz w:val="32"/>
          <w:szCs w:val="32"/>
        </w:rPr>
        <w:t>强化预算约束、绩效管理，将财政可承受能力、成本效益分析等绩效要素融入项目谋划论证，将绩效评价结果与预算安排、政策调整挂钩有机衔接，坚持优化结构、效益优先，提高财政资金使用效率和使用效益，守好财政运行和政府债务风险底线，为经济社会高质量发展提供坚实的财力支撑。</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（三）2023年预算编制草案</w:t>
      </w:r>
    </w:p>
    <w:p w:rsidR="00000000" w:rsidRDefault="00000000">
      <w:pPr>
        <w:autoSpaceDE w:val="0"/>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1.一般公共预算（草案）</w:t>
      </w:r>
      <w:r>
        <w:rPr>
          <w:rFonts w:ascii="仿宋_GB2312" w:eastAsia="仿宋_GB2312" w:hAnsi="仿宋_GB2312" w:cs="仿宋_GB2312" w:hint="eastAsia"/>
          <w:sz w:val="32"/>
          <w:szCs w:val="32"/>
        </w:rPr>
        <w:t>(详见附表八、九)</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结合2023年全县生产总值、固定资产投资等经济社会发展主要预期，2023年全县地方财政一般公共预算收入按增长13%安排。</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全县一般公共预算收入100133万元，同比增长13%，其中：税收收入70000万元，同比增长14.1%；非税收入30133</w:t>
      </w:r>
      <w:r>
        <w:rPr>
          <w:rFonts w:ascii="仿宋_GB2312" w:eastAsia="仿宋_GB2312" w:hAnsi="仿宋_GB2312" w:cs="仿宋_GB2312" w:hint="eastAsia"/>
          <w:sz w:val="32"/>
          <w:szCs w:val="32"/>
        </w:rPr>
        <w:lastRenderedPageBreak/>
        <w:t>万元，同比增长10.6%；税收占比70%。</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县本级一般公共预算收入46033万元，同比增长14.1%，其中：税收收入15900万元，同比增长21.4%；非税收入30133万元，同比增长10.6%；税收占比34.5%。</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现行财政体制算账，县本级财政一般公共预算收入46033万元，加上级补助收入188404万元、调入资金60000万元、加上年结转57951万元，减预计上解上级支出27500万元，当年县本级地方财力预计为324888万元。按照收支平衡原则，相应安排县本级一般公共预算支出324888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县级一般公共预算支出按功能分类科目情况是：</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一般公共服务支出27567万元，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公共安全支出12882万元，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教育支出99589万元，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科学技术支出2263万元，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文化旅游体育与传媒支出5577万元，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社会保障和就业支出44970万元，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卫生健康支出21306万元，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节能环保支出3450万元，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城乡社区支出3058万元，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农林水支出61828万元，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交通运输支出7998万元，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资源勘探信息等支出628万元，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商业服务业等支出487万元，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自然资源海洋气象等支出1450万元，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住房保障支出7958万元，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粮油物资储备支出695万元，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灾害防治及应急管理支出1868万元，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预备费3500万元，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债务付息支出4435万元，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其他支出13379万元。</w:t>
      </w:r>
    </w:p>
    <w:p w:rsidR="00000000" w:rsidRDefault="00000000">
      <w:pPr>
        <w:autoSpaceDE w:val="0"/>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2.政府性基金预算（草案）</w:t>
      </w:r>
      <w:r>
        <w:rPr>
          <w:rFonts w:ascii="仿宋_GB2312" w:eastAsia="仿宋_GB2312" w:hAnsi="仿宋_GB2312" w:cs="仿宋_GB2312" w:hint="eastAsia"/>
          <w:sz w:val="32"/>
          <w:szCs w:val="32"/>
        </w:rPr>
        <w:t>(详见附表十)</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性基金预算根据基金项目的收入情况和实际支出需要安排，按基金项目编制，做到以收定支，并加大与一般公共预算的统筹力度。2023年县本级政府性基金收入141500万元，加上年结转33448万元、上级基金补助收入266万元、专项债券收入47200万元，收入总计222414万元。安排政府债务还本付息支出26679万元、社会保障和就业支出5460万元、城乡社区支出93348万元、其他支出56927万元，支出总计182414万元，调入一般预算支出40000万元，基金预算收支平衡。</w:t>
      </w:r>
    </w:p>
    <w:p w:rsidR="00000000" w:rsidRDefault="00000000">
      <w:pPr>
        <w:autoSpaceDE w:val="0"/>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3.社会保险基金预算（草案）</w:t>
      </w:r>
      <w:r>
        <w:rPr>
          <w:rFonts w:ascii="仿宋_GB2312" w:eastAsia="仿宋_GB2312" w:hAnsi="仿宋_GB2312" w:cs="仿宋_GB2312" w:hint="eastAsia"/>
          <w:sz w:val="32"/>
          <w:szCs w:val="32"/>
        </w:rPr>
        <w:t>(详见附表十一)</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社会保险基金预算按照统筹层次和社会保险项目分别编制。2023年全县社会保险基金预算收入安排93408万元，支出安排</w:t>
      </w:r>
      <w:r>
        <w:rPr>
          <w:rFonts w:ascii="仿宋_GB2312" w:eastAsia="仿宋_GB2312" w:hAnsi="仿宋_GB2312" w:cs="仿宋_GB2312" w:hint="eastAsia"/>
          <w:sz w:val="32"/>
          <w:szCs w:val="32"/>
        </w:rPr>
        <w:lastRenderedPageBreak/>
        <w:t>77277万元，其中：</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城乡居民基本养老保险基金：收入22768万元，支出15081万元；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城乡居民基本医疗保险基金：收入56833万元，支出51665万元；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城镇职工基本医疗保险基金（含生育保险基金）：收入13807万元，支出10531万元。</w:t>
      </w:r>
    </w:p>
    <w:p w:rsidR="00000000" w:rsidRDefault="00000000">
      <w:pPr>
        <w:autoSpaceDE w:val="0"/>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4.国有资本经营收益预算（草案）</w:t>
      </w:r>
      <w:r>
        <w:rPr>
          <w:rFonts w:ascii="仿宋_GB2312" w:eastAsia="仿宋_GB2312" w:hAnsi="仿宋_GB2312" w:cs="仿宋_GB2312" w:hint="eastAsia"/>
          <w:sz w:val="32"/>
          <w:szCs w:val="32"/>
        </w:rPr>
        <w:t>(详见附表十二)</w:t>
      </w:r>
    </w:p>
    <w:p w:rsidR="00000000" w:rsidRDefault="00000000">
      <w:pPr>
        <w:autoSpaceDE w:val="0"/>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拟安排2023年国有资本经营收益20217万元，其中平台公司国有资本经营净收益20000万元，收益全部调入一般预算弥补支出缺口，其他国有资本支出217万元。</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（四）2023年新增债券资金安排意见</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1月份省财政厅提前下达我县新增专项债务限额47200万元。按照党中央、国务院和财政部有关要求，新增专项债券资金依法用于有一定收益且能覆盖债券还本付息规模的公益性项目，重点聚焦党中央、国务院及省委、省政府确定的交通基础设施、农林水利、生态环保、社会事业等11大类重点建设领域。</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根据上述要求，结合我县经济发展需要和县级预算安排情况，拟将以上专项资金额度分配安排如下项目，按照预算法有关规定和政府债务分类管理要求，列入年度政府性基金预算。</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1.南召县生态智能停车场及配套设施建设项目4000万元。</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2.南召县县级公益性公墓建设项目3900万元。</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3.南召县上河苑城中村改造项目三期6700万元。</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4.南召县综合大市场建设项目2900万元。</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5.南召县全域旅游游客服务中心建设项目8000万元。</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6.南召县产业集聚区标准化厂房建设项目（二期）5100万元。</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7.南召县第二水厂建设项目8600万元。</w:t>
      </w:r>
    </w:p>
    <w:p w:rsidR="00000000" w:rsidRDefault="00000000">
      <w:pPr>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8.南召县红色文化教育中心建设项目8000万元。</w:t>
      </w:r>
    </w:p>
    <w:p w:rsidR="00000000" w:rsidRDefault="00000000">
      <w:pPr>
        <w:pStyle w:val="a0"/>
        <w:spacing w:before="0" w:beforeAutospacing="0" w:after="0"/>
        <w:ind w:firstLineChars="200" w:firstLine="640"/>
        <w:rPr>
          <w:rFonts w:eastAsia="仿宋_GB2312"/>
          <w:sz w:val="32"/>
          <w:szCs w:val="32"/>
        </w:rPr>
      </w:pPr>
      <w:r>
        <w:rPr>
          <w:rFonts w:ascii="仿宋_GB2312" w:eastAsia="仿宋_GB2312" w:hAnsi="仿宋_GB2312" w:cs="仿宋_GB2312" w:hint="eastAsia"/>
          <w:bCs/>
          <w:sz w:val="32"/>
          <w:szCs w:val="32"/>
        </w:rPr>
        <w:t>需要说明的是，受财力所限，今年全县财政支出预算盘子安排的很紧。一些部门提交的支出项目没有编列入年初预算，需要通过加大增收力度、盘活财政存量资金、向上争取专项资金等方式解决，请大家理解。</w:t>
      </w:r>
    </w:p>
    <w:p w:rsidR="00000000" w:rsidRDefault="00000000">
      <w:pPr>
        <w:pStyle w:val="a6"/>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三、完成2023年预算目标的主要措施</w:t>
      </w:r>
    </w:p>
    <w:p w:rsidR="00000000" w:rsidRDefault="00000000">
      <w:pPr>
        <w:widowControl/>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2023年，我们将深入贯彻落实中央、省市决策部署和县委工作要求，认真执行本次人代会关于财政预算报告的审查意见和相关决议决定，落实好积极的财政政策，发挥财政引导调控职能，确保完成全年预算目标任务。</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（一）多措并举抓收入，努力做大财政蛋糕</w:t>
      </w:r>
    </w:p>
    <w:p w:rsidR="00000000" w:rsidRDefault="00000000">
      <w:pPr>
        <w:pStyle w:val="a6"/>
        <w:ind w:firstLineChars="200" w:firstLine="640"/>
        <w:rPr>
          <w:rFonts w:ascii="仿宋_GB2312" w:eastAsia="仿宋_GB2312" w:hAnsi="仿宋_GB2312" w:cs="仿宋_GB2312" w:hint="eastAsia"/>
          <w:bCs/>
          <w:kern w:val="2"/>
          <w:sz w:val="32"/>
          <w:szCs w:val="32"/>
        </w:rPr>
      </w:pPr>
      <w:r>
        <w:rPr>
          <w:rFonts w:ascii="仿宋_GB2312" w:eastAsia="仿宋_GB2312" w:hAnsi="仿宋_GB2312" w:cs="仿宋_GB2312" w:hint="eastAsia"/>
          <w:b/>
          <w:bCs/>
          <w:kern w:val="2"/>
          <w:sz w:val="32"/>
          <w:szCs w:val="32"/>
        </w:rPr>
        <w:t>一是促产业培财源。</w:t>
      </w:r>
      <w:r>
        <w:rPr>
          <w:rFonts w:ascii="仿宋_GB2312" w:eastAsia="仿宋_GB2312" w:hAnsi="仿宋_GB2312" w:cs="仿宋_GB2312" w:hint="eastAsia"/>
          <w:bCs/>
          <w:kern w:val="2"/>
          <w:sz w:val="32"/>
          <w:szCs w:val="32"/>
        </w:rPr>
        <w:t>优化营商环境，通过政策引导、多点带动的方式，加大招商引资和项目建设力度，推动特色主导产业发</w:t>
      </w:r>
      <w:r>
        <w:rPr>
          <w:rFonts w:ascii="仿宋_GB2312" w:eastAsia="仿宋_GB2312" w:hAnsi="仿宋_GB2312" w:cs="仿宋_GB2312" w:hint="eastAsia"/>
          <w:bCs/>
          <w:kern w:val="2"/>
          <w:sz w:val="32"/>
          <w:szCs w:val="32"/>
        </w:rPr>
        <w:lastRenderedPageBreak/>
        <w:t>展。完善县乡体制，充分调动乡镇党委政府当家理财、发展经济、培植财源主动性和积极性，构建财源建设新机制。</w:t>
      </w:r>
      <w:r>
        <w:rPr>
          <w:rFonts w:ascii="仿宋_GB2312" w:eastAsia="仿宋_GB2312" w:hAnsi="仿宋_GB2312" w:cs="仿宋_GB2312" w:hint="eastAsia"/>
          <w:b/>
          <w:bCs/>
          <w:kern w:val="2"/>
          <w:sz w:val="32"/>
          <w:szCs w:val="32"/>
        </w:rPr>
        <w:t>二是强征管提质效。</w:t>
      </w:r>
      <w:r>
        <w:rPr>
          <w:rFonts w:ascii="仿宋_GB2312" w:eastAsia="仿宋_GB2312" w:hAnsi="仿宋_GB2312" w:cs="仿宋_GB2312" w:hint="eastAsia"/>
          <w:bCs/>
          <w:kern w:val="2"/>
          <w:sz w:val="32"/>
          <w:szCs w:val="32"/>
        </w:rPr>
        <w:t>深入推进综合治税，健全税收共治格局。加强对财税收入形势分析，强化重点企业、重大项目、重要税源的跟踪服务，紧盯重点税源，关注重点税种，提升税收征管质效，提高收入质量。持续发力盘活政府性资源资产，推动优质资产处置变现，有效增加土地供给，挖掘非税收入和土地收入增长潜力。</w:t>
      </w:r>
      <w:r>
        <w:rPr>
          <w:rFonts w:ascii="仿宋_GB2312" w:eastAsia="仿宋_GB2312" w:hAnsi="仿宋_GB2312" w:cs="仿宋_GB2312" w:hint="eastAsia"/>
          <w:b/>
          <w:bCs/>
          <w:kern w:val="2"/>
          <w:sz w:val="32"/>
          <w:szCs w:val="32"/>
        </w:rPr>
        <w:t>三是谋项目争资金。</w:t>
      </w:r>
      <w:r>
        <w:rPr>
          <w:rFonts w:ascii="仿宋_GB2312" w:eastAsia="仿宋_GB2312" w:hAnsi="仿宋_GB2312" w:cs="仿宋_GB2312" w:hint="eastAsia"/>
          <w:bCs/>
          <w:kern w:val="2"/>
          <w:sz w:val="32"/>
          <w:szCs w:val="32"/>
        </w:rPr>
        <w:t>把握上级政策动向，加强部门协调配合，积极组织申报项目，大力争取中央和省级预算内投资、地方政府专项债等资金支持，有效对冲减收，增强财政统筹保障能力。发挥国有平台公司对财源建设的拉动作用，持续深化国有企业改革，通过盘活整合划拨国有优质资产等方式壮大平台资产规模，加快市场化转型，为基础设施建设、产业转型发展、城市运营等领域撬动吸引金融资本和社会资本投入。力争2023年金财投资开发公司资产规模壮大到100亿元，企业信用达到2A等级,为进入资本市场融资奠定坚实基础。</w:t>
      </w:r>
      <w:r>
        <w:rPr>
          <w:rFonts w:ascii="仿宋_GB2312" w:eastAsia="仿宋_GB2312" w:hAnsi="仿宋_GB2312" w:cs="仿宋_GB2312" w:hint="eastAsia"/>
          <w:b/>
          <w:bCs/>
          <w:kern w:val="2"/>
          <w:sz w:val="32"/>
          <w:szCs w:val="32"/>
        </w:rPr>
        <w:t>四是重统筹盘存量。</w:t>
      </w:r>
      <w:r>
        <w:rPr>
          <w:rFonts w:ascii="仿宋_GB2312" w:eastAsia="仿宋_GB2312" w:hAnsi="仿宋_GB2312" w:cs="仿宋_GB2312" w:hint="eastAsia"/>
          <w:bCs/>
          <w:kern w:val="2"/>
          <w:sz w:val="32"/>
          <w:szCs w:val="32"/>
        </w:rPr>
        <w:t>持续有效盘活存量资金，加大存量资金统筹力度，加大部门结转资金与年度预算的统筹力度，对于预计结转资金规模较大的项目，不再安排或减少预算安排。</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（二）集中财力保重点，兜牢“三保”支出底线</w:t>
      </w:r>
    </w:p>
    <w:p w:rsidR="00000000" w:rsidRDefault="00000000">
      <w:pPr>
        <w:widowControl/>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lastRenderedPageBreak/>
        <w:t>一是切实保障“三保”支出。</w:t>
      </w:r>
      <w:r>
        <w:rPr>
          <w:rFonts w:ascii="仿宋_GB2312" w:eastAsia="仿宋_GB2312" w:hAnsi="仿宋_GB2312" w:cs="仿宋_GB2312" w:hint="eastAsia"/>
          <w:bCs/>
          <w:sz w:val="32"/>
          <w:szCs w:val="32"/>
        </w:rPr>
        <w:t>加强“三保”预算审核，严格按照我省现行县级基本财力保障范围和标准测算，确保“三保”支出足额编入预算不留缺口。</w:t>
      </w:r>
      <w:r>
        <w:rPr>
          <w:rFonts w:ascii="仿宋_GB2312" w:eastAsia="仿宋_GB2312" w:hAnsi="仿宋_GB2312" w:cs="仿宋_GB2312" w:hint="eastAsia"/>
          <w:b/>
          <w:bCs/>
          <w:sz w:val="32"/>
          <w:szCs w:val="32"/>
        </w:rPr>
        <w:t>二是确保按时偿还到期政府债务和PPP中长期支出项目付费。</w:t>
      </w:r>
      <w:r>
        <w:rPr>
          <w:rFonts w:ascii="仿宋_GB2312" w:eastAsia="仿宋_GB2312" w:hAnsi="仿宋_GB2312" w:cs="仿宋_GB2312" w:hint="eastAsia"/>
          <w:bCs/>
          <w:sz w:val="32"/>
          <w:szCs w:val="32"/>
        </w:rPr>
        <w:t>通过加大组织收入力度、向上争取资金、盘活处置闲置资产等方式，多渠道筹集资金，按时偿还本年度到期政府债务本息。按照PPP项目绩效考评的要求，依据合同规定和项目运行绩效拨付资金。</w:t>
      </w:r>
      <w:r>
        <w:rPr>
          <w:rFonts w:ascii="仿宋_GB2312" w:eastAsia="仿宋_GB2312" w:hAnsi="仿宋_GB2312" w:cs="仿宋_GB2312" w:hint="eastAsia"/>
          <w:b/>
          <w:bCs/>
          <w:sz w:val="32"/>
          <w:szCs w:val="32"/>
        </w:rPr>
        <w:t>三是大力支持社会事业发展。</w:t>
      </w:r>
      <w:r>
        <w:rPr>
          <w:rFonts w:ascii="仿宋_GB2312" w:eastAsia="仿宋_GB2312" w:hAnsi="仿宋_GB2312" w:cs="仿宋_GB2312" w:hint="eastAsia"/>
          <w:bCs/>
          <w:sz w:val="32"/>
          <w:szCs w:val="32"/>
        </w:rPr>
        <w:t>坚持有保有压，将有限财力向民生保障、社会事业、经济发展等关键领域与稳增长、调结构、惠民生等关键环节倾斜。加强财政资源统筹，重点支持乡村振兴、城市提质、教育振兴、生态环保、现代农业、文化旅游产业等重点领域。</w:t>
      </w:r>
      <w:r>
        <w:rPr>
          <w:rFonts w:ascii="仿宋_GB2312" w:eastAsia="仿宋_GB2312" w:hAnsi="仿宋_GB2312" w:cs="仿宋_GB2312" w:hint="eastAsia"/>
          <w:b/>
          <w:bCs/>
          <w:sz w:val="32"/>
          <w:szCs w:val="32"/>
        </w:rPr>
        <w:t>四是不折不扣落实各项惠企利企政策。</w:t>
      </w:r>
      <w:r>
        <w:rPr>
          <w:rFonts w:ascii="仿宋_GB2312" w:eastAsia="仿宋_GB2312" w:hAnsi="仿宋_GB2312" w:cs="仿宋_GB2312" w:hint="eastAsia"/>
          <w:bCs/>
          <w:sz w:val="32"/>
          <w:szCs w:val="32"/>
        </w:rPr>
        <w:t>通过减税降费、预算安排、向上争取、财政贴息、贷款担保、政府采购等方式，深化营商环境建设，为企业发展降成本、增订单，提振市场主体信心，推动经济形势稳步好转。</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（三）深化改革促规范，提升预算执行绩效</w:t>
      </w:r>
    </w:p>
    <w:p w:rsidR="00000000" w:rsidRDefault="00000000">
      <w:pPr>
        <w:pStyle w:val="a6"/>
        <w:ind w:firstLineChars="200" w:firstLine="640"/>
        <w:rPr>
          <w:rFonts w:ascii="仿宋_GB2312" w:eastAsia="仿宋_GB2312" w:hAnsi="仿宋_GB2312" w:cs="仿宋_GB2312" w:hint="eastAsia"/>
          <w:bCs/>
          <w:kern w:val="2"/>
          <w:sz w:val="32"/>
          <w:szCs w:val="32"/>
        </w:rPr>
      </w:pPr>
      <w:r>
        <w:rPr>
          <w:rFonts w:ascii="仿宋_GB2312" w:eastAsia="仿宋_GB2312" w:hAnsi="仿宋_GB2312" w:cs="仿宋_GB2312" w:hint="eastAsia"/>
          <w:b/>
          <w:bCs/>
          <w:kern w:val="2"/>
          <w:sz w:val="32"/>
          <w:szCs w:val="32"/>
        </w:rPr>
        <w:t>一是推进财政管理改革。</w:t>
      </w:r>
      <w:r>
        <w:rPr>
          <w:rFonts w:ascii="仿宋_GB2312" w:eastAsia="仿宋_GB2312" w:hAnsi="仿宋_GB2312" w:cs="仿宋_GB2312" w:hint="eastAsia"/>
          <w:bCs/>
          <w:kern w:val="2"/>
          <w:sz w:val="32"/>
          <w:szCs w:val="32"/>
        </w:rPr>
        <w:t>全面实施零基预算，打破支出固化格局，优化财政资源配置。全面实施预算绩效管理，注重绩效结果在预算安排、项目管理等方面的应用，提升政策效能和资金效益。加强财政收入规范管理，促进财政收入更加健康持续发展。加快财政预算管理一体化系统建设，促进预算管理各项制度系统</w:t>
      </w:r>
      <w:r>
        <w:rPr>
          <w:rFonts w:ascii="仿宋_GB2312" w:eastAsia="仿宋_GB2312" w:hAnsi="仿宋_GB2312" w:cs="仿宋_GB2312" w:hint="eastAsia"/>
          <w:bCs/>
          <w:kern w:val="2"/>
          <w:sz w:val="32"/>
          <w:szCs w:val="32"/>
        </w:rPr>
        <w:lastRenderedPageBreak/>
        <w:t>集成、协同高效。</w:t>
      </w:r>
      <w:r>
        <w:rPr>
          <w:rFonts w:ascii="仿宋_GB2312" w:eastAsia="仿宋_GB2312" w:hAnsi="仿宋_GB2312" w:cs="仿宋_GB2312" w:hint="eastAsia"/>
          <w:b/>
          <w:bCs/>
          <w:kern w:val="2"/>
          <w:sz w:val="32"/>
          <w:szCs w:val="32"/>
        </w:rPr>
        <w:t>二是强化预算绩效监管。</w:t>
      </w:r>
      <w:r>
        <w:rPr>
          <w:rFonts w:ascii="仿宋_GB2312" w:eastAsia="仿宋_GB2312" w:hAnsi="仿宋_GB2312" w:cs="仿宋_GB2312" w:hint="eastAsia"/>
          <w:bCs/>
          <w:kern w:val="2"/>
          <w:sz w:val="32"/>
          <w:szCs w:val="32"/>
        </w:rPr>
        <w:t>加强预算管理，完善预算支出分类管理，加快支出标准体系建设，提高预算编制质量。稳步提升预算绩效管理质量，促进绩效管理与预算编制、执行、监督融合提升。重点推进事前绩效评估工作，坚持“花钱必问效、无效必问责”，将评估结果作为预算安排的重要参考依据。自觉接受人大法律监督、政协民主监督和社会各界监督，充分发挥财会监督、审计监督、纪检监察监督的协同作用，推动各部门各预算单位主体责任落实到位。</w:t>
      </w:r>
      <w:r>
        <w:rPr>
          <w:rFonts w:ascii="仿宋_GB2312" w:eastAsia="仿宋_GB2312" w:hAnsi="仿宋_GB2312" w:cs="仿宋_GB2312" w:hint="eastAsia"/>
          <w:b/>
          <w:bCs/>
          <w:kern w:val="2"/>
          <w:sz w:val="32"/>
          <w:szCs w:val="32"/>
        </w:rPr>
        <w:t>三是落实财政风险防控。</w:t>
      </w:r>
      <w:r>
        <w:rPr>
          <w:rFonts w:ascii="仿宋_GB2312" w:eastAsia="仿宋_GB2312" w:hAnsi="仿宋_GB2312" w:cs="仿宋_GB2312" w:hint="eastAsia"/>
          <w:bCs/>
          <w:kern w:val="2"/>
          <w:sz w:val="32"/>
          <w:szCs w:val="32"/>
        </w:rPr>
        <w:t>坚守底线思维，强化风险意识，加强政府债务预算管理和限额管理。积极向上争取债券资金，配合相关行业主管部门加快项目策划和推进。合理用好专项债券，确保债券资金投向精准有效。妥善处置化解存量隐性债务，促进基层平稳运行。强化国有平台公司金融监管，着力防范化解国企债务风险。建立健全库款风险预警机制，继续兜牢兜实“三保”底线，完善预算执行动态监控机制，实现预算执行全范围、全过程监管，防范资金支付风险。</w:t>
      </w:r>
    </w:p>
    <w:p w:rsidR="00000000" w:rsidRDefault="00000000">
      <w:pPr>
        <w:pStyle w:val="a6"/>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（四）加强管理提素质，增强管财理财能力</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强化理论武装，深入学习贯彻党的二十大全会精神和习近平总书记关于财政经济重要讲话和重要指示批示精神，深刻把握“两个确立”，坚定做到“两个维护”，把不断提升政治领悟力、政治判断力、政治执行力的要求贯穿于财政收支管理工作全过程。落实全面从严治党工作责任制，深入开展党风廉政建设，强</w:t>
      </w:r>
      <w:r>
        <w:rPr>
          <w:rFonts w:ascii="仿宋_GB2312" w:eastAsia="仿宋_GB2312" w:hAnsi="仿宋_GB2312" w:cs="仿宋_GB2312" w:hint="eastAsia"/>
          <w:sz w:val="32"/>
          <w:szCs w:val="32"/>
        </w:rPr>
        <w:lastRenderedPageBreak/>
        <w:t>化重点岗位廉政风险防控，教育引导财政干部牢固树立依法理财和廉洁从政意识，筑牢清正廉洁防线，建设阳光财政。持续开展“观念能力作风建设年”活动，坚持“以政统财、以财辅政”，坚定政治方向，找准职能定位，进一步转变理财观念，提升财政干部综合素质，持续优化干部作风，为全县财政事业发展提供坚实的人才保障。</w:t>
      </w:r>
    </w:p>
    <w:p w:rsidR="00000000" w:rsidRDefault="00000000">
      <w:pPr>
        <w:pStyle w:val="a6"/>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位代表，站在新的发展起点，过去与未来接续承载，机遇与挑战并存同行，我们将在南召县委的坚强领导下，自觉接受县人大的监督指导，认真听取县政协的意见建议，以更加开拓创新的精神，更加奋发有为的干劲，更加强烈的责任担当，扎实做好各项财政工作，为推进南召经济社会高质量发展贡献财政力量。</w:t>
      </w:r>
    </w:p>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表一</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南召县2022年一般公共预算收入完成情况表</w:t>
      </w:r>
    </w:p>
    <w:p w:rsidR="00000000" w:rsidRDefault="00000000">
      <w:pPr>
        <w:ind w:firstLineChars="3400" w:firstLine="7140"/>
        <w:rPr>
          <w:rFonts w:hint="eastAsia"/>
        </w:rPr>
      </w:pPr>
      <w:r>
        <w:rPr>
          <w:rFonts w:hint="eastAsia"/>
        </w:rPr>
        <w:t>单位：万元</w:t>
      </w:r>
    </w:p>
    <w:tbl>
      <w:tblPr>
        <w:tblW w:w="8490" w:type="dxa"/>
        <w:tblInd w:w="0" w:type="dxa"/>
        <w:tblLayout w:type="fixed"/>
        <w:tblCellMar>
          <w:left w:w="0" w:type="dxa"/>
          <w:right w:w="0" w:type="dxa"/>
        </w:tblCellMar>
        <w:tblLook w:val="0000" w:firstRow="0" w:lastRow="0" w:firstColumn="0" w:lastColumn="0" w:noHBand="0" w:noVBand="0"/>
      </w:tblPr>
      <w:tblGrid>
        <w:gridCol w:w="3005"/>
        <w:gridCol w:w="1191"/>
        <w:gridCol w:w="1191"/>
        <w:gridCol w:w="1247"/>
        <w:gridCol w:w="1856"/>
      </w:tblGrid>
      <w:tr w:rsidR="00000000">
        <w:trPr>
          <w:trHeight w:val="567"/>
        </w:trPr>
        <w:tc>
          <w:tcPr>
            <w:tcW w:w="300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1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预算数</w:t>
            </w:r>
          </w:p>
        </w:tc>
        <w:tc>
          <w:tcPr>
            <w:tcW w:w="11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2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8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比上年增长%</w:t>
            </w:r>
          </w:p>
        </w:tc>
      </w:tr>
      <w:tr w:rsidR="00000000">
        <w:trPr>
          <w:trHeight w:val="318"/>
        </w:trPr>
        <w:tc>
          <w:tcPr>
            <w:tcW w:w="30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1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1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2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8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一般公共预算收入合计</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84500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88613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 xml:space="preserve">104.9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14.3</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其中：税收收入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sz w:val="24"/>
                <w:szCs w:val="24"/>
              </w:rPr>
            </w:pPr>
            <w:r>
              <w:rPr>
                <w:rFonts w:ascii="宋体" w:hAnsi="宋体" w:cs="宋体" w:hint="eastAsia"/>
                <w:b/>
                <w:bCs/>
                <w:kern w:val="0"/>
                <w:sz w:val="24"/>
                <w:szCs w:val="24"/>
                <w:lang w:bidi="ar"/>
              </w:rPr>
              <w:t>57500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sz w:val="24"/>
                <w:szCs w:val="24"/>
              </w:rPr>
            </w:pPr>
            <w:r>
              <w:rPr>
                <w:rFonts w:ascii="宋体" w:hAnsi="宋体" w:cs="宋体" w:hint="eastAsia"/>
                <w:b/>
                <w:bCs/>
                <w:kern w:val="0"/>
                <w:sz w:val="24"/>
                <w:szCs w:val="24"/>
                <w:lang w:bidi="ar"/>
              </w:rPr>
              <w:t>61375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sz w:val="24"/>
                <w:szCs w:val="24"/>
              </w:rPr>
            </w:pPr>
            <w:r>
              <w:rPr>
                <w:rFonts w:ascii="宋体" w:hAnsi="宋体" w:cs="宋体" w:hint="eastAsia"/>
                <w:b/>
                <w:bCs/>
                <w:kern w:val="0"/>
                <w:sz w:val="24"/>
                <w:szCs w:val="24"/>
                <w:lang w:bidi="ar"/>
              </w:rPr>
              <w:t>106.7</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sz w:val="24"/>
                <w:szCs w:val="24"/>
              </w:rPr>
            </w:pPr>
            <w:r>
              <w:rPr>
                <w:rFonts w:ascii="宋体" w:hAnsi="宋体" w:cs="宋体" w:hint="eastAsia"/>
                <w:b/>
                <w:bCs/>
                <w:kern w:val="0"/>
                <w:sz w:val="24"/>
                <w:szCs w:val="24"/>
                <w:lang w:bidi="ar"/>
              </w:rPr>
              <w:t>19.4</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1、增值税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25000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33210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132.8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44.6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2、企业所得税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5800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3997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68.9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-23.2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3、个人所得税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1100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1168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106.2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13.6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4、资源税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8000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6553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81.9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2.1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5、城市维护建设税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2100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2425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115.5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20.9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6、房产税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1200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765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63.8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-32.8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7、印花税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539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89.8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1.5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8、城镇土地使用税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1300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1446</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111.2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23.2</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9、土地增值税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2500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1710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68.4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-25.1</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10、车船税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1000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1302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130.2</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11、耕地占用税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4200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4613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109.8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9.1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12、契税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4540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3487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76.8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-19.0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13、环境保护税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160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150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93.8</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13.6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14、其他税收收入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其中：非税收入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27000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27238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100.8</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b/>
                <w:bCs/>
                <w:kern w:val="0"/>
                <w:sz w:val="24"/>
                <w:szCs w:val="24"/>
                <w:lang w:bidi="ar"/>
              </w:rPr>
            </w:pPr>
            <w:r>
              <w:rPr>
                <w:rFonts w:ascii="宋体" w:hAnsi="宋体" w:cs="宋体" w:hint="eastAsia"/>
                <w:b/>
                <w:bCs/>
                <w:kern w:val="0"/>
                <w:sz w:val="24"/>
                <w:szCs w:val="24"/>
                <w:lang w:bidi="ar"/>
              </w:rPr>
              <w:t>4.3</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1、专项收入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1220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2339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191.7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-23.3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2、行政事业性收费收入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3184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2915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91.6</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108.1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3、罚没收入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8974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10124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112.8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8.7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4、国有资源（资产）有偿使用收入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12972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10780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83.1 </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45.0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5、捐赠收入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650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1080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166.2</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115.7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6、政府住房基金收入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-100.0 </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7、其他收入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r>
              <w:rPr>
                <w:rFonts w:ascii="宋体" w:hAnsi="宋体" w:cs="宋体" w:hint="eastAsia"/>
                <w:kern w:val="0"/>
                <w:sz w:val="24"/>
                <w:szCs w:val="24"/>
                <w:lang w:bidi="ar"/>
              </w:rPr>
              <w:t xml:space="preserve">     </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r>
    </w:tbl>
    <w:p w:rsidR="00000000" w:rsidRDefault="00000000"/>
    <w:p w:rsidR="00000000" w:rsidRDefault="00000000">
      <w:pPr>
        <w:rPr>
          <w:rFonts w:hint="eastAsia"/>
        </w:rPr>
      </w:pPr>
      <w:r>
        <w:rPr>
          <w:rFonts w:ascii="黑体" w:eastAsia="黑体" w:hAnsi="黑体" w:cs="黑体" w:hint="eastAsia"/>
          <w:sz w:val="28"/>
          <w:szCs w:val="28"/>
        </w:rPr>
        <w:lastRenderedPageBreak/>
        <w:t>表二</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南召县2022年一般公共预算支出完成情况表</w:t>
      </w:r>
    </w:p>
    <w:p w:rsidR="00000000" w:rsidRDefault="00000000">
      <w:pPr>
        <w:ind w:firstLineChars="2900" w:firstLine="6960"/>
        <w:rPr>
          <w:rFonts w:hint="eastAsia"/>
          <w:sz w:val="24"/>
          <w:szCs w:val="24"/>
        </w:rPr>
      </w:pPr>
      <w:r>
        <w:rPr>
          <w:rFonts w:hint="eastAsia"/>
          <w:sz w:val="24"/>
          <w:szCs w:val="24"/>
        </w:rPr>
        <w:t>单位：万元</w:t>
      </w:r>
    </w:p>
    <w:tbl>
      <w:tblPr>
        <w:tblW w:w="8577" w:type="dxa"/>
        <w:tblInd w:w="0" w:type="dxa"/>
        <w:tblCellMar>
          <w:left w:w="0" w:type="dxa"/>
          <w:right w:w="0" w:type="dxa"/>
        </w:tblCellMar>
        <w:tblLook w:val="0000" w:firstRow="0" w:lastRow="0" w:firstColumn="0" w:lastColumn="0" w:noHBand="0" w:noVBand="0"/>
      </w:tblPr>
      <w:tblGrid>
        <w:gridCol w:w="3175"/>
        <w:gridCol w:w="1134"/>
        <w:gridCol w:w="1134"/>
        <w:gridCol w:w="1410"/>
        <w:gridCol w:w="1724"/>
      </w:tblGrid>
      <w:tr w:rsidR="00000000">
        <w:trPr>
          <w:trHeight w:val="907"/>
        </w:trPr>
        <w:tc>
          <w:tcPr>
            <w:tcW w:w="3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比上年增长%</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一般公共预算支出合计</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444662</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386711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87.0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10.1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一般公共服务支出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43740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43658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99.8</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16.1</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国防支出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公共安全支出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8619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7104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82.4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-24.3 </w:t>
            </w:r>
          </w:p>
        </w:tc>
      </w:tr>
      <w:tr w:rsidR="00000000">
        <w:trPr>
          <w:trHeight w:val="494"/>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94057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78529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83.5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5.8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科学技术支出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5419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5162</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95.3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19.0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8908</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6458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72.5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163.7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56324</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55440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98.4</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-15.9</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卫生健康支出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32580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27719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85.1</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-42.6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节能环保支出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14774</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6303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42.7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114.6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19869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18855</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94.9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234.3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86408</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75009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86.8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24.8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33815</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31627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93.5</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43.7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资源勘探信息等支出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4829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4784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99.1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413.3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商业服务业等支出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658</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658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100.0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30.8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1857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1786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96.2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12.5</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住房保障支出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14290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7067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49.5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71.7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粮油物资储备支出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1042</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839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80.5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-25.3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8877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7117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80.2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50.9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4400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4400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100.0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175.0 </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4196</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4196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100.0 </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10.3 </w:t>
            </w:r>
          </w:p>
        </w:tc>
      </w:tr>
    </w:tbl>
    <w:p w:rsidR="00000000" w:rsidRDefault="00000000">
      <w:pPr>
        <w:rPr>
          <w:rFonts w:hint="eastAsia"/>
        </w:rPr>
      </w:pPr>
      <w:r>
        <w:rPr>
          <w:rFonts w:hint="eastAsia"/>
        </w:rPr>
        <w:br w:type="page"/>
      </w:r>
      <w:r>
        <w:rPr>
          <w:rFonts w:ascii="黑体" w:eastAsia="黑体" w:hAnsi="黑体" w:cs="黑体" w:hint="eastAsia"/>
          <w:sz w:val="28"/>
          <w:szCs w:val="28"/>
        </w:rPr>
        <w:lastRenderedPageBreak/>
        <w:t>表三</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县本级2022年一般公共预算收入完成情况表</w:t>
      </w:r>
    </w:p>
    <w:p w:rsidR="00000000" w:rsidRDefault="00000000">
      <w:pPr>
        <w:ind w:firstLineChars="3400" w:firstLine="7140"/>
        <w:rPr>
          <w:rFonts w:hint="eastAsia"/>
        </w:rPr>
      </w:pPr>
      <w:r>
        <w:rPr>
          <w:rFonts w:hint="eastAsia"/>
        </w:rPr>
        <w:t>单位：万元</w:t>
      </w:r>
    </w:p>
    <w:tbl>
      <w:tblPr>
        <w:tblW w:w="8788" w:type="dxa"/>
        <w:tblInd w:w="0" w:type="dxa"/>
        <w:tblCellMar>
          <w:left w:w="0" w:type="dxa"/>
          <w:right w:w="0" w:type="dxa"/>
        </w:tblCellMar>
        <w:tblLook w:val="0000" w:firstRow="0" w:lastRow="0" w:firstColumn="0" w:lastColumn="0" w:noHBand="0" w:noVBand="0"/>
      </w:tblPr>
      <w:tblGrid>
        <w:gridCol w:w="2098"/>
        <w:gridCol w:w="1304"/>
        <w:gridCol w:w="1304"/>
        <w:gridCol w:w="1304"/>
        <w:gridCol w:w="1361"/>
        <w:gridCol w:w="1417"/>
      </w:tblGrid>
      <w:tr w:rsidR="00000000">
        <w:trPr>
          <w:trHeight w:val="1587"/>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完成数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为预算%</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上年完成数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比上年增长%</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一般公共预算收入合计</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41500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40330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97.2</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38757 </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4.1 </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一、税收收入</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14500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13092</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90.2 </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12666</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3.3 </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二、非税收入</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27000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27238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100.9</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26091 </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4.3 </w:t>
            </w:r>
          </w:p>
        </w:tc>
      </w:tr>
    </w:tbl>
    <w:p w:rsidR="00000000" w:rsidRDefault="00000000">
      <w:pPr>
        <w:rPr>
          <w:rFonts w:hint="eastAsia"/>
        </w:rPr>
      </w:pPr>
      <w:r>
        <w:br w:type="page"/>
      </w:r>
      <w:r>
        <w:rPr>
          <w:rFonts w:ascii="黑体" w:eastAsia="黑体" w:hAnsi="黑体" w:cs="黑体" w:hint="eastAsia"/>
          <w:sz w:val="28"/>
          <w:szCs w:val="28"/>
        </w:rPr>
        <w:lastRenderedPageBreak/>
        <w:t>表四</w:t>
      </w:r>
    </w:p>
    <w:p w:rsidR="00000000" w:rsidRDefault="00000000">
      <w:pPr>
        <w:jc w:val="center"/>
        <w:rPr>
          <w:rFonts w:ascii="方正小标宋_GBK" w:eastAsia="方正小标宋_GBK" w:hAnsi="方正小标宋_GBK" w:cs="方正小标宋_GBK" w:hint="eastAsia"/>
          <w:sz w:val="36"/>
          <w:szCs w:val="36"/>
        </w:rPr>
      </w:pPr>
      <w:r>
        <w:rPr>
          <w:rFonts w:ascii="方正小标宋简体" w:eastAsia="方正小标宋简体" w:hAnsi="方正小标宋简体" w:cs="方正小标宋简体" w:hint="eastAsia"/>
          <w:sz w:val="36"/>
          <w:szCs w:val="36"/>
        </w:rPr>
        <w:t>县本级2022年一般公共预算支出完成情况表</w:t>
      </w:r>
    </w:p>
    <w:p w:rsidR="00000000" w:rsidRDefault="00000000">
      <w:pPr>
        <w:ind w:firstLineChars="3300" w:firstLine="6930"/>
        <w:rPr>
          <w:rFonts w:hint="eastAsia"/>
        </w:rPr>
      </w:pPr>
      <w:r>
        <w:rPr>
          <w:rFonts w:hint="eastAsia"/>
        </w:rPr>
        <w:t>单位：万元</w:t>
      </w:r>
    </w:p>
    <w:tbl>
      <w:tblPr>
        <w:tblW w:w="8769" w:type="dxa"/>
        <w:tblInd w:w="0" w:type="dxa"/>
        <w:tblCellMar>
          <w:left w:w="0" w:type="dxa"/>
          <w:right w:w="0" w:type="dxa"/>
        </w:tblCellMar>
        <w:tblLook w:val="0000" w:firstRow="0" w:lastRow="0" w:firstColumn="0" w:lastColumn="0" w:noHBand="0" w:noVBand="0"/>
      </w:tblPr>
      <w:tblGrid>
        <w:gridCol w:w="3515"/>
        <w:gridCol w:w="1304"/>
        <w:gridCol w:w="1304"/>
        <w:gridCol w:w="1191"/>
        <w:gridCol w:w="1455"/>
      </w:tblGrid>
      <w:tr w:rsidR="00000000">
        <w:trPr>
          <w:trHeight w:val="857"/>
        </w:trPr>
        <w:tc>
          <w:tcPr>
            <w:tcW w:w="3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项　　目</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调整</w:t>
            </w:r>
            <w:r>
              <w:rPr>
                <w:rFonts w:hint="eastAsia"/>
                <w:b/>
                <w:bCs/>
                <w:sz w:val="24"/>
                <w:szCs w:val="24"/>
              </w:rPr>
              <w:t xml:space="preserve">           </w:t>
            </w:r>
            <w:r>
              <w:rPr>
                <w:rFonts w:hint="eastAsia"/>
                <w:b/>
                <w:bCs/>
                <w:sz w:val="24"/>
                <w:szCs w:val="24"/>
              </w:rPr>
              <w:t>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完成数</w:t>
            </w:r>
          </w:p>
        </w:tc>
        <w:tc>
          <w:tcPr>
            <w:tcW w:w="11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为预算</w:t>
            </w:r>
            <w:r>
              <w:rPr>
                <w:rFonts w:hint="eastAsia"/>
                <w:b/>
                <w:bCs/>
                <w:sz w:val="24"/>
                <w:szCs w:val="24"/>
              </w:rPr>
              <w:t>%</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比上年增长</w:t>
            </w:r>
            <w:r>
              <w:rPr>
                <w:rFonts w:hint="eastAsia"/>
                <w:b/>
                <w:bCs/>
                <w:sz w:val="24"/>
                <w:szCs w:val="24"/>
              </w:rPr>
              <w:t>%</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sz w:val="24"/>
                <w:szCs w:val="24"/>
              </w:rPr>
            </w:pPr>
            <w:r>
              <w:rPr>
                <w:rFonts w:hint="eastAsia"/>
                <w:sz w:val="24"/>
                <w:szCs w:val="24"/>
              </w:rPr>
              <w:t>一般公共预算支出合计</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404568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346617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85.7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8.2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一般公共服务支出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28509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28426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99.7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11.8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国防支出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hint="eastAsia"/>
                <w:sz w:val="24"/>
                <w:szCs w:val="24"/>
              </w:rPr>
              <w:t>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hint="eastAsia"/>
                <w:sz w:val="24"/>
                <w:szCs w:val="24"/>
              </w:rPr>
            </w:pP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hint="eastAsia"/>
                <w:sz w:val="24"/>
                <w:szCs w:val="24"/>
              </w:rPr>
            </w:pP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公共安全支出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8619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7104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82.4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-24.3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教育支出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93005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77476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83.3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5.7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科学技术支出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1925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1668</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86.6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-55.4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文化旅游体育与传媒支出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8109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5657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69.8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131.1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社会保障和就业支出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53803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52921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98.4</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-16.7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卫生健康支出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31476</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26615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84.6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-43.7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节能环保支出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14379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5908</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41.1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102.6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城乡社区支出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15415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14401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93.4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461.0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农林水支出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80277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68879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85.8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26.4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交通运输支出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33369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31182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93.4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44.9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资源勘探信息等支出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sz w:val="24"/>
                <w:szCs w:val="24"/>
              </w:rPr>
              <w:t>4729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4684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99.0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402.6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商业服务业等支出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658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658</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100.0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30.8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自然资源海洋气象等支出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1854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1783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96.2</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12.6</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住房保障支出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14205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6982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49.2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72.6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粮油物资储备支出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1042</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839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80.5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-25.3</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灾害防治及应急管理支出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7425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5665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76.3</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42.6</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其他支出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1573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1573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100.0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310.2 </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债务付息支出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4196</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4196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 xml:space="preserve">100.0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10.3</w:t>
            </w:r>
          </w:p>
        </w:tc>
      </w:tr>
    </w:tbl>
    <w:p w:rsidR="00000000" w:rsidRDefault="00000000">
      <w:pPr>
        <w:rPr>
          <w:rFonts w:hint="eastAsia"/>
        </w:rPr>
      </w:pPr>
      <w:r>
        <w:rPr>
          <w:rFonts w:hint="eastAsia"/>
          <w:sz w:val="24"/>
          <w:szCs w:val="24"/>
        </w:rPr>
        <w:br w:type="page"/>
      </w:r>
      <w:r>
        <w:rPr>
          <w:rFonts w:ascii="黑体" w:eastAsia="黑体" w:hAnsi="黑体" w:cs="黑体" w:hint="eastAsia"/>
          <w:sz w:val="28"/>
          <w:szCs w:val="28"/>
        </w:rPr>
        <w:lastRenderedPageBreak/>
        <w:t>表五</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南召县2022年政府性基金预算收支完成情况表</w:t>
      </w:r>
    </w:p>
    <w:p w:rsidR="00000000" w:rsidRDefault="00000000">
      <w:pPr>
        <w:jc w:val="center"/>
        <w:rPr>
          <w:rFonts w:hint="eastAsia"/>
          <w:sz w:val="24"/>
          <w:szCs w:val="24"/>
        </w:rPr>
      </w:pPr>
      <w:r>
        <w:rPr>
          <w:rFonts w:hint="eastAsia"/>
          <w:sz w:val="24"/>
          <w:szCs w:val="24"/>
        </w:rPr>
        <w:t xml:space="preserve">                                                           </w:t>
      </w:r>
      <w:r>
        <w:rPr>
          <w:rFonts w:hint="eastAsia"/>
          <w:sz w:val="24"/>
          <w:szCs w:val="24"/>
        </w:rPr>
        <w:t>单位：万元</w:t>
      </w:r>
    </w:p>
    <w:tbl>
      <w:tblPr>
        <w:tblW w:w="8764" w:type="dxa"/>
        <w:tblInd w:w="0" w:type="dxa"/>
        <w:tblLayout w:type="fixed"/>
        <w:tblCellMar>
          <w:left w:w="0" w:type="dxa"/>
          <w:right w:w="0" w:type="dxa"/>
        </w:tblCellMar>
        <w:tblLook w:val="0000" w:firstRow="0" w:lastRow="0" w:firstColumn="0" w:lastColumn="0" w:noHBand="0" w:noVBand="0"/>
      </w:tblPr>
      <w:tblGrid>
        <w:gridCol w:w="3435"/>
        <w:gridCol w:w="1417"/>
        <w:gridCol w:w="1304"/>
        <w:gridCol w:w="1247"/>
        <w:gridCol w:w="1361"/>
      </w:tblGrid>
      <w:tr w:rsidR="00000000">
        <w:trPr>
          <w:trHeight w:val="794"/>
        </w:trPr>
        <w:tc>
          <w:tcPr>
            <w:tcW w:w="3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增长%</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23829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23829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-51.8</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地方文化事业建设费收入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新型墙体材料专项基金收入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地方育林基金收入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地方水利建设基金收入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政府住房基金收入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城市公用事业附加收入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农业土地开发资金收入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900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国有土地使用权出让金收入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22929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21666</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94.5</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-54.6</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城市基础设施配套费收入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900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900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400" w:firstLine="960"/>
              <w:jc w:val="right"/>
              <w:rPr>
                <w:rFonts w:ascii="宋体" w:hAnsi="宋体" w:cs="宋体" w:hint="eastAsia"/>
                <w:sz w:val="24"/>
                <w:szCs w:val="24"/>
              </w:rPr>
            </w:pPr>
            <w:r>
              <w:rPr>
                <w:rFonts w:ascii="宋体" w:hAnsi="宋体" w:cs="宋体" w:hint="eastAsia"/>
                <w:sz w:val="24"/>
                <w:szCs w:val="24"/>
              </w:rPr>
              <w:t>-28.6</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jc w:val="right"/>
              <w:rPr>
                <w:rFonts w:ascii="宋体" w:hAnsi="宋体" w:cs="宋体" w:hint="eastAsia"/>
                <w:sz w:val="24"/>
                <w:szCs w:val="24"/>
              </w:rPr>
            </w:pPr>
            <w:r>
              <w:rPr>
                <w:rFonts w:ascii="宋体" w:hAnsi="宋体" w:cs="宋体" w:hint="eastAsia"/>
                <w:sz w:val="24"/>
                <w:szCs w:val="24"/>
              </w:rPr>
              <w:t>363</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192126</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158678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82.6</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31.0</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文化体育与传媒支出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11577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6117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52.8</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102.3</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52865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41646</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78.8</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203.9</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438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1.6</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交通运输等支出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115639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99301</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85.9</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2.3</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10955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10955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77.5</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抗疫特别国债安排的支出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652</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652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-44.9</w:t>
            </w:r>
          </w:p>
        </w:tc>
      </w:tr>
    </w:tbl>
    <w:p w:rsidR="00000000" w:rsidRDefault="00000000">
      <w:pPr>
        <w:rPr>
          <w:rFonts w:ascii="黑体" w:eastAsia="黑体" w:hAnsi="黑体" w:cs="黑体" w:hint="eastAsia"/>
          <w:sz w:val="28"/>
          <w:szCs w:val="28"/>
        </w:rPr>
      </w:pPr>
      <w:r>
        <w:rPr>
          <w:rFonts w:ascii="黑体" w:eastAsia="黑体" w:hAnsi="黑体" w:cs="黑体" w:hint="eastAsia"/>
          <w:sz w:val="28"/>
          <w:szCs w:val="28"/>
        </w:rPr>
        <w:lastRenderedPageBreak/>
        <w:t>表六</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县本级2022年政府性基金预算收支完成情况表</w:t>
      </w:r>
    </w:p>
    <w:p w:rsidR="00000000" w:rsidRDefault="00000000">
      <w:pPr>
        <w:wordWrap w:val="0"/>
        <w:jc w:val="right"/>
        <w:rPr>
          <w:sz w:val="24"/>
          <w:szCs w:val="24"/>
        </w:rPr>
      </w:pPr>
      <w:r>
        <w:rPr>
          <w:rFonts w:hint="eastAsia"/>
          <w:sz w:val="24"/>
          <w:szCs w:val="24"/>
        </w:rPr>
        <w:t>单位：万元</w:t>
      </w:r>
      <w:r>
        <w:rPr>
          <w:rFonts w:hint="eastAsia"/>
          <w:sz w:val="24"/>
          <w:szCs w:val="24"/>
        </w:rPr>
        <w:t xml:space="preserve">  </w:t>
      </w:r>
    </w:p>
    <w:tbl>
      <w:tblPr>
        <w:tblW w:w="8793" w:type="dxa"/>
        <w:tblInd w:w="0" w:type="dxa"/>
        <w:tblCellMar>
          <w:left w:w="0" w:type="dxa"/>
          <w:right w:w="0" w:type="dxa"/>
        </w:tblCellMar>
        <w:tblLook w:val="0000" w:firstRow="0" w:lastRow="0" w:firstColumn="0" w:lastColumn="0" w:noHBand="0" w:noVBand="0"/>
      </w:tblPr>
      <w:tblGrid>
        <w:gridCol w:w="3288"/>
        <w:gridCol w:w="1335"/>
        <w:gridCol w:w="1290"/>
        <w:gridCol w:w="1410"/>
        <w:gridCol w:w="1470"/>
      </w:tblGrid>
      <w:tr w:rsidR="00000000">
        <w:trPr>
          <w:trHeight w:val="879"/>
        </w:trPr>
        <w:tc>
          <w:tcPr>
            <w:tcW w:w="3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预算数</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 xml:space="preserve"> 增长%</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23829</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23829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100.0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 xml:space="preserve">-51.8 </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地方文化事业建设费收入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新型墙体材料专项基金收入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地方育林基金收入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地方水利建设基金收入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政府住房基金收入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城市公用事业附加收入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农业土地开发资金收入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300" w:firstLine="720"/>
              <w:jc w:val="right"/>
              <w:rPr>
                <w:rFonts w:ascii="宋体" w:hAnsi="宋体" w:cs="宋体"/>
                <w:sz w:val="24"/>
                <w:szCs w:val="24"/>
              </w:rPr>
            </w:pPr>
            <w:r>
              <w:rPr>
                <w:rFonts w:ascii="宋体" w:hAnsi="宋体" w:cs="宋体" w:hint="eastAsia"/>
                <w:sz w:val="24"/>
                <w:szCs w:val="24"/>
              </w:rPr>
              <w:t>900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国有土地使用权出让金收入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22929</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21666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94.5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 xml:space="preserve">-54.6 </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城市基础设施配套费收入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900</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900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100.0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jc w:val="right"/>
              <w:rPr>
                <w:rFonts w:ascii="宋体" w:hAnsi="宋体" w:cs="宋体"/>
                <w:sz w:val="24"/>
                <w:szCs w:val="24"/>
              </w:rPr>
            </w:pPr>
            <w:r>
              <w:rPr>
                <w:rFonts w:ascii="宋体" w:hAnsi="宋体" w:cs="宋体" w:hint="eastAsia"/>
                <w:sz w:val="24"/>
                <w:szCs w:val="24"/>
              </w:rPr>
              <w:t>-28.6</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300" w:firstLine="720"/>
              <w:jc w:val="right"/>
              <w:rPr>
                <w:rFonts w:ascii="宋体" w:hAnsi="宋体" w:cs="宋体"/>
                <w:sz w:val="24"/>
                <w:szCs w:val="24"/>
              </w:rPr>
            </w:pPr>
            <w:r>
              <w:rPr>
                <w:rFonts w:ascii="宋体" w:hAnsi="宋体" w:cs="宋体" w:hint="eastAsia"/>
                <w:sz w:val="24"/>
                <w:szCs w:val="24"/>
              </w:rPr>
              <w:t>363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192126</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158678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 xml:space="preserve">82.6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 xml:space="preserve">31.0 </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文化体育与传媒</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11577</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6117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52.8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102.3</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52865</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41646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 xml:space="preserve">78.8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 xml:space="preserve">203.9 </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438</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1.6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交通运输等事务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115639</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99301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85.9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 xml:space="preserve">2.3 </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10955</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10955</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 xml:space="preserve">100.0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77.5</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抗疫特别国债安排的支出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652</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652</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r>
              <w:rPr>
                <w:rFonts w:ascii="宋体" w:hAnsi="宋体" w:cs="宋体" w:hint="eastAsia"/>
                <w:kern w:val="0"/>
                <w:sz w:val="24"/>
                <w:szCs w:val="24"/>
                <w:lang w:bidi="ar"/>
              </w:rPr>
              <w:t xml:space="preserve">100.0 </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ascii="宋体" w:hAnsi="宋体" w:cs="宋体" w:hint="eastAsia"/>
                <w:kern w:val="0"/>
                <w:sz w:val="24"/>
                <w:szCs w:val="24"/>
                <w:lang w:bidi="ar"/>
              </w:rPr>
              <w:t>-44.9</w:t>
            </w:r>
          </w:p>
        </w:tc>
      </w:tr>
    </w:tbl>
    <w:p w:rsidR="00000000" w:rsidRDefault="00000000">
      <w:pPr>
        <w:rPr>
          <w:rFonts w:ascii="宋体" w:hAnsi="宋体" w:cs="宋体" w:hint="eastAsia"/>
          <w:sz w:val="24"/>
          <w:szCs w:val="24"/>
        </w:rPr>
      </w:pPr>
    </w:p>
    <w:p w:rsidR="00000000" w:rsidRDefault="00000000">
      <w:pPr>
        <w:rPr>
          <w:rFonts w:ascii="黑体" w:eastAsia="黑体" w:hAnsi="黑体" w:cs="黑体" w:hint="eastAsia"/>
          <w:sz w:val="28"/>
          <w:szCs w:val="28"/>
        </w:rPr>
      </w:pPr>
      <w:r>
        <w:rPr>
          <w:rFonts w:ascii="黑体" w:eastAsia="黑体" w:hAnsi="黑体" w:cs="黑体" w:hint="eastAsia"/>
          <w:sz w:val="28"/>
          <w:szCs w:val="28"/>
        </w:rPr>
        <w:lastRenderedPageBreak/>
        <w:t>表七</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县本级2022年社会保险基金收支完成情况表</w:t>
      </w:r>
    </w:p>
    <w:p w:rsidR="00000000" w:rsidRDefault="00000000">
      <w:pPr>
        <w:wordWrap w:val="0"/>
        <w:jc w:val="right"/>
        <w:rPr>
          <w:rFonts w:hint="eastAsia"/>
          <w:sz w:val="24"/>
          <w:szCs w:val="24"/>
        </w:rPr>
      </w:pPr>
      <w:r>
        <w:rPr>
          <w:rFonts w:hint="eastAsia"/>
          <w:sz w:val="24"/>
          <w:szCs w:val="24"/>
        </w:rPr>
        <w:t>单位：万元</w:t>
      </w:r>
    </w:p>
    <w:tbl>
      <w:tblPr>
        <w:tblW w:w="8929" w:type="dxa"/>
        <w:tblInd w:w="0" w:type="dxa"/>
        <w:tblLayout w:type="fixed"/>
        <w:tblCellMar>
          <w:left w:w="0" w:type="dxa"/>
          <w:right w:w="0" w:type="dxa"/>
        </w:tblCellMar>
        <w:tblLook w:val="0000" w:firstRow="0" w:lastRow="0" w:firstColumn="0" w:lastColumn="0" w:noHBand="0" w:noVBand="0"/>
      </w:tblPr>
      <w:tblGrid>
        <w:gridCol w:w="3515"/>
        <w:gridCol w:w="1787"/>
        <w:gridCol w:w="1667"/>
        <w:gridCol w:w="1960"/>
      </w:tblGrid>
      <w:tr w:rsidR="00000000">
        <w:trPr>
          <w:trHeight w:val="850"/>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b/>
                <w:bCs/>
                <w:sz w:val="24"/>
                <w:szCs w:val="24"/>
              </w:rPr>
            </w:pPr>
            <w:r>
              <w:rPr>
                <w:rFonts w:ascii="宋体" w:hAnsi="宋体" w:cs="宋体" w:hint="eastAsia"/>
                <w:b/>
                <w:bCs/>
                <w:sz w:val="24"/>
                <w:szCs w:val="24"/>
              </w:rPr>
              <w:t>调整预算数</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社会保险基金预算收入</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88320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 88320</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hint="eastAsia"/>
                <w:sz w:val="24"/>
                <w:szCs w:val="24"/>
              </w:rPr>
              <w:t xml:space="preserve">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hint="eastAsia"/>
                <w:sz w:val="24"/>
                <w:szCs w:val="24"/>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hint="eastAsia"/>
                <w:sz w:val="24"/>
                <w:szCs w:val="24"/>
              </w:rPr>
              <w:t xml:space="preserve">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19331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19331</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55889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55889</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城镇职工基本医疗保险基金（生育保险基金）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13100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13100</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社会保险基金预算支出</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75410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75410</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hint="eastAsia"/>
                <w:sz w:val="24"/>
                <w:szCs w:val="24"/>
              </w:rPr>
              <w:t xml:space="preserve">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hint="eastAsia"/>
                <w:sz w:val="24"/>
                <w:szCs w:val="24"/>
              </w:rPr>
              <w:t xml:space="preserve">  </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hint="eastAsia"/>
                <w:sz w:val="24"/>
                <w:szCs w:val="24"/>
              </w:rPr>
              <w:t xml:space="preserve">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13478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13478</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50205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50205</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城镇职工基本医疗保险基金（生育保险基金）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11727 </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11727</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hint="eastAsia"/>
                <w:sz w:val="24"/>
                <w:szCs w:val="24"/>
              </w:rPr>
              <w:t xml:space="preserve">100%  </w:t>
            </w: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表八</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南召县2023年一般公共预算收入预算表（草案）</w:t>
      </w:r>
    </w:p>
    <w:p w:rsidR="00000000" w:rsidRDefault="00000000">
      <w:pPr>
        <w:ind w:firstLineChars="2900" w:firstLine="6960"/>
        <w:rPr>
          <w:rFonts w:hint="eastAsia"/>
          <w:sz w:val="24"/>
          <w:szCs w:val="32"/>
        </w:rPr>
      </w:pPr>
      <w:r>
        <w:rPr>
          <w:rFonts w:hint="eastAsia"/>
          <w:sz w:val="24"/>
          <w:szCs w:val="32"/>
        </w:rPr>
        <w:t>单位：万元</w:t>
      </w:r>
    </w:p>
    <w:tbl>
      <w:tblPr>
        <w:tblW w:w="8624" w:type="dxa"/>
        <w:tblInd w:w="0" w:type="dxa"/>
        <w:tblLayout w:type="fixed"/>
        <w:tblCellMar>
          <w:left w:w="0" w:type="dxa"/>
          <w:right w:w="0" w:type="dxa"/>
        </w:tblCellMar>
        <w:tblLook w:val="0000" w:firstRow="0" w:lastRow="0" w:firstColumn="0" w:lastColumn="0" w:noHBand="0" w:noVBand="0"/>
      </w:tblPr>
      <w:tblGrid>
        <w:gridCol w:w="2741"/>
        <w:gridCol w:w="1347"/>
        <w:gridCol w:w="1421"/>
        <w:gridCol w:w="1194"/>
        <w:gridCol w:w="1139"/>
        <w:gridCol w:w="782"/>
      </w:tblGrid>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2023年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预算数</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2022年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增长%</w:t>
            </w:r>
          </w:p>
        </w:tc>
        <w:tc>
          <w:tcPr>
            <w:tcW w:w="1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绝对额</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增减</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备注</w:t>
            </w: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一般公共预算收入</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100133</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88613</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13.0</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11520</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46033</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40330</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14.1</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5693</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54100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48283</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12.1</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5827</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一、税务部门税收小计</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70000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61375</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14.1</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8625</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15900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13092</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21.4</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2798</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54100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48283</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12.1</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5827</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二、非税收入小计</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30133</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27238</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10.6</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2895</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30133</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27238</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10.6</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2895</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0</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bl>
    <w:p w:rsidR="00000000" w:rsidRDefault="00000000">
      <w:pPr>
        <w:rPr>
          <w:rFonts w:ascii="黑体" w:eastAsia="黑体" w:hAnsi="黑体" w:cs="黑体" w:hint="eastAsia"/>
          <w:sz w:val="28"/>
          <w:szCs w:val="28"/>
        </w:rPr>
      </w:pPr>
      <w:r>
        <w:rPr>
          <w:sz w:val="24"/>
          <w:szCs w:val="24"/>
        </w:rPr>
        <w:br w:type="page"/>
      </w:r>
      <w:r>
        <w:rPr>
          <w:rFonts w:ascii="黑体" w:eastAsia="黑体" w:hAnsi="黑体" w:cs="黑体" w:hint="eastAsia"/>
          <w:sz w:val="28"/>
          <w:szCs w:val="28"/>
        </w:rPr>
        <w:lastRenderedPageBreak/>
        <w:t>表九</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县本级2023年一般公共预算支出预算表（草案）</w:t>
      </w:r>
    </w:p>
    <w:p w:rsidR="00000000" w:rsidRDefault="00000000">
      <w:pPr>
        <w:ind w:firstLineChars="2900" w:firstLine="6960"/>
        <w:rPr>
          <w:rFonts w:hint="eastAsia"/>
        </w:rPr>
      </w:pPr>
      <w:r>
        <w:rPr>
          <w:rFonts w:hint="eastAsia"/>
          <w:sz w:val="24"/>
          <w:szCs w:val="24"/>
        </w:rPr>
        <w:t>单位：万元</w:t>
      </w:r>
    </w:p>
    <w:tbl>
      <w:tblPr>
        <w:tblW w:w="8583" w:type="dxa"/>
        <w:jc w:val="center"/>
        <w:tblInd w:w="0" w:type="dxa"/>
        <w:tblLayout w:type="fixed"/>
        <w:tblCellMar>
          <w:left w:w="0" w:type="dxa"/>
          <w:right w:w="0" w:type="dxa"/>
        </w:tblCellMar>
        <w:tblLook w:val="0000" w:firstRow="0" w:lastRow="0" w:firstColumn="0" w:lastColumn="0" w:noHBand="0" w:noVBand="0"/>
      </w:tblPr>
      <w:tblGrid>
        <w:gridCol w:w="3401"/>
        <w:gridCol w:w="1680"/>
        <w:gridCol w:w="1380"/>
        <w:gridCol w:w="1128"/>
        <w:gridCol w:w="994"/>
      </w:tblGrid>
      <w:tr w:rsidR="00000000">
        <w:trPr>
          <w:trHeight w:val="1020"/>
          <w:jc w:val="center"/>
        </w:trPr>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科目名称</w:t>
            </w:r>
          </w:p>
        </w:tc>
        <w:tc>
          <w:tcPr>
            <w:tcW w:w="16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2023年           支出预算</w:t>
            </w:r>
          </w:p>
        </w:tc>
        <w:tc>
          <w:tcPr>
            <w:tcW w:w="138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2022年        支出预算</w:t>
            </w:r>
          </w:p>
        </w:tc>
        <w:tc>
          <w:tcPr>
            <w:tcW w:w="112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按可比           口径增长%</w:t>
            </w:r>
          </w:p>
        </w:tc>
        <w:tc>
          <w:tcPr>
            <w:tcW w:w="9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备注</w:t>
            </w: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一般公共预算支出合计</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324888</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296977</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9.4</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一、一般公共服务支出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27567</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28369</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-2.8</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二、公共安全支出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12882</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11846</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8.7</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三、教育支出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99589</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94083</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5.9</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四、科学技术支出</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2263</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4522</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-49.9</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五、文化旅游体育与传媒支出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5577</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5620</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-0.1</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六、社会保障和就业支出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44970</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34112</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31.8</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七、卫生健康支出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21306</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17027</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25.1</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八、节能环保支出</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3450</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2341</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47.4</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九、城乡社区支出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3058</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7297</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-58.1</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十、农林水支出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61828</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50998</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21.2</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十一、交通运输支出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7998</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10477</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-23.7</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十二、资源勘探信息等支出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628</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928</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-32.3</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十三、商业服务业等支出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487</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426</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14.3</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十四、自然资源海洋气象等支出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1450</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1404</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3.3</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十五、住房保障支出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7958</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2102</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278.6</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十六、粮油物资储备支出</w:t>
            </w:r>
          </w:p>
        </w:tc>
        <w:tc>
          <w:tcPr>
            <w:tcW w:w="1680" w:type="dxa"/>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695</w:t>
            </w:r>
          </w:p>
        </w:tc>
        <w:tc>
          <w:tcPr>
            <w:tcW w:w="1380" w:type="dxa"/>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775</w:t>
            </w:r>
          </w:p>
        </w:tc>
        <w:tc>
          <w:tcPr>
            <w:tcW w:w="1128"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-10.3</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十七、灾害防治及应急管理支出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1868</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1436</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30.1</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十八、预备费</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3500</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3500</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0</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十九、债务付息支出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4435</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4767</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-6.9</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340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二十、其他支出</w:t>
            </w:r>
          </w:p>
        </w:tc>
        <w:tc>
          <w:tcPr>
            <w:tcW w:w="1680" w:type="dxa"/>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13379</w:t>
            </w:r>
          </w:p>
        </w:tc>
        <w:tc>
          <w:tcPr>
            <w:tcW w:w="1380" w:type="dxa"/>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14947</w:t>
            </w:r>
          </w:p>
        </w:tc>
        <w:tc>
          <w:tcPr>
            <w:tcW w:w="112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-10.5</w:t>
            </w:r>
          </w:p>
        </w:tc>
        <w:tc>
          <w:tcPr>
            <w:tcW w:w="994" w:type="dxa"/>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表十</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南召县2023年政府性基金收支预算表（草案）</w:t>
      </w:r>
    </w:p>
    <w:p w:rsidR="00000000" w:rsidRDefault="00000000">
      <w:pPr>
        <w:ind w:firstLineChars="2900" w:firstLine="6960"/>
        <w:rPr>
          <w:rFonts w:hint="eastAsia"/>
          <w:sz w:val="24"/>
          <w:szCs w:val="24"/>
        </w:rPr>
      </w:pPr>
      <w:r>
        <w:rPr>
          <w:rFonts w:hint="eastAsia"/>
          <w:sz w:val="24"/>
          <w:szCs w:val="24"/>
        </w:rPr>
        <w:t>单位：万元</w:t>
      </w:r>
    </w:p>
    <w:tbl>
      <w:tblPr>
        <w:tblW w:w="8592" w:type="dxa"/>
        <w:jc w:val="center"/>
        <w:tblInd w:w="0" w:type="dxa"/>
        <w:tblLayout w:type="fixed"/>
        <w:tblCellMar>
          <w:left w:w="0" w:type="dxa"/>
          <w:right w:w="0" w:type="dxa"/>
        </w:tblCellMar>
        <w:tblLook w:val="0000" w:firstRow="0" w:lastRow="0" w:firstColumn="0" w:lastColumn="0" w:noHBand="0" w:noVBand="0"/>
      </w:tblPr>
      <w:tblGrid>
        <w:gridCol w:w="3253"/>
        <w:gridCol w:w="1178"/>
        <w:gridCol w:w="2807"/>
        <w:gridCol w:w="1354"/>
      </w:tblGrid>
      <w:tr w:rsidR="00000000">
        <w:trPr>
          <w:trHeight w:val="796"/>
          <w:jc w:val="center"/>
        </w:trPr>
        <w:tc>
          <w:tcPr>
            <w:tcW w:w="443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收          入</w:t>
            </w:r>
          </w:p>
        </w:tc>
        <w:tc>
          <w:tcPr>
            <w:tcW w:w="416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支          出</w:t>
            </w:r>
          </w:p>
        </w:tc>
      </w:tr>
      <w:tr w:rsidR="00000000">
        <w:trPr>
          <w:trHeight w:val="835"/>
          <w:jc w:val="center"/>
        </w:trPr>
        <w:tc>
          <w:tcPr>
            <w:tcW w:w="3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预算数</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预算数</w:t>
            </w:r>
          </w:p>
        </w:tc>
      </w:tr>
      <w:tr w:rsidR="00000000">
        <w:trPr>
          <w:trHeight w:val="819"/>
          <w:jc w:val="center"/>
        </w:trPr>
        <w:tc>
          <w:tcPr>
            <w:tcW w:w="3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sz w:val="24"/>
                <w:szCs w:val="32"/>
              </w:rPr>
            </w:pPr>
            <w:r>
              <w:rPr>
                <w:rFonts w:ascii="宋体" w:hAnsi="宋体" w:cs="宋体" w:hint="eastAsia"/>
                <w:sz w:val="24"/>
                <w:szCs w:val="32"/>
              </w:rPr>
              <w:t>总    计</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222414</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sz w:val="24"/>
                <w:szCs w:val="32"/>
              </w:rPr>
            </w:pPr>
            <w:r>
              <w:rPr>
                <w:rFonts w:ascii="宋体" w:hAnsi="宋体" w:cs="宋体" w:hint="eastAsia"/>
                <w:sz w:val="24"/>
                <w:szCs w:val="32"/>
              </w:rPr>
              <w:t>总    计</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222414</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本级政府性基金收入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141500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政府性基金支出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182414</w:t>
            </w:r>
          </w:p>
        </w:tc>
      </w:tr>
      <w:tr w:rsidR="00000000">
        <w:trPr>
          <w:trHeight w:val="831"/>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新型墙体材料专项基金收入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一、文化体育与传媒支出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r>
      <w:tr w:rsidR="00000000">
        <w:trPr>
          <w:trHeight w:val="82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国有土地使用权出让收入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140000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二、社会保障和就业支出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5460</w:t>
            </w:r>
          </w:p>
        </w:tc>
      </w:tr>
      <w:tr w:rsidR="00000000">
        <w:trPr>
          <w:trHeight w:val="827"/>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城市公用事业附加收入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三、城乡社区支出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93348</w:t>
            </w:r>
          </w:p>
        </w:tc>
      </w:tr>
      <w:tr w:rsidR="00000000">
        <w:trPr>
          <w:trHeight w:val="825"/>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城市基础设施配套费收入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1000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四、农林水支出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污水处理费收入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500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五、其他支出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56927</w:t>
            </w:r>
          </w:p>
        </w:tc>
      </w:tr>
      <w:tr w:rsidR="00000000">
        <w:trPr>
          <w:trHeight w:val="80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上年结转</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33448</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六、债务付息支出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14779</w:t>
            </w:r>
          </w:p>
        </w:tc>
      </w:tr>
      <w:tr w:rsidR="00000000">
        <w:trPr>
          <w:trHeight w:val="80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彩票发行销售机构业务费用</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七、债务还本支出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11900</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上级政府性基金补助收入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266</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调出资金</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40000</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上级专项债券收入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r>
              <w:rPr>
                <w:rFonts w:ascii="宋体" w:hAnsi="宋体" w:cs="宋体" w:hint="eastAsia"/>
                <w:sz w:val="24"/>
                <w:szCs w:val="32"/>
              </w:rPr>
              <w:t>47200</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32"/>
              </w:rPr>
            </w:pP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表十一</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南召县2023年社会保险基金收支预算表（草案）</w:t>
      </w:r>
    </w:p>
    <w:p w:rsidR="00000000" w:rsidRDefault="00000000">
      <w:pPr>
        <w:ind w:firstLineChars="2900" w:firstLine="6960"/>
        <w:rPr>
          <w:rFonts w:hint="eastAsia"/>
        </w:rPr>
      </w:pPr>
      <w:r>
        <w:rPr>
          <w:rFonts w:hint="eastAsia"/>
          <w:sz w:val="24"/>
          <w:szCs w:val="24"/>
        </w:rPr>
        <w:t>单位：万元</w:t>
      </w:r>
    </w:p>
    <w:tbl>
      <w:tblPr>
        <w:tblW w:w="0" w:type="auto"/>
        <w:tblInd w:w="0" w:type="dxa"/>
        <w:tblLayout w:type="fixed"/>
        <w:tblCellMar>
          <w:left w:w="0" w:type="dxa"/>
          <w:right w:w="0" w:type="dxa"/>
        </w:tblCellMar>
        <w:tblLook w:val="0000" w:firstRow="0" w:lastRow="0" w:firstColumn="0" w:lastColumn="0" w:noHBand="0" w:noVBand="0"/>
      </w:tblPr>
      <w:tblGrid>
        <w:gridCol w:w="4350"/>
        <w:gridCol w:w="2107"/>
        <w:gridCol w:w="2107"/>
      </w:tblGrid>
      <w:tr w:rsidR="00000000">
        <w:trPr>
          <w:trHeight w:val="964"/>
        </w:trPr>
        <w:tc>
          <w:tcPr>
            <w:tcW w:w="4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42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预   算   数</w:t>
            </w:r>
          </w:p>
        </w:tc>
      </w:tr>
      <w:tr w:rsidR="00000000">
        <w:trPr>
          <w:trHeight w:val="964"/>
        </w:trPr>
        <w:tc>
          <w:tcPr>
            <w:tcW w:w="4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收 入</w:t>
            </w: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支 出</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93408</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77277</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其中：</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22768</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15081</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56833</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51665</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城镇职工基本医疗保险基金（含生育保险）</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13807</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10531</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bl>
    <w:p w:rsidR="00000000" w:rsidRDefault="00000000">
      <w:pPr>
        <w:rPr>
          <w:rFonts w:hint="eastAsia"/>
          <w:sz w:val="24"/>
          <w:szCs w:val="24"/>
        </w:rPr>
      </w:pPr>
    </w:p>
    <w:p w:rsidR="00000000" w:rsidRDefault="00000000">
      <w:r>
        <w:rPr>
          <w:rFonts w:hint="eastAsia"/>
          <w:sz w:val="24"/>
          <w:szCs w:val="24"/>
        </w:rPr>
        <w:t>说明：收支缺口通过历年滚存结余弥补。</w:t>
      </w:r>
    </w:p>
    <w:p w:rsidR="00000000" w:rsidRDefault="00000000">
      <w:pPr>
        <w:rPr>
          <w:rFonts w:ascii="黑体" w:eastAsia="黑体" w:hAnsi="黑体" w:cs="黑体" w:hint="eastAsia"/>
          <w:sz w:val="28"/>
          <w:szCs w:val="28"/>
        </w:rPr>
      </w:pPr>
      <w:r>
        <w:rPr>
          <w:rFonts w:hint="eastAsia"/>
        </w:rPr>
        <w:br w:type="page"/>
      </w:r>
      <w:r>
        <w:rPr>
          <w:rFonts w:ascii="黑体" w:eastAsia="黑体" w:hAnsi="黑体" w:cs="黑体" w:hint="eastAsia"/>
          <w:sz w:val="28"/>
          <w:szCs w:val="28"/>
        </w:rPr>
        <w:lastRenderedPageBreak/>
        <w:t>表十二</w:t>
      </w:r>
    </w:p>
    <w:p w:rsidR="00000000" w:rsidRDefault="00000000">
      <w:pPr>
        <w:jc w:val="center"/>
        <w:rPr>
          <w:rFonts w:ascii="方正小标宋_GBK" w:eastAsia="方正小标宋_GBK" w:hAnsi="方正小标宋_GBK" w:cs="方正小标宋_GBK" w:hint="eastAsia"/>
          <w:sz w:val="36"/>
          <w:szCs w:val="36"/>
        </w:rPr>
      </w:pPr>
      <w:r>
        <w:rPr>
          <w:rFonts w:ascii="方正小标宋简体" w:eastAsia="方正小标宋简体" w:hAnsi="方正小标宋简体" w:cs="方正小标宋简体" w:hint="eastAsia"/>
          <w:sz w:val="36"/>
          <w:szCs w:val="36"/>
        </w:rPr>
        <w:t>南召县2023年国有资本经营收支预算表（草案）</w:t>
      </w:r>
    </w:p>
    <w:p w:rsidR="00000000" w:rsidRDefault="00000000">
      <w:pPr>
        <w:ind w:firstLineChars="2900" w:firstLine="6960"/>
        <w:rPr>
          <w:rFonts w:hint="eastAsia"/>
          <w:sz w:val="24"/>
          <w:szCs w:val="24"/>
        </w:rPr>
      </w:pPr>
      <w:r>
        <w:rPr>
          <w:rFonts w:hint="eastAsia"/>
          <w:sz w:val="24"/>
          <w:szCs w:val="24"/>
        </w:rPr>
        <w:t>单位：万元</w:t>
      </w:r>
    </w:p>
    <w:tbl>
      <w:tblPr>
        <w:tblpPr w:leftFromText="180" w:rightFromText="180" w:vertAnchor="text" w:horzAnchor="page" w:tblpX="1454" w:tblpY="185"/>
        <w:tblOverlap w:val="never"/>
        <w:tblW w:w="8952" w:type="dxa"/>
        <w:tblInd w:w="0" w:type="dxa"/>
        <w:tblLayout w:type="fixed"/>
        <w:tblLook w:val="0000" w:firstRow="0" w:lastRow="0" w:firstColumn="0" w:lastColumn="0" w:noHBand="0" w:noVBand="0"/>
      </w:tblPr>
      <w:tblGrid>
        <w:gridCol w:w="2897"/>
        <w:gridCol w:w="1233"/>
        <w:gridCol w:w="3731"/>
        <w:gridCol w:w="1091"/>
      </w:tblGrid>
      <w:tr w:rsidR="00000000">
        <w:trPr>
          <w:trHeight w:val="907"/>
        </w:trPr>
        <w:tc>
          <w:tcPr>
            <w:tcW w:w="41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收       入</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 xml:space="preserve">支       出 </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项     目</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预算数</w:t>
            </w:r>
          </w:p>
        </w:tc>
        <w:tc>
          <w:tcPr>
            <w:tcW w:w="37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项      目</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预算数</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20217</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20217</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其中： 利润收入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20000</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其中： 改革成本支出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股利、股息收入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国有企业资本金注入支出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产权转让收入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政策性补贴支出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清算收入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其他国有资本经营支出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217</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其他国有资本经营收入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217</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国有资本经营预算调出资金</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 xml:space="preserve">20000 </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jc w:val="left"/>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r>
    </w:tbl>
    <w:p w:rsidR="00C24345" w:rsidRDefault="00C24345">
      <w:pPr>
        <w:rPr>
          <w:sz w:val="24"/>
          <w:szCs w:val="24"/>
        </w:rPr>
      </w:pPr>
    </w:p>
    <w:sectPr w:rsidR="00C24345">
      <w:footerReference w:type="even" r:id="rId6"/>
      <w:footerReference w:type="default" r:id="rId7"/>
      <w:pgSz w:w="11906" w:h="16838"/>
      <w:pgMar w:top="1701" w:right="1474" w:bottom="1587" w:left="1587" w:header="851" w:footer="1247" w:gutter="0"/>
      <w:pgNumType w:fmt="numberInDash"/>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24345" w:rsidRDefault="00C24345">
      <w:r>
        <w:separator/>
      </w:r>
    </w:p>
  </w:endnote>
  <w:endnote w:type="continuationSeparator" w:id="0">
    <w:p w:rsidR="00C24345" w:rsidRDefault="00C24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980017">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254000" cy="175260"/>
              <wp:effectExtent l="0" t="0" r="0" b="0"/>
              <wp:wrapNone/>
              <wp:docPr id="185413796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00000">
                          <w:pPr>
                            <w:pStyle w:val="a4"/>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2pt;margin-top:0;width:20pt;height:13.8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YK1QEAAJwDAAAOAAAAZHJzL2Uyb0RvYy54bWysU9tu2zAMfR+wfxD0vtgJ1m4w4hRdiwwD&#10;ugvQ9QNkWY6F2aJAKrGzrx8l2+m2vg17EWhSPOI5PN7ejH0nTgbJgivlepVLYZyG2rpDKZ++79+8&#10;l4KCcrXqwJlSng3Jm93rV9vBF2YDLXS1QcEgjorBl7INwRdZRro1vaIVeOO42AD2KvAnHrIa1cDo&#10;fZdt8vw6GwBrj6ANEWfvp6LcJfymMTp8bRoyQXSl5NlCOjGdVTyz3VYVB1S+tXoeQ/3DFL2yjh+9&#10;QN2roMQR7Quo3moEgiasNPQZNI3VJnFgNuv8LzaPrfImcWFxyF9kov8Hq7+cHv03FGH8ACMvMJEg&#10;/wD6BwkHd61yB3OLCENrVM0Pr6Nk2eCpmFuj1FRQBKmGz1DzktUxQAIaG+yjKsxTMDov4HwR3YxB&#10;aE5urt7mOVc0l9bvrjbXaSmZKpZmjxQ+GuhFDEqJvNMErk4PFOIwqliuxLcc7G3Xpb127o8EX5wy&#10;Jhlj7l6mn3iEsRq5NyYrqM9MCmEyDZucgxbwpxQDG6aUjh0tRffJsSzRW0uAS1AtgXKaG0sZpJjC&#10;uzB58OjRHlrGXYS/Zen2NtF6nmEWnC2Q2M52jR77/Tvdev6pdr8AAAD//wMAUEsDBBQABgAIAAAA&#10;IQCf5+1w1wAAAAMBAAAPAAAAZHJzL2Rvd25yZXYueG1sTI/BasMwEETvhfyD2EBvjZxQkuBaDiGQ&#10;S29NS6E3xdpYJtLKSIpj/323vbSXgWGWmbfVbvRODBhTF0jBclGAQGqC6ahV8PF+fNqCSFmT0S4Q&#10;Kpgwwa6ePVS6NOFObzicciu4hFKpFdic+1LK1Fj0Oi1Cj8TZJUSvM9vYShP1ncu9k6uiWEuvO+IF&#10;q3s8WGyup5tXsBk/A/YJD/h1GZpou2nrXielHufj/gVExjH/HcMPPqNDzUzncCOThFPAj+Rf5ey5&#10;YHdWsNqsQdaV/M9efwMAAP//AwBQSwECLQAUAAYACAAAACEAtoM4kv4AAADhAQAAEwAAAAAAAAAA&#10;AAAAAAAAAAAAW0NvbnRlbnRfVHlwZXNdLnhtbFBLAQItABQABgAIAAAAIQA4/SH/1gAAAJQBAAAL&#10;AAAAAAAAAAAAAAAAAC8BAABfcmVscy8ucmVsc1BLAQItABQABgAIAAAAIQC8nfYK1QEAAJwDAAAO&#10;AAAAAAAAAAAAAAAAAC4CAABkcnMvZTJvRG9jLnhtbFBLAQItABQABgAIAAAAIQCf5+1w1wAAAAMB&#10;AAAPAAAAAAAAAAAAAAAAAC8EAABkcnMvZG93bnJldi54bWxQSwUGAAAAAAQABADzAAAAMwUAAAAA&#10;" filled="f" stroked="f">
              <v:textbox style="mso-fit-shape-to-text:t" inset="0,0,0,0">
                <w:txbxContent>
                  <w:p w:rsidR="00000000" w:rsidRDefault="00000000">
                    <w:pPr>
                      <w:pStyle w:val="a4"/>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24345" w:rsidRDefault="00C24345">
      <w:r>
        <w:separator/>
      </w:r>
    </w:p>
  </w:footnote>
  <w:footnote w:type="continuationSeparator" w:id="0">
    <w:p w:rsidR="00C24345" w:rsidRDefault="00C243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9"/>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1MjNhZmFmYmIwY2VhYTVhMWFkOGRjMzFmOTBjNTYifQ=="/>
  </w:docVars>
  <w:rsids>
    <w:rsidRoot w:val="00772316"/>
    <w:rsid w:val="00006707"/>
    <w:rsid w:val="00011B4E"/>
    <w:rsid w:val="00031F33"/>
    <w:rsid w:val="0003780E"/>
    <w:rsid w:val="00044F36"/>
    <w:rsid w:val="000538D6"/>
    <w:rsid w:val="00076F86"/>
    <w:rsid w:val="0009605D"/>
    <w:rsid w:val="000A0B65"/>
    <w:rsid w:val="000E0039"/>
    <w:rsid w:val="00112B0D"/>
    <w:rsid w:val="00130AC9"/>
    <w:rsid w:val="00131AEC"/>
    <w:rsid w:val="001336DC"/>
    <w:rsid w:val="001351C4"/>
    <w:rsid w:val="00142310"/>
    <w:rsid w:val="0014392C"/>
    <w:rsid w:val="00194540"/>
    <w:rsid w:val="00197642"/>
    <w:rsid w:val="001A6EE2"/>
    <w:rsid w:val="001E789F"/>
    <w:rsid w:val="002136C3"/>
    <w:rsid w:val="00214910"/>
    <w:rsid w:val="00222864"/>
    <w:rsid w:val="00224767"/>
    <w:rsid w:val="00264E69"/>
    <w:rsid w:val="00284D87"/>
    <w:rsid w:val="00291181"/>
    <w:rsid w:val="00291ED9"/>
    <w:rsid w:val="00295241"/>
    <w:rsid w:val="00297332"/>
    <w:rsid w:val="002E1229"/>
    <w:rsid w:val="003045CF"/>
    <w:rsid w:val="00326F2A"/>
    <w:rsid w:val="00334D3E"/>
    <w:rsid w:val="003375F0"/>
    <w:rsid w:val="00353409"/>
    <w:rsid w:val="003702A7"/>
    <w:rsid w:val="00370C6A"/>
    <w:rsid w:val="00373A9C"/>
    <w:rsid w:val="00384B9C"/>
    <w:rsid w:val="00385491"/>
    <w:rsid w:val="003B09B1"/>
    <w:rsid w:val="003B5D01"/>
    <w:rsid w:val="003B6ED8"/>
    <w:rsid w:val="003F75B2"/>
    <w:rsid w:val="003F79CE"/>
    <w:rsid w:val="004246EE"/>
    <w:rsid w:val="004319D0"/>
    <w:rsid w:val="004356F9"/>
    <w:rsid w:val="00437907"/>
    <w:rsid w:val="00445ACB"/>
    <w:rsid w:val="00452A70"/>
    <w:rsid w:val="00464FAD"/>
    <w:rsid w:val="004722A7"/>
    <w:rsid w:val="004C56C5"/>
    <w:rsid w:val="00507779"/>
    <w:rsid w:val="00514E1E"/>
    <w:rsid w:val="005208BB"/>
    <w:rsid w:val="00526B07"/>
    <w:rsid w:val="0053029E"/>
    <w:rsid w:val="00557622"/>
    <w:rsid w:val="00570E59"/>
    <w:rsid w:val="005723D4"/>
    <w:rsid w:val="00572BF1"/>
    <w:rsid w:val="00575524"/>
    <w:rsid w:val="005771F8"/>
    <w:rsid w:val="00583ADB"/>
    <w:rsid w:val="00586DA1"/>
    <w:rsid w:val="005A2A44"/>
    <w:rsid w:val="005A69DD"/>
    <w:rsid w:val="005B44D1"/>
    <w:rsid w:val="005D5E05"/>
    <w:rsid w:val="006232B5"/>
    <w:rsid w:val="006434DD"/>
    <w:rsid w:val="006435C5"/>
    <w:rsid w:val="006656FF"/>
    <w:rsid w:val="00693023"/>
    <w:rsid w:val="00694105"/>
    <w:rsid w:val="006F4F08"/>
    <w:rsid w:val="007127E4"/>
    <w:rsid w:val="00730F3B"/>
    <w:rsid w:val="00736AF0"/>
    <w:rsid w:val="0074720E"/>
    <w:rsid w:val="00750353"/>
    <w:rsid w:val="00770ABB"/>
    <w:rsid w:val="00772316"/>
    <w:rsid w:val="00772462"/>
    <w:rsid w:val="007C31C8"/>
    <w:rsid w:val="007C47A0"/>
    <w:rsid w:val="007D72A7"/>
    <w:rsid w:val="00803FC2"/>
    <w:rsid w:val="008110B1"/>
    <w:rsid w:val="00812C99"/>
    <w:rsid w:val="00840F1C"/>
    <w:rsid w:val="008442AF"/>
    <w:rsid w:val="00850716"/>
    <w:rsid w:val="008730DF"/>
    <w:rsid w:val="00884C4C"/>
    <w:rsid w:val="008B429E"/>
    <w:rsid w:val="008B5BBE"/>
    <w:rsid w:val="008C05AF"/>
    <w:rsid w:val="008D1E09"/>
    <w:rsid w:val="008D3E3C"/>
    <w:rsid w:val="008E0C60"/>
    <w:rsid w:val="008F3A04"/>
    <w:rsid w:val="008F4373"/>
    <w:rsid w:val="00920FD1"/>
    <w:rsid w:val="00921DCB"/>
    <w:rsid w:val="00927848"/>
    <w:rsid w:val="00933345"/>
    <w:rsid w:val="00934470"/>
    <w:rsid w:val="009432A6"/>
    <w:rsid w:val="00944DFB"/>
    <w:rsid w:val="0094637C"/>
    <w:rsid w:val="00950093"/>
    <w:rsid w:val="009517CF"/>
    <w:rsid w:val="00980017"/>
    <w:rsid w:val="00993A19"/>
    <w:rsid w:val="009A30A6"/>
    <w:rsid w:val="009B2BF2"/>
    <w:rsid w:val="009B6A78"/>
    <w:rsid w:val="009C0719"/>
    <w:rsid w:val="009C4D31"/>
    <w:rsid w:val="009E7817"/>
    <w:rsid w:val="00A23756"/>
    <w:rsid w:val="00A3459A"/>
    <w:rsid w:val="00A718F8"/>
    <w:rsid w:val="00A83F8B"/>
    <w:rsid w:val="00AA57F4"/>
    <w:rsid w:val="00AA6CEC"/>
    <w:rsid w:val="00AB3C36"/>
    <w:rsid w:val="00AD21F2"/>
    <w:rsid w:val="00AE743E"/>
    <w:rsid w:val="00AF4619"/>
    <w:rsid w:val="00B32C1C"/>
    <w:rsid w:val="00B35F21"/>
    <w:rsid w:val="00B410F1"/>
    <w:rsid w:val="00B4119A"/>
    <w:rsid w:val="00B63A80"/>
    <w:rsid w:val="00B63E68"/>
    <w:rsid w:val="00B87086"/>
    <w:rsid w:val="00BC09B7"/>
    <w:rsid w:val="00BC6E9A"/>
    <w:rsid w:val="00BE2EC1"/>
    <w:rsid w:val="00BE76BC"/>
    <w:rsid w:val="00C24345"/>
    <w:rsid w:val="00C42844"/>
    <w:rsid w:val="00C439AC"/>
    <w:rsid w:val="00C51195"/>
    <w:rsid w:val="00C55B9F"/>
    <w:rsid w:val="00C67B93"/>
    <w:rsid w:val="00C94B55"/>
    <w:rsid w:val="00CE1F51"/>
    <w:rsid w:val="00D01E66"/>
    <w:rsid w:val="00D0434D"/>
    <w:rsid w:val="00D40D69"/>
    <w:rsid w:val="00D45548"/>
    <w:rsid w:val="00D5278B"/>
    <w:rsid w:val="00D52B07"/>
    <w:rsid w:val="00D667F9"/>
    <w:rsid w:val="00D97985"/>
    <w:rsid w:val="00DA73B6"/>
    <w:rsid w:val="00DC0175"/>
    <w:rsid w:val="00DC38B3"/>
    <w:rsid w:val="00DD207A"/>
    <w:rsid w:val="00DF2A40"/>
    <w:rsid w:val="00E4088B"/>
    <w:rsid w:val="00E551B4"/>
    <w:rsid w:val="00E724A7"/>
    <w:rsid w:val="00E823EF"/>
    <w:rsid w:val="00E83F12"/>
    <w:rsid w:val="00E97A10"/>
    <w:rsid w:val="00EB7A0F"/>
    <w:rsid w:val="00F47CD4"/>
    <w:rsid w:val="00F82FBE"/>
    <w:rsid w:val="00F909F1"/>
    <w:rsid w:val="00FC67D4"/>
    <w:rsid w:val="00FE766C"/>
    <w:rsid w:val="00FF28CD"/>
    <w:rsid w:val="00FF7EE8"/>
    <w:rsid w:val="010A29DC"/>
    <w:rsid w:val="010F7FF3"/>
    <w:rsid w:val="01337D05"/>
    <w:rsid w:val="016B53DD"/>
    <w:rsid w:val="01736F5E"/>
    <w:rsid w:val="01913FB9"/>
    <w:rsid w:val="01CC5EE4"/>
    <w:rsid w:val="02756A80"/>
    <w:rsid w:val="02765988"/>
    <w:rsid w:val="028F2D92"/>
    <w:rsid w:val="02A46519"/>
    <w:rsid w:val="02C10198"/>
    <w:rsid w:val="033D0C5F"/>
    <w:rsid w:val="03572FE7"/>
    <w:rsid w:val="036A6929"/>
    <w:rsid w:val="03717A90"/>
    <w:rsid w:val="03800D34"/>
    <w:rsid w:val="03AF1619"/>
    <w:rsid w:val="03B2346E"/>
    <w:rsid w:val="03C30C20"/>
    <w:rsid w:val="03C5064A"/>
    <w:rsid w:val="03DC7239"/>
    <w:rsid w:val="04267B2D"/>
    <w:rsid w:val="047F2D99"/>
    <w:rsid w:val="04AF4EF3"/>
    <w:rsid w:val="04BA2023"/>
    <w:rsid w:val="04E6106A"/>
    <w:rsid w:val="056621AB"/>
    <w:rsid w:val="05687CD1"/>
    <w:rsid w:val="05A827C4"/>
    <w:rsid w:val="05AE72CF"/>
    <w:rsid w:val="05DC5E9C"/>
    <w:rsid w:val="05E25CD6"/>
    <w:rsid w:val="0626130C"/>
    <w:rsid w:val="064747B7"/>
    <w:rsid w:val="064C13A1"/>
    <w:rsid w:val="066739F5"/>
    <w:rsid w:val="06930D7E"/>
    <w:rsid w:val="069D1BFD"/>
    <w:rsid w:val="06B807E5"/>
    <w:rsid w:val="06BB6589"/>
    <w:rsid w:val="06E612E8"/>
    <w:rsid w:val="07301F12"/>
    <w:rsid w:val="073B41C9"/>
    <w:rsid w:val="074105D3"/>
    <w:rsid w:val="076444C8"/>
    <w:rsid w:val="07762B7A"/>
    <w:rsid w:val="07930597"/>
    <w:rsid w:val="079977F0"/>
    <w:rsid w:val="07E06212"/>
    <w:rsid w:val="0822060B"/>
    <w:rsid w:val="086A466D"/>
    <w:rsid w:val="08902440"/>
    <w:rsid w:val="09074ADD"/>
    <w:rsid w:val="09102B5A"/>
    <w:rsid w:val="092C451D"/>
    <w:rsid w:val="095A4B5F"/>
    <w:rsid w:val="0969226A"/>
    <w:rsid w:val="09CF47C3"/>
    <w:rsid w:val="09D16488"/>
    <w:rsid w:val="09D26061"/>
    <w:rsid w:val="09E726E0"/>
    <w:rsid w:val="0A4D471A"/>
    <w:rsid w:val="0A7B6D9D"/>
    <w:rsid w:val="0AA90B70"/>
    <w:rsid w:val="0AB85257"/>
    <w:rsid w:val="0ABF25E8"/>
    <w:rsid w:val="0AC27AB4"/>
    <w:rsid w:val="0AD41965"/>
    <w:rsid w:val="0BDE0CED"/>
    <w:rsid w:val="0C1106D0"/>
    <w:rsid w:val="0C1115B8"/>
    <w:rsid w:val="0C634AF2"/>
    <w:rsid w:val="0C783B67"/>
    <w:rsid w:val="0C7D22B4"/>
    <w:rsid w:val="0CFD5C91"/>
    <w:rsid w:val="0CFE7E0D"/>
    <w:rsid w:val="0D573BBE"/>
    <w:rsid w:val="0D5B0278"/>
    <w:rsid w:val="0D887163"/>
    <w:rsid w:val="0DAB2E51"/>
    <w:rsid w:val="0DAC49E8"/>
    <w:rsid w:val="0DC13D2C"/>
    <w:rsid w:val="0DC829E3"/>
    <w:rsid w:val="0E177258"/>
    <w:rsid w:val="0E4773FA"/>
    <w:rsid w:val="0E7A2600"/>
    <w:rsid w:val="0E9658AF"/>
    <w:rsid w:val="0F371914"/>
    <w:rsid w:val="0F852FE9"/>
    <w:rsid w:val="0FB16680"/>
    <w:rsid w:val="0FDA43C3"/>
    <w:rsid w:val="0FDE1FF2"/>
    <w:rsid w:val="0FF00FEF"/>
    <w:rsid w:val="0FF02D9D"/>
    <w:rsid w:val="101F18D4"/>
    <w:rsid w:val="102640F6"/>
    <w:rsid w:val="108F25B6"/>
    <w:rsid w:val="10AC33DF"/>
    <w:rsid w:val="11186A50"/>
    <w:rsid w:val="1187256E"/>
    <w:rsid w:val="11CC5193"/>
    <w:rsid w:val="11DF1340"/>
    <w:rsid w:val="12130FC5"/>
    <w:rsid w:val="122D0B0D"/>
    <w:rsid w:val="127203E1"/>
    <w:rsid w:val="128D6FC9"/>
    <w:rsid w:val="12B66520"/>
    <w:rsid w:val="12C624DB"/>
    <w:rsid w:val="131D034D"/>
    <w:rsid w:val="135B5CE8"/>
    <w:rsid w:val="13C73F1E"/>
    <w:rsid w:val="13F84916"/>
    <w:rsid w:val="14036F77"/>
    <w:rsid w:val="14074B59"/>
    <w:rsid w:val="141A488D"/>
    <w:rsid w:val="147B41BB"/>
    <w:rsid w:val="148C41D5"/>
    <w:rsid w:val="14B7657F"/>
    <w:rsid w:val="14E71904"/>
    <w:rsid w:val="14FB54FA"/>
    <w:rsid w:val="151528BC"/>
    <w:rsid w:val="15413638"/>
    <w:rsid w:val="155B4765"/>
    <w:rsid w:val="155C2C83"/>
    <w:rsid w:val="15853F88"/>
    <w:rsid w:val="15B02A50"/>
    <w:rsid w:val="15C34AB0"/>
    <w:rsid w:val="15D46CBD"/>
    <w:rsid w:val="16571DC8"/>
    <w:rsid w:val="1658088B"/>
    <w:rsid w:val="169F0B84"/>
    <w:rsid w:val="16A6074B"/>
    <w:rsid w:val="16BF171B"/>
    <w:rsid w:val="16F63249"/>
    <w:rsid w:val="16FD70D9"/>
    <w:rsid w:val="1717781A"/>
    <w:rsid w:val="174A7237"/>
    <w:rsid w:val="176A310C"/>
    <w:rsid w:val="176D73C9"/>
    <w:rsid w:val="17A32DEB"/>
    <w:rsid w:val="17D336D0"/>
    <w:rsid w:val="18080C18"/>
    <w:rsid w:val="182771F0"/>
    <w:rsid w:val="18504D21"/>
    <w:rsid w:val="18B76CDE"/>
    <w:rsid w:val="18E00B6D"/>
    <w:rsid w:val="19267830"/>
    <w:rsid w:val="198729C4"/>
    <w:rsid w:val="19A34007"/>
    <w:rsid w:val="19AA6E6D"/>
    <w:rsid w:val="19B72B7E"/>
    <w:rsid w:val="19EE2A43"/>
    <w:rsid w:val="1A0A095C"/>
    <w:rsid w:val="1A142AF7"/>
    <w:rsid w:val="1A255D39"/>
    <w:rsid w:val="1A3F73E6"/>
    <w:rsid w:val="1A4519DD"/>
    <w:rsid w:val="1A54517F"/>
    <w:rsid w:val="1A714EBB"/>
    <w:rsid w:val="1A8213DE"/>
    <w:rsid w:val="1A82323E"/>
    <w:rsid w:val="1AC8328C"/>
    <w:rsid w:val="1B283D33"/>
    <w:rsid w:val="1B723A60"/>
    <w:rsid w:val="1B7D418E"/>
    <w:rsid w:val="1B9A62B3"/>
    <w:rsid w:val="1BE934DE"/>
    <w:rsid w:val="1C0302FC"/>
    <w:rsid w:val="1C2470C8"/>
    <w:rsid w:val="1C4050AC"/>
    <w:rsid w:val="1C764E49"/>
    <w:rsid w:val="1C782A98"/>
    <w:rsid w:val="1C9339F0"/>
    <w:rsid w:val="1CF33ECD"/>
    <w:rsid w:val="1D0831FB"/>
    <w:rsid w:val="1D085B18"/>
    <w:rsid w:val="1D183933"/>
    <w:rsid w:val="1D1A7BEF"/>
    <w:rsid w:val="1D235746"/>
    <w:rsid w:val="1D271DC8"/>
    <w:rsid w:val="1D320E99"/>
    <w:rsid w:val="1D4A27E4"/>
    <w:rsid w:val="1D7019C1"/>
    <w:rsid w:val="1DCC7835"/>
    <w:rsid w:val="1DE05670"/>
    <w:rsid w:val="1E392829"/>
    <w:rsid w:val="1E9B2A6E"/>
    <w:rsid w:val="1F5C21FD"/>
    <w:rsid w:val="1F6F175F"/>
    <w:rsid w:val="1F7E03C6"/>
    <w:rsid w:val="1FD94955"/>
    <w:rsid w:val="1FE16BA6"/>
    <w:rsid w:val="1FEB78D1"/>
    <w:rsid w:val="200A455C"/>
    <w:rsid w:val="202820DF"/>
    <w:rsid w:val="20630400"/>
    <w:rsid w:val="20847C5E"/>
    <w:rsid w:val="20CB7719"/>
    <w:rsid w:val="210866EA"/>
    <w:rsid w:val="21166835"/>
    <w:rsid w:val="212D5020"/>
    <w:rsid w:val="21910FB5"/>
    <w:rsid w:val="21955B32"/>
    <w:rsid w:val="21EB7868"/>
    <w:rsid w:val="21FF584D"/>
    <w:rsid w:val="22471B27"/>
    <w:rsid w:val="224F5F4C"/>
    <w:rsid w:val="22501655"/>
    <w:rsid w:val="226C6BFB"/>
    <w:rsid w:val="226E11DC"/>
    <w:rsid w:val="22745425"/>
    <w:rsid w:val="22D4654E"/>
    <w:rsid w:val="22D8577F"/>
    <w:rsid w:val="2340480E"/>
    <w:rsid w:val="234C491E"/>
    <w:rsid w:val="23590882"/>
    <w:rsid w:val="23621D77"/>
    <w:rsid w:val="23B8308F"/>
    <w:rsid w:val="23EE693F"/>
    <w:rsid w:val="240820A0"/>
    <w:rsid w:val="240B41F2"/>
    <w:rsid w:val="24286B52"/>
    <w:rsid w:val="244B0A92"/>
    <w:rsid w:val="24B2466D"/>
    <w:rsid w:val="25070436"/>
    <w:rsid w:val="250C0222"/>
    <w:rsid w:val="253328EC"/>
    <w:rsid w:val="255676EF"/>
    <w:rsid w:val="255749EF"/>
    <w:rsid w:val="25A4045A"/>
    <w:rsid w:val="25AE0C85"/>
    <w:rsid w:val="261D2CD2"/>
    <w:rsid w:val="26235823"/>
    <w:rsid w:val="263D009D"/>
    <w:rsid w:val="2652117F"/>
    <w:rsid w:val="266C380A"/>
    <w:rsid w:val="267E4050"/>
    <w:rsid w:val="26920BFA"/>
    <w:rsid w:val="26E50D2A"/>
    <w:rsid w:val="27114611"/>
    <w:rsid w:val="278B7B24"/>
    <w:rsid w:val="27B506FD"/>
    <w:rsid w:val="27B801ED"/>
    <w:rsid w:val="27C070A1"/>
    <w:rsid w:val="27DC3E28"/>
    <w:rsid w:val="28416434"/>
    <w:rsid w:val="286914E7"/>
    <w:rsid w:val="28C36E49"/>
    <w:rsid w:val="290C4C94"/>
    <w:rsid w:val="2957613A"/>
    <w:rsid w:val="29C0782D"/>
    <w:rsid w:val="2A3C5105"/>
    <w:rsid w:val="2A4D10C0"/>
    <w:rsid w:val="2A5D715B"/>
    <w:rsid w:val="2AD417E1"/>
    <w:rsid w:val="2AE337D3"/>
    <w:rsid w:val="2B1B7B3B"/>
    <w:rsid w:val="2B2C5BE4"/>
    <w:rsid w:val="2B794137"/>
    <w:rsid w:val="2B9B5E5B"/>
    <w:rsid w:val="2C130534"/>
    <w:rsid w:val="2C2E4F21"/>
    <w:rsid w:val="2C72738C"/>
    <w:rsid w:val="2CC42A98"/>
    <w:rsid w:val="2CDA45CF"/>
    <w:rsid w:val="2CF972DD"/>
    <w:rsid w:val="2D216D06"/>
    <w:rsid w:val="2D23435A"/>
    <w:rsid w:val="2D806DE9"/>
    <w:rsid w:val="2DBD655D"/>
    <w:rsid w:val="2DC87E3F"/>
    <w:rsid w:val="2DC91939"/>
    <w:rsid w:val="2E0E0B66"/>
    <w:rsid w:val="2E1B7727"/>
    <w:rsid w:val="2E29665D"/>
    <w:rsid w:val="2E520C07"/>
    <w:rsid w:val="2E6115DE"/>
    <w:rsid w:val="2E7C01C6"/>
    <w:rsid w:val="2E87199D"/>
    <w:rsid w:val="2EA65243"/>
    <w:rsid w:val="2EAF14E4"/>
    <w:rsid w:val="2EB424BD"/>
    <w:rsid w:val="2EC41B6D"/>
    <w:rsid w:val="2F1523C9"/>
    <w:rsid w:val="2F4F7689"/>
    <w:rsid w:val="2F543B0D"/>
    <w:rsid w:val="2FA465C4"/>
    <w:rsid w:val="2FB6748B"/>
    <w:rsid w:val="2FDB53C0"/>
    <w:rsid w:val="2FEF0EC7"/>
    <w:rsid w:val="303076F4"/>
    <w:rsid w:val="305B205D"/>
    <w:rsid w:val="308D63E5"/>
    <w:rsid w:val="30905ABF"/>
    <w:rsid w:val="31021C50"/>
    <w:rsid w:val="310628F0"/>
    <w:rsid w:val="311A3CC6"/>
    <w:rsid w:val="31A72209"/>
    <w:rsid w:val="31C53C32"/>
    <w:rsid w:val="324B1A3D"/>
    <w:rsid w:val="32837387"/>
    <w:rsid w:val="32DF6F75"/>
    <w:rsid w:val="32F26CA9"/>
    <w:rsid w:val="334515C0"/>
    <w:rsid w:val="3348667A"/>
    <w:rsid w:val="3367795C"/>
    <w:rsid w:val="337A6C9E"/>
    <w:rsid w:val="33C85C5B"/>
    <w:rsid w:val="34012F1B"/>
    <w:rsid w:val="342E1F62"/>
    <w:rsid w:val="344A31DB"/>
    <w:rsid w:val="344F1ED9"/>
    <w:rsid w:val="345C7A88"/>
    <w:rsid w:val="345F3622"/>
    <w:rsid w:val="346079DA"/>
    <w:rsid w:val="34825E43"/>
    <w:rsid w:val="34BD32E6"/>
    <w:rsid w:val="352D4135"/>
    <w:rsid w:val="35302461"/>
    <w:rsid w:val="35376A31"/>
    <w:rsid w:val="35B54716"/>
    <w:rsid w:val="35D4620E"/>
    <w:rsid w:val="35D9170C"/>
    <w:rsid w:val="368220F2"/>
    <w:rsid w:val="36873BAC"/>
    <w:rsid w:val="36944A46"/>
    <w:rsid w:val="36A94F03"/>
    <w:rsid w:val="36E03F4D"/>
    <w:rsid w:val="37C91FA2"/>
    <w:rsid w:val="37EB2746"/>
    <w:rsid w:val="38B46074"/>
    <w:rsid w:val="38CC680D"/>
    <w:rsid w:val="390E4110"/>
    <w:rsid w:val="399540CF"/>
    <w:rsid w:val="39BD1693"/>
    <w:rsid w:val="39DD0AEA"/>
    <w:rsid w:val="3A0F78E4"/>
    <w:rsid w:val="3A127C30"/>
    <w:rsid w:val="3A136BA5"/>
    <w:rsid w:val="3A1D7CF6"/>
    <w:rsid w:val="3A290F53"/>
    <w:rsid w:val="3A7D146E"/>
    <w:rsid w:val="3A8C79E3"/>
    <w:rsid w:val="3AA50AA5"/>
    <w:rsid w:val="3AD273C0"/>
    <w:rsid w:val="3AE72E6B"/>
    <w:rsid w:val="3B027CA5"/>
    <w:rsid w:val="3B312338"/>
    <w:rsid w:val="3B77012F"/>
    <w:rsid w:val="3B931800"/>
    <w:rsid w:val="3BA41687"/>
    <w:rsid w:val="3BB07701"/>
    <w:rsid w:val="3BF21AC7"/>
    <w:rsid w:val="3C812FAD"/>
    <w:rsid w:val="3D197528"/>
    <w:rsid w:val="3D1C2E61"/>
    <w:rsid w:val="3D606F05"/>
    <w:rsid w:val="3D98669F"/>
    <w:rsid w:val="3DC63E39"/>
    <w:rsid w:val="3DE9514C"/>
    <w:rsid w:val="3DEE4F16"/>
    <w:rsid w:val="3E33760E"/>
    <w:rsid w:val="3E502AD5"/>
    <w:rsid w:val="3E79027E"/>
    <w:rsid w:val="3E7F160D"/>
    <w:rsid w:val="3E8135D7"/>
    <w:rsid w:val="3E9A01F4"/>
    <w:rsid w:val="3ECF7E9E"/>
    <w:rsid w:val="3EEB1359"/>
    <w:rsid w:val="3F1F481F"/>
    <w:rsid w:val="3F253F62"/>
    <w:rsid w:val="3F604F9A"/>
    <w:rsid w:val="3F696545"/>
    <w:rsid w:val="3F6F78D3"/>
    <w:rsid w:val="3F9D1D4A"/>
    <w:rsid w:val="3FCA68B7"/>
    <w:rsid w:val="3FF12096"/>
    <w:rsid w:val="40275237"/>
    <w:rsid w:val="40907B01"/>
    <w:rsid w:val="4110479E"/>
    <w:rsid w:val="411E335F"/>
    <w:rsid w:val="412805DB"/>
    <w:rsid w:val="412E12E8"/>
    <w:rsid w:val="41D42F76"/>
    <w:rsid w:val="41E33AEE"/>
    <w:rsid w:val="41FF7251"/>
    <w:rsid w:val="42157B1C"/>
    <w:rsid w:val="4224716E"/>
    <w:rsid w:val="423D5A66"/>
    <w:rsid w:val="4258464E"/>
    <w:rsid w:val="42815953"/>
    <w:rsid w:val="42A41642"/>
    <w:rsid w:val="42C972FA"/>
    <w:rsid w:val="42D27F5D"/>
    <w:rsid w:val="42E648CC"/>
    <w:rsid w:val="43975F60"/>
    <w:rsid w:val="43E7325C"/>
    <w:rsid w:val="440F4497"/>
    <w:rsid w:val="443F7480"/>
    <w:rsid w:val="445F5EC9"/>
    <w:rsid w:val="449A0F4E"/>
    <w:rsid w:val="44C61D43"/>
    <w:rsid w:val="450D5D22"/>
    <w:rsid w:val="45521829"/>
    <w:rsid w:val="45AA51C1"/>
    <w:rsid w:val="45BD3146"/>
    <w:rsid w:val="46314259"/>
    <w:rsid w:val="4635567B"/>
    <w:rsid w:val="46603AD2"/>
    <w:rsid w:val="46712183"/>
    <w:rsid w:val="468151D1"/>
    <w:rsid w:val="468C7EFA"/>
    <w:rsid w:val="469D6836"/>
    <w:rsid w:val="46BC0199"/>
    <w:rsid w:val="46E91D19"/>
    <w:rsid w:val="47226FD9"/>
    <w:rsid w:val="47271D7F"/>
    <w:rsid w:val="475A2C17"/>
    <w:rsid w:val="47A82C88"/>
    <w:rsid w:val="47BA4746"/>
    <w:rsid w:val="482B2691"/>
    <w:rsid w:val="483736E2"/>
    <w:rsid w:val="48382F58"/>
    <w:rsid w:val="48403A5C"/>
    <w:rsid w:val="48671147"/>
    <w:rsid w:val="487524B2"/>
    <w:rsid w:val="48BA1ECA"/>
    <w:rsid w:val="48CE285F"/>
    <w:rsid w:val="494476DB"/>
    <w:rsid w:val="497E2BEC"/>
    <w:rsid w:val="49E05655"/>
    <w:rsid w:val="4A113A61"/>
    <w:rsid w:val="4A162E25"/>
    <w:rsid w:val="4A421E6C"/>
    <w:rsid w:val="4A4E6A63"/>
    <w:rsid w:val="4A631737"/>
    <w:rsid w:val="4A6A4611"/>
    <w:rsid w:val="4A7D2EA4"/>
    <w:rsid w:val="4A86673F"/>
    <w:rsid w:val="4A8E6E5F"/>
    <w:rsid w:val="4ADD50F2"/>
    <w:rsid w:val="4B18534B"/>
    <w:rsid w:val="4B777AFC"/>
    <w:rsid w:val="4BA26983"/>
    <w:rsid w:val="4BBA6B91"/>
    <w:rsid w:val="4BF36D83"/>
    <w:rsid w:val="4BF70A34"/>
    <w:rsid w:val="4C543EED"/>
    <w:rsid w:val="4C941A65"/>
    <w:rsid w:val="4CD723C4"/>
    <w:rsid w:val="4CE3263E"/>
    <w:rsid w:val="4CE52F83"/>
    <w:rsid w:val="4D3D31CD"/>
    <w:rsid w:val="4D551EB6"/>
    <w:rsid w:val="4D6E4D26"/>
    <w:rsid w:val="4D771BDE"/>
    <w:rsid w:val="4DE05FB3"/>
    <w:rsid w:val="4DEA41A6"/>
    <w:rsid w:val="4E0659F2"/>
    <w:rsid w:val="4E11738D"/>
    <w:rsid w:val="4E6D29C4"/>
    <w:rsid w:val="4E776639"/>
    <w:rsid w:val="4EB80BCC"/>
    <w:rsid w:val="4EC35342"/>
    <w:rsid w:val="4EF504D0"/>
    <w:rsid w:val="4F4977F9"/>
    <w:rsid w:val="4FA709C3"/>
    <w:rsid w:val="50471818"/>
    <w:rsid w:val="507E34D2"/>
    <w:rsid w:val="50966A6E"/>
    <w:rsid w:val="50C11611"/>
    <w:rsid w:val="511703CE"/>
    <w:rsid w:val="511B51C5"/>
    <w:rsid w:val="51383A4E"/>
    <w:rsid w:val="5156444F"/>
    <w:rsid w:val="519D207E"/>
    <w:rsid w:val="52147711"/>
    <w:rsid w:val="523D462B"/>
    <w:rsid w:val="525C5A95"/>
    <w:rsid w:val="52F35BB6"/>
    <w:rsid w:val="53031A56"/>
    <w:rsid w:val="539F3E8B"/>
    <w:rsid w:val="53BE279F"/>
    <w:rsid w:val="53BF44DB"/>
    <w:rsid w:val="53D538C8"/>
    <w:rsid w:val="53FC12DE"/>
    <w:rsid w:val="54085957"/>
    <w:rsid w:val="54176C75"/>
    <w:rsid w:val="541775ED"/>
    <w:rsid w:val="541A6CDE"/>
    <w:rsid w:val="54242B66"/>
    <w:rsid w:val="543F566E"/>
    <w:rsid w:val="54863745"/>
    <w:rsid w:val="5488491F"/>
    <w:rsid w:val="548E192E"/>
    <w:rsid w:val="54FA3343"/>
    <w:rsid w:val="551B39E5"/>
    <w:rsid w:val="555B64D8"/>
    <w:rsid w:val="5581338E"/>
    <w:rsid w:val="55BC39B6"/>
    <w:rsid w:val="55E50E67"/>
    <w:rsid w:val="563022F4"/>
    <w:rsid w:val="56390C26"/>
    <w:rsid w:val="567E5486"/>
    <w:rsid w:val="569345D4"/>
    <w:rsid w:val="56A95F37"/>
    <w:rsid w:val="56C41E5B"/>
    <w:rsid w:val="572D5C52"/>
    <w:rsid w:val="57987AD2"/>
    <w:rsid w:val="57A45621"/>
    <w:rsid w:val="57FD5624"/>
    <w:rsid w:val="57FD7D2F"/>
    <w:rsid w:val="58164938"/>
    <w:rsid w:val="58627CD5"/>
    <w:rsid w:val="58741A49"/>
    <w:rsid w:val="58B32578"/>
    <w:rsid w:val="58BC728D"/>
    <w:rsid w:val="58C03E73"/>
    <w:rsid w:val="58FB2ABB"/>
    <w:rsid w:val="598C4EB2"/>
    <w:rsid w:val="59AC34DD"/>
    <w:rsid w:val="59B03974"/>
    <w:rsid w:val="59B47F65"/>
    <w:rsid w:val="59EF2CE1"/>
    <w:rsid w:val="5A0858DE"/>
    <w:rsid w:val="5A0A1AC1"/>
    <w:rsid w:val="5A1B6236"/>
    <w:rsid w:val="5A3051CC"/>
    <w:rsid w:val="5A47702B"/>
    <w:rsid w:val="5A484EF8"/>
    <w:rsid w:val="5ACF0B16"/>
    <w:rsid w:val="5ACF77CB"/>
    <w:rsid w:val="5AD563E4"/>
    <w:rsid w:val="5AE17B5D"/>
    <w:rsid w:val="5B046902"/>
    <w:rsid w:val="5B231846"/>
    <w:rsid w:val="5B266D8D"/>
    <w:rsid w:val="5B2D51B7"/>
    <w:rsid w:val="5B6141BE"/>
    <w:rsid w:val="5BA806D8"/>
    <w:rsid w:val="5BC03E9E"/>
    <w:rsid w:val="5BD64B98"/>
    <w:rsid w:val="5C282AC7"/>
    <w:rsid w:val="5C54527A"/>
    <w:rsid w:val="5C604DE6"/>
    <w:rsid w:val="5CE62B2B"/>
    <w:rsid w:val="5D2B49C1"/>
    <w:rsid w:val="5D32079C"/>
    <w:rsid w:val="5DBC6D00"/>
    <w:rsid w:val="5DC44AB6"/>
    <w:rsid w:val="5DE51034"/>
    <w:rsid w:val="5DF44432"/>
    <w:rsid w:val="5E013028"/>
    <w:rsid w:val="5E4903E5"/>
    <w:rsid w:val="5E4A0E97"/>
    <w:rsid w:val="5F1679B9"/>
    <w:rsid w:val="5F443B39"/>
    <w:rsid w:val="5F5A1C32"/>
    <w:rsid w:val="5FAD7501"/>
    <w:rsid w:val="5FC5111D"/>
    <w:rsid w:val="5FEA5589"/>
    <w:rsid w:val="602D6CC3"/>
    <w:rsid w:val="6056497F"/>
    <w:rsid w:val="609A4358"/>
    <w:rsid w:val="60D049EC"/>
    <w:rsid w:val="61BC3E5A"/>
    <w:rsid w:val="61C50478"/>
    <w:rsid w:val="61E93261"/>
    <w:rsid w:val="61F5736C"/>
    <w:rsid w:val="623C273A"/>
    <w:rsid w:val="62446108"/>
    <w:rsid w:val="62707D34"/>
    <w:rsid w:val="628D3A49"/>
    <w:rsid w:val="62B40105"/>
    <w:rsid w:val="63365AF4"/>
    <w:rsid w:val="642A59F3"/>
    <w:rsid w:val="64357EF4"/>
    <w:rsid w:val="643F7144"/>
    <w:rsid w:val="64430863"/>
    <w:rsid w:val="645835D9"/>
    <w:rsid w:val="64A227CA"/>
    <w:rsid w:val="64A32DC1"/>
    <w:rsid w:val="64AE431A"/>
    <w:rsid w:val="65181CEF"/>
    <w:rsid w:val="651E7A4F"/>
    <w:rsid w:val="65297A59"/>
    <w:rsid w:val="6543491C"/>
    <w:rsid w:val="65BA4B55"/>
    <w:rsid w:val="65C43C25"/>
    <w:rsid w:val="65F8567D"/>
    <w:rsid w:val="669435F8"/>
    <w:rsid w:val="66CC2D91"/>
    <w:rsid w:val="66CF63DE"/>
    <w:rsid w:val="66F77C12"/>
    <w:rsid w:val="67130867"/>
    <w:rsid w:val="671F7174"/>
    <w:rsid w:val="678B49FB"/>
    <w:rsid w:val="67A21D44"/>
    <w:rsid w:val="67A91325"/>
    <w:rsid w:val="67B20BAC"/>
    <w:rsid w:val="67E40854"/>
    <w:rsid w:val="67F51BF1"/>
    <w:rsid w:val="6817003C"/>
    <w:rsid w:val="682D3D04"/>
    <w:rsid w:val="682E169E"/>
    <w:rsid w:val="689F6F38"/>
    <w:rsid w:val="68BC5088"/>
    <w:rsid w:val="68E502D3"/>
    <w:rsid w:val="690D15B6"/>
    <w:rsid w:val="691E189E"/>
    <w:rsid w:val="697F233D"/>
    <w:rsid w:val="699B2EEF"/>
    <w:rsid w:val="69C6227D"/>
    <w:rsid w:val="6AA87672"/>
    <w:rsid w:val="6AD24B85"/>
    <w:rsid w:val="6ADB7E57"/>
    <w:rsid w:val="6ADC37BF"/>
    <w:rsid w:val="6AFB546D"/>
    <w:rsid w:val="6B67752D"/>
    <w:rsid w:val="6B7F6714"/>
    <w:rsid w:val="6B882FFF"/>
    <w:rsid w:val="6BB32D8E"/>
    <w:rsid w:val="6C0528A2"/>
    <w:rsid w:val="6C072F8D"/>
    <w:rsid w:val="6C111246"/>
    <w:rsid w:val="6C410780"/>
    <w:rsid w:val="6C615D2A"/>
    <w:rsid w:val="6C6D0B73"/>
    <w:rsid w:val="6C9A0C44"/>
    <w:rsid w:val="6CE3096B"/>
    <w:rsid w:val="6D5D3C94"/>
    <w:rsid w:val="6D88378A"/>
    <w:rsid w:val="6D9640F9"/>
    <w:rsid w:val="6D973B1C"/>
    <w:rsid w:val="6E2B3217"/>
    <w:rsid w:val="6E62549C"/>
    <w:rsid w:val="6E6935BC"/>
    <w:rsid w:val="6EA52F6B"/>
    <w:rsid w:val="6F2D6397"/>
    <w:rsid w:val="6F3326A5"/>
    <w:rsid w:val="6F60051B"/>
    <w:rsid w:val="6FA56875"/>
    <w:rsid w:val="6FB9406F"/>
    <w:rsid w:val="6FFE5F86"/>
    <w:rsid w:val="701D01BA"/>
    <w:rsid w:val="70743C18"/>
    <w:rsid w:val="70D46E33"/>
    <w:rsid w:val="70DF5DB7"/>
    <w:rsid w:val="711D4AD7"/>
    <w:rsid w:val="71467BE4"/>
    <w:rsid w:val="71C1726B"/>
    <w:rsid w:val="71CC23C9"/>
    <w:rsid w:val="71D8165E"/>
    <w:rsid w:val="71DE7E1D"/>
    <w:rsid w:val="71F5203A"/>
    <w:rsid w:val="720A602E"/>
    <w:rsid w:val="721F290F"/>
    <w:rsid w:val="722F236C"/>
    <w:rsid w:val="72343EE1"/>
    <w:rsid w:val="723F4D5F"/>
    <w:rsid w:val="72E90827"/>
    <w:rsid w:val="73034496"/>
    <w:rsid w:val="730E64E0"/>
    <w:rsid w:val="7318413C"/>
    <w:rsid w:val="732452F0"/>
    <w:rsid w:val="7331759B"/>
    <w:rsid w:val="73582D47"/>
    <w:rsid w:val="73612AE8"/>
    <w:rsid w:val="7374265A"/>
    <w:rsid w:val="737547B1"/>
    <w:rsid w:val="73F000D0"/>
    <w:rsid w:val="73F73418"/>
    <w:rsid w:val="740B2A1F"/>
    <w:rsid w:val="740D09EB"/>
    <w:rsid w:val="741C69DA"/>
    <w:rsid w:val="747538CC"/>
    <w:rsid w:val="74AF40D2"/>
    <w:rsid w:val="74F14706"/>
    <w:rsid w:val="74F95082"/>
    <w:rsid w:val="750A33F9"/>
    <w:rsid w:val="75104791"/>
    <w:rsid w:val="7546040B"/>
    <w:rsid w:val="754806CE"/>
    <w:rsid w:val="75554DCC"/>
    <w:rsid w:val="75B23B5E"/>
    <w:rsid w:val="75C056F4"/>
    <w:rsid w:val="75D752AF"/>
    <w:rsid w:val="75FC748C"/>
    <w:rsid w:val="765468FF"/>
    <w:rsid w:val="7674569B"/>
    <w:rsid w:val="76B93C26"/>
    <w:rsid w:val="76EC2FDC"/>
    <w:rsid w:val="76F93003"/>
    <w:rsid w:val="76FD0D45"/>
    <w:rsid w:val="770A7066"/>
    <w:rsid w:val="77553A8D"/>
    <w:rsid w:val="778E7227"/>
    <w:rsid w:val="77B27D81"/>
    <w:rsid w:val="77BE4E66"/>
    <w:rsid w:val="77C90C27"/>
    <w:rsid w:val="78024E9D"/>
    <w:rsid w:val="782B304F"/>
    <w:rsid w:val="784A7FBA"/>
    <w:rsid w:val="78576B33"/>
    <w:rsid w:val="78AB0D85"/>
    <w:rsid w:val="78EE303B"/>
    <w:rsid w:val="79352A18"/>
    <w:rsid w:val="793828A1"/>
    <w:rsid w:val="79B67EC5"/>
    <w:rsid w:val="7A230AC3"/>
    <w:rsid w:val="7A4E3666"/>
    <w:rsid w:val="7A5768A0"/>
    <w:rsid w:val="7A8552D9"/>
    <w:rsid w:val="7ACF47A6"/>
    <w:rsid w:val="7AD92144"/>
    <w:rsid w:val="7AE95911"/>
    <w:rsid w:val="7AEB3E1D"/>
    <w:rsid w:val="7B096151"/>
    <w:rsid w:val="7B116B6D"/>
    <w:rsid w:val="7B4C5DF7"/>
    <w:rsid w:val="7B931C78"/>
    <w:rsid w:val="7BAD61AB"/>
    <w:rsid w:val="7BD76009"/>
    <w:rsid w:val="7BE44282"/>
    <w:rsid w:val="7C063EAC"/>
    <w:rsid w:val="7C3548FB"/>
    <w:rsid w:val="7C4371FA"/>
    <w:rsid w:val="7C572CA5"/>
    <w:rsid w:val="7C5C650E"/>
    <w:rsid w:val="7C66738C"/>
    <w:rsid w:val="7C8973C3"/>
    <w:rsid w:val="7CA3413D"/>
    <w:rsid w:val="7CD150D1"/>
    <w:rsid w:val="7D5F3C88"/>
    <w:rsid w:val="7D676F18"/>
    <w:rsid w:val="7DA77C5D"/>
    <w:rsid w:val="7DCC1471"/>
    <w:rsid w:val="7E0D3F64"/>
    <w:rsid w:val="7E5C0A47"/>
    <w:rsid w:val="7E6E2528"/>
    <w:rsid w:val="7EA128FE"/>
    <w:rsid w:val="7EB16548"/>
    <w:rsid w:val="7EB45827"/>
    <w:rsid w:val="7EB7595C"/>
    <w:rsid w:val="7F01339C"/>
    <w:rsid w:val="7F1E5CFC"/>
    <w:rsid w:val="7F2758DD"/>
    <w:rsid w:val="7F2C6C56"/>
    <w:rsid w:val="7F47778C"/>
    <w:rsid w:val="7F5160D2"/>
    <w:rsid w:val="7F6478E0"/>
    <w:rsid w:val="7F723244"/>
    <w:rsid w:val="7F7B314F"/>
    <w:rsid w:val="7FBF5D51"/>
    <w:rsid w:val="7FD048F8"/>
    <w:rsid w:val="7FFF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08488A65-137C-4CBF-81A1-FAF1B9668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1"/>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1">
    <w:name w:val="Default Paragraph Font"/>
    <w:semiHidden/>
  </w:style>
  <w:style w:type="table" w:default="1" w:styleId="a2">
    <w:name w:val="Normal Table"/>
    <w:semiHidden/>
    <w:tblPr>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pPr>
      <w:spacing w:before="100" w:beforeAutospacing="1"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widowControl/>
      <w:jc w:val="left"/>
    </w:pPr>
    <w:rPr>
      <w:rFonts w:ascii="宋体" w:hAnsi="宋体" w:cs="宋体"/>
      <w:kern w:val="0"/>
      <w:sz w:val="24"/>
      <w:szCs w:val="24"/>
    </w:rPr>
  </w:style>
  <w:style w:type="character" w:styleId="a7">
    <w:name w:val="Strong"/>
    <w:basedOn w:val="a1"/>
    <w:qFormat/>
    <w:rPr>
      <w:b w:val="0"/>
      <w:bCs w:val="0"/>
      <w:i w:val="0"/>
      <w:iCs w:val="0"/>
    </w:rPr>
  </w:style>
  <w:style w:type="character" w:styleId="a8">
    <w:name w:val="FollowedHyperlink"/>
    <w:basedOn w:val="a1"/>
    <w:rPr>
      <w:color w:val="800080"/>
      <w:u w:val="none"/>
    </w:rPr>
  </w:style>
  <w:style w:type="character" w:styleId="a9">
    <w:name w:val="Emphasis"/>
    <w:basedOn w:val="a1"/>
    <w:qFormat/>
    <w:rPr>
      <w:b w:val="0"/>
      <w:bCs w:val="0"/>
      <w:i w:val="0"/>
      <w:iCs w:val="0"/>
    </w:rPr>
  </w:style>
  <w:style w:type="character" w:styleId="HTML">
    <w:name w:val="HTML Definition"/>
    <w:basedOn w:val="a1"/>
    <w:rPr>
      <w:b w:val="0"/>
      <w:bCs w:val="0"/>
      <w:i w:val="0"/>
      <w:iCs w:val="0"/>
    </w:rPr>
  </w:style>
  <w:style w:type="character" w:styleId="HTML0">
    <w:name w:val="HTML Typewriter"/>
    <w:basedOn w:val="a1"/>
    <w:rPr>
      <w:rFonts w:ascii="monospace" w:eastAsia="monospace" w:hAnsi="monospace" w:cs="monospace" w:hint="default"/>
      <w:sz w:val="20"/>
    </w:rPr>
  </w:style>
  <w:style w:type="character" w:styleId="HTML1">
    <w:name w:val="HTML Acronym"/>
    <w:basedOn w:val="a1"/>
  </w:style>
  <w:style w:type="character" w:styleId="HTML2">
    <w:name w:val="HTML Variable"/>
    <w:basedOn w:val="a1"/>
    <w:rPr>
      <w:b w:val="0"/>
      <w:bCs w:val="0"/>
      <w:i w:val="0"/>
      <w:iCs w:val="0"/>
    </w:rPr>
  </w:style>
  <w:style w:type="character" w:styleId="aa">
    <w:name w:val="Hyperlink"/>
    <w:basedOn w:val="a1"/>
    <w:rPr>
      <w:color w:val="0000FF"/>
      <w:u w:val="none"/>
    </w:rPr>
  </w:style>
  <w:style w:type="character" w:styleId="HTML3">
    <w:name w:val="HTML Code"/>
    <w:basedOn w:val="a1"/>
    <w:rPr>
      <w:rFonts w:ascii="monospace" w:eastAsia="monospace" w:hAnsi="monospace" w:cs="monospace"/>
      <w:b w:val="0"/>
      <w:bCs w:val="0"/>
      <w:i w:val="0"/>
      <w:iCs w:val="0"/>
      <w:sz w:val="20"/>
    </w:rPr>
  </w:style>
  <w:style w:type="character" w:styleId="HTML4">
    <w:name w:val="HTML Cite"/>
    <w:basedOn w:val="a1"/>
    <w:rPr>
      <w:b w:val="0"/>
      <w:bCs w:val="0"/>
      <w:i w:val="0"/>
      <w:iCs w:val="0"/>
    </w:rPr>
  </w:style>
  <w:style w:type="character" w:styleId="HTML5">
    <w:name w:val="HTML Keyboard"/>
    <w:basedOn w:val="a1"/>
    <w:rPr>
      <w:rFonts w:ascii="monospace" w:eastAsia="monospace" w:hAnsi="monospace" w:cs="monospace" w:hint="default"/>
      <w:sz w:val="20"/>
    </w:rPr>
  </w:style>
  <w:style w:type="character" w:styleId="HTML6">
    <w:name w:val="HTML Sample"/>
    <w:basedOn w:val="a1"/>
    <w:rPr>
      <w:rFonts w:ascii="monospace" w:eastAsia="monospace" w:hAnsi="monospace" w:cs="monospace" w:hint="default"/>
    </w:rPr>
  </w:style>
  <w:style w:type="character" w:customStyle="1" w:styleId="16">
    <w:name w:val="16"/>
    <w:basedOn w:val="a1"/>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2437</Words>
  <Characters>13895</Characters>
  <Application>Microsoft Office Word</Application>
  <DocSecurity>0</DocSecurity>
  <Lines>115</Lines>
  <Paragraphs>32</Paragraphs>
  <ScaleCrop>false</ScaleCrop>
  <Company>Microsoft</Company>
  <LinksUpToDate>false</LinksUpToDate>
  <CharactersWithSpaces>16300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南召县2021年预算执行情况和2022年预算草案的报告</dc:title>
  <dc:subject/>
  <dc:creator>微软用户</dc:creator>
  <cp:keywords/>
  <dc:description/>
  <cp:lastModifiedBy>jlfwq</cp:lastModifiedBy>
  <cp:revision>2</cp:revision>
  <cp:lastPrinted>2023-01-29T01:03:00Z</cp:lastPrinted>
  <dcterms:created xsi:type="dcterms:W3CDTF">2024-08-23T02:41:00Z</dcterms:created>
  <dcterms:modified xsi:type="dcterms:W3CDTF">2024-08-23T02:41:00Z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6C9193CEAEE54DBD8AA94A0159F9FD70</vt:lpwstr>
  </property>
</Properties>
</file>