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00000" w:rsidRDefault="00000000">
      <w:pPr>
        <w:pStyle w:val="a6"/>
        <w:spacing w:line="700" w:lineRule="exact"/>
        <w:jc w:val="center"/>
        <w:rPr>
          <w:rFonts w:ascii="方正小标宋简体" w:eastAsia="方正小标宋简体" w:hAnsi="微软雅黑" w:hint="eastAsia"/>
          <w:b/>
          <w:bCs/>
          <w:spacing w:val="17"/>
          <w:sz w:val="44"/>
          <w:szCs w:val="44"/>
        </w:rPr>
      </w:pPr>
      <w:r>
        <w:rPr>
          <w:rFonts w:ascii="方正小标宋简体" w:eastAsia="方正小标宋简体" w:hAnsi="微软雅黑" w:hint="eastAsia"/>
          <w:b/>
          <w:bCs/>
          <w:spacing w:val="17"/>
          <w:sz w:val="44"/>
          <w:szCs w:val="44"/>
        </w:rPr>
        <w:t>南召县2023年财政预算执行情况和</w:t>
      </w:r>
    </w:p>
    <w:p w:rsidR="00000000" w:rsidRDefault="00000000">
      <w:pPr>
        <w:pStyle w:val="a6"/>
        <w:spacing w:line="700" w:lineRule="exact"/>
        <w:jc w:val="center"/>
        <w:rPr>
          <w:rFonts w:ascii="方正小标宋简体" w:eastAsia="方正小标宋简体" w:hAnsi="微软雅黑"/>
          <w:b/>
          <w:bCs/>
          <w:spacing w:val="17"/>
          <w:sz w:val="44"/>
          <w:szCs w:val="44"/>
        </w:rPr>
      </w:pPr>
      <w:r>
        <w:rPr>
          <w:rFonts w:ascii="方正小标宋简体" w:eastAsia="方正小标宋简体" w:hAnsi="微软雅黑" w:hint="eastAsia"/>
          <w:b/>
          <w:bCs/>
          <w:spacing w:val="17"/>
          <w:sz w:val="44"/>
          <w:szCs w:val="44"/>
        </w:rPr>
        <w:t>2024年财政预算（草案）的报告</w:t>
      </w:r>
    </w:p>
    <w:p w:rsidR="00000000" w:rsidRDefault="00000000">
      <w:pPr>
        <w:pStyle w:val="a6"/>
        <w:jc w:val="center"/>
        <w:rPr>
          <w:rFonts w:ascii="楷体" w:eastAsia="楷体" w:hAnsi="楷体" w:hint="eastAsia"/>
          <w:sz w:val="32"/>
          <w:szCs w:val="32"/>
        </w:rPr>
      </w:pPr>
    </w:p>
    <w:p w:rsidR="00000000" w:rsidRDefault="00000000">
      <w:pPr>
        <w:pStyle w:val="a6"/>
        <w:jc w:val="center"/>
        <w:rPr>
          <w:rFonts w:ascii="楷体_GB2312" w:eastAsia="楷体_GB2312" w:hAnsi="楷体_GB2312" w:cs="楷体_GB2312" w:hint="eastAsia"/>
          <w:spacing w:val="-17"/>
          <w:sz w:val="32"/>
          <w:szCs w:val="32"/>
        </w:rPr>
      </w:pPr>
      <w:r>
        <w:rPr>
          <w:rFonts w:ascii="楷体_GB2312" w:eastAsia="楷体_GB2312" w:hAnsi="楷体_GB2312" w:cs="楷体_GB2312" w:hint="eastAsia"/>
          <w:spacing w:val="-11"/>
          <w:sz w:val="32"/>
          <w:szCs w:val="32"/>
        </w:rPr>
        <w:t>——</w:t>
      </w:r>
      <w:r>
        <w:rPr>
          <w:rFonts w:ascii="楷体_GB2312" w:eastAsia="楷体_GB2312" w:hAnsi="楷体_GB2312" w:cs="楷体_GB2312" w:hint="eastAsia"/>
          <w:spacing w:val="-17"/>
          <w:sz w:val="32"/>
          <w:szCs w:val="32"/>
        </w:rPr>
        <w:t>2024年3月6日在南召县第十六届人民代表大会第四次会议上</w:t>
      </w:r>
    </w:p>
    <w:p w:rsidR="00000000" w:rsidRDefault="00000000">
      <w:pPr>
        <w:pStyle w:val="a6"/>
        <w:jc w:val="center"/>
        <w:rPr>
          <w:rFonts w:ascii="楷体_GB2312" w:eastAsia="楷体_GB2312" w:hAnsi="楷体_GB2312" w:cs="楷体_GB2312" w:hint="eastAsia"/>
          <w:sz w:val="32"/>
          <w:szCs w:val="32"/>
        </w:rPr>
      </w:pPr>
      <w:r>
        <w:rPr>
          <w:rFonts w:ascii="楷体_GB2312" w:eastAsia="楷体_GB2312" w:hAnsi="楷体_GB2312" w:cs="楷体_GB2312" w:hint="eastAsia"/>
          <w:sz w:val="32"/>
          <w:szCs w:val="32"/>
        </w:rPr>
        <w:t>南召县财政局局长  余春来</w:t>
      </w:r>
    </w:p>
    <w:p w:rsidR="00000000" w:rsidRDefault="00000000">
      <w:pPr>
        <w:pStyle w:val="a6"/>
        <w:spacing w:line="660" w:lineRule="exact"/>
        <w:ind w:firstLineChars="200" w:firstLine="640"/>
        <w:rPr>
          <w:rFonts w:ascii="仿宋_GB2312" w:eastAsia="仿宋_GB2312" w:hAnsi="仿宋_GB2312" w:cs="仿宋_GB2312" w:hint="eastAsia"/>
          <w:sz w:val="32"/>
          <w:szCs w:val="32"/>
        </w:rPr>
      </w:pPr>
    </w:p>
    <w:p w:rsidR="00000000" w:rsidRDefault="00000000">
      <w:pPr>
        <w:pStyle w:val="a6"/>
        <w:spacing w:line="6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各位代表：</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受县人民政府委托，现将南召县2023年地方财政预算执行情况和2024年财政预算草案提请县第十六届人民代表大会第四次会议审查，并请各位政协委员和列席会议的同志提出意见。</w:t>
      </w:r>
    </w:p>
    <w:p w:rsidR="00000000" w:rsidRDefault="00000000">
      <w:pPr>
        <w:pStyle w:val="a6"/>
        <w:spacing w:line="660" w:lineRule="exact"/>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一、2023年预算执行情况</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面对严峻复杂的经济形势，全县财政工作在县委的正确领导下，在县人大、县政协的有力监督下，紧紧围绕2023年县人民代表大会批准的财政预算，坚持以习近平新时代中国特色社会主义思想为指导，深入学习贯彻习近平总书记关于财政工作的重要指示批示精神，坚持稳中求进工作总基调，聚焦县委、县政府重要部署，扎实推进积极财政政策落实，强化税费政策供给，防范化解地方政府债务风险，切实保障基层“三保”，有力促进全县经济社会回升向好。</w:t>
      </w:r>
    </w:p>
    <w:p w:rsidR="00000000" w:rsidRDefault="00000000">
      <w:pPr>
        <w:pStyle w:val="a6"/>
        <w:spacing w:line="660" w:lineRule="exact"/>
        <w:ind w:firstLineChars="200" w:firstLine="640"/>
        <w:jc w:val="both"/>
        <w:rPr>
          <w:rFonts w:ascii="楷体_GB2312" w:eastAsia="楷体_GB2312" w:hAnsi="楷体_GB2312" w:cs="楷体_GB2312" w:hint="eastAsia"/>
          <w:b/>
          <w:bCs/>
          <w:sz w:val="32"/>
          <w:szCs w:val="32"/>
        </w:rPr>
      </w:pPr>
      <w:r>
        <w:rPr>
          <w:rStyle w:val="16"/>
          <w:rFonts w:ascii="楷体_GB2312" w:eastAsia="楷体_GB2312" w:hAnsi="楷体_GB2312" w:cs="楷体_GB2312" w:hint="eastAsia"/>
          <w:sz w:val="32"/>
          <w:szCs w:val="32"/>
        </w:rPr>
        <w:lastRenderedPageBreak/>
        <w:t>（一）地方一般公共预算收支执行情况</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1.全县一般公共预算执行情况</w:t>
      </w:r>
      <w:r>
        <w:rPr>
          <w:rFonts w:ascii="仿宋_GB2312" w:eastAsia="仿宋_GB2312" w:hAnsi="仿宋_GB2312" w:cs="仿宋_GB2312" w:hint="eastAsia"/>
          <w:sz w:val="32"/>
          <w:szCs w:val="32"/>
        </w:rPr>
        <w:t>（详见附表一、二）。</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全县地方一般公共预算收入完成101784万元，占县十六届人大常委会第十二次会议批准的收入调整预算任务101784万元的100%，同比增长14.9%。其中：税收收入完成74734万元，增长21.8%；非税收入完成27050万元，下降0.7%；税收收入占一般公共预算收入的比重为73.4%。2023年全县一般公共预算支出实际完成387766万元，占县十六届人大常委会第十二次会议批准调整预算任务450963万元的85.9%，增长0.27%。</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全县地方一般公共预算收入101784万元，加上级各项补助306437万元、上年结余结转57951万元、调入资金10256万元、动用预算稳定调节基金2000万元和债务转贷收入4796万元，全县一般公共预算总收入实现483224万元。相应安排一般公共预算支出和上解上级、债务还本以及结转下年支出后，全县一般公共预算实现收支平衡。</w:t>
      </w:r>
    </w:p>
    <w:p w:rsidR="00000000" w:rsidRDefault="00000000">
      <w:pPr>
        <w:pStyle w:val="a6"/>
        <w:spacing w:line="660" w:lineRule="exact"/>
        <w:ind w:firstLineChars="200" w:firstLine="640"/>
        <w:jc w:val="both"/>
        <w:rPr>
          <w:rFonts w:ascii="仿宋_GB2312" w:eastAsia="仿宋_GB2312" w:hAnsi="仿宋_GB2312" w:cs="仿宋_GB2312" w:hint="eastAsia"/>
          <w:b/>
          <w:bCs/>
          <w:sz w:val="32"/>
          <w:szCs w:val="32"/>
        </w:rPr>
      </w:pPr>
      <w:r>
        <w:rPr>
          <w:rStyle w:val="16"/>
          <w:rFonts w:ascii="仿宋_GB2312" w:eastAsia="仿宋_GB2312" w:hAnsi="仿宋_GB2312" w:cs="仿宋_GB2312" w:hint="eastAsia"/>
          <w:sz w:val="32"/>
          <w:szCs w:val="32"/>
        </w:rPr>
        <w:t>2.县级一般公共预算执行情况</w:t>
      </w:r>
      <w:r>
        <w:rPr>
          <w:rFonts w:ascii="仿宋_GB2312" w:eastAsia="仿宋_GB2312" w:hAnsi="仿宋_GB2312" w:cs="仿宋_GB2312" w:hint="eastAsia"/>
          <w:sz w:val="32"/>
          <w:szCs w:val="32"/>
        </w:rPr>
        <w:t>（详见附表三、四）。</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2023年县级地方一般公共预算收入完成39457万元，占县十六届人大常委会第十二次会议批准的收入调整预算任务39457万元的100%，下降2.2%。其中：税收收入完成12407</w:t>
      </w:r>
      <w:r>
        <w:rPr>
          <w:rFonts w:ascii="仿宋_GB2312" w:eastAsia="仿宋_GB2312" w:hAnsi="仿宋_GB2312" w:cs="仿宋_GB2312" w:hint="eastAsia"/>
          <w:sz w:val="32"/>
          <w:szCs w:val="32"/>
        </w:rPr>
        <w:lastRenderedPageBreak/>
        <w:t>万元，下降5.1%；非税收入完成27050万元，下降0.7%。2023年县级一般公共预算支出实际完成320372万元，占县十六届人大常委会第十二次会议批准调整预算任务383569万元的83.5%，下降7.6%。</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县本级一般公共预算收入39457万元，加上级补助收入306437万元、上年结转57951万元、乡镇上解收入20689万元、调入资金10256万元、动用预算稳定调节基金2000万元和债务转贷收入4796万元，县本级收入总计441586万元；县本级一般公共预算支出320372万元，加上上解支出32261万元、补助乡镇支出25756万元、债务还本支出673万元，结转下年支出61785万元，县本级支出总计441586万元，县级一般公共预算实现收支平衡。</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（二）政府性基金预算收支执行情况</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1.全县政府性基金预算执行情况</w:t>
      </w:r>
      <w:r>
        <w:rPr>
          <w:rFonts w:ascii="仿宋_GB2312" w:eastAsia="仿宋_GB2312" w:hAnsi="仿宋_GB2312" w:cs="仿宋_GB2312" w:hint="eastAsia"/>
          <w:sz w:val="32"/>
          <w:szCs w:val="32"/>
        </w:rPr>
        <w:t>（详见附表五）。</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2023年全县地方政府性基金预算收入完成32924万元，占县十六届人大常委会第十二次会议批准调整预算任务34826万元的94.5%，增长38.2%。2023年全县政府性基金预算支出完成112457万元，占调整预算任务86.9%，下降29.1%。</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2023年全县地方政府性基金预算收入32924万元，加上债务收入70100万元、上级各项补助收入12870万元和上年结转13503万元（减去超过两年结转存量收回19945万元），基金预算总收入129397万元。相应安排政府性基金支出112457万元、上解支出100万元、债券还本支出840万元，调出资金5000万元，基金预算总支出118397万元，结转下年支出11000万元，全县政府性基金预算实现收支平衡。</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2.县级政府性基金预算执行情况</w:t>
      </w:r>
      <w:r>
        <w:rPr>
          <w:rFonts w:ascii="仿宋_GB2312" w:eastAsia="仿宋_GB2312" w:hAnsi="仿宋_GB2312" w:cs="仿宋_GB2312" w:hint="eastAsia"/>
          <w:sz w:val="32"/>
          <w:szCs w:val="32"/>
        </w:rPr>
        <w:t>（详见附表六）。</w:t>
      </w:r>
    </w:p>
    <w:p w:rsidR="00000000" w:rsidRDefault="00000000">
      <w:pPr>
        <w:pStyle w:val="a6"/>
        <w:spacing w:line="6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2023年全县地方政府性基金预算收支数均为县级政府性基金预算收支。</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楷体_GB2312" w:eastAsia="楷体_GB2312" w:hAnsi="楷体_GB2312" w:cs="楷体_GB2312" w:hint="eastAsia"/>
          <w:sz w:val="32"/>
          <w:szCs w:val="32"/>
        </w:rPr>
        <w:t>（三）社会保险基金预算收支执行情况</w:t>
      </w:r>
      <w:r>
        <w:rPr>
          <w:rStyle w:val="16"/>
          <w:rFonts w:ascii="楷体_GB2312" w:eastAsia="楷体_GB2312" w:hAnsi="楷体_GB2312" w:cs="楷体_GB2312" w:hint="eastAsia"/>
          <w:b w:val="0"/>
          <w:bCs w:val="0"/>
          <w:sz w:val="32"/>
          <w:szCs w:val="32"/>
        </w:rPr>
        <w:t>（</w:t>
      </w:r>
      <w:r>
        <w:rPr>
          <w:rFonts w:ascii="仿宋_GB2312" w:eastAsia="仿宋_GB2312" w:hAnsi="仿宋_GB2312" w:cs="仿宋_GB2312" w:hint="eastAsia"/>
          <w:sz w:val="32"/>
          <w:szCs w:val="32"/>
        </w:rPr>
        <w:t>详见附表七）</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2023年全县社会保险基金收入完成94238万元，占县十六届人大常委会第十二次会议批准调整预算任务93152万元的101.2%，增长1.2%；全县社会保险基金支出实际完成84201万元，占调整预算的103%，增长3%。2023年全县社会保险基金当期结余10037万元。</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（四）国有资本经营预算收支执行情况</w:t>
      </w:r>
    </w:p>
    <w:p w:rsidR="00000000" w:rsidRDefault="00000000">
      <w:pPr>
        <w:autoSpaceDE w:val="0"/>
        <w:spacing w:line="6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2023年国有资本经营预算收入完成5473万元，</w:t>
      </w:r>
      <w:r>
        <w:rPr>
          <w:rFonts w:ascii="仿宋_GB2312" w:eastAsia="仿宋_GB2312" w:hAnsi="仿宋_GB2312" w:cs="仿宋_GB2312" w:hint="eastAsia"/>
          <w:sz w:val="32"/>
          <w:szCs w:val="32"/>
        </w:rPr>
        <w:t>占县十六届人大常委会第十二次会议批准调整预算任务5473万元的100%，主要来自于金财公司和城投公司上缴利润</w:t>
      </w:r>
      <w:r>
        <w:rPr>
          <w:rFonts w:ascii="仿宋_GB2312" w:eastAsia="仿宋_GB2312" w:hAnsi="仿宋_GB2312" w:cs="仿宋_GB2312" w:hint="eastAsia"/>
          <w:kern w:val="0"/>
          <w:sz w:val="32"/>
          <w:szCs w:val="32"/>
        </w:rPr>
        <w:t>收入。国有</w:t>
      </w:r>
      <w:r>
        <w:rPr>
          <w:rFonts w:ascii="仿宋_GB2312" w:eastAsia="仿宋_GB2312" w:hAnsi="仿宋_GB2312" w:cs="仿宋_GB2312" w:hint="eastAsia"/>
          <w:kern w:val="0"/>
          <w:sz w:val="32"/>
          <w:szCs w:val="32"/>
        </w:rPr>
        <w:lastRenderedPageBreak/>
        <w:t>资本经营预算支出完成5473万元，占调整预算的100%，其中调入一般预算5256万元，安排其他国有资本支出217万元。国有资本经营预算收支相抵，国有资本经营预算收支平衡。</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（五）地方政府债务情况</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1.地方政府债务余额情况。</w:t>
      </w:r>
      <w:r>
        <w:rPr>
          <w:rFonts w:ascii="仿宋_GB2312" w:eastAsia="仿宋_GB2312" w:hAnsi="仿宋_GB2312" w:cs="仿宋_GB2312" w:hint="eastAsia"/>
          <w:sz w:val="32"/>
          <w:szCs w:val="32"/>
        </w:rPr>
        <w:t>2023年全县地方政府债务余额57.7亿元，其中：一般债务余额11.9亿元、专项债务余额45.8亿元。</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仿宋_GB2312" w:eastAsia="仿宋_GB2312" w:hAnsi="仿宋_GB2312" w:cs="仿宋_GB2312" w:hint="eastAsia"/>
          <w:sz w:val="32"/>
          <w:szCs w:val="32"/>
        </w:rPr>
        <w:t>2.地方政府债券转贷情况。</w:t>
      </w:r>
      <w:r>
        <w:rPr>
          <w:rFonts w:ascii="仿宋_GB2312" w:eastAsia="仿宋_GB2312" w:hAnsi="仿宋_GB2312" w:cs="仿宋_GB2312" w:hint="eastAsia"/>
          <w:sz w:val="32"/>
          <w:szCs w:val="32"/>
        </w:rPr>
        <w:t>2023年全县争取地方政府债券资金12.06亿元。其中争取</w:t>
      </w:r>
      <w:r>
        <w:rPr>
          <w:rStyle w:val="16"/>
          <w:rFonts w:ascii="仿宋_GB2312" w:eastAsia="仿宋_GB2312" w:hAnsi="仿宋_GB2312" w:cs="仿宋_GB2312" w:hint="eastAsia"/>
          <w:b w:val="0"/>
          <w:bCs w:val="0"/>
          <w:sz w:val="32"/>
          <w:szCs w:val="32"/>
        </w:rPr>
        <w:t>新增债券</w:t>
      </w:r>
      <w:r>
        <w:rPr>
          <w:rFonts w:ascii="仿宋_GB2312" w:eastAsia="仿宋_GB2312" w:hAnsi="仿宋_GB2312" w:cs="仿宋_GB2312" w:hint="eastAsia"/>
          <w:sz w:val="32"/>
          <w:szCs w:val="32"/>
        </w:rPr>
        <w:t>资金7.49亿元（新增一般债券0.48</w:t>
      </w:r>
      <w:r>
        <w:rPr>
          <w:rFonts w:ascii="仿宋_GB2312" w:eastAsia="仿宋_GB2312" w:hAnsi="仿宋_GB2312" w:cs="仿宋_GB2312" w:hint="eastAsia"/>
          <w:sz w:val="32"/>
          <w:szCs w:val="32"/>
          <w:lang w:val="zh-CN"/>
        </w:rPr>
        <w:t>亿元</w:t>
      </w:r>
      <w:r>
        <w:rPr>
          <w:rFonts w:ascii="仿宋_GB2312" w:eastAsia="仿宋_GB2312" w:hAnsi="仿宋_GB2312" w:cs="仿宋_GB2312" w:hint="eastAsia"/>
          <w:sz w:val="32"/>
          <w:szCs w:val="32"/>
        </w:rPr>
        <w:t>、专项债券7.01亿元）；争取再融资债券资金4.57亿元。</w:t>
      </w:r>
    </w:p>
    <w:p w:rsidR="00000000" w:rsidRDefault="00000000">
      <w:pPr>
        <w:pStyle w:val="a6"/>
        <w:spacing w:line="660" w:lineRule="exact"/>
        <w:ind w:firstLineChars="200" w:firstLine="640"/>
        <w:jc w:val="both"/>
        <w:rPr>
          <w:rFonts w:ascii="仿宋_GB2312" w:eastAsia="仿宋_GB2312" w:hAnsi="仿宋_GB2312" w:cs="仿宋_GB2312"/>
          <w:sz w:val="32"/>
          <w:szCs w:val="32"/>
        </w:rPr>
      </w:pPr>
      <w:r>
        <w:rPr>
          <w:rStyle w:val="16"/>
          <w:rFonts w:ascii="仿宋_GB2312" w:eastAsia="仿宋_GB2312" w:hAnsi="仿宋_GB2312" w:cs="仿宋_GB2312" w:hint="eastAsia"/>
          <w:sz w:val="32"/>
          <w:szCs w:val="32"/>
        </w:rPr>
        <w:t>3.地方政府债务还本付息情况。</w:t>
      </w:r>
      <w:r>
        <w:rPr>
          <w:rFonts w:ascii="仿宋_GB2312" w:eastAsia="仿宋_GB2312" w:hAnsi="仿宋_GB2312" w:cs="仿宋_GB2312" w:hint="eastAsia"/>
          <w:sz w:val="32"/>
          <w:szCs w:val="32"/>
        </w:rPr>
        <w:t>2023年全县偿还地方政府债券本金4.66亿元，其中一般债券本金3.46亿元、专项债券本金1.20亿元；全县支付地方政府债券利息1.78亿元，其中一般债券利息0.41亿元、专项债券利息1.37亿元。</w:t>
      </w:r>
    </w:p>
    <w:p w:rsidR="00000000" w:rsidRDefault="00000000">
      <w:pPr>
        <w:pStyle w:val="a6"/>
        <w:spacing w:line="6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需要说明的是，以上预算执行情况数据均为快报数，目前省财政厅对我县决算正在审核进行中，待省财政厅批复我县2023年财政决算和核定下达债务限额后，部分数据会有所变化，待决算报告正式编制完成后再向县人大常委会报告。</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Style w:val="16"/>
          <w:rFonts w:ascii="楷体_GB2312" w:eastAsia="楷体_GB2312" w:hAnsi="楷体_GB2312" w:cs="楷体_GB2312" w:hint="eastAsia"/>
          <w:sz w:val="32"/>
          <w:szCs w:val="32"/>
        </w:rPr>
        <w:t>(六)落实县人大预算决议及主要工作情况</w:t>
      </w:r>
    </w:p>
    <w:p w:rsidR="00000000" w:rsidRDefault="00000000">
      <w:pPr>
        <w:pStyle w:val="a6"/>
        <w:spacing w:line="66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2023年，全县财税部门在县委坚强领导下，在县人大和政协监督指导下，始终不折不扣落实中央决策部署和省市县工作要求，积极发挥财税职能作用，着力强化收入征管，优化财政支出结构，深化预算管理改革，圆满完成各项财政工作任务。</w:t>
      </w:r>
    </w:p>
    <w:p w:rsidR="00000000" w:rsidRDefault="00000000">
      <w:pPr>
        <w:pStyle w:val="a6"/>
        <w:spacing w:line="660" w:lineRule="exact"/>
        <w:ind w:firstLineChars="200" w:firstLine="640"/>
        <w:jc w:val="both"/>
        <w:rPr>
          <w:rStyle w:val="16"/>
          <w:rFonts w:ascii="仿宋_GB2312" w:eastAsia="仿宋_GB2312" w:hAnsi="仿宋_GB2312" w:cs="仿宋_GB2312"/>
          <w:sz w:val="32"/>
          <w:szCs w:val="32"/>
        </w:rPr>
      </w:pPr>
      <w:r>
        <w:rPr>
          <w:rStyle w:val="16"/>
          <w:rFonts w:ascii="仿宋_GB2312" w:eastAsia="仿宋_GB2312" w:hAnsi="仿宋_GB2312" w:cs="仿宋_GB2312" w:hint="eastAsia"/>
          <w:sz w:val="32"/>
          <w:szCs w:val="32"/>
        </w:rPr>
        <w:t>1.收入组织成效显著，财政保障水平再上台阶。</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int="eastAsia"/>
          <w:bCs/>
          <w:sz w:val="32"/>
          <w:szCs w:val="32"/>
        </w:rPr>
        <w:t>克服</w:t>
      </w:r>
      <w:r>
        <w:rPr>
          <w:rFonts w:ascii="仿宋_GB2312" w:eastAsia="仿宋_GB2312" w:hAnsi="仿宋_GB2312" w:cs="仿宋_GB2312" w:hint="eastAsia"/>
          <w:sz w:val="32"/>
          <w:szCs w:val="32"/>
        </w:rPr>
        <w:t>宏观经济下行、减税降费、上级下达债券及转移支付资金减少、土地收入锐减等</w:t>
      </w:r>
      <w:r>
        <w:rPr>
          <w:rFonts w:ascii="仿宋_GB2312" w:eastAsia="仿宋_GB2312" w:hint="eastAsia"/>
          <w:bCs/>
          <w:sz w:val="32"/>
          <w:szCs w:val="32"/>
        </w:rPr>
        <w:t>不利</w:t>
      </w:r>
      <w:r>
        <w:rPr>
          <w:rFonts w:ascii="仿宋_GB2312" w:eastAsia="仿宋_GB2312" w:hAnsi="仿宋_GB2312" w:cs="仿宋_GB2312" w:hint="eastAsia"/>
          <w:sz w:val="32"/>
          <w:szCs w:val="32"/>
        </w:rPr>
        <w:t>因素的影响</w:t>
      </w:r>
      <w:r>
        <w:rPr>
          <w:rFonts w:ascii="仿宋_GB2312" w:eastAsia="仿宋_GB2312" w:hint="eastAsia"/>
          <w:bCs/>
          <w:sz w:val="32"/>
          <w:szCs w:val="32"/>
        </w:rPr>
        <w:t>，加强收入形势研判，密切财税征管部门协作，牢牢把握组织收入工作主动权，全面挖掘各项收入潜力。</w:t>
      </w:r>
      <w:bookmarkStart w:id="0" w:name="_Hlk46489128"/>
      <w:r>
        <w:rPr>
          <w:rFonts w:ascii="仿宋_GB2312" w:eastAsia="仿宋_GB2312" w:hAnsi="仿宋_GB2312" w:cs="仿宋_GB2312" w:hint="eastAsia"/>
          <w:sz w:val="32"/>
          <w:szCs w:val="32"/>
        </w:rPr>
        <w:t>全县实际完成一般公共预算收入101784万元，占年度预算目标的101.6%，</w:t>
      </w:r>
      <w:bookmarkEnd w:id="0"/>
      <w:r>
        <w:rPr>
          <w:rFonts w:ascii="仿宋_GB2312" w:eastAsia="仿宋_GB2312" w:hAnsi="仿宋_GB2312" w:cs="仿宋_GB2312" w:hint="eastAsia"/>
          <w:sz w:val="32"/>
          <w:szCs w:val="32"/>
        </w:rPr>
        <w:t>同比增长14.9%。</w:t>
      </w:r>
      <w:r>
        <w:rPr>
          <w:rFonts w:ascii="仿宋_GB2312" w:eastAsia="仿宋_GB2312" w:cs="仿宋_GB2312" w:hint="eastAsia"/>
          <w:b/>
          <w:kern w:val="0"/>
          <w:sz w:val="32"/>
          <w:szCs w:val="32"/>
          <w:lang w:val="zh-CN"/>
        </w:rPr>
        <w:t>一是狠抓税收征管</w:t>
      </w:r>
      <w:r>
        <w:rPr>
          <w:rFonts w:ascii="仿宋_GB2312" w:eastAsia="仿宋_GB2312" w:cs="仿宋_GB2312" w:hint="eastAsia"/>
          <w:kern w:val="0"/>
          <w:sz w:val="32"/>
          <w:szCs w:val="32"/>
          <w:lang w:val="zh-CN"/>
        </w:rPr>
        <w:t>。</w:t>
      </w:r>
      <w:r>
        <w:rPr>
          <w:rFonts w:ascii="仿宋_GB2312" w:eastAsia="仿宋_GB2312" w:cs="仿宋_GB2312" w:hint="eastAsia"/>
          <w:kern w:val="0"/>
          <w:sz w:val="32"/>
          <w:szCs w:val="32"/>
        </w:rPr>
        <w:t>坚持“政府领导、财税牵头、部门配合、信息共享、齐抓共管”的工作运作模式，多措并举实施综合治税，积极开展涉税信息采集，强化涉税信息分析，加强税收风险管理，突出重点行业重点领域依法治税，及时堵塞税收征管漏洞，提升税源监控质量。</w:t>
      </w:r>
      <w:r>
        <w:rPr>
          <w:rFonts w:ascii="仿宋_GB2312" w:eastAsia="仿宋_GB2312" w:hAnsi="仿宋_GB2312" w:cs="仿宋_GB2312" w:hint="eastAsia"/>
          <w:sz w:val="32"/>
          <w:szCs w:val="32"/>
        </w:rPr>
        <w:t>2023年全年</w:t>
      </w:r>
      <w:r>
        <w:rPr>
          <w:rFonts w:ascii="仿宋" w:eastAsia="仿宋" w:hAnsi="仿宋" w:cs="仿宋" w:hint="eastAsia"/>
          <w:sz w:val="32"/>
          <w:szCs w:val="32"/>
        </w:rPr>
        <w:t>综合治税工作共归集涉税信息7000余条，税收成效8600余万元</w:t>
      </w:r>
      <w:r>
        <w:rPr>
          <w:rFonts w:ascii="仿宋_GB2312" w:eastAsia="仿宋_GB2312" w:hAnsi="仿宋_GB2312" w:cs="仿宋_GB2312" w:hint="eastAsia"/>
          <w:sz w:val="32"/>
          <w:szCs w:val="32"/>
        </w:rPr>
        <w:t>，</w:t>
      </w:r>
      <w:r>
        <w:rPr>
          <w:rFonts w:ascii="仿宋" w:eastAsia="仿宋" w:hAnsi="仿宋" w:cs="仿宋" w:hint="eastAsia"/>
          <w:sz w:val="32"/>
          <w:szCs w:val="32"/>
        </w:rPr>
        <w:t>实现矿产品税收1.9亿元，切实做到应征尽征、颗粒归仓。</w:t>
      </w:r>
      <w:r>
        <w:rPr>
          <w:rFonts w:ascii="仿宋_GB2312" w:eastAsia="仿宋_GB2312" w:cs="仿宋_GB2312" w:hint="eastAsia"/>
          <w:b/>
          <w:kern w:val="0"/>
          <w:sz w:val="32"/>
          <w:szCs w:val="32"/>
          <w:lang w:val="zh-CN"/>
        </w:rPr>
        <w:t>二是</w:t>
      </w:r>
      <w:r>
        <w:rPr>
          <w:rFonts w:ascii="仿宋_GB2312" w:eastAsia="仿宋_GB2312" w:cs="仿宋_GB2312" w:hint="eastAsia"/>
          <w:b/>
          <w:kern w:val="0"/>
          <w:sz w:val="32"/>
          <w:szCs w:val="32"/>
        </w:rPr>
        <w:t>强化非税收入征管</w:t>
      </w:r>
      <w:r>
        <w:rPr>
          <w:rFonts w:ascii="仿宋_GB2312" w:eastAsia="仿宋_GB2312" w:cs="仿宋_GB2312" w:hint="eastAsia"/>
          <w:b/>
          <w:kern w:val="0"/>
          <w:sz w:val="32"/>
          <w:szCs w:val="32"/>
          <w:lang w:val="zh-CN"/>
        </w:rPr>
        <w:t>。</w:t>
      </w:r>
      <w:r>
        <w:rPr>
          <w:rFonts w:ascii="仿宋_GB2312" w:eastAsia="仿宋_GB2312" w:hAnsi="仿宋_GB2312" w:cs="仿宋_GB2312" w:hint="eastAsia"/>
          <w:sz w:val="32"/>
          <w:szCs w:val="32"/>
        </w:rPr>
        <w:t>以新征管网络上线运行为契机，全面实现了微信、支付宝扫码交款及有线、无线POS刷卡收款。严把政策落实关及资金征交管理入口关，将应征尽征、减征必停贯彻全面工作始</w:t>
      </w:r>
      <w:r>
        <w:rPr>
          <w:rFonts w:ascii="仿宋_GB2312" w:eastAsia="仿宋_GB2312" w:hAnsi="仿宋_GB2312" w:cs="仿宋_GB2312" w:hint="eastAsia"/>
          <w:sz w:val="32"/>
          <w:szCs w:val="32"/>
        </w:rPr>
        <w:lastRenderedPageBreak/>
        <w:t>终，确保了非税收入政策的贯彻落实和经济发展的良性互动。</w:t>
      </w:r>
      <w:r>
        <w:rPr>
          <w:rFonts w:ascii="仿宋_GB2312" w:eastAsia="仿宋_GB2312" w:cs="仿宋_GB2312" w:hint="eastAsia"/>
          <w:kern w:val="0"/>
          <w:sz w:val="32"/>
          <w:szCs w:val="32"/>
          <w:lang w:val="zh-CN"/>
        </w:rPr>
        <w:t>全年完成非税收入</w:t>
      </w:r>
      <w:r>
        <w:rPr>
          <w:rFonts w:ascii="仿宋_GB2312" w:eastAsia="仿宋_GB2312" w:hAnsi="仿宋_GB2312" w:cs="仿宋_GB2312" w:hint="eastAsia"/>
          <w:sz w:val="32"/>
          <w:szCs w:val="32"/>
        </w:rPr>
        <w:t>27050万元，同比下降0.7%。</w:t>
      </w:r>
      <w:r>
        <w:rPr>
          <w:rFonts w:ascii="仿宋_GB2312" w:eastAsia="仿宋_GB2312" w:cs="仿宋_GB2312" w:hint="eastAsia"/>
          <w:b/>
          <w:kern w:val="0"/>
          <w:sz w:val="32"/>
          <w:szCs w:val="32"/>
          <w:lang w:val="zh-CN"/>
        </w:rPr>
        <w:t>三是</w:t>
      </w:r>
      <w:r>
        <w:rPr>
          <w:rFonts w:ascii="仿宋_GB2312" w:eastAsia="仿宋_GB2312" w:cs="仿宋_GB2312" w:hint="eastAsia"/>
          <w:b/>
          <w:kern w:val="0"/>
          <w:sz w:val="32"/>
          <w:szCs w:val="32"/>
        </w:rPr>
        <w:t>多方组织</w:t>
      </w:r>
      <w:r>
        <w:rPr>
          <w:rFonts w:ascii="仿宋_GB2312" w:eastAsia="仿宋_GB2312" w:cs="仿宋_GB2312" w:hint="eastAsia"/>
          <w:b/>
          <w:kern w:val="0"/>
          <w:sz w:val="32"/>
          <w:szCs w:val="32"/>
          <w:lang w:val="zh-CN"/>
        </w:rPr>
        <w:t>土地基金收入。</w:t>
      </w:r>
      <w:r>
        <w:rPr>
          <w:rFonts w:ascii="仿宋_GB2312" w:eastAsia="仿宋_GB2312" w:cs="仿宋_GB2312" w:hint="eastAsia"/>
          <w:bCs/>
          <w:kern w:val="0"/>
          <w:sz w:val="32"/>
          <w:szCs w:val="32"/>
        </w:rPr>
        <w:t>受国家房地产宏观调控政策影响，我县土地交易价格低迷，土地收入增长十分困难。积极会同有关部门和乡镇，支持乡镇政府开展新增造地和工矿用地、宅基地复垦项目，加快城区土地挂牌出让，最大限度为弥补收支缺口增加财力做好保障。</w:t>
      </w:r>
      <w:r>
        <w:rPr>
          <w:rFonts w:ascii="仿宋_GB2312" w:eastAsia="仿宋_GB2312" w:cs="仿宋_GB2312" w:hint="eastAsia"/>
          <w:kern w:val="0"/>
          <w:sz w:val="32"/>
          <w:szCs w:val="32"/>
          <w:lang w:val="zh-CN"/>
        </w:rPr>
        <w:t>全年通过土地一二级市场交易共完成土地基金收入</w:t>
      </w:r>
      <w:r>
        <w:rPr>
          <w:rFonts w:ascii="仿宋_GB2312" w:eastAsia="仿宋_GB2312" w:cs="仿宋_GB2312" w:hint="eastAsia"/>
          <w:kern w:val="0"/>
          <w:sz w:val="32"/>
          <w:szCs w:val="32"/>
        </w:rPr>
        <w:t>32924</w:t>
      </w:r>
      <w:r>
        <w:rPr>
          <w:rFonts w:ascii="仿宋_GB2312" w:eastAsia="仿宋_GB2312" w:cs="仿宋_GB2312" w:hint="eastAsia"/>
          <w:kern w:val="0"/>
          <w:sz w:val="32"/>
          <w:szCs w:val="32"/>
          <w:lang w:val="zh-CN"/>
        </w:rPr>
        <w:t>万元，同比增长</w:t>
      </w:r>
      <w:r>
        <w:rPr>
          <w:rFonts w:ascii="仿宋_GB2312" w:eastAsia="仿宋_GB2312" w:cs="仿宋_GB2312" w:hint="eastAsia"/>
          <w:kern w:val="0"/>
          <w:sz w:val="32"/>
          <w:szCs w:val="32"/>
        </w:rPr>
        <w:t>38.2</w:t>
      </w:r>
      <w:r>
        <w:rPr>
          <w:rFonts w:ascii="仿宋_GB2312" w:eastAsia="仿宋_GB2312" w:cs="仿宋_GB2312" w:hint="eastAsia"/>
          <w:kern w:val="0"/>
          <w:sz w:val="32"/>
          <w:szCs w:val="32"/>
          <w:lang w:val="zh-CN"/>
        </w:rPr>
        <w:t>%。</w:t>
      </w:r>
      <w:r>
        <w:rPr>
          <w:rFonts w:ascii="仿宋_GB2312" w:eastAsia="仿宋_GB2312" w:cs="仿宋_GB2312" w:hint="eastAsia"/>
          <w:b/>
          <w:bCs/>
          <w:kern w:val="0"/>
          <w:sz w:val="32"/>
          <w:szCs w:val="32"/>
        </w:rPr>
        <w:t>四是积极争取上级资金。</w:t>
      </w:r>
      <w:r>
        <w:rPr>
          <w:rFonts w:ascii="仿宋_GB2312" w:eastAsia="仿宋_GB2312" w:hAnsi="仿宋_GB2312" w:cs="仿宋_GB2312" w:hint="eastAsia"/>
          <w:sz w:val="32"/>
          <w:szCs w:val="32"/>
        </w:rPr>
        <w:t>用足用好上级政策，积极争取交通、水利、社保、卫生、教育等重点领域上级转移支付资金30.88亿元，统筹支持社会事业发展；争取地方政府新增债券资金7.49亿元，有力保障了南召县上河苑城中村改造项目三期、南召县卫生职业中等专业学校附属医院提升改造项目、全域旅游游客服务中心、</w:t>
      </w:r>
      <w:r>
        <w:rPr>
          <w:rStyle w:val="16"/>
          <w:rFonts w:ascii="仿宋_GB2312" w:eastAsia="仿宋_GB2312" w:hAnsi="仿宋_GB2312" w:cs="仿宋_GB2312" w:hint="eastAsia"/>
          <w:b w:val="0"/>
          <w:bCs w:val="0"/>
          <w:sz w:val="32"/>
          <w:szCs w:val="32"/>
        </w:rPr>
        <w:t>红色文化教育中心建设项目</w:t>
      </w:r>
      <w:r>
        <w:rPr>
          <w:rFonts w:ascii="仿宋_GB2312" w:eastAsia="仿宋_GB2312" w:hAnsi="仿宋_GB2312" w:cs="仿宋_GB2312" w:hint="eastAsia"/>
          <w:sz w:val="32"/>
          <w:szCs w:val="32"/>
        </w:rPr>
        <w:t>等重点项目建设，有效缓解了政府年度支出压力。</w:t>
      </w:r>
    </w:p>
    <w:p w:rsidR="00000000" w:rsidRDefault="00000000">
      <w:pPr>
        <w:pStyle w:val="a6"/>
        <w:spacing w:line="660" w:lineRule="exact"/>
        <w:ind w:firstLineChars="200" w:firstLine="640"/>
        <w:jc w:val="both"/>
        <w:rPr>
          <w:rStyle w:val="16"/>
          <w:rFonts w:ascii="仿宋_GB2312" w:eastAsia="仿宋_GB2312" w:hAnsi="仿宋_GB2312" w:cs="仿宋_GB2312"/>
          <w:sz w:val="32"/>
          <w:szCs w:val="32"/>
        </w:rPr>
      </w:pPr>
      <w:r>
        <w:rPr>
          <w:rStyle w:val="16"/>
          <w:rFonts w:ascii="仿宋_GB2312" w:eastAsia="仿宋_GB2312" w:hAnsi="仿宋_GB2312" w:cs="仿宋_GB2312" w:hint="eastAsia"/>
          <w:sz w:val="32"/>
          <w:szCs w:val="32"/>
        </w:rPr>
        <w:t>2.支出调度有保有压，财政支出结构不断优化。</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支出调度更加精准。充分发挥积极财政政策作用，加强汇报协调，积极争取上级库款支持，将库款规模控制在合理区间。按照每月库款考核、压减库款规模、提高资金使用效率的要求，跟踪分析省市对县财力、指标、直接支付资金等指标</w:t>
      </w:r>
      <w:r>
        <w:rPr>
          <w:rFonts w:ascii="仿宋_GB2312" w:eastAsia="仿宋_GB2312" w:hAnsi="仿宋_GB2312" w:cs="仿宋_GB2312" w:hint="eastAsia"/>
          <w:sz w:val="32"/>
          <w:szCs w:val="32"/>
        </w:rPr>
        <w:lastRenderedPageBreak/>
        <w:t>流、资金流分析，按照“保基本民生、保工资、保运转”的原则，科学测算、“点对点”及时调度库款，切实保障重点急需支出，推动政府的决策部署落到实处。</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过紧日子”思想不断树牢。持之以恒树牢“过紧日子”思想，严控机关运行成本、大力精简会议培训、严禁新建楼堂馆所、“三公经费”只减不增，集中财力支持债务风险化解、民生事业支出和经济建设，用政府的“紧日子”换老百姓的“好日子”。</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民生投入持续保持在较高水平。将“以人民为中心”的发展思想贯穿于积极的财政政策之中，在行政运行成本上做“减法”，民生支出上做“加法”，集中财力支持巩固脱贫成果，推进乡村振兴、教育医疗事业等重点民生领域，切实增进民生福祉。2023年民生支出达30.55亿元，占地方一般公共预算支出的78.8%。其中：拨付教育资金8.19亿元，进一步补齐教育发展短板，保障教育高质量发展；拨付农林水资金5.97亿元，进一步改善群众出行、饮水、就业等问题；拨付社会保障和就业资金6.08亿元，确保困难群众基本生活救助保障水平不断提升，养老保障体系不断完善；拨付卫生健康资金2.59亿元，不断提升基本公共卫生服务、应对和处置突发公共卫生事件的能力，着力改善群众看病就医环境。</w:t>
      </w:r>
      <w:r>
        <w:rPr>
          <w:rFonts w:ascii="仿宋_GB2312" w:eastAsia="仿宋_GB2312" w:hAnsi="仿宋_GB2312" w:cs="仿宋_GB2312" w:hint="eastAsia"/>
          <w:b/>
          <w:bCs/>
          <w:sz w:val="32"/>
          <w:szCs w:val="32"/>
        </w:rPr>
        <w:t>四是</w:t>
      </w:r>
      <w:r>
        <w:rPr>
          <w:rFonts w:ascii="仿宋_GB2312" w:eastAsia="仿宋_GB2312" w:hAnsi="仿宋_GB2312" w:cs="仿宋_GB2312" w:hint="eastAsia"/>
          <w:sz w:val="32"/>
          <w:szCs w:val="32"/>
        </w:rPr>
        <w:t>产业支持力度不断加大。统筹衔接资金3.48亿元，其中</w:t>
      </w:r>
      <w:r>
        <w:rPr>
          <w:rFonts w:ascii="仿宋_GB2312" w:eastAsia="仿宋_GB2312" w:hAnsi="仿宋_GB2312" w:cs="仿宋_GB2312" w:hint="eastAsia"/>
          <w:snapToGrid w:val="0"/>
          <w:kern w:val="0"/>
          <w:sz w:val="32"/>
          <w:szCs w:val="32"/>
        </w:rPr>
        <w:t>产业发展类项目27个，投入衔接资金</w:t>
      </w:r>
      <w:r>
        <w:rPr>
          <w:rFonts w:ascii="仿宋_GB2312" w:eastAsia="仿宋_GB2312" w:hAnsi="仿宋_GB2312" w:cs="仿宋_GB2312" w:hint="eastAsia"/>
          <w:snapToGrid w:val="0"/>
          <w:kern w:val="0"/>
          <w:sz w:val="32"/>
          <w:szCs w:val="32"/>
        </w:rPr>
        <w:lastRenderedPageBreak/>
        <w:t>13825万元</w:t>
      </w:r>
      <w:r>
        <w:rPr>
          <w:rFonts w:ascii="仿宋_GB2312" w:eastAsia="仿宋_GB2312" w:hAnsi="仿宋_GB2312" w:cs="仿宋_GB2312" w:hint="eastAsia"/>
          <w:sz w:val="32"/>
          <w:szCs w:val="32"/>
        </w:rPr>
        <w:t>，有效支持特色农业由种养殖向精深加工发展。</w:t>
      </w:r>
    </w:p>
    <w:p w:rsidR="00000000" w:rsidRDefault="00000000">
      <w:pPr>
        <w:spacing w:line="6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3.风险防控全面加力，财政风险防线更加牢固。</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三保”底线兜牢兜实。始终将“三保”工作当做重要政治任务来抓，成立“三保”工作领导小组，制定《南召县2023年“三保”工作应急预案》，全面提升“三保”在预算编制、预算执行和库款调度等重要环节的优先顺序，根据“三保”实际支出需要及时统调统配资金予以保障，全年</w:t>
      </w:r>
      <w:r>
        <w:rPr>
          <w:rFonts w:ascii="仿宋_GB2312" w:eastAsia="仿宋_GB2312" w:hint="eastAsia"/>
          <w:sz w:val="32"/>
          <w:szCs w:val="32"/>
        </w:rPr>
        <w:t>保工资预算支出10.23亿元、保运转支出0.58亿元、保基本民生支出10.92亿元、“三保”支出总计为21.73亿元，占年初“三保”预算的99.37%，机关事业单位人员工资及时足额发放到位，运转经费据实拨付，民生资金及时兑现到人到户，未发生风险。</w:t>
      </w:r>
      <w:r>
        <w:rPr>
          <w:rFonts w:ascii="仿宋_GB2312" w:eastAsia="仿宋_GB2312" w:hint="eastAsia"/>
          <w:b/>
          <w:bCs/>
          <w:sz w:val="32"/>
          <w:szCs w:val="32"/>
        </w:rPr>
        <w:t>二是</w:t>
      </w:r>
      <w:r>
        <w:rPr>
          <w:rFonts w:ascii="仿宋_GB2312" w:eastAsia="仿宋_GB2312" w:hint="eastAsia"/>
          <w:sz w:val="32"/>
          <w:szCs w:val="32"/>
        </w:rPr>
        <w:t>债务风险总体可控。着力健全政府债务“借、用、管、还”全过程监管体系，严控新增债务规模，严格落实地方政府债务限额管理，确保法定政府债务风险可控，大力统筹资金、资源、资产化解债务风险，按时足额还本付息，切实维护县委、县政府信誉。按时偿还法定债务本息5.43亿元，全年未发生违约事件，无区域性、系统性风险发生。同时，政府拖欠企业无分歧账款按期清零，存量债务化解有序推进。</w:t>
      </w:r>
      <w:r>
        <w:rPr>
          <w:rFonts w:ascii="仿宋_GB2312" w:eastAsia="仿宋_GB2312" w:hint="eastAsia"/>
          <w:b/>
          <w:bCs/>
          <w:sz w:val="32"/>
          <w:szCs w:val="32"/>
        </w:rPr>
        <w:t>三是</w:t>
      </w:r>
      <w:r>
        <w:rPr>
          <w:rFonts w:ascii="仿宋_GB2312" w:eastAsia="仿宋_GB2312" w:hint="eastAsia"/>
          <w:sz w:val="32"/>
          <w:szCs w:val="32"/>
        </w:rPr>
        <w:t>防贫底线全面兜牢。紧盯“两不愁四保障”可能出现的风险隐患，持续加大财政资金投入力度，持续强化“一卡通”管理，及时兑现到人</w:t>
      </w:r>
      <w:r>
        <w:rPr>
          <w:rFonts w:ascii="仿宋_GB2312" w:eastAsia="仿宋_GB2312" w:hint="eastAsia"/>
          <w:sz w:val="32"/>
          <w:szCs w:val="32"/>
        </w:rPr>
        <w:lastRenderedPageBreak/>
        <w:t>到户资金，全年通过“一卡通”兑现补贴资金</w:t>
      </w:r>
      <w:r>
        <w:rPr>
          <w:rFonts w:ascii="仿宋_GB2312" w:eastAsia="仿宋_GB2312" w:cs="仿宋_GB2312" w:hint="eastAsia"/>
          <w:kern w:val="0"/>
          <w:sz w:val="32"/>
          <w:szCs w:val="32"/>
        </w:rPr>
        <w:t>4.09亿</w:t>
      </w:r>
      <w:r>
        <w:rPr>
          <w:rFonts w:ascii="仿宋_GB2312" w:eastAsia="仿宋_GB2312" w:cs="仿宋_GB2312" w:hint="eastAsia"/>
          <w:kern w:val="0"/>
          <w:sz w:val="32"/>
          <w:szCs w:val="32"/>
          <w:lang w:val="zh-CN"/>
        </w:rPr>
        <w:t>元，惠及</w:t>
      </w:r>
      <w:r>
        <w:rPr>
          <w:rFonts w:ascii="仿宋_GB2312" w:eastAsia="仿宋_GB2312" w:cs="仿宋_GB2312" w:hint="eastAsia"/>
          <w:kern w:val="0"/>
          <w:sz w:val="32"/>
          <w:szCs w:val="32"/>
        </w:rPr>
        <w:t>全县21.5万</w:t>
      </w:r>
      <w:r>
        <w:rPr>
          <w:rFonts w:ascii="仿宋_GB2312" w:eastAsia="仿宋_GB2312" w:cs="仿宋_GB2312" w:hint="eastAsia"/>
          <w:kern w:val="0"/>
          <w:sz w:val="32"/>
          <w:szCs w:val="32"/>
          <w:lang w:val="zh-CN"/>
        </w:rPr>
        <w:t>人。</w:t>
      </w:r>
      <w:r>
        <w:rPr>
          <w:rFonts w:ascii="仿宋_GB2312" w:eastAsia="仿宋_GB2312" w:hAnsi="仿宋_GB2312" w:cs="仿宋_GB2312" w:hint="eastAsia"/>
          <w:sz w:val="32"/>
          <w:szCs w:val="32"/>
        </w:rPr>
        <w:t>2023年“星火计划”扶持政策县财政拨付资金2319万元，其中就业扶持奖励资金1489万元，共扶持脱贫户、监测户10372户，乡域企业、个体户及新型经营主体7家；产业扶持奖励资金830万元，共扶持奖补脱贫户、监测户6500户。进一步筑牢返贫“防护墙”。</w:t>
      </w:r>
    </w:p>
    <w:p w:rsidR="00000000" w:rsidRDefault="00000000">
      <w:pPr>
        <w:spacing w:line="6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4.改革管理持续深化，财政治理效能明显提升。</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一是</w:t>
      </w:r>
      <w:r>
        <w:rPr>
          <w:rFonts w:ascii="仿宋_GB2312" w:eastAsia="仿宋_GB2312" w:hAnsi="仿宋_GB2312" w:cs="仿宋_GB2312" w:hint="eastAsia"/>
          <w:sz w:val="32"/>
          <w:szCs w:val="32"/>
        </w:rPr>
        <w:t>预算管理改革持续深化。以预算管理一体化改革为契机，建立以项目为核心，从预算编制到预算执行、核算、内控、绩效、监督等一体化的全生命周期全流程管理。推动财政总会计制度改革全覆盖，积极探索并试行政府采购电子化交易系统。</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绩效管理纵深推进。对全县重点部门、重点项目开展绩效目标评审，对目标不明确、投入产出比低下的项目调减或取消预算安排。对2023年全县年初预算项目进行绩效运行监控，涉及金额23.32亿元，对于执行率较低、绩效目标实现程度较差的单位进行通报，并要求相关单位限时整改到位。同时，通过引入第三方社会机构对2022年及2023年部分重点项目全过程绩效跟踪监测工作，涉及金额12.16亿元。</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非税收入电子化管理改革全面推进。全县非税收入执收单位如期全部上线，稳步实现安全高效、规范便捷、上下贯通的“互联网+</w:t>
      </w:r>
      <w:r>
        <w:rPr>
          <w:rFonts w:ascii="仿宋_GB2312" w:eastAsia="仿宋_GB2312" w:hAnsi="仿宋_GB2312" w:cs="仿宋_GB2312" w:hint="eastAsia"/>
          <w:sz w:val="32"/>
          <w:szCs w:val="32"/>
        </w:rPr>
        <w:lastRenderedPageBreak/>
        <w:t>非税”管理体系，非税收入收缴电子化和财政电子票据管理改革质效全面提升。</w:t>
      </w:r>
    </w:p>
    <w:p w:rsidR="00000000" w:rsidRDefault="00000000">
      <w:pPr>
        <w:spacing w:line="6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5.纪律作风更加严明，财政管理基础全面夯实。</w:t>
      </w:r>
    </w:p>
    <w:p w:rsidR="00000000" w:rsidRDefault="00000000">
      <w:pPr>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是狠抓党风廉政建设。将党风廉政建设和反腐败各项工作任务与财政业务工作通盘考虑、协调推进，层层签订目标责任书。深化教育、制度、监督三位一体并重的反腐败体系建设。贯彻落实县纪委监委“清廉南召”建设部署，</w:t>
      </w:r>
      <w:r>
        <w:rPr>
          <w:rFonts w:ascii="仿宋_GB2312" w:eastAsia="仿宋_GB2312" w:hAnsi="仿宋_GB2312" w:cs="仿宋_GB2312" w:hint="eastAsia"/>
          <w:sz w:val="32"/>
          <w:szCs w:val="32"/>
          <w:lang w:val="zh-CN"/>
        </w:rPr>
        <w:t>召开领导班子</w:t>
      </w:r>
      <w:r>
        <w:rPr>
          <w:rFonts w:ascii="仿宋_GB2312" w:eastAsia="仿宋_GB2312" w:hAnsi="仿宋_GB2312" w:cs="仿宋_GB2312" w:hint="eastAsia"/>
          <w:sz w:val="32"/>
          <w:szCs w:val="32"/>
        </w:rPr>
        <w:t>专题</w:t>
      </w:r>
      <w:r>
        <w:rPr>
          <w:rFonts w:ascii="仿宋_GB2312" w:eastAsia="仿宋_GB2312" w:hAnsi="仿宋_GB2312" w:cs="仿宋_GB2312" w:hint="eastAsia"/>
          <w:sz w:val="32"/>
          <w:szCs w:val="32"/>
          <w:lang w:val="zh-CN"/>
        </w:rPr>
        <w:t>民主生活会、机关干部观看警示教育片、</w:t>
      </w:r>
      <w:r>
        <w:rPr>
          <w:rFonts w:ascii="仿宋_GB2312" w:eastAsia="仿宋_GB2312" w:hAnsi="仿宋_GB2312" w:cs="仿宋_GB2312" w:hint="eastAsia"/>
          <w:sz w:val="32"/>
          <w:szCs w:val="32"/>
        </w:rPr>
        <w:t>讲廉政党课、“清廉知识”问答等。建立健全财政内控机制，完善预算分配、项目申报、资金拨付、资产购置、政务公开等重点工作。加大对重点岗位重点群体监督制约力度，自觉接受政府审计监督、人大法律监督和社会各界监督。贯彻落实省、市、县委“观念能力作风提升年”活动，自觉向中央“八项规定”和省、市、县委加强作风建设的各项要求对标看齐。</w:t>
      </w:r>
      <w:r>
        <w:rPr>
          <w:rFonts w:ascii="仿宋_GB2312" w:eastAsia="仿宋_GB2312" w:hAnsi="仿宋_GB2312" w:cs="仿宋_GB2312" w:hint="eastAsia"/>
          <w:b/>
          <w:bCs/>
          <w:sz w:val="32"/>
          <w:szCs w:val="32"/>
        </w:rPr>
        <w:t>二是</w:t>
      </w:r>
      <w:r>
        <w:rPr>
          <w:rFonts w:ascii="仿宋_GB2312" w:eastAsia="仿宋_GB2312" w:hAnsi="仿宋_GB2312" w:cs="仿宋_GB2312" w:hint="eastAsia"/>
          <w:sz w:val="32"/>
          <w:szCs w:val="32"/>
        </w:rPr>
        <w:t>预算公开质量进一步提升。深入贯彻“公开是常态，不公开是例外”的预算公开理念，全县58个部门40个预算单位均严格按照公开时限完成公开，实现了预算公开的100%全覆盖，公开面更广、内容更完整、科目更细化。同时，组织专人对全县所有预算单位的公开内容多次进行全面检查，对公开内容不完整、不规范的要求立即整改并重新公开，极大提升了预算公开质量。</w:t>
      </w:r>
      <w:r>
        <w:rPr>
          <w:rFonts w:ascii="仿宋_GB2312" w:eastAsia="仿宋_GB2312" w:hAnsi="仿宋_GB2312" w:cs="仿宋_GB2312" w:hint="eastAsia"/>
          <w:b/>
          <w:bCs/>
          <w:sz w:val="32"/>
          <w:szCs w:val="32"/>
        </w:rPr>
        <w:t>三是</w:t>
      </w:r>
      <w:r>
        <w:rPr>
          <w:rFonts w:ascii="仿宋_GB2312" w:eastAsia="仿宋_GB2312" w:hAnsi="仿宋_GB2312" w:cs="仿宋_GB2312" w:hint="eastAsia"/>
          <w:sz w:val="32"/>
          <w:szCs w:val="32"/>
        </w:rPr>
        <w:t>财政监</w:t>
      </w:r>
      <w:r>
        <w:rPr>
          <w:rFonts w:ascii="仿宋_GB2312" w:eastAsia="仿宋_GB2312" w:hAnsi="仿宋_GB2312" w:cs="仿宋_GB2312" w:hint="eastAsia"/>
          <w:sz w:val="32"/>
          <w:szCs w:val="32"/>
        </w:rPr>
        <w:lastRenderedPageBreak/>
        <w:t>督纵深推进。深入贯彻落实中央、省、市、县关于人大预算审查监督重点向支出预算和政策拓展的要求，改进预决算草案编制，并及时整改人大联网监督系统反馈问题；积极配合各级审计部门对我县医保资金、科技投入资金、放管服资金、乡村振兴衔接资金和2022年财政收支预算进行专项审计，并按要求开展整改工作；按照“不唯减、不唯增、只唯实”的评审理念，积极开展财政投资评审工作，</w:t>
      </w:r>
      <w:r>
        <w:rPr>
          <w:rStyle w:val="16"/>
          <w:rFonts w:ascii="仿宋_GB2312" w:eastAsia="仿宋_GB2312" w:hAnsi="仿宋_GB2312" w:cs="仿宋_GB2312" w:hint="eastAsia"/>
          <w:b w:val="0"/>
          <w:bCs w:val="0"/>
          <w:color w:val="000000"/>
          <w:sz w:val="32"/>
          <w:szCs w:val="32"/>
          <w:lang w:bidi="ar"/>
        </w:rPr>
        <w:t>累计完成项目评审223个，评审资金额度17.76亿元，审定金额14.71亿元，审减各类不合理资金3.05亿元，平均审减率17.20%。</w:t>
      </w:r>
    </w:p>
    <w:p w:rsidR="00000000" w:rsidRDefault="00000000">
      <w:pPr>
        <w:pStyle w:val="a6"/>
        <w:spacing w:line="660" w:lineRule="exact"/>
        <w:ind w:firstLineChars="200" w:firstLine="640"/>
        <w:jc w:val="both"/>
        <w:rPr>
          <w:rFonts w:ascii="仿宋_GB2312" w:eastAsia="仿宋_GB2312" w:hAnsi="仿宋_GB2312" w:cs="仿宋_GB2312"/>
          <w:sz w:val="32"/>
          <w:szCs w:val="32"/>
        </w:rPr>
      </w:pPr>
      <w:r>
        <w:rPr>
          <w:rFonts w:ascii="仿宋_GB2312" w:eastAsia="仿宋_GB2312" w:hAnsi="仿宋_GB2312" w:cs="仿宋_GB2312" w:hint="eastAsia"/>
          <w:sz w:val="32"/>
          <w:szCs w:val="32"/>
        </w:rPr>
        <w:t>各位代表，艰难方显勇毅，磨砺始得玉成。这些成绩的取得，是县委、县政府正确领导的结果，是县人大、县政协监督指导的结果，也是代表、委员们建言献策的结果，更是全县各级各部门关心理解和广大群众大力支持的结果。在总结成绩的同时，我们也清醒地认识到当前财政工作仍然存在一些困难和问题：一是财政收入持续增收困难。受新增财源项目不足、土地市场招拍挂难度加大等因素的影响，财政增收压力很大，新增可用财力有限；二是财政收支矛盾突出。刚性开支扩大，政府债券还本付息、乡村振兴建设投入、文明城市创建、养老保险财政补助、增人增资等支出政策，形成大额刚性开支，财政暂付款规模过大，财政“紧平衡”状态下资金调度十分紧张；</w:t>
      </w:r>
      <w:r>
        <w:rPr>
          <w:rFonts w:ascii="仿宋_GB2312" w:eastAsia="仿宋_GB2312" w:hAnsi="仿宋_GB2312" w:cs="仿宋_GB2312" w:hint="eastAsia"/>
          <w:sz w:val="32"/>
          <w:szCs w:val="32"/>
        </w:rPr>
        <w:lastRenderedPageBreak/>
        <w:t>三是绩效预算理念尚未牢固确立，财政资源配置和使用效益还有待提升。对此，我们将高度重视，采取有效措施，认真加以解决。</w:t>
      </w:r>
    </w:p>
    <w:p w:rsidR="00000000" w:rsidRDefault="00000000">
      <w:pPr>
        <w:pStyle w:val="a6"/>
        <w:spacing w:line="660" w:lineRule="exact"/>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二、2024年财政预算草案</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（一）2024年县级预算编制的指导思想</w:t>
      </w:r>
    </w:p>
    <w:p w:rsidR="00000000" w:rsidRDefault="00000000">
      <w:pPr>
        <w:autoSpaceDE w:val="0"/>
        <w:spacing w:line="660" w:lineRule="exact"/>
        <w:ind w:firstLineChars="200" w:firstLine="640"/>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32"/>
          <w:szCs w:val="32"/>
        </w:rPr>
        <w:t>2024年是新中国成立75周年，是实现“十四五”规划目标任务的关键一年，也是深入推进财政改革的重要一年。2024年预算编制和财政工作将以习近平新时代中国特色社会主义思想为指导，全面贯彻落实党的二十大和二十届二中全会精神，坚持稳中求进、以进促稳、先立后破的工作总基调，全面贯彻新发展理念，加快构建新发展格局，着力推动高质量发展，全面深化改革开放，大力提振市场信心，突出做好稳增长、稳就业、稳物价工作，有效防范化解重大风险，推动经济运行整体好转。精准有效实施积极的财政政策，促进经济高质量发展；加强财政资源统筹，加大优化支出结构力度，增强“三保”重点领域财力保障；坚持艰苦奋斗、勤俭节约、精打细算，为全方位推动南召高质量发展跨越提供坚实的财力保障。</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（二）2024年县级预算编制重点把握原则</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一是加强资源统筹，确保收支平衡原则。</w:t>
      </w:r>
      <w:r>
        <w:rPr>
          <w:rStyle w:val="16"/>
          <w:rFonts w:ascii="仿宋_GB2312" w:eastAsia="仿宋_GB2312" w:hAnsi="仿宋_GB2312" w:cs="仿宋_GB2312" w:hint="eastAsia"/>
          <w:b w:val="0"/>
          <w:bCs w:val="0"/>
          <w:kern w:val="0"/>
          <w:sz w:val="32"/>
          <w:szCs w:val="32"/>
        </w:rPr>
        <w:t>坚持量入为出、收支平衡的预算编制要求，遵循“压一般、保刚性、保重点、</w:t>
      </w:r>
      <w:r>
        <w:rPr>
          <w:rStyle w:val="16"/>
          <w:rFonts w:ascii="仿宋_GB2312" w:eastAsia="仿宋_GB2312" w:hAnsi="仿宋_GB2312" w:cs="仿宋_GB2312" w:hint="eastAsia"/>
          <w:b w:val="0"/>
          <w:bCs w:val="0"/>
          <w:kern w:val="0"/>
          <w:sz w:val="32"/>
          <w:szCs w:val="32"/>
        </w:rPr>
        <w:lastRenderedPageBreak/>
        <w:t>强统筹”的思路，按照轻重缓急申报和审核预算，切实提高预算编制水平和财政支出的可持续性。</w:t>
      </w:r>
      <w:r>
        <w:rPr>
          <w:rFonts w:ascii="仿宋_GB2312" w:eastAsia="仿宋_GB2312" w:hAnsi="仿宋_GB2312" w:cs="仿宋_GB2312" w:hint="eastAsia"/>
          <w:sz w:val="32"/>
          <w:szCs w:val="32"/>
        </w:rPr>
        <w:t>优先消化使用结转资金，积极清理盘活财政存量资金。统筹各类资产资源，通过市场化方式依法依规筹集重大项目建设资金。</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二是强化预算管理，集中财力保重点原则。</w:t>
      </w:r>
      <w:r>
        <w:rPr>
          <w:rFonts w:ascii="仿宋_GB2312" w:eastAsia="仿宋_GB2312" w:hAnsi="仿宋_GB2312" w:cs="仿宋_GB2312" w:hint="eastAsia"/>
          <w:sz w:val="32"/>
          <w:szCs w:val="32"/>
        </w:rPr>
        <w:t>坚持量力而行、尽力而为、集中财力，突出重点，优先保障工资发放、机关运转、基本民生等“三保”支出和偿还政府债务本息等刚性开支，保障中央、省、市决策部署和县委、县政府确定的重大项目、重点工作和重要改革支出。</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三是坚持厉行勤俭，优化支出结构原则。</w:t>
      </w:r>
      <w:r>
        <w:rPr>
          <w:rFonts w:ascii="仿宋_GB2312" w:eastAsia="仿宋_GB2312" w:hAnsi="仿宋_GB2312" w:cs="仿宋_GB2312" w:hint="eastAsia"/>
          <w:sz w:val="32"/>
          <w:szCs w:val="32"/>
        </w:rPr>
        <w:t>坚持厉行节约勤俭理财方针，以政府过“紧日子”换取百姓过好日子。建立健全常态化“过紧日子”制度措施，对三公经费、会议费、培训费等非急需非刚性开支应压尽压、可压尽压，严格执行各项经费开支标准，严格新增资产配置管理，切实降低行政运行成本，精打细算节用裕民和支持市场主体发展。</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四是强化预算约束，实施预算绩效原则。</w:t>
      </w:r>
      <w:r>
        <w:rPr>
          <w:rFonts w:ascii="仿宋_GB2312" w:eastAsia="仿宋_GB2312" w:hAnsi="仿宋_GB2312" w:cs="仿宋_GB2312" w:hint="eastAsia"/>
          <w:sz w:val="32"/>
          <w:szCs w:val="32"/>
        </w:rPr>
        <w:t>强化预算约束、绩效管理，将财政可承受能力、成本效益分析等绩效要素融入项目谋划论证，将绩效评价结果与预算安排、政策调整挂钩有机衔接，坚持优化结构、效益优先，提高财政资金使用效率和使用效益，守好财政运行和政府债务风险底线，为经济社会高</w:t>
      </w:r>
      <w:r>
        <w:rPr>
          <w:rFonts w:ascii="仿宋_GB2312" w:eastAsia="仿宋_GB2312" w:hAnsi="仿宋_GB2312" w:cs="仿宋_GB2312" w:hint="eastAsia"/>
          <w:sz w:val="32"/>
          <w:szCs w:val="32"/>
        </w:rPr>
        <w:lastRenderedPageBreak/>
        <w:t>质量发展提供坚实的财力支撑。</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（三）2024年县级预算编制草案</w:t>
      </w:r>
    </w:p>
    <w:p w:rsidR="00000000" w:rsidRDefault="00000000">
      <w:pPr>
        <w:autoSpaceDE w:val="0"/>
        <w:spacing w:line="660" w:lineRule="exact"/>
        <w:ind w:firstLineChars="200" w:firstLine="640"/>
        <w:rPr>
          <w:rStyle w:val="16"/>
          <w:rFonts w:ascii="仿宋_GB2312" w:eastAsia="仿宋_GB2312" w:hAnsi="仿宋_GB2312" w:cs="仿宋_GB2312"/>
          <w:b w:val="0"/>
          <w:bCs w:val="0"/>
          <w:kern w:val="0"/>
          <w:sz w:val="32"/>
          <w:szCs w:val="32"/>
        </w:rPr>
      </w:pPr>
      <w:r>
        <w:rPr>
          <w:rStyle w:val="16"/>
          <w:rFonts w:ascii="仿宋_GB2312" w:eastAsia="仿宋_GB2312" w:hAnsi="仿宋_GB2312" w:cs="仿宋_GB2312" w:hint="eastAsia"/>
          <w:b w:val="0"/>
          <w:bCs w:val="0"/>
          <w:kern w:val="0"/>
          <w:sz w:val="32"/>
          <w:szCs w:val="32"/>
        </w:rPr>
        <w:t>按照上述指导思想和基本原则，2024年县级财政收支预算建议如下：</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1.一般公共预算收支草案</w:t>
      </w:r>
      <w:r>
        <w:rPr>
          <w:rFonts w:ascii="仿宋_GB2312" w:eastAsia="仿宋_GB2312" w:hAnsi="仿宋_GB2312" w:cs="仿宋_GB2312" w:hint="eastAsia"/>
          <w:sz w:val="32"/>
          <w:szCs w:val="32"/>
        </w:rPr>
        <w:t>(详见附表八、九)</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结合2024年全县生产总值、固定资产投资等经济社会发展主要预期，2024年全县地方财政一般公共预算收入按增长7.5%安排。</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全县一般公共预算收入109418万元，同比增长7.5%，其中：税收收入80418万元，同比增长7.5%；非税收入29000万元，同比增长7.2%；税收占比73.5%。</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县本级一般公共预算收入42418万元，同比增长7.5%，其中：税收收入13418万元，同比增长8.0%；非税收入29000万元，同比增长7.2%；税收占比30.9%。</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按现行财政体制算账，县本级财政一般公共预算收入42418万元，加上级补助收入211364万元、加上年结转61785万元，调入资金60000万元，按照现行财政体制乡镇上解6200万元，减预计上解上级支出33000万元，补助乡镇5300万元,当年县本级地方财力预计为343467万元。按照收支平衡原则，相应安排县本级一般公共预算支出343467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县级一般公共预算支出按功能分类科目情况是：</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一般公共服务支出28513万元，</w:t>
      </w:r>
    </w:p>
    <w:p w:rsidR="00000000" w:rsidRDefault="00000000">
      <w:pPr>
        <w:autoSpaceDE w:val="0"/>
        <w:spacing w:line="6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国防支出53万元，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公共安全支出14740万元，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教育支出124945万元，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科学技术支出1086万元，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文化旅游体育与传媒支出3003万元，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社会保障和就业支出43663万元，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卫生健康支出22587万元，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节能环保支出2486万元，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城乡社区支出2933万元，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农林水支出61182万元，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交通运输支出7569万元，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资源勘探信息等支出995万元，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商业服务业等支出124万元，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自然资源海洋气象等支出3659万元，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住房保障支出4116万元，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粮油物资储备支出612万元，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灾害防治及应急管理支出2468万元，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预备费3500万元，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债务付息支出4021万元，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其他支出11209万元。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Style w:val="16"/>
          <w:rFonts w:ascii="仿宋_GB2312" w:eastAsia="仿宋_GB2312" w:hAnsi="仿宋_GB2312" w:cs="仿宋_GB2312" w:hint="eastAsia"/>
          <w:kern w:val="0"/>
          <w:sz w:val="32"/>
          <w:szCs w:val="32"/>
        </w:rPr>
        <w:t>2.政府性基金预算收支草案</w:t>
      </w:r>
      <w:r>
        <w:rPr>
          <w:rFonts w:ascii="仿宋_GB2312" w:eastAsia="仿宋_GB2312" w:hAnsi="仿宋_GB2312" w:cs="仿宋_GB2312" w:hint="eastAsia"/>
          <w:sz w:val="32"/>
          <w:szCs w:val="32"/>
        </w:rPr>
        <w:t>(详见附表十)</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政府性基金预算根据基金项目的收入情况和实际支出需要安排，按基金项目编制，做到以收定支，并加大与一般公共预算的统筹力度。2024年县本级政府性基金收入142516万元，加上年结转11000万元、上级基金补助收入4828万元、专项债券收入25800万元，收入总计184144万元。安排政府债务还本付息支出19096万元、社会保障和就业支出7900万元、农林水支出3673万元、文化体育和传媒支出30万元、城乡社区支出107351万元、其他支出2352万元，支出总计144144万元，调入一般公共预算支出40000万元，基金预算收支平衡。</w:t>
      </w:r>
    </w:p>
    <w:p w:rsidR="00000000" w:rsidRDefault="00000000">
      <w:pPr>
        <w:autoSpaceDE w:val="0"/>
        <w:spacing w:line="660" w:lineRule="exact"/>
        <w:ind w:firstLineChars="200" w:firstLine="640"/>
        <w:rPr>
          <w:rFonts w:ascii="仿宋_GB2312" w:eastAsia="仿宋_GB2312" w:hAnsi="仿宋_GB2312" w:cs="仿宋_GB2312" w:hint="eastAsia"/>
          <w:b/>
          <w:bCs/>
          <w:sz w:val="32"/>
          <w:szCs w:val="32"/>
        </w:rPr>
      </w:pPr>
      <w:r>
        <w:rPr>
          <w:rFonts w:ascii="仿宋_GB2312" w:eastAsia="仿宋_GB2312" w:hAnsi="仿宋_GB2312" w:cs="仿宋_GB2312" w:hint="eastAsia"/>
          <w:b/>
          <w:bCs/>
          <w:sz w:val="32"/>
          <w:szCs w:val="32"/>
        </w:rPr>
        <w:t>3.社会保险基金预算收支草案</w:t>
      </w:r>
      <w:r>
        <w:rPr>
          <w:rFonts w:ascii="仿宋_GB2312" w:eastAsia="仿宋_GB2312" w:hAnsi="仿宋_GB2312" w:cs="仿宋_GB2312" w:hint="eastAsia"/>
          <w:sz w:val="32"/>
          <w:szCs w:val="32"/>
        </w:rPr>
        <w:t>(详见附表十一)</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社会保险基金预算按照统筹层次和社会保险项目分别编制。2024年全县社会保险基金预算收入安排97425万元，支出安排86301万元，其中：</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城乡居民基本养老保险基金：收入23807万元，支出17456万元；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城乡居民基本医疗保险基金：收入59044万元，支出</w:t>
      </w:r>
      <w:r>
        <w:rPr>
          <w:rFonts w:ascii="仿宋_GB2312" w:eastAsia="仿宋_GB2312" w:hAnsi="仿宋_GB2312" w:cs="仿宋_GB2312" w:hint="eastAsia"/>
          <w:sz w:val="32"/>
          <w:szCs w:val="32"/>
        </w:rPr>
        <w:lastRenderedPageBreak/>
        <w:t>55821万元；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城镇职工基本医疗保险基金（含生育保险基金）：收入14574万元，支出13024万元。</w:t>
      </w:r>
    </w:p>
    <w:p w:rsidR="00000000" w:rsidRDefault="00000000">
      <w:pPr>
        <w:autoSpaceDE w:val="0"/>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4.国有资本经营收益预算收支草案</w:t>
      </w:r>
      <w:r>
        <w:rPr>
          <w:rFonts w:ascii="仿宋_GB2312" w:eastAsia="仿宋_GB2312" w:hAnsi="仿宋_GB2312" w:cs="仿宋_GB2312" w:hint="eastAsia"/>
          <w:sz w:val="32"/>
          <w:szCs w:val="32"/>
        </w:rPr>
        <w:t>(详见附表十二)</w:t>
      </w:r>
    </w:p>
    <w:p w:rsidR="00000000" w:rsidRDefault="00000000">
      <w:pPr>
        <w:autoSpaceDE w:val="0"/>
        <w:spacing w:line="6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t>拟安排2024年国有资本经营收益20217万元，其中平台公司国有资本经营净收益20000万元，收益全部调入一般预算弥补支出缺口，其他国有资本支出217万元。</w:t>
      </w:r>
    </w:p>
    <w:p w:rsidR="00000000" w:rsidRDefault="00000000">
      <w:pPr>
        <w:pStyle w:val="a6"/>
        <w:spacing w:line="660" w:lineRule="exact"/>
        <w:ind w:firstLineChars="200" w:firstLine="640"/>
        <w:jc w:val="both"/>
        <w:rPr>
          <w:rStyle w:val="16"/>
          <w:rFonts w:ascii="楷体_GB2312" w:eastAsia="楷体_GB2312" w:hAnsi="楷体_GB2312" w:cs="楷体_GB2312" w:hint="eastAsia"/>
          <w:sz w:val="32"/>
          <w:szCs w:val="32"/>
        </w:rPr>
      </w:pPr>
      <w:r>
        <w:rPr>
          <w:rStyle w:val="16"/>
          <w:rFonts w:ascii="楷体_GB2312" w:eastAsia="楷体_GB2312" w:hAnsi="楷体_GB2312" w:cs="楷体_GB2312" w:hint="eastAsia"/>
          <w:sz w:val="32"/>
          <w:szCs w:val="32"/>
        </w:rPr>
        <w:t>（四）2024年新增债券资金安排意见</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省财政厅2024年1月份提前下达我县新增专项债务限额。结合党中央、国务院和财政部有关要求，拟将25800万元专项债券资金安排如下项目，按照预算法有关规定和政府债务分类管理要求，列入年度政府性基金预算。</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1.南召县产业集聚区城中村改造（四期）项目3800万元。</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2.南召县上河苑城中村改造项目四期22000万元。</w:t>
      </w:r>
    </w:p>
    <w:p w:rsidR="00000000" w:rsidRDefault="00000000">
      <w:pPr>
        <w:pStyle w:val="a3"/>
        <w:spacing w:before="0" w:beforeAutospacing="0" w:after="0" w:line="660" w:lineRule="exact"/>
        <w:ind w:firstLineChars="200" w:firstLine="640"/>
        <w:rPr>
          <w:rFonts w:eastAsia="仿宋_GB2312"/>
          <w:sz w:val="32"/>
          <w:szCs w:val="32"/>
        </w:rPr>
      </w:pPr>
      <w:r>
        <w:rPr>
          <w:rFonts w:ascii="仿宋_GB2312" w:eastAsia="仿宋_GB2312" w:hAnsi="仿宋_GB2312" w:cs="仿宋_GB2312" w:hint="eastAsia"/>
          <w:bCs/>
          <w:sz w:val="32"/>
          <w:szCs w:val="32"/>
        </w:rPr>
        <w:t>需要说明的是，受财力所限，今年全县财政支出预算盘子安排的很紧。一些部门提交的支出项目没有编列入年初预算，需要通过今后加大增收节支力度、盘活财政存量资金、向上争取专项资金等方式解决，请大家理解。</w:t>
      </w:r>
    </w:p>
    <w:p w:rsidR="00000000" w:rsidRDefault="00000000">
      <w:pPr>
        <w:pStyle w:val="a6"/>
        <w:spacing w:line="660" w:lineRule="exact"/>
        <w:ind w:firstLineChars="200" w:firstLine="643"/>
        <w:jc w:val="both"/>
        <w:rPr>
          <w:rFonts w:ascii="黑体" w:eastAsia="黑体" w:hAnsi="黑体" w:cs="黑体" w:hint="eastAsia"/>
          <w:b/>
          <w:bCs/>
          <w:sz w:val="32"/>
          <w:szCs w:val="32"/>
        </w:rPr>
      </w:pPr>
      <w:r>
        <w:rPr>
          <w:rFonts w:ascii="黑体" w:eastAsia="黑体" w:hAnsi="黑体" w:cs="黑体" w:hint="eastAsia"/>
          <w:b/>
          <w:bCs/>
          <w:sz w:val="32"/>
          <w:szCs w:val="32"/>
        </w:rPr>
        <w:t>三、完成2024年预算目标的主要措施</w:t>
      </w:r>
    </w:p>
    <w:p w:rsidR="00000000" w:rsidRDefault="00000000">
      <w:pPr>
        <w:widowControl/>
        <w:spacing w:line="660" w:lineRule="exact"/>
        <w:ind w:firstLineChars="200" w:firstLine="640"/>
        <w:rPr>
          <w:rFonts w:ascii="仿宋_GB2312" w:eastAsia="仿宋_GB2312" w:hAnsi="仿宋_GB2312" w:cs="仿宋_GB2312" w:hint="eastAsia"/>
          <w:bCs/>
          <w:sz w:val="32"/>
          <w:szCs w:val="32"/>
        </w:rPr>
      </w:pPr>
      <w:r>
        <w:rPr>
          <w:rFonts w:ascii="仿宋_GB2312" w:eastAsia="仿宋_GB2312" w:hAnsi="仿宋_GB2312" w:cs="仿宋_GB2312" w:hint="eastAsia"/>
          <w:bCs/>
          <w:sz w:val="32"/>
          <w:szCs w:val="32"/>
        </w:rPr>
        <w:lastRenderedPageBreak/>
        <w:t>2024年，我们将深入贯彻落实中央、省市决策部署和县委、县政府工作要求，认真执行本次人代会关于财政预算报告的审查意见和相关决议决定，落实好积极的财政政策，发挥财政引导调控职能，确保完成全年预算目标任务。</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（一）聚焦收入组织，不断增强财政保障能力。</w:t>
      </w:r>
      <w:r>
        <w:rPr>
          <w:rFonts w:ascii="仿宋_GB2312" w:eastAsia="仿宋_GB2312" w:hAnsi="仿宋_GB2312" w:cs="仿宋_GB2312" w:hint="eastAsia"/>
          <w:sz w:val="32"/>
          <w:szCs w:val="32"/>
        </w:rPr>
        <w:t>一是进一步强化收入征管。行业主管部门进一步提高服务意识，大力保生产、稳物价，以生产的稳定和企业的发展促进财政收入的增长；抓收入部门进一步加强协作，推进信息共享，形成征管合力，从不同税种、不同行业等不同角度深入分析研判增减变动原因，强化管理，防止跑冒滴漏的发生，充分运用税费监管系统，强化对采矿业、房地产业和建筑业等重点行业跟踪监测力度，提高税收收入质量。持续推进开源节流，挖掘非税收入和土地、林地收入增长潜力。二是进一步强化向上争取。结合党的二十大精神、中央经济工作会议精神，抓住省推进财力下沉基层政策机遇，加强政策学习领悟，找准中央、省重点支持政策和方向，积极谋划，有针对性地做实前期准备，深挖政策金矿，主动向上汇报，力争获得上级更多的项目和资金支持，为县域经济发展注入更多动力。三是进一步强化财源培植。管好用好衔接资金、债券资金和项目资金，强化要素保障，抓实重大项目建设，推进县域经济发展；持续优化营商环境，清理整</w:t>
      </w:r>
      <w:r>
        <w:rPr>
          <w:rFonts w:ascii="仿宋_GB2312" w:eastAsia="仿宋_GB2312" w:hAnsi="仿宋_GB2312" w:cs="仿宋_GB2312" w:hint="eastAsia"/>
          <w:sz w:val="32"/>
          <w:szCs w:val="32"/>
        </w:rPr>
        <w:lastRenderedPageBreak/>
        <w:t>合审批事项，加强对重点行业、企业、工程（项目）的管理和服务，多深入一线调研，及时协调解决企业各类困难诉求；进一步发挥财政资金引导作用，激活民间资本，健全“政银企”合作平台，全力保障全县重点项目建设，切实解决中小微企业等市场主体融资难、融资贵问题；进一步加大招商引资力度，坚持“一把手”带头招商，加强招商项目策划包装，完善招商项目签约落地的支撑政策和配套措施，大力引进一批高质量的好项目好企业；全面落实好减税降费政策，切实帮扶市场主体，让企业“轻装上阵”，激发市场活力。四是进一步强化资产资源盘活。进一步加大非税收入清缴、存量资金盘活、闲置资产资源处置、国有土地出让、扶贫及乡村振兴经营性资产清理盘活力度，拓宽财政收入来源，推进存量资产充分利用和调剂共享，切实提高现有资产使用效益。</w:t>
      </w:r>
    </w:p>
    <w:p w:rsidR="00000000" w:rsidRDefault="00000000">
      <w:pPr>
        <w:spacing w:line="66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（二）聚焦支出管理，不断提高资金使用效益。</w:t>
      </w:r>
      <w:r>
        <w:rPr>
          <w:rFonts w:ascii="仿宋_GB2312" w:eastAsia="仿宋_GB2312" w:hAnsi="仿宋_GB2312" w:cs="仿宋_GB2312" w:hint="eastAsia"/>
          <w:sz w:val="32"/>
          <w:szCs w:val="32"/>
        </w:rPr>
        <w:t>一是深化节约型财政理念。严格落实省委、省政府《关于进一步勤俭节约坚持过紧日子的通知》，持续压减非刚性非重点支出，牢固树立“有多少钱办多少事”理念，加强政府投资项目管理，严控“三公”经费规模，严格执行机关运行经费开支标准，严禁超范围、超标准开支，算好花好每一分钱，把节省出来的资金用于保障和改善民生。二是确保民生投入稳定。坚持尽力而为、</w:t>
      </w:r>
      <w:r>
        <w:rPr>
          <w:rFonts w:ascii="仿宋_GB2312" w:eastAsia="仿宋_GB2312" w:hAnsi="仿宋_GB2312" w:cs="仿宋_GB2312" w:hint="eastAsia"/>
          <w:sz w:val="32"/>
          <w:szCs w:val="32"/>
        </w:rPr>
        <w:lastRenderedPageBreak/>
        <w:t>量力而行，健全民生支出清单管理制度，重点加强基础性、普惠性、兜底性民生保障建设，着力解决乡村振兴、就业、教育、文化、医疗、社保等方面突出问题，加强安全生产、防汛抗旱、森林防火、应急消防等支出保障，稳步提升民生保障水平。三是全面推进绩效管理。将预算绩效管理工作作为财政提质增效的主要抓手，坚持“花钱必问效，无效必问责”，加强全方位、全过程、全覆盖预算绩效评估，对预算资金、专项资金进行绩效评价，形成“闭环式”的预算执行约束力，切实提高财政资金的使用效益，确保每一分钱花在刀刃上。健全绩效结果评价反馈制度和绩效问题整改责任制，加强绩效结果应用，不断形成“重绩效、讲绩效、用绩效”的全方位预算格局，提升资金使用效益。</w:t>
      </w:r>
    </w:p>
    <w:p w:rsidR="00000000" w:rsidRDefault="00000000">
      <w:pPr>
        <w:spacing w:line="6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（三）聚焦风险防控，全力保障财政平稳运行。</w:t>
      </w:r>
      <w:r>
        <w:rPr>
          <w:rFonts w:ascii="仿宋_GB2312" w:eastAsia="仿宋_GB2312" w:hAnsi="仿宋_GB2312" w:cs="仿宋_GB2312" w:hint="eastAsia"/>
          <w:sz w:val="32"/>
          <w:szCs w:val="32"/>
        </w:rPr>
        <w:t>强化风险意识，把防风险摆在更加突出的位置，高度警惕和防范财政领域风险。一是守住“三保”风险底线。始终将“三保”工作作为重要政治任务来抓，全面落实“三保”主体责任，坚持“三保”预算编制、支出执行、库款保障“三个优先”，兜牢兜实“三保”预算，不留预算缺口，切实加强库款管理，统筹安排各项财政收支，合理调度库款，为“三保”筑牢“防护网”、拧紧“安全阀”。二是加强债务风险防范和化解。坚决贯彻落</w:t>
      </w:r>
      <w:r>
        <w:rPr>
          <w:rFonts w:ascii="仿宋_GB2312" w:eastAsia="仿宋_GB2312" w:hAnsi="仿宋_GB2312" w:cs="仿宋_GB2312" w:hint="eastAsia"/>
          <w:sz w:val="32"/>
          <w:szCs w:val="32"/>
        </w:rPr>
        <w:lastRenderedPageBreak/>
        <w:t>实上级化债工作要求，稳妥化解存量债务。坚持底线思维，加强风险研判，不断完善政府债务风险监测、预警、化解、应急处置机制。依法依规举借政府债务，严格控制政府债务规模；按照“谁举债，谁负责，谁偿还”原则，综合运用合规转化为企业经营性债务、依法依规核减隐性债务等方式，稳妥有序化解存量隐性债务，缓释债务风险。三是助力化解金融风险。积极配合、支持防范化解处置金融风险、县属企业债务风险。按照“主动防控、预警到位、及时化解、妥善处置”的原则，不断强化对全县各类金融风险的监测、研判和预警，研究制定防范化解处置金融领域风险的具体措施。四是守牢规模性返贫风险。坚决贯彻落实“四个不摘”要求，积极向上争取衔接资金，继续支持实施就业产业“星火计划”扶持政策，持续加大对巩固脱贫攻坚成果资金支持力度，健全保障机制，守牢不发生规模性返贫底线。</w:t>
      </w:r>
    </w:p>
    <w:p w:rsidR="00000000" w:rsidRDefault="00000000">
      <w:pPr>
        <w:spacing w:line="62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b/>
          <w:bCs/>
          <w:sz w:val="32"/>
          <w:szCs w:val="32"/>
        </w:rPr>
        <w:t>（四）聚焦改革发展，全力提升财政治理效能。</w:t>
      </w:r>
      <w:r>
        <w:rPr>
          <w:rFonts w:ascii="仿宋_GB2312" w:eastAsia="仿宋_GB2312" w:hAnsi="仿宋_GB2312" w:cs="仿宋_GB2312" w:hint="eastAsia"/>
          <w:sz w:val="32"/>
          <w:szCs w:val="32"/>
        </w:rPr>
        <w:t>一是强化理论武装，坚持“以政统财、以财辅政”，坚定政治方向，找准职能定位，进一步转变理财观念，提升财政干部综合素质，持续优化干部作风，深入学习贯彻党的二十大全会精神和习近平总书记关于财政经济重要讲话和重要指示批示精神，深刻把握“两个确立”，坚定做到“两个维护”，把不断提升政治领悟力、政治判断力、政治执行力的要求贯穿于财政收支管理工</w:t>
      </w:r>
      <w:r>
        <w:rPr>
          <w:rFonts w:ascii="仿宋_GB2312" w:eastAsia="仿宋_GB2312" w:hAnsi="仿宋_GB2312" w:cs="仿宋_GB2312" w:hint="eastAsia"/>
          <w:sz w:val="32"/>
          <w:szCs w:val="32"/>
        </w:rPr>
        <w:lastRenderedPageBreak/>
        <w:t>作全过程。二是进一步加强财会监督。紧盯基层“三保”、“一卡通”惠民补贴、增发国债等重点领域，收入征缴、资金拨付等关键环节，加强日常监督和专项检查，坚决查处各类财政违法违规行为，进一步规范财政管理，严肃财经纪律。三是不断优化政府采购管理。全面推进全县政府采购全流程电子化交易，完善政府采购管理机制，进一步规范政府采购代理机构、评审专家库和供应商管理，对采购主体、采购活动和采购结果开展全方位监管，加大政府采购对中小微企业的支持力度，优化阳光透明的政府采购环境。</w:t>
      </w:r>
    </w:p>
    <w:p w:rsidR="00000000" w:rsidRDefault="00000000">
      <w:pPr>
        <w:pStyle w:val="a6"/>
        <w:spacing w:line="620" w:lineRule="exact"/>
        <w:ind w:firstLineChars="200" w:firstLine="640"/>
        <w:jc w:val="both"/>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位代表，征程万里风正劲，重任千钧再奋蹄。站在新的发展起点，过去与未来接续承载，机遇与挑战并存同行，2024年，我们将在南召县委的坚强领导下，自觉接受县人大的监督指导，认真听取县政协的意见建议，以更加开拓创新的精神，更加奋发有为的干劲，更加强烈的责任担当，扎实做好财政改革发展各项工作，助力全县经济社会高质量发展！</w:t>
      </w:r>
    </w:p>
    <w:p w:rsidR="00000000" w:rsidRDefault="00000000">
      <w:pPr>
        <w:spacing w:line="580" w:lineRule="exact"/>
        <w:rPr>
          <w:rFonts w:ascii="黑体" w:eastAsia="黑体" w:hAnsi="黑体" w:cs="黑体" w:hint="eastAsia"/>
          <w:sz w:val="28"/>
          <w:szCs w:val="28"/>
        </w:rPr>
      </w:pPr>
      <w:r>
        <w:br w:type="page"/>
      </w:r>
      <w:r>
        <w:rPr>
          <w:rFonts w:ascii="黑体" w:eastAsia="黑体" w:hAnsi="黑体" w:cs="黑体" w:hint="eastAsia"/>
          <w:sz w:val="28"/>
          <w:szCs w:val="28"/>
        </w:rPr>
        <w:lastRenderedPageBreak/>
        <w:t>表一</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南召县2023年一般公共预算收入完成情况表</w:t>
      </w:r>
    </w:p>
    <w:p w:rsidR="00000000" w:rsidRDefault="00000000">
      <w:pPr>
        <w:ind w:firstLineChars="3400" w:firstLine="7140"/>
        <w:rPr>
          <w:rFonts w:hint="eastAsia"/>
        </w:rPr>
      </w:pPr>
      <w:r>
        <w:rPr>
          <w:rFonts w:hint="eastAsia"/>
        </w:rPr>
        <w:t>单位：万元</w:t>
      </w:r>
    </w:p>
    <w:tbl>
      <w:tblPr>
        <w:tblW w:w="8490" w:type="dxa"/>
        <w:tblInd w:w="0" w:type="dxa"/>
        <w:tblLayout w:type="fixed"/>
        <w:tblCellMar>
          <w:left w:w="0" w:type="dxa"/>
          <w:right w:w="0" w:type="dxa"/>
        </w:tblCellMar>
        <w:tblLook w:val="0000" w:firstRow="0" w:lastRow="0" w:firstColumn="0" w:lastColumn="0" w:noHBand="0" w:noVBand="0"/>
      </w:tblPr>
      <w:tblGrid>
        <w:gridCol w:w="3005"/>
        <w:gridCol w:w="1191"/>
        <w:gridCol w:w="1191"/>
        <w:gridCol w:w="1247"/>
        <w:gridCol w:w="1856"/>
      </w:tblGrid>
      <w:tr w:rsidR="00000000">
        <w:trPr>
          <w:trHeight w:val="567"/>
        </w:trPr>
        <w:tc>
          <w:tcPr>
            <w:tcW w:w="3005"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19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          预算数</w:t>
            </w:r>
          </w:p>
        </w:tc>
        <w:tc>
          <w:tcPr>
            <w:tcW w:w="1191"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247"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856"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比上年增长%</w:t>
            </w:r>
          </w:p>
        </w:tc>
      </w:tr>
      <w:tr w:rsidR="00000000">
        <w:trPr>
          <w:trHeight w:val="322"/>
        </w:trPr>
        <w:tc>
          <w:tcPr>
            <w:tcW w:w="3005"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19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191"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247"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rPr>
            </w:pPr>
          </w:p>
        </w:tc>
        <w:tc>
          <w:tcPr>
            <w:tcW w:w="1856"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一般公共预算收入合计</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101784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101784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14.9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其中：税收收入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sz w:val="24"/>
                <w:szCs w:val="24"/>
              </w:rPr>
            </w:pPr>
            <w:r>
              <w:rPr>
                <w:rFonts w:ascii="宋体" w:hAnsi="宋体" w:cs="宋体" w:hint="eastAsia"/>
                <w:b/>
                <w:bCs/>
                <w:sz w:val="24"/>
                <w:szCs w:val="24"/>
              </w:rPr>
              <w:t>74734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sz w:val="24"/>
                <w:szCs w:val="24"/>
              </w:rPr>
            </w:pPr>
            <w:r>
              <w:rPr>
                <w:rFonts w:ascii="宋体" w:hAnsi="宋体" w:cs="宋体" w:hint="eastAsia"/>
                <w:b/>
                <w:bCs/>
                <w:sz w:val="24"/>
                <w:szCs w:val="24"/>
              </w:rPr>
              <w:t>74734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sz w:val="24"/>
                <w:szCs w:val="24"/>
              </w:rPr>
            </w:pPr>
            <w:r>
              <w:rPr>
                <w:rFonts w:ascii="宋体" w:hAnsi="宋体" w:cs="宋体" w:hint="eastAsia"/>
                <w:b/>
                <w:bCs/>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sz w:val="24"/>
                <w:szCs w:val="24"/>
              </w:rPr>
            </w:pPr>
            <w:r>
              <w:rPr>
                <w:rFonts w:ascii="宋体" w:hAnsi="宋体" w:cs="宋体" w:hint="eastAsia"/>
                <w:b/>
                <w:bCs/>
                <w:sz w:val="24"/>
                <w:szCs w:val="24"/>
              </w:rPr>
              <w:t>21.7</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1、增值税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50824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50824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53.0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2、企业所得税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3380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3380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-15.4</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3、个人所得税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1147</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1147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4、资源税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5654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5654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5、城市维护建设税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3548</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3548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46.3</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6、房产税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853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853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11.5</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7、印花税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636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636</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8、城镇土地使用税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1482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1482</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9、土地增值税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2599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2599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52.0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10、车船税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1435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kern w:val="0"/>
                <w:sz w:val="24"/>
                <w:szCs w:val="24"/>
                <w:lang w:bidi="ar"/>
              </w:rPr>
            </w:pPr>
            <w:r>
              <w:rPr>
                <w:rFonts w:ascii="宋体" w:hAnsi="宋体" w:cs="宋体" w:hint="eastAsia"/>
                <w:kern w:val="0"/>
                <w:sz w:val="24"/>
                <w:szCs w:val="24"/>
                <w:lang w:bidi="ar"/>
              </w:rPr>
              <w:t>1435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kern w:val="0"/>
                <w:sz w:val="24"/>
                <w:szCs w:val="24"/>
                <w:lang w:bidi="ar"/>
              </w:rPr>
            </w:pPr>
            <w:r>
              <w:rPr>
                <w:rFonts w:ascii="宋体" w:hAnsi="宋体" w:cs="宋体" w:hint="eastAsia"/>
                <w:kern w:val="0"/>
                <w:sz w:val="24"/>
                <w:szCs w:val="24"/>
                <w:lang w:bidi="ar"/>
              </w:rPr>
              <w:t>10.2</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11、耕地占用税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-175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-175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12、契税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3213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3213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7.8</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13、环境保护税</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137</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-8.7</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14、其他税收收入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r>
              <w:rPr>
                <w:rFonts w:ascii="宋体" w:hAnsi="宋体" w:cs="宋体" w:hint="eastAsia"/>
                <w:kern w:val="0"/>
                <w:sz w:val="24"/>
                <w:szCs w:val="24"/>
                <w:lang w:bidi="ar"/>
              </w:rPr>
              <w:t>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kern w:val="0"/>
                <w:sz w:val="24"/>
                <w:szCs w:val="24"/>
                <w:lang w:bidi="ar"/>
              </w:rPr>
            </w:pPr>
            <w:r>
              <w:rPr>
                <w:rFonts w:ascii="宋体" w:hAnsi="宋体" w:cs="宋体" w:hint="eastAsia"/>
                <w:kern w:val="0"/>
                <w:sz w:val="24"/>
                <w:szCs w:val="24"/>
                <w:lang w:bidi="ar"/>
              </w:rPr>
              <w:t>1</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kern w:val="0"/>
                <w:sz w:val="24"/>
                <w:szCs w:val="24"/>
                <w:lang w:bidi="ar"/>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rPr>
                <w:rFonts w:ascii="宋体" w:hAnsi="宋体" w:cs="宋体" w:hint="eastAsia"/>
                <w:b/>
                <w:bCs/>
                <w:sz w:val="24"/>
                <w:szCs w:val="24"/>
              </w:rPr>
            </w:pPr>
            <w:r>
              <w:rPr>
                <w:rFonts w:ascii="宋体" w:hAnsi="宋体" w:cs="宋体" w:hint="eastAsia"/>
                <w:b/>
                <w:bCs/>
                <w:sz w:val="24"/>
                <w:szCs w:val="24"/>
              </w:rPr>
              <w:t>其中：非税收入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27050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27050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b/>
                <w:bCs/>
                <w:kern w:val="0"/>
                <w:sz w:val="24"/>
                <w:szCs w:val="24"/>
                <w:lang w:bidi="ar"/>
              </w:rPr>
            </w:pPr>
            <w:r>
              <w:rPr>
                <w:rFonts w:ascii="宋体" w:hAnsi="宋体" w:cs="宋体" w:hint="eastAsia"/>
                <w:b/>
                <w:bCs/>
                <w:kern w:val="0"/>
                <w:sz w:val="24"/>
                <w:szCs w:val="24"/>
                <w:lang w:bidi="ar"/>
              </w:rPr>
              <w:t>-0.7</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1、专项收入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3319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3319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41.9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2、行政事业性收费收入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2011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2011</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-31.0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3、罚没收入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7495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7495</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4、国有资源（资产）有偿使用收入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12293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12293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14.0</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5、捐赠收入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1932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1932</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w:t>
            </w: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78.9</w:t>
            </w: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6、政府住房基金收入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r>
      <w:tr w:rsidR="00000000">
        <w:trPr>
          <w:trHeight w:val="397"/>
        </w:trPr>
        <w:tc>
          <w:tcPr>
            <w:tcW w:w="300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ind w:firstLineChars="300" w:firstLine="720"/>
              <w:rPr>
                <w:rFonts w:ascii="宋体" w:hAnsi="宋体" w:cs="宋体" w:hint="eastAsia"/>
                <w:sz w:val="24"/>
                <w:szCs w:val="24"/>
              </w:rPr>
            </w:pPr>
            <w:r>
              <w:rPr>
                <w:rFonts w:ascii="宋体" w:hAnsi="宋体" w:cs="宋体" w:hint="eastAsia"/>
                <w:sz w:val="24"/>
                <w:szCs w:val="24"/>
              </w:rPr>
              <w:t>7、其他收入</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p>
        </w:tc>
        <w:tc>
          <w:tcPr>
            <w:tcW w:w="1856" w:type="dxa"/>
            <w:tcBorders>
              <w:top w:val="single" w:sz="4" w:space="0" w:color="000000"/>
              <w:left w:val="single" w:sz="4" w:space="0" w:color="000000"/>
              <w:bottom w:val="single" w:sz="4" w:space="0" w:color="000000"/>
              <w:right w:val="single" w:sz="4" w:space="0" w:color="000000"/>
            </w:tcBorders>
            <w:noWrap/>
            <w:tcMar>
              <w:top w:w="17" w:type="dxa"/>
              <w:left w:w="17" w:type="dxa"/>
              <w:right w:w="74" w:type="dxa"/>
            </w:tcMar>
            <w:vAlign w:val="center"/>
          </w:tcPr>
          <w:p w:rsidR="00000000" w:rsidRDefault="00000000">
            <w:pPr>
              <w:jc w:val="right"/>
              <w:rPr>
                <w:rFonts w:ascii="宋体" w:hAnsi="宋体" w:cs="宋体" w:hint="eastAsia"/>
                <w:sz w:val="24"/>
                <w:szCs w:val="24"/>
              </w:rPr>
            </w:pPr>
          </w:p>
        </w:tc>
      </w:tr>
    </w:tbl>
    <w:p w:rsidR="00000000" w:rsidRDefault="00000000">
      <w:pPr>
        <w:rPr>
          <w:rFonts w:hint="eastAsia"/>
        </w:rPr>
      </w:pPr>
      <w:r>
        <w:rPr>
          <w:rFonts w:ascii="黑体" w:eastAsia="黑体" w:hAnsi="黑体" w:cs="黑体" w:hint="eastAsia"/>
          <w:sz w:val="28"/>
          <w:szCs w:val="28"/>
        </w:rPr>
        <w:lastRenderedPageBreak/>
        <w:t>表二</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南召县2023年一般公共预算支出完成情况表</w:t>
      </w:r>
    </w:p>
    <w:p w:rsidR="00000000" w:rsidRDefault="00000000">
      <w:pPr>
        <w:ind w:firstLineChars="2900" w:firstLine="6960"/>
        <w:rPr>
          <w:rFonts w:hint="eastAsia"/>
          <w:sz w:val="24"/>
          <w:szCs w:val="24"/>
        </w:rPr>
      </w:pPr>
      <w:r>
        <w:rPr>
          <w:rFonts w:hint="eastAsia"/>
          <w:sz w:val="24"/>
          <w:szCs w:val="24"/>
        </w:rPr>
        <w:t>单位：万元</w:t>
      </w:r>
    </w:p>
    <w:tbl>
      <w:tblPr>
        <w:tblW w:w="8577" w:type="dxa"/>
        <w:tblInd w:w="0" w:type="dxa"/>
        <w:tblCellMar>
          <w:left w:w="0" w:type="dxa"/>
          <w:right w:w="0" w:type="dxa"/>
        </w:tblCellMar>
        <w:tblLook w:val="0000" w:firstRow="0" w:lastRow="0" w:firstColumn="0" w:lastColumn="0" w:noHBand="0" w:noVBand="0"/>
      </w:tblPr>
      <w:tblGrid>
        <w:gridCol w:w="3175"/>
        <w:gridCol w:w="1134"/>
        <w:gridCol w:w="1134"/>
        <w:gridCol w:w="1410"/>
        <w:gridCol w:w="1724"/>
      </w:tblGrid>
      <w:tr w:rsidR="00000000">
        <w:trPr>
          <w:trHeight w:val="907"/>
        </w:trPr>
        <w:tc>
          <w:tcPr>
            <w:tcW w:w="317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     预算数</w:t>
            </w:r>
          </w:p>
        </w:tc>
        <w:tc>
          <w:tcPr>
            <w:tcW w:w="113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比上年增长%</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一般公共预算支出合计</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450963</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387766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85.9</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0.3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一般公共服务支出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54767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54698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99.9</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国防支出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101</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公共安全支出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11287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10924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96.8</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53.8</w:t>
            </w:r>
          </w:p>
        </w:tc>
      </w:tr>
      <w:tr w:rsidR="00000000">
        <w:trPr>
          <w:trHeight w:val="494"/>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102218</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81886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80.1</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科学技术支出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6350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6350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23.0</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文化旅游体育与传媒支出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3141</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3141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-51.4</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66587</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60805</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91.3</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9.7</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卫生健康支出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25862</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25862</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-6.7</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节能环保支出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3949</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3949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-37.3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40326</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38326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95.0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103.3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88383</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59687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67.5</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-20.4</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13309</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11041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82.9</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-65.1</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资源勘探信息等支出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3658</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3658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-23.5</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商业服务业等支出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1884</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1884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186.3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自然资源海洋气象等支出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2206</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2206</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23.5</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住房保障支出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9890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9890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39.9</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粮油物资储备支出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453</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453</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46.0</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灾害防治及应急管理支出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4971</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4230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85.1</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-40.6</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7490</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4544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60.7</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w:t>
            </w:r>
          </w:p>
        </w:tc>
      </w:tr>
      <w:tr w:rsidR="00000000">
        <w:trPr>
          <w:trHeight w:val="482"/>
        </w:trPr>
        <w:tc>
          <w:tcPr>
            <w:tcW w:w="3175" w:type="dxa"/>
            <w:tcBorders>
              <w:top w:val="single" w:sz="4" w:space="0" w:color="000000"/>
              <w:left w:val="single" w:sz="4" w:space="0" w:color="000000"/>
              <w:bottom w:val="single" w:sz="4" w:space="0" w:color="000000"/>
              <w:right w:val="single" w:sz="4" w:space="0" w:color="000000"/>
            </w:tcBorders>
            <w:noWrap/>
            <w:tcMar>
              <w:top w:w="17" w:type="dxa"/>
              <w:left w:w="283"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4131</w:t>
            </w:r>
          </w:p>
        </w:tc>
        <w:tc>
          <w:tcPr>
            <w:tcW w:w="113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4129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99.9</w:t>
            </w:r>
          </w:p>
        </w:tc>
        <w:tc>
          <w:tcPr>
            <w:tcW w:w="172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-1.6</w:t>
            </w:r>
          </w:p>
        </w:tc>
      </w:tr>
    </w:tbl>
    <w:p w:rsidR="00000000" w:rsidRDefault="00000000">
      <w:pPr>
        <w:rPr>
          <w:rFonts w:hint="eastAsia"/>
        </w:rPr>
      </w:pPr>
      <w:r>
        <w:rPr>
          <w:rFonts w:hint="eastAsia"/>
        </w:rPr>
        <w:br w:type="page"/>
      </w:r>
      <w:r>
        <w:rPr>
          <w:rFonts w:ascii="黑体" w:eastAsia="黑体" w:hAnsi="黑体" w:cs="黑体" w:hint="eastAsia"/>
          <w:sz w:val="28"/>
          <w:szCs w:val="28"/>
        </w:rPr>
        <w:lastRenderedPageBreak/>
        <w:t>表三</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县本级2023年一般公共预算收入完成情况表</w:t>
      </w:r>
    </w:p>
    <w:p w:rsidR="00000000" w:rsidRDefault="00000000">
      <w:pPr>
        <w:ind w:firstLineChars="3400" w:firstLine="7140"/>
        <w:rPr>
          <w:rFonts w:hint="eastAsia"/>
        </w:rPr>
      </w:pPr>
      <w:r>
        <w:rPr>
          <w:rFonts w:hint="eastAsia"/>
        </w:rPr>
        <w:t>单位：万元</w:t>
      </w:r>
    </w:p>
    <w:tbl>
      <w:tblPr>
        <w:tblW w:w="8788" w:type="dxa"/>
        <w:tblInd w:w="0" w:type="dxa"/>
        <w:tblCellMar>
          <w:left w:w="0" w:type="dxa"/>
          <w:right w:w="0" w:type="dxa"/>
        </w:tblCellMar>
        <w:tblLook w:val="0000" w:firstRow="0" w:lastRow="0" w:firstColumn="0" w:lastColumn="0" w:noHBand="0" w:noVBand="0"/>
      </w:tblPr>
      <w:tblGrid>
        <w:gridCol w:w="2098"/>
        <w:gridCol w:w="1304"/>
        <w:gridCol w:w="1304"/>
        <w:gridCol w:w="1304"/>
        <w:gridCol w:w="1361"/>
        <w:gridCol w:w="1417"/>
      </w:tblGrid>
      <w:tr w:rsidR="00000000">
        <w:trPr>
          <w:trHeight w:val="1587"/>
        </w:trPr>
        <w:tc>
          <w:tcPr>
            <w:tcW w:w="209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调整预算数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完成数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为调整   预算%</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上年完成数</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比上年增长%</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一般公共预算收入合计</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39457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39457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40330 </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-2.2 </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一、税收收入</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12425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12425</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100 </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13092</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-5.1 </w:t>
            </w:r>
          </w:p>
        </w:tc>
      </w:tr>
      <w:tr w:rsidR="00000000">
        <w:trPr>
          <w:trHeight w:val="1587"/>
        </w:trPr>
        <w:tc>
          <w:tcPr>
            <w:tcW w:w="209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二、非税收入</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27050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27050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sz w:val="24"/>
                <w:szCs w:val="32"/>
              </w:rPr>
            </w:pPr>
            <w:r>
              <w:rPr>
                <w:rFonts w:ascii="宋体" w:hAnsi="宋体" w:cs="宋体" w:hint="eastAsia"/>
                <w:kern w:val="0"/>
                <w:sz w:val="24"/>
                <w:szCs w:val="24"/>
                <w:lang w:bidi="ar"/>
              </w:rPr>
              <w:t>100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27238 </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center"/>
              <w:rPr>
                <w:rFonts w:ascii="宋体" w:hAnsi="宋体" w:cs="宋体" w:hint="eastAsia"/>
                <w:sz w:val="24"/>
                <w:szCs w:val="32"/>
              </w:rPr>
            </w:pPr>
            <w:r>
              <w:rPr>
                <w:rFonts w:ascii="宋体" w:hAnsi="宋体" w:cs="宋体" w:hint="eastAsia"/>
                <w:kern w:val="0"/>
                <w:sz w:val="24"/>
                <w:szCs w:val="24"/>
                <w:lang w:bidi="ar"/>
              </w:rPr>
              <w:t xml:space="preserve">-0.7 </w:t>
            </w:r>
          </w:p>
        </w:tc>
      </w:tr>
    </w:tbl>
    <w:p w:rsidR="00000000" w:rsidRDefault="00000000">
      <w:pPr>
        <w:rPr>
          <w:rFonts w:hint="eastAsia"/>
        </w:rPr>
      </w:pPr>
      <w:r>
        <w:br w:type="page"/>
      </w:r>
      <w:r>
        <w:rPr>
          <w:rFonts w:ascii="黑体" w:eastAsia="黑体" w:hAnsi="黑体" w:cs="黑体" w:hint="eastAsia"/>
          <w:sz w:val="28"/>
          <w:szCs w:val="28"/>
        </w:rPr>
        <w:lastRenderedPageBreak/>
        <w:t>表四</w:t>
      </w:r>
    </w:p>
    <w:p w:rsidR="00000000" w:rsidRDefault="00000000">
      <w:pPr>
        <w:jc w:val="center"/>
        <w:rPr>
          <w:rFonts w:ascii="方正小标宋_GBK" w:eastAsia="方正小标宋_GBK" w:hAnsi="方正小标宋_GBK" w:cs="方正小标宋_GBK" w:hint="eastAsia"/>
          <w:sz w:val="36"/>
          <w:szCs w:val="36"/>
        </w:rPr>
      </w:pPr>
      <w:r>
        <w:rPr>
          <w:rFonts w:ascii="方正小标宋简体" w:eastAsia="方正小标宋简体" w:hAnsi="方正小标宋简体" w:cs="方正小标宋简体" w:hint="eastAsia"/>
          <w:sz w:val="36"/>
          <w:szCs w:val="36"/>
        </w:rPr>
        <w:t>县本级2023年一般公共预算支出完成情况表</w:t>
      </w:r>
    </w:p>
    <w:p w:rsidR="00000000" w:rsidRDefault="00000000">
      <w:pPr>
        <w:ind w:firstLineChars="3300" w:firstLine="6930"/>
        <w:rPr>
          <w:rFonts w:hint="eastAsia"/>
        </w:rPr>
      </w:pPr>
      <w:r>
        <w:rPr>
          <w:rFonts w:hint="eastAsia"/>
        </w:rPr>
        <w:t>单位：万元</w:t>
      </w:r>
    </w:p>
    <w:tbl>
      <w:tblPr>
        <w:tblW w:w="8769" w:type="dxa"/>
        <w:tblInd w:w="0" w:type="dxa"/>
        <w:tblCellMar>
          <w:left w:w="0" w:type="dxa"/>
          <w:right w:w="0" w:type="dxa"/>
        </w:tblCellMar>
        <w:tblLook w:val="0000" w:firstRow="0" w:lastRow="0" w:firstColumn="0" w:lastColumn="0" w:noHBand="0" w:noVBand="0"/>
      </w:tblPr>
      <w:tblGrid>
        <w:gridCol w:w="3515"/>
        <w:gridCol w:w="1304"/>
        <w:gridCol w:w="1304"/>
        <w:gridCol w:w="1191"/>
        <w:gridCol w:w="1455"/>
      </w:tblGrid>
      <w:tr w:rsidR="00000000">
        <w:trPr>
          <w:trHeight w:val="857"/>
        </w:trPr>
        <w:tc>
          <w:tcPr>
            <w:tcW w:w="351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项　　目</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调整</w:t>
            </w:r>
            <w:r>
              <w:rPr>
                <w:rFonts w:hint="eastAsia"/>
                <w:b/>
                <w:bCs/>
                <w:sz w:val="24"/>
                <w:szCs w:val="24"/>
              </w:rPr>
              <w:t xml:space="preserve">           </w:t>
            </w:r>
            <w:r>
              <w:rPr>
                <w:rFonts w:hint="eastAsia"/>
                <w:b/>
                <w:bCs/>
                <w:sz w:val="24"/>
                <w:szCs w:val="24"/>
              </w:rPr>
              <w:t>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完成数</w:t>
            </w:r>
          </w:p>
        </w:tc>
        <w:tc>
          <w:tcPr>
            <w:tcW w:w="119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为预算</w:t>
            </w:r>
            <w:r>
              <w:rPr>
                <w:rFonts w:hint="eastAsia"/>
                <w:b/>
                <w:bCs/>
                <w:sz w:val="24"/>
                <w:szCs w:val="24"/>
              </w:rPr>
              <w:t>%</w:t>
            </w:r>
          </w:p>
        </w:tc>
        <w:tc>
          <w:tcPr>
            <w:tcW w:w="145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hint="eastAsia"/>
                <w:b/>
                <w:bCs/>
                <w:sz w:val="24"/>
                <w:szCs w:val="24"/>
              </w:rPr>
            </w:pPr>
            <w:r>
              <w:rPr>
                <w:rFonts w:hint="eastAsia"/>
                <w:b/>
                <w:bCs/>
                <w:sz w:val="24"/>
                <w:szCs w:val="24"/>
              </w:rPr>
              <w:t>比上年</w:t>
            </w:r>
            <w:r>
              <w:rPr>
                <w:rFonts w:hint="eastAsia"/>
                <w:b/>
                <w:bCs/>
                <w:sz w:val="24"/>
                <w:szCs w:val="24"/>
              </w:rPr>
              <w:t xml:space="preserve">       </w:t>
            </w:r>
            <w:r>
              <w:rPr>
                <w:rFonts w:hint="eastAsia"/>
                <w:b/>
                <w:bCs/>
                <w:sz w:val="24"/>
                <w:szCs w:val="24"/>
              </w:rPr>
              <w:t>增长</w:t>
            </w:r>
            <w:r>
              <w:rPr>
                <w:rFonts w:hint="eastAsia"/>
                <w:b/>
                <w:bCs/>
                <w:sz w:val="24"/>
                <w:szCs w:val="24"/>
              </w:rPr>
              <w:t>%</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sz w:val="24"/>
                <w:szCs w:val="24"/>
              </w:rPr>
            </w:pPr>
            <w:r>
              <w:rPr>
                <w:rFonts w:hint="eastAsia"/>
                <w:sz w:val="24"/>
                <w:szCs w:val="24"/>
              </w:rPr>
              <w:t>一般公共预算支出合计</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383569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320372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wordWrap w:val="0"/>
              <w:jc w:val="right"/>
              <w:textAlignment w:val="bottom"/>
              <w:rPr>
                <w:sz w:val="24"/>
                <w:szCs w:val="24"/>
              </w:rPr>
            </w:pPr>
            <w:r>
              <w:rPr>
                <w:rFonts w:hint="eastAsia"/>
                <w:sz w:val="24"/>
                <w:szCs w:val="24"/>
              </w:rPr>
              <w:t xml:space="preserve">83.5 </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-7.6</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一般公共服务支出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28507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22439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78.7</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-21.1</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国防支出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101</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hint="eastAsia"/>
                <w:sz w:val="24"/>
                <w:szCs w:val="24"/>
              </w:rPr>
            </w:pP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公共安全支出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11287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10924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96.8</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53.8</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教育支出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101578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81246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80.0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4.9</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科学技术支出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1320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1320</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-20.9</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文化旅游体育与传媒支出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2299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2299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-59.4</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社会保障和就业支出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59698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53916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90.3</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1.9</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卫生健康支出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24906</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24906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-6.4</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节能环保支出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3411</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3411</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-42.3</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hint="eastAsia"/>
                <w:sz w:val="24"/>
                <w:szCs w:val="24"/>
              </w:rPr>
            </w:pPr>
            <w:r>
              <w:rPr>
                <w:rFonts w:hint="eastAsia"/>
                <w:sz w:val="24"/>
                <w:szCs w:val="24"/>
              </w:rPr>
              <w:t>城乡社区支出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34299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32299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94.2</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124.3</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农林水支出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77907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52866</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67.8</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-23.2</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交通运输支出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12933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10665</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82.5</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-65.8</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资源勘探信息等支出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1244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1244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-73.4</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商业服务业等支出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1884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1884</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186.3</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自然资源海洋气象等支出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2202</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2202</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23.5</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住房保障支出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9768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9768</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39.9</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粮油物资储备支出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453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453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-46.0</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灾害防治及应急管理支出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4088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3347</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81.9</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42.6</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其他支出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1554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953</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61.3</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-39.5</w:t>
            </w:r>
          </w:p>
        </w:tc>
      </w:tr>
      <w:tr w:rsidR="00000000">
        <w:trPr>
          <w:trHeight w:val="482"/>
        </w:trPr>
        <w:tc>
          <w:tcPr>
            <w:tcW w:w="351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r>
              <w:rPr>
                <w:rFonts w:hint="eastAsia"/>
                <w:sz w:val="24"/>
                <w:szCs w:val="24"/>
              </w:rPr>
              <w:t>债务付息支出</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4129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4129</w:t>
            </w:r>
          </w:p>
        </w:tc>
        <w:tc>
          <w:tcPr>
            <w:tcW w:w="119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100.0</w:t>
            </w:r>
          </w:p>
        </w:tc>
        <w:tc>
          <w:tcPr>
            <w:tcW w:w="145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r>
              <w:rPr>
                <w:rFonts w:hint="eastAsia"/>
                <w:sz w:val="24"/>
                <w:szCs w:val="24"/>
              </w:rPr>
              <w:t>-1.6</w:t>
            </w:r>
          </w:p>
        </w:tc>
      </w:tr>
    </w:tbl>
    <w:p w:rsidR="00000000" w:rsidRDefault="00000000">
      <w:pPr>
        <w:rPr>
          <w:rFonts w:hint="eastAsia"/>
        </w:rPr>
      </w:pPr>
      <w:r>
        <w:rPr>
          <w:rFonts w:hint="eastAsia"/>
          <w:sz w:val="24"/>
          <w:szCs w:val="24"/>
        </w:rPr>
        <w:br w:type="page"/>
      </w:r>
      <w:r>
        <w:rPr>
          <w:rFonts w:ascii="黑体" w:eastAsia="黑体" w:hAnsi="黑体" w:cs="黑体" w:hint="eastAsia"/>
          <w:sz w:val="28"/>
          <w:szCs w:val="28"/>
        </w:rPr>
        <w:lastRenderedPageBreak/>
        <w:t>表五</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南召县2023年政府性基金预算收支完成情况表</w:t>
      </w:r>
    </w:p>
    <w:p w:rsidR="00000000" w:rsidRDefault="00000000">
      <w:pPr>
        <w:jc w:val="center"/>
        <w:rPr>
          <w:rFonts w:hint="eastAsia"/>
          <w:sz w:val="24"/>
          <w:szCs w:val="24"/>
        </w:rPr>
      </w:pPr>
      <w:r>
        <w:rPr>
          <w:rFonts w:hint="eastAsia"/>
          <w:sz w:val="24"/>
          <w:szCs w:val="24"/>
        </w:rPr>
        <w:t xml:space="preserve">                                                           </w:t>
      </w:r>
      <w:r>
        <w:rPr>
          <w:rFonts w:hint="eastAsia"/>
          <w:sz w:val="24"/>
          <w:szCs w:val="24"/>
        </w:rPr>
        <w:t>单位：万元</w:t>
      </w:r>
    </w:p>
    <w:tbl>
      <w:tblPr>
        <w:tblW w:w="8764" w:type="dxa"/>
        <w:tblInd w:w="0" w:type="dxa"/>
        <w:tblLayout w:type="fixed"/>
        <w:tblCellMar>
          <w:left w:w="0" w:type="dxa"/>
          <w:right w:w="0" w:type="dxa"/>
        </w:tblCellMar>
        <w:tblLook w:val="0000" w:firstRow="0" w:lastRow="0" w:firstColumn="0" w:lastColumn="0" w:noHBand="0" w:noVBand="0"/>
      </w:tblPr>
      <w:tblGrid>
        <w:gridCol w:w="3435"/>
        <w:gridCol w:w="1417"/>
        <w:gridCol w:w="1304"/>
        <w:gridCol w:w="1247"/>
        <w:gridCol w:w="1361"/>
      </w:tblGrid>
      <w:tr w:rsidR="00000000">
        <w:trPr>
          <w:trHeight w:val="794"/>
        </w:trPr>
        <w:tc>
          <w:tcPr>
            <w:tcW w:w="34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41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         预算数</w:t>
            </w:r>
          </w:p>
        </w:tc>
        <w:tc>
          <w:tcPr>
            <w:tcW w:w="130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24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c>
          <w:tcPr>
            <w:tcW w:w="136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增长%</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34826</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32924</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94.5</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kern w:val="0"/>
                <w:sz w:val="24"/>
                <w:szCs w:val="24"/>
                <w:lang w:bidi="ar"/>
              </w:rPr>
              <w:t>38.2</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地方文化事业建设费收入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新型墙体材料专项基金收入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地方育林基金收入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地方水利建设基金收入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政府住房基金收入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城市公用事业附加收入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农业土地开发资金收入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国有土地使用权出让金收入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32924</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31022</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94.2</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 xml:space="preserve">  43.2</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城市基础设施配套费收入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1063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1063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rPr>
                <w:rFonts w:ascii="宋体" w:hAnsi="宋体" w:cs="宋体"/>
                <w:sz w:val="24"/>
                <w:szCs w:val="24"/>
              </w:rPr>
            </w:pPr>
            <w:r>
              <w:rPr>
                <w:rFonts w:ascii="宋体" w:hAnsi="宋体" w:cs="宋体" w:hint="eastAsia"/>
                <w:sz w:val="24"/>
                <w:szCs w:val="24"/>
              </w:rPr>
              <w:t>18.1</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其他基金收入</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839</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839</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rPr>
                <w:rFonts w:ascii="宋体" w:hAnsi="宋体" w:cs="宋体"/>
                <w:sz w:val="24"/>
                <w:szCs w:val="24"/>
              </w:rPr>
            </w:pPr>
            <w:r>
              <w:rPr>
                <w:rFonts w:ascii="宋体" w:hAnsi="宋体" w:cs="宋体" w:hint="eastAsia"/>
                <w:sz w:val="24"/>
                <w:szCs w:val="24"/>
              </w:rPr>
              <w:t>100.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131.1</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129397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112457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89.7</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-29.1</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文化体育与传媒支出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-22</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0</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5460</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3811</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69.8</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-37.7</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49141</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33828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ind w:firstLineChars="200" w:firstLine="480"/>
              <w:textAlignment w:val="bottom"/>
              <w:rPr>
                <w:rFonts w:ascii="宋体" w:hAnsi="宋体" w:cs="宋体"/>
                <w:sz w:val="24"/>
                <w:szCs w:val="24"/>
              </w:rPr>
            </w:pPr>
            <w:r>
              <w:rPr>
                <w:rFonts w:ascii="宋体" w:hAnsi="宋体" w:cs="宋体" w:hint="eastAsia"/>
                <w:sz w:val="24"/>
                <w:szCs w:val="24"/>
              </w:rPr>
              <w:t>68.8</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-18.7</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514.3</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交通运输等支出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hint="eastAsia"/>
                <w:sz w:val="24"/>
                <w:szCs w:val="24"/>
              </w:rPr>
            </w:pP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61058</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61058</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-38.5</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13717</w:t>
            </w: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13717</w:t>
            </w: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100.0</w:t>
            </w: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25.2</w:t>
            </w:r>
          </w:p>
        </w:tc>
      </w:tr>
      <w:tr w:rsidR="00000000">
        <w:trPr>
          <w:trHeight w:val="482"/>
        </w:trPr>
        <w:tc>
          <w:tcPr>
            <w:tcW w:w="3435"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p>
        </w:tc>
        <w:tc>
          <w:tcPr>
            <w:tcW w:w="141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30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2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36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hint="eastAsia"/>
                <w:sz w:val="24"/>
                <w:szCs w:val="24"/>
              </w:rPr>
            </w:pPr>
          </w:p>
        </w:tc>
      </w:tr>
    </w:tbl>
    <w:p w:rsidR="00000000" w:rsidRDefault="00000000">
      <w:pPr>
        <w:rPr>
          <w:rFonts w:ascii="黑体" w:eastAsia="黑体" w:hAnsi="黑体" w:cs="黑体" w:hint="eastAsia"/>
          <w:sz w:val="28"/>
          <w:szCs w:val="28"/>
        </w:rPr>
      </w:pPr>
      <w:r>
        <w:rPr>
          <w:rFonts w:ascii="黑体" w:eastAsia="黑体" w:hAnsi="黑体" w:cs="黑体" w:hint="eastAsia"/>
          <w:sz w:val="28"/>
          <w:szCs w:val="28"/>
        </w:rPr>
        <w:lastRenderedPageBreak/>
        <w:t>表六</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县本级2023年政府性基金预算收支完成情况表</w:t>
      </w:r>
    </w:p>
    <w:p w:rsidR="00000000" w:rsidRDefault="00000000">
      <w:pPr>
        <w:wordWrap w:val="0"/>
        <w:jc w:val="right"/>
        <w:rPr>
          <w:sz w:val="24"/>
          <w:szCs w:val="24"/>
        </w:rPr>
      </w:pPr>
      <w:r>
        <w:rPr>
          <w:rFonts w:hint="eastAsia"/>
          <w:sz w:val="24"/>
          <w:szCs w:val="24"/>
        </w:rPr>
        <w:t>单位：万元</w:t>
      </w:r>
      <w:r>
        <w:rPr>
          <w:rFonts w:hint="eastAsia"/>
          <w:sz w:val="24"/>
          <w:szCs w:val="24"/>
        </w:rPr>
        <w:t xml:space="preserve">  </w:t>
      </w:r>
    </w:p>
    <w:tbl>
      <w:tblPr>
        <w:tblW w:w="8793" w:type="dxa"/>
        <w:tblInd w:w="0" w:type="dxa"/>
        <w:tblCellMar>
          <w:left w:w="0" w:type="dxa"/>
          <w:right w:w="0" w:type="dxa"/>
        </w:tblCellMar>
        <w:tblLook w:val="0000" w:firstRow="0" w:lastRow="0" w:firstColumn="0" w:lastColumn="0" w:noHBand="0" w:noVBand="0"/>
      </w:tblPr>
      <w:tblGrid>
        <w:gridCol w:w="3288"/>
        <w:gridCol w:w="1335"/>
        <w:gridCol w:w="1290"/>
        <w:gridCol w:w="1410"/>
        <w:gridCol w:w="1470"/>
      </w:tblGrid>
      <w:tr w:rsidR="00000000">
        <w:trPr>
          <w:trHeight w:val="879"/>
        </w:trPr>
        <w:tc>
          <w:tcPr>
            <w:tcW w:w="328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3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调整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预算数</w:t>
            </w:r>
          </w:p>
        </w:tc>
        <w:tc>
          <w:tcPr>
            <w:tcW w:w="129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41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w:t>
            </w:r>
          </w:p>
        </w:tc>
        <w:tc>
          <w:tcPr>
            <w:tcW w:w="147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比上年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 xml:space="preserve"> 增长%</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34826</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32924</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94.5</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kern w:val="0"/>
                <w:sz w:val="24"/>
                <w:szCs w:val="24"/>
                <w:lang w:bidi="ar"/>
              </w:rPr>
              <w:t>38.2</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地方文化事业建设费收入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新型墙体材料专项基金收入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地方育林基金收入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地方水利建设基金收入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政府住房基金收入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城市公用事业附加收入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农业土地开发资金收入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国有土地使用权出让金收入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32924</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31022</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94.2</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 xml:space="preserve">  43.2</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城市基础设施配套费收入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1063</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1063</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kern w:val="0"/>
                <w:sz w:val="24"/>
                <w:szCs w:val="24"/>
                <w:lang w:bidi="ar"/>
              </w:rPr>
              <w:t>100.0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rPr>
                <w:rFonts w:ascii="宋体" w:hAnsi="宋体" w:cs="宋体"/>
                <w:sz w:val="24"/>
                <w:szCs w:val="24"/>
              </w:rPr>
            </w:pPr>
            <w:r>
              <w:rPr>
                <w:rFonts w:ascii="宋体" w:hAnsi="宋体" w:cs="宋体" w:hint="eastAsia"/>
                <w:sz w:val="24"/>
                <w:szCs w:val="24"/>
              </w:rPr>
              <w:t>18.1</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其他基金收入</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839</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839</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ind w:firstLineChars="200" w:firstLine="480"/>
              <w:rPr>
                <w:rFonts w:ascii="宋体" w:hAnsi="宋体" w:cs="宋体" w:hint="eastAsia"/>
                <w:sz w:val="24"/>
                <w:szCs w:val="24"/>
              </w:rPr>
            </w:pPr>
            <w:r>
              <w:rPr>
                <w:rFonts w:ascii="宋体" w:hAnsi="宋体" w:cs="宋体" w:hint="eastAsia"/>
                <w:sz w:val="24"/>
                <w:szCs w:val="24"/>
              </w:rPr>
              <w:t>100.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r>
              <w:rPr>
                <w:rFonts w:ascii="宋体" w:hAnsi="宋体" w:cs="宋体" w:hint="eastAsia"/>
                <w:sz w:val="24"/>
                <w:szCs w:val="24"/>
              </w:rPr>
              <w:t>131.1</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政府性基金预算支出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129397</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112457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kern w:val="0"/>
                <w:sz w:val="24"/>
                <w:szCs w:val="24"/>
                <w:lang w:bidi="ar"/>
              </w:rPr>
              <w:t>89.7</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-29.1</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教育支出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文化体育与传媒</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-22</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0</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社会保障和就业</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5460</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3811</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69.8</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-37.7</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城乡社区事务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49141</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33828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ind w:firstLineChars="200" w:firstLine="480"/>
              <w:textAlignment w:val="bottom"/>
              <w:rPr>
                <w:rFonts w:ascii="宋体" w:hAnsi="宋体" w:cs="宋体"/>
                <w:sz w:val="24"/>
                <w:szCs w:val="24"/>
              </w:rPr>
            </w:pPr>
            <w:r>
              <w:rPr>
                <w:rFonts w:ascii="宋体" w:hAnsi="宋体" w:cs="宋体" w:hint="eastAsia"/>
                <w:sz w:val="24"/>
                <w:szCs w:val="24"/>
              </w:rPr>
              <w:t>68.8</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-18.7</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农林水事务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43</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514.3</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交通运输等事务</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hint="eastAsia"/>
                <w:sz w:val="24"/>
                <w:szCs w:val="24"/>
              </w:rPr>
            </w:pP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其他支出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61058</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61058</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-38.5</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债务付息支出</w:t>
            </w: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13717</w:t>
            </w: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sz w:val="24"/>
                <w:szCs w:val="24"/>
              </w:rPr>
            </w:pPr>
            <w:r>
              <w:rPr>
                <w:rFonts w:ascii="宋体" w:hAnsi="宋体" w:cs="宋体" w:hint="eastAsia"/>
                <w:sz w:val="24"/>
                <w:szCs w:val="24"/>
              </w:rPr>
              <w:t>13717</w:t>
            </w: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ascii="宋体" w:hAnsi="宋体" w:cs="宋体" w:hint="eastAsia"/>
                <w:sz w:val="24"/>
                <w:szCs w:val="24"/>
              </w:rPr>
            </w:pPr>
            <w:r>
              <w:rPr>
                <w:rFonts w:ascii="宋体" w:hAnsi="宋体" w:cs="宋体" w:hint="eastAsia"/>
                <w:sz w:val="24"/>
                <w:szCs w:val="24"/>
              </w:rPr>
              <w:t>100.0</w:t>
            </w: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center"/>
              <w:textAlignment w:val="bottom"/>
              <w:rPr>
                <w:rFonts w:ascii="宋体" w:hAnsi="宋体" w:cs="宋体"/>
                <w:sz w:val="24"/>
                <w:szCs w:val="24"/>
              </w:rPr>
            </w:pPr>
            <w:r>
              <w:rPr>
                <w:rFonts w:ascii="宋体" w:hAnsi="宋体" w:cs="宋体" w:hint="eastAsia"/>
                <w:sz w:val="24"/>
                <w:szCs w:val="24"/>
              </w:rPr>
              <w:t>25.2</w:t>
            </w:r>
          </w:p>
        </w:tc>
      </w:tr>
      <w:tr w:rsidR="00000000">
        <w:trPr>
          <w:trHeight w:val="482"/>
        </w:trPr>
        <w:tc>
          <w:tcPr>
            <w:tcW w:w="3288"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hint="eastAsia"/>
                <w:sz w:val="24"/>
                <w:szCs w:val="24"/>
              </w:rPr>
            </w:pPr>
          </w:p>
        </w:tc>
        <w:tc>
          <w:tcPr>
            <w:tcW w:w="1335"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p>
        </w:tc>
        <w:tc>
          <w:tcPr>
            <w:tcW w:w="129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p>
        </w:tc>
        <w:tc>
          <w:tcPr>
            <w:tcW w:w="141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rFonts w:hint="eastAsia"/>
                <w:sz w:val="24"/>
                <w:szCs w:val="24"/>
              </w:rPr>
            </w:pPr>
          </w:p>
        </w:tc>
        <w:tc>
          <w:tcPr>
            <w:tcW w:w="1470"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widowControl/>
              <w:jc w:val="right"/>
              <w:textAlignment w:val="bottom"/>
              <w:rPr>
                <w:sz w:val="24"/>
                <w:szCs w:val="24"/>
              </w:rPr>
            </w:pPr>
          </w:p>
        </w:tc>
      </w:tr>
    </w:tbl>
    <w:p w:rsidR="00000000" w:rsidRDefault="00000000">
      <w:pPr>
        <w:rPr>
          <w:rFonts w:ascii="黑体" w:eastAsia="黑体" w:hAnsi="黑体" w:cs="黑体" w:hint="eastAsia"/>
          <w:sz w:val="28"/>
          <w:szCs w:val="28"/>
        </w:rPr>
      </w:pPr>
      <w:r>
        <w:rPr>
          <w:rFonts w:ascii="黑体" w:eastAsia="黑体" w:hAnsi="黑体" w:cs="黑体" w:hint="eastAsia"/>
          <w:sz w:val="28"/>
          <w:szCs w:val="28"/>
        </w:rPr>
        <w:lastRenderedPageBreak/>
        <w:t>表七</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县本级2023年社会保险基金收支完成情况表</w:t>
      </w:r>
    </w:p>
    <w:p w:rsidR="00000000" w:rsidRDefault="00000000">
      <w:pPr>
        <w:wordWrap w:val="0"/>
        <w:jc w:val="right"/>
        <w:rPr>
          <w:rFonts w:hint="eastAsia"/>
          <w:sz w:val="24"/>
          <w:szCs w:val="24"/>
        </w:rPr>
      </w:pPr>
      <w:r>
        <w:rPr>
          <w:rFonts w:hint="eastAsia"/>
          <w:sz w:val="24"/>
          <w:szCs w:val="24"/>
        </w:rPr>
        <w:t>单位：万元</w:t>
      </w:r>
    </w:p>
    <w:tbl>
      <w:tblPr>
        <w:tblW w:w="8929" w:type="dxa"/>
        <w:tblInd w:w="0" w:type="dxa"/>
        <w:tblLayout w:type="fixed"/>
        <w:tblCellMar>
          <w:left w:w="0" w:type="dxa"/>
          <w:right w:w="0" w:type="dxa"/>
        </w:tblCellMar>
        <w:tblLook w:val="0000" w:firstRow="0" w:lastRow="0" w:firstColumn="0" w:lastColumn="0" w:noHBand="0" w:noVBand="0"/>
      </w:tblPr>
      <w:tblGrid>
        <w:gridCol w:w="3515"/>
        <w:gridCol w:w="1787"/>
        <w:gridCol w:w="1667"/>
        <w:gridCol w:w="1960"/>
      </w:tblGrid>
      <w:tr w:rsidR="00000000">
        <w:trPr>
          <w:trHeight w:val="850"/>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78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b/>
                <w:bCs/>
                <w:sz w:val="24"/>
                <w:szCs w:val="24"/>
              </w:rPr>
            </w:pPr>
            <w:r>
              <w:rPr>
                <w:rFonts w:ascii="宋体" w:hAnsi="宋体" w:cs="宋体" w:hint="eastAsia"/>
                <w:b/>
                <w:bCs/>
                <w:sz w:val="24"/>
                <w:szCs w:val="24"/>
              </w:rPr>
              <w:t>调整预算数</w:t>
            </w:r>
          </w:p>
        </w:tc>
        <w:tc>
          <w:tcPr>
            <w:tcW w:w="1667"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96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为调整           预算％</w:t>
            </w:r>
          </w:p>
        </w:tc>
      </w:tr>
      <w:tr w:rsidR="00000000">
        <w:trPr>
          <w:trHeight w:val="907"/>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社会保险基金预算收入</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93152</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94238</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101.2</w:t>
            </w:r>
          </w:p>
        </w:tc>
      </w:tr>
      <w:tr w:rsidR="00000000">
        <w:trPr>
          <w:trHeight w:val="907"/>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907"/>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22225</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21934</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98.7</w:t>
            </w:r>
          </w:p>
        </w:tc>
      </w:tr>
      <w:tr w:rsidR="00000000">
        <w:trPr>
          <w:trHeight w:val="907"/>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56833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57906</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101.9</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城镇职工基本医疗保险基金（生育保险基金）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14094</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14398</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102.2</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社会保险基金预算支出</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81749</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84201</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103.0</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hint="eastAsia"/>
                <w:sz w:val="24"/>
                <w:szCs w:val="24"/>
              </w:rPr>
            </w:pP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16341</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14902</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91.2</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51665</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54002</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104.5</w:t>
            </w:r>
          </w:p>
        </w:tc>
      </w:tr>
      <w:tr w:rsidR="00000000">
        <w:trPr>
          <w:trHeight w:val="964"/>
        </w:trPr>
        <w:tc>
          <w:tcPr>
            <w:tcW w:w="3515" w:type="dxa"/>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城镇职工基本医疗保险基金（生育保险基金）</w:t>
            </w:r>
          </w:p>
        </w:tc>
        <w:tc>
          <w:tcPr>
            <w:tcW w:w="178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13743</w:t>
            </w:r>
          </w:p>
        </w:tc>
        <w:tc>
          <w:tcPr>
            <w:tcW w:w="1667"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15297</w:t>
            </w:r>
          </w:p>
        </w:tc>
        <w:tc>
          <w:tcPr>
            <w:tcW w:w="1960" w:type="dxa"/>
            <w:tcBorders>
              <w:top w:val="single" w:sz="4" w:space="0" w:color="000000"/>
              <w:left w:val="single" w:sz="4" w:space="0" w:color="000000"/>
              <w:bottom w:val="single" w:sz="4" w:space="0" w:color="000000"/>
              <w:right w:val="single" w:sz="4" w:space="0" w:color="000000"/>
            </w:tcBorders>
            <w:shd w:val="clear" w:color="auto" w:fill="FFFFFF"/>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111.3</w:t>
            </w: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表八</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南召县2024年一般公共预算收入预算表（草案）</w:t>
      </w:r>
    </w:p>
    <w:p w:rsidR="00000000" w:rsidRDefault="00000000">
      <w:pPr>
        <w:ind w:firstLineChars="2900" w:firstLine="6960"/>
        <w:rPr>
          <w:rFonts w:hint="eastAsia"/>
          <w:sz w:val="24"/>
          <w:szCs w:val="32"/>
        </w:rPr>
      </w:pPr>
      <w:r>
        <w:rPr>
          <w:rFonts w:hint="eastAsia"/>
          <w:sz w:val="24"/>
          <w:szCs w:val="32"/>
        </w:rPr>
        <w:t>单位：万元</w:t>
      </w:r>
    </w:p>
    <w:tbl>
      <w:tblPr>
        <w:tblW w:w="8624" w:type="dxa"/>
        <w:tblInd w:w="0" w:type="dxa"/>
        <w:tblLayout w:type="fixed"/>
        <w:tblCellMar>
          <w:left w:w="0" w:type="dxa"/>
          <w:right w:w="0" w:type="dxa"/>
        </w:tblCellMar>
        <w:tblLook w:val="0000" w:firstRow="0" w:lastRow="0" w:firstColumn="0" w:lastColumn="0" w:noHBand="0" w:noVBand="0"/>
      </w:tblPr>
      <w:tblGrid>
        <w:gridCol w:w="2741"/>
        <w:gridCol w:w="1347"/>
        <w:gridCol w:w="1421"/>
        <w:gridCol w:w="1194"/>
        <w:gridCol w:w="1139"/>
        <w:gridCol w:w="782"/>
      </w:tblGrid>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134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2024年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预算数</w:t>
            </w:r>
          </w:p>
        </w:tc>
        <w:tc>
          <w:tcPr>
            <w:tcW w:w="142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2023年</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完成数</w:t>
            </w:r>
          </w:p>
        </w:tc>
        <w:tc>
          <w:tcPr>
            <w:tcW w:w="11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增长%</w:t>
            </w:r>
          </w:p>
        </w:tc>
        <w:tc>
          <w:tcPr>
            <w:tcW w:w="113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绝对额</w:t>
            </w:r>
          </w:p>
          <w:p w:rsidR="00000000" w:rsidRDefault="00000000">
            <w:pPr>
              <w:jc w:val="center"/>
              <w:rPr>
                <w:rFonts w:ascii="宋体" w:hAnsi="宋体" w:cs="宋体" w:hint="eastAsia"/>
                <w:b/>
                <w:bCs/>
                <w:sz w:val="24"/>
                <w:szCs w:val="24"/>
              </w:rPr>
            </w:pPr>
            <w:r>
              <w:rPr>
                <w:rFonts w:ascii="宋体" w:hAnsi="宋体" w:cs="宋体" w:hint="eastAsia"/>
                <w:b/>
                <w:bCs/>
                <w:sz w:val="24"/>
                <w:szCs w:val="24"/>
              </w:rPr>
              <w:t>增减</w:t>
            </w:r>
          </w:p>
        </w:tc>
        <w:tc>
          <w:tcPr>
            <w:tcW w:w="7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备注</w:t>
            </w: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一般公共预算收入</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109418</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101784</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7634</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42418</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39457</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2943</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67000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62309</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4691</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一、税务部门税收小计</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80418</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74734</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5684</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13418</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12407</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8.0</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993</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67000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62309</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4691</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二、非税收入小计</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27050</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7.2</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1950</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其中：县本级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29000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27050</w:t>
            </w: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7.2</w:t>
            </w: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1950</w:t>
            </w: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r w:rsidR="00000000">
        <w:trPr>
          <w:trHeight w:val="1134"/>
        </w:trPr>
        <w:tc>
          <w:tcPr>
            <w:tcW w:w="274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乡镇级</w:t>
            </w:r>
          </w:p>
        </w:tc>
        <w:tc>
          <w:tcPr>
            <w:tcW w:w="134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0</w:t>
            </w:r>
          </w:p>
        </w:tc>
        <w:tc>
          <w:tcPr>
            <w:tcW w:w="1421"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24"/>
              </w:rPr>
            </w:pPr>
          </w:p>
        </w:tc>
        <w:tc>
          <w:tcPr>
            <w:tcW w:w="119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1139"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24"/>
              </w:rPr>
            </w:pPr>
          </w:p>
        </w:tc>
        <w:tc>
          <w:tcPr>
            <w:tcW w:w="7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hint="eastAsia"/>
                <w:sz w:val="24"/>
                <w:szCs w:val="24"/>
              </w:rPr>
            </w:pPr>
          </w:p>
        </w:tc>
      </w:tr>
    </w:tbl>
    <w:p w:rsidR="00000000" w:rsidRDefault="00000000">
      <w:pPr>
        <w:rPr>
          <w:rFonts w:ascii="黑体" w:eastAsia="黑体" w:hAnsi="黑体" w:cs="黑体" w:hint="eastAsia"/>
          <w:sz w:val="28"/>
          <w:szCs w:val="28"/>
        </w:rPr>
      </w:pPr>
      <w:r>
        <w:rPr>
          <w:sz w:val="24"/>
          <w:szCs w:val="24"/>
        </w:rPr>
        <w:br w:type="page"/>
      </w:r>
      <w:r>
        <w:rPr>
          <w:rFonts w:ascii="黑体" w:eastAsia="黑体" w:hAnsi="黑体" w:cs="黑体" w:hint="eastAsia"/>
          <w:sz w:val="28"/>
          <w:szCs w:val="28"/>
        </w:rPr>
        <w:lastRenderedPageBreak/>
        <w:t>表九</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县本级2024年一般公共预算支出预算表（草案）</w:t>
      </w:r>
    </w:p>
    <w:p w:rsidR="00000000" w:rsidRDefault="00000000">
      <w:pPr>
        <w:ind w:firstLineChars="2900" w:firstLine="6960"/>
        <w:rPr>
          <w:rFonts w:hint="eastAsia"/>
        </w:rPr>
      </w:pPr>
      <w:r>
        <w:rPr>
          <w:rFonts w:hint="eastAsia"/>
          <w:sz w:val="24"/>
          <w:szCs w:val="24"/>
        </w:rPr>
        <w:t>单位：万元</w:t>
      </w:r>
    </w:p>
    <w:tbl>
      <w:tblPr>
        <w:tblW w:w="4998" w:type="pct"/>
        <w:jc w:val="center"/>
        <w:tblInd w:w="0" w:type="dxa"/>
        <w:tblCellMar>
          <w:left w:w="0" w:type="dxa"/>
          <w:right w:w="0" w:type="dxa"/>
        </w:tblCellMar>
        <w:tblLook w:val="0000" w:firstRow="0" w:lastRow="0" w:firstColumn="0" w:lastColumn="0" w:noHBand="0" w:noVBand="0"/>
      </w:tblPr>
      <w:tblGrid>
        <w:gridCol w:w="3446"/>
        <w:gridCol w:w="1677"/>
        <w:gridCol w:w="1374"/>
        <w:gridCol w:w="1122"/>
        <w:gridCol w:w="986"/>
      </w:tblGrid>
      <w:tr w:rsidR="00000000">
        <w:trPr>
          <w:trHeight w:val="741"/>
          <w:jc w:val="center"/>
        </w:trPr>
        <w:tc>
          <w:tcPr>
            <w:tcW w:w="2001"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科目名称</w:t>
            </w:r>
          </w:p>
        </w:tc>
        <w:tc>
          <w:tcPr>
            <w:tcW w:w="9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2024年           支出预算</w:t>
            </w:r>
          </w:p>
        </w:tc>
        <w:tc>
          <w:tcPr>
            <w:tcW w:w="798"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2023年        支出预算</w:t>
            </w:r>
          </w:p>
        </w:tc>
        <w:tc>
          <w:tcPr>
            <w:tcW w:w="652"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按可比           口径增长%</w:t>
            </w:r>
          </w:p>
        </w:tc>
        <w:tc>
          <w:tcPr>
            <w:tcW w:w="573" w:type="pc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备注</w:t>
            </w: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一般公共预算支出合计</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343467</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324888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5.7</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一、一般公共服务支出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28513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27567</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3.4</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二、国防支出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0</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三、公共安全支出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14740</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12882</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14.4</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四、教育支出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124945</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99589</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25.5</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五、科学技术支出</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1086</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2263</w:t>
            </w:r>
          </w:p>
        </w:tc>
        <w:tc>
          <w:tcPr>
            <w:tcW w:w="65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-52.0</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六、文化旅游体育与传媒支出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3003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5577</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-46.2</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七、社会保障和就业支出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43663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44970</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八、卫生健康支出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22587</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21306</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6.0</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九、节能环保支出</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2486</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3450</w:t>
            </w:r>
          </w:p>
        </w:tc>
        <w:tc>
          <w:tcPr>
            <w:tcW w:w="65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-27.9</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十、城乡社区支出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2933</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3058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-4.1</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sz w:val="24"/>
                <w:szCs w:val="24"/>
              </w:rPr>
            </w:pPr>
          </w:p>
        </w:tc>
      </w:tr>
      <w:tr w:rsidR="00000000">
        <w:trPr>
          <w:trHeight w:val="482"/>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十一、农林水支出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61182</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61828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-1.0</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十二、交通运输支出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7569</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7998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-5.4</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十三、资源勘探信息等支出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995</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628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58.4</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十四、商业服务业等支出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124</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487</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-74.5</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十五、自然资源海洋气象等支出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3659</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1450</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152.3</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十六、住房保障支出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4116</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7958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-48.3</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rPr>
                <w:rFonts w:ascii="宋体" w:hAnsi="宋体" w:cs="宋体" w:hint="eastAsia"/>
                <w:sz w:val="24"/>
                <w:szCs w:val="24"/>
              </w:rPr>
            </w:pPr>
            <w:r>
              <w:rPr>
                <w:rFonts w:ascii="宋体" w:hAnsi="宋体" w:cs="宋体" w:hint="eastAsia"/>
                <w:sz w:val="24"/>
                <w:szCs w:val="24"/>
              </w:rPr>
              <w:t>十七、粮油物资储备支出</w:t>
            </w:r>
          </w:p>
        </w:tc>
        <w:tc>
          <w:tcPr>
            <w:tcW w:w="973" w:type="pct"/>
            <w:tcBorders>
              <w:top w:val="single" w:sz="4" w:space="0" w:color="000000"/>
              <w:left w:val="single" w:sz="4" w:space="0" w:color="000000"/>
              <w:bottom w:val="single" w:sz="4" w:space="0" w:color="000000"/>
              <w:right w:val="single" w:sz="4" w:space="0" w:color="000000"/>
            </w:tcBorders>
            <w:shd w:val="clear" w:color="auto" w:fill="auto"/>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612</w:t>
            </w:r>
          </w:p>
        </w:tc>
        <w:tc>
          <w:tcPr>
            <w:tcW w:w="798" w:type="pct"/>
            <w:tcBorders>
              <w:top w:val="single" w:sz="4" w:space="0" w:color="000000"/>
              <w:left w:val="single" w:sz="4" w:space="0" w:color="000000"/>
              <w:bottom w:val="single" w:sz="4" w:space="0" w:color="000000"/>
              <w:right w:val="single" w:sz="4" w:space="0" w:color="000000"/>
            </w:tcBorders>
            <w:shd w:val="clear" w:color="auto" w:fill="auto"/>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695</w:t>
            </w:r>
          </w:p>
        </w:tc>
        <w:tc>
          <w:tcPr>
            <w:tcW w:w="652" w:type="pct"/>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-11.9</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十八、灾害防治及应急管理支出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2468</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1868</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32.1</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十九、预备费</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3500</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3500</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0</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二十、债务付息支出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4021</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4435</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-9.3</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hint="eastAsia"/>
                <w:sz w:val="24"/>
                <w:szCs w:val="24"/>
              </w:rPr>
            </w:pPr>
          </w:p>
        </w:tc>
      </w:tr>
      <w:tr w:rsidR="00000000">
        <w:trPr>
          <w:trHeight w:val="397"/>
          <w:jc w:val="center"/>
        </w:trPr>
        <w:tc>
          <w:tcPr>
            <w:tcW w:w="2001" w:type="pct"/>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r>
              <w:rPr>
                <w:rFonts w:ascii="宋体" w:hAnsi="宋体" w:cs="宋体" w:hint="eastAsia"/>
                <w:sz w:val="24"/>
                <w:szCs w:val="24"/>
              </w:rPr>
              <w:t>二十、其他支出</w:t>
            </w:r>
          </w:p>
        </w:tc>
        <w:tc>
          <w:tcPr>
            <w:tcW w:w="973" w:type="pct"/>
            <w:tcBorders>
              <w:top w:val="single" w:sz="4" w:space="0" w:color="000000"/>
              <w:left w:val="single" w:sz="4" w:space="0" w:color="000000"/>
              <w:bottom w:val="single" w:sz="4" w:space="0" w:color="000000"/>
              <w:right w:val="single" w:sz="4" w:space="0" w:color="000000"/>
            </w:tcBorders>
            <w:noWrap/>
            <w:tcMar>
              <w:right w:w="130"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11209</w:t>
            </w:r>
          </w:p>
        </w:tc>
        <w:tc>
          <w:tcPr>
            <w:tcW w:w="798" w:type="pct"/>
            <w:tcBorders>
              <w:top w:val="single" w:sz="4" w:space="0" w:color="000000"/>
              <w:left w:val="single" w:sz="4" w:space="0" w:color="000000"/>
              <w:bottom w:val="single" w:sz="4" w:space="0" w:color="000000"/>
              <w:right w:val="single" w:sz="4" w:space="0" w:color="000000"/>
            </w:tcBorders>
            <w:noWrap/>
            <w:tcMar>
              <w:top w:w="17" w:type="dxa"/>
              <w:left w:w="17" w:type="dxa"/>
              <w:right w:w="130" w:type="dxa"/>
            </w:tcMar>
            <w:vAlign w:val="center"/>
          </w:tcPr>
          <w:p w:rsidR="00000000" w:rsidRDefault="00000000">
            <w:pPr>
              <w:jc w:val="right"/>
              <w:rPr>
                <w:rFonts w:ascii="宋体" w:hAnsi="宋体" w:cs="宋体" w:hint="eastAsia"/>
                <w:sz w:val="24"/>
                <w:szCs w:val="24"/>
              </w:rPr>
            </w:pPr>
            <w:r>
              <w:rPr>
                <w:rFonts w:ascii="宋体" w:hAnsi="宋体" w:cs="宋体" w:hint="eastAsia"/>
                <w:sz w:val="24"/>
                <w:szCs w:val="24"/>
              </w:rPr>
              <w:t>13379</w:t>
            </w:r>
          </w:p>
        </w:tc>
        <w:tc>
          <w:tcPr>
            <w:tcW w:w="652" w:type="pc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right"/>
              <w:rPr>
                <w:rFonts w:ascii="宋体" w:hAnsi="宋体" w:cs="宋体"/>
                <w:sz w:val="24"/>
                <w:szCs w:val="24"/>
              </w:rPr>
            </w:pPr>
            <w:r>
              <w:rPr>
                <w:rFonts w:ascii="宋体" w:hAnsi="宋体" w:cs="宋体" w:hint="eastAsia"/>
                <w:sz w:val="24"/>
                <w:szCs w:val="24"/>
              </w:rPr>
              <w:t>-16.2</w:t>
            </w:r>
          </w:p>
        </w:tc>
        <w:tc>
          <w:tcPr>
            <w:tcW w:w="573" w:type="pct"/>
            <w:tcBorders>
              <w:top w:val="single" w:sz="4" w:space="0" w:color="000000"/>
              <w:left w:val="single" w:sz="4" w:space="0" w:color="000000"/>
              <w:bottom w:val="single" w:sz="4" w:space="0" w:color="000000"/>
              <w:right w:val="single" w:sz="4" w:space="0" w:color="000000"/>
            </w:tcBorders>
            <w:noWrap/>
            <w:tcMar>
              <w:top w:w="17" w:type="dxa"/>
              <w:left w:w="17" w:type="dxa"/>
            </w:tcMar>
            <w:vAlign w:val="center"/>
          </w:tcPr>
          <w:p w:rsidR="00000000" w:rsidRDefault="00000000">
            <w:pPr>
              <w:jc w:val="right"/>
              <w:rPr>
                <w:rFonts w:ascii="宋体" w:hAnsi="宋体" w:cs="宋体"/>
                <w:sz w:val="24"/>
                <w:szCs w:val="24"/>
              </w:rPr>
            </w:pP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表十</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南召县2024年政府性基金收支预算表（草案）</w:t>
      </w:r>
    </w:p>
    <w:p w:rsidR="00000000" w:rsidRDefault="00000000">
      <w:pPr>
        <w:ind w:firstLineChars="2900" w:firstLine="6960"/>
        <w:rPr>
          <w:rFonts w:hint="eastAsia"/>
          <w:sz w:val="24"/>
          <w:szCs w:val="24"/>
        </w:rPr>
      </w:pPr>
      <w:r>
        <w:rPr>
          <w:rFonts w:hint="eastAsia"/>
          <w:sz w:val="24"/>
          <w:szCs w:val="24"/>
        </w:rPr>
        <w:t>单位：万元</w:t>
      </w:r>
    </w:p>
    <w:tbl>
      <w:tblPr>
        <w:tblW w:w="8592" w:type="dxa"/>
        <w:jc w:val="center"/>
        <w:tblInd w:w="0" w:type="dxa"/>
        <w:tblLayout w:type="fixed"/>
        <w:tblCellMar>
          <w:left w:w="0" w:type="dxa"/>
          <w:right w:w="0" w:type="dxa"/>
        </w:tblCellMar>
        <w:tblLook w:val="0000" w:firstRow="0" w:lastRow="0" w:firstColumn="0" w:lastColumn="0" w:noHBand="0" w:noVBand="0"/>
      </w:tblPr>
      <w:tblGrid>
        <w:gridCol w:w="3253"/>
        <w:gridCol w:w="1178"/>
        <w:gridCol w:w="2807"/>
        <w:gridCol w:w="1354"/>
      </w:tblGrid>
      <w:tr w:rsidR="00000000">
        <w:trPr>
          <w:trHeight w:val="796"/>
          <w:jc w:val="center"/>
        </w:trPr>
        <w:tc>
          <w:tcPr>
            <w:tcW w:w="443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收          入</w:t>
            </w:r>
          </w:p>
        </w:tc>
        <w:tc>
          <w:tcPr>
            <w:tcW w:w="4161"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支          出</w:t>
            </w:r>
          </w:p>
        </w:tc>
      </w:tr>
      <w:tr w:rsidR="00000000">
        <w:trPr>
          <w:trHeight w:val="835"/>
          <w:jc w:val="center"/>
        </w:trPr>
        <w:tc>
          <w:tcPr>
            <w:tcW w:w="3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1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预算数</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项         目</w:t>
            </w:r>
          </w:p>
        </w:tc>
        <w:tc>
          <w:tcPr>
            <w:tcW w:w="13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32"/>
              </w:rPr>
            </w:pPr>
            <w:r>
              <w:rPr>
                <w:rFonts w:ascii="宋体" w:hAnsi="宋体" w:cs="宋体" w:hint="eastAsia"/>
                <w:b/>
                <w:bCs/>
                <w:sz w:val="24"/>
                <w:szCs w:val="32"/>
              </w:rPr>
              <w:t>预算数</w:t>
            </w:r>
          </w:p>
        </w:tc>
      </w:tr>
      <w:tr w:rsidR="00000000">
        <w:trPr>
          <w:trHeight w:val="819"/>
          <w:jc w:val="center"/>
        </w:trPr>
        <w:tc>
          <w:tcPr>
            <w:tcW w:w="325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sz w:val="24"/>
                <w:szCs w:val="32"/>
              </w:rPr>
            </w:pPr>
            <w:r>
              <w:rPr>
                <w:rFonts w:ascii="宋体" w:hAnsi="宋体" w:cs="宋体" w:hint="eastAsia"/>
                <w:sz w:val="24"/>
                <w:szCs w:val="32"/>
              </w:rPr>
              <w:t>总    计</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184144</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sz w:val="24"/>
                <w:szCs w:val="32"/>
              </w:rPr>
            </w:pPr>
            <w:r>
              <w:rPr>
                <w:rFonts w:ascii="宋体" w:hAnsi="宋体" w:cs="宋体" w:hint="eastAsia"/>
                <w:sz w:val="24"/>
                <w:szCs w:val="32"/>
              </w:rPr>
              <w:t>总    计</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184144</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本级政府性基金收入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142516</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政府性基金支出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144144</w:t>
            </w:r>
          </w:p>
        </w:tc>
      </w:tr>
      <w:tr w:rsidR="00000000">
        <w:trPr>
          <w:trHeight w:val="831"/>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新型墙体材料专项基金收入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一、文化体育与传媒支出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30</w:t>
            </w:r>
          </w:p>
        </w:tc>
      </w:tr>
      <w:tr w:rsidR="00000000">
        <w:trPr>
          <w:trHeight w:val="82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国有土地使用权出让收入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140716</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二、社会保障和就业支出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7900</w:t>
            </w:r>
          </w:p>
        </w:tc>
      </w:tr>
      <w:tr w:rsidR="00000000">
        <w:trPr>
          <w:trHeight w:val="827"/>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城市公用事业附加收入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三、城乡社区支出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107351</w:t>
            </w:r>
          </w:p>
        </w:tc>
      </w:tr>
      <w:tr w:rsidR="00000000">
        <w:trPr>
          <w:trHeight w:val="825"/>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城市基础设施配套费收入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1000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四、农林水支出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3673</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污水处理费收入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800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五、其他支出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2352</w:t>
            </w:r>
          </w:p>
        </w:tc>
      </w:tr>
      <w:tr w:rsidR="00000000">
        <w:trPr>
          <w:trHeight w:val="80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上年结转</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11000</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六、债务付息支出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16196</w:t>
            </w:r>
          </w:p>
        </w:tc>
      </w:tr>
      <w:tr w:rsidR="00000000">
        <w:trPr>
          <w:trHeight w:val="809"/>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彩票发行销售机构业务费用</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七、债务还本支出</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2900</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上级政府性基金补助收入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4828</w:t>
            </w:r>
          </w:p>
        </w:tc>
        <w:tc>
          <w:tcPr>
            <w:tcW w:w="2807"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调出资金</w:t>
            </w: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40000</w:t>
            </w:r>
          </w:p>
        </w:tc>
      </w:tr>
      <w:tr w:rsidR="00000000">
        <w:trPr>
          <w:trHeight w:val="964"/>
          <w:jc w:val="center"/>
        </w:trPr>
        <w:tc>
          <w:tcPr>
            <w:tcW w:w="3253" w:type="dxa"/>
            <w:tcBorders>
              <w:top w:val="single" w:sz="4" w:space="0" w:color="000000"/>
              <w:left w:val="single" w:sz="4" w:space="0" w:color="000000"/>
              <w:bottom w:val="single" w:sz="4" w:space="0" w:color="000000"/>
              <w:right w:val="single" w:sz="4" w:space="0" w:color="000000"/>
            </w:tcBorders>
            <w:noWrap/>
            <w:tcMar>
              <w:top w:w="17" w:type="dxa"/>
              <w:left w:w="170" w:type="dxa"/>
              <w:right w:w="17" w:type="dxa"/>
            </w:tcMar>
            <w:vAlign w:val="center"/>
          </w:tcPr>
          <w:p w:rsidR="00000000" w:rsidRDefault="00000000">
            <w:pPr>
              <w:rPr>
                <w:rFonts w:ascii="宋体" w:hAnsi="宋体" w:cs="宋体" w:hint="eastAsia"/>
                <w:sz w:val="24"/>
                <w:szCs w:val="32"/>
              </w:rPr>
            </w:pPr>
            <w:r>
              <w:rPr>
                <w:rFonts w:ascii="宋体" w:hAnsi="宋体" w:cs="宋体" w:hint="eastAsia"/>
                <w:sz w:val="24"/>
                <w:szCs w:val="32"/>
              </w:rPr>
              <w:t>上级专项债券收入</w:t>
            </w:r>
          </w:p>
        </w:tc>
        <w:tc>
          <w:tcPr>
            <w:tcW w:w="1178"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sz w:val="24"/>
                <w:szCs w:val="32"/>
              </w:rPr>
            </w:pPr>
            <w:r>
              <w:rPr>
                <w:rFonts w:ascii="宋体" w:hAnsi="宋体" w:cs="宋体" w:hint="eastAsia"/>
                <w:sz w:val="24"/>
                <w:szCs w:val="32"/>
              </w:rPr>
              <w:t>25800</w:t>
            </w:r>
          </w:p>
        </w:tc>
        <w:tc>
          <w:tcPr>
            <w:tcW w:w="28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32"/>
              </w:rPr>
            </w:pPr>
          </w:p>
        </w:tc>
        <w:tc>
          <w:tcPr>
            <w:tcW w:w="1354"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right"/>
              <w:rPr>
                <w:rFonts w:ascii="宋体" w:hAnsi="宋体" w:cs="宋体" w:hint="eastAsia"/>
                <w:sz w:val="24"/>
                <w:szCs w:val="32"/>
              </w:rPr>
            </w:pPr>
          </w:p>
        </w:tc>
      </w:tr>
    </w:tbl>
    <w:p w:rsidR="00000000" w:rsidRDefault="00000000">
      <w:pPr>
        <w:rPr>
          <w:rFonts w:ascii="黑体" w:eastAsia="黑体" w:hAnsi="黑体" w:cs="黑体" w:hint="eastAsia"/>
          <w:sz w:val="28"/>
          <w:szCs w:val="28"/>
        </w:rPr>
      </w:pPr>
      <w:r>
        <w:br w:type="page"/>
      </w:r>
      <w:r>
        <w:rPr>
          <w:rFonts w:ascii="黑体" w:eastAsia="黑体" w:hAnsi="黑体" w:cs="黑体" w:hint="eastAsia"/>
          <w:sz w:val="28"/>
          <w:szCs w:val="28"/>
        </w:rPr>
        <w:lastRenderedPageBreak/>
        <w:t>表十一</w:t>
      </w:r>
    </w:p>
    <w:p w:rsidR="00000000" w:rsidRDefault="00000000">
      <w:pPr>
        <w:jc w:val="center"/>
        <w:rPr>
          <w:rFonts w:ascii="方正小标宋简体" w:eastAsia="方正小标宋简体" w:hAnsi="方正小标宋简体" w:cs="方正小标宋简体" w:hint="eastAsia"/>
          <w:sz w:val="36"/>
          <w:szCs w:val="36"/>
        </w:rPr>
      </w:pPr>
      <w:r>
        <w:rPr>
          <w:rFonts w:ascii="方正小标宋简体" w:eastAsia="方正小标宋简体" w:hAnsi="方正小标宋简体" w:cs="方正小标宋简体" w:hint="eastAsia"/>
          <w:sz w:val="36"/>
          <w:szCs w:val="36"/>
        </w:rPr>
        <w:t>南召县2024年社会保险基金收支预算表（草案）</w:t>
      </w:r>
    </w:p>
    <w:p w:rsidR="00000000" w:rsidRDefault="00000000">
      <w:pPr>
        <w:ind w:firstLineChars="2900" w:firstLine="6960"/>
        <w:rPr>
          <w:rFonts w:hint="eastAsia"/>
        </w:rPr>
      </w:pPr>
      <w:r>
        <w:rPr>
          <w:rFonts w:hint="eastAsia"/>
          <w:sz w:val="24"/>
          <w:szCs w:val="24"/>
        </w:rPr>
        <w:t>单位：万元</w:t>
      </w:r>
    </w:p>
    <w:tbl>
      <w:tblPr>
        <w:tblW w:w="0" w:type="auto"/>
        <w:tblInd w:w="0" w:type="dxa"/>
        <w:tblLayout w:type="fixed"/>
        <w:tblCellMar>
          <w:left w:w="0" w:type="dxa"/>
          <w:right w:w="0" w:type="dxa"/>
        </w:tblCellMar>
        <w:tblLook w:val="0000" w:firstRow="0" w:lastRow="0" w:firstColumn="0" w:lastColumn="0" w:noHBand="0" w:noVBand="0"/>
      </w:tblPr>
      <w:tblGrid>
        <w:gridCol w:w="4350"/>
        <w:gridCol w:w="2107"/>
        <w:gridCol w:w="2107"/>
      </w:tblGrid>
      <w:tr w:rsidR="00000000">
        <w:trPr>
          <w:trHeight w:val="964"/>
        </w:trPr>
        <w:tc>
          <w:tcPr>
            <w:tcW w:w="4350" w:type="dxa"/>
            <w:vMerge w:val="restart"/>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项  目</w:t>
            </w:r>
          </w:p>
        </w:tc>
        <w:tc>
          <w:tcPr>
            <w:tcW w:w="421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预   算   数</w:t>
            </w:r>
          </w:p>
        </w:tc>
      </w:tr>
      <w:tr w:rsidR="00000000">
        <w:trPr>
          <w:trHeight w:val="964"/>
        </w:trPr>
        <w:tc>
          <w:tcPr>
            <w:tcW w:w="4350" w:type="dxa"/>
            <w:vMerge/>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收 入</w:t>
            </w: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jc w:val="center"/>
              <w:rPr>
                <w:rFonts w:ascii="宋体" w:hAnsi="宋体" w:cs="宋体" w:hint="eastAsia"/>
                <w:b/>
                <w:bCs/>
                <w:sz w:val="24"/>
                <w:szCs w:val="24"/>
              </w:rPr>
            </w:pPr>
            <w:r>
              <w:rPr>
                <w:rFonts w:ascii="宋体" w:hAnsi="宋体" w:cs="宋体" w:hint="eastAsia"/>
                <w:b/>
                <w:bCs/>
                <w:sz w:val="24"/>
                <w:szCs w:val="24"/>
              </w:rPr>
              <w:t>支 出</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社会保险基金预算</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97425</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86301</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其中：</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城乡居民基本养老保险基金</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23807</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17456</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城乡居民基本医疗保险基金</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59044</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55821</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r>
              <w:rPr>
                <w:rFonts w:ascii="宋体" w:hAnsi="宋体" w:cs="宋体" w:hint="eastAsia"/>
                <w:sz w:val="24"/>
                <w:szCs w:val="24"/>
              </w:rPr>
              <w:t xml:space="preserve">      城镇职工基本医疗保险基金（含生育保险）</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14574</w:t>
            </w: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sz w:val="24"/>
                <w:szCs w:val="24"/>
              </w:rPr>
            </w:pPr>
            <w:r>
              <w:rPr>
                <w:rFonts w:ascii="宋体" w:hAnsi="宋体" w:cs="宋体" w:hint="eastAsia"/>
                <w:sz w:val="24"/>
                <w:szCs w:val="24"/>
              </w:rPr>
              <w:t>13024</w:t>
            </w: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7" w:type="dxa"/>
              <w:left w:w="17" w:type="dxa"/>
              <w:right w:w="187" w:type="dxa"/>
            </w:tcMar>
            <w:vAlign w:val="center"/>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r w:rsidR="00000000">
        <w:trPr>
          <w:trHeight w:val="964"/>
        </w:trPr>
        <w:tc>
          <w:tcPr>
            <w:tcW w:w="435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000000" w:rsidRDefault="00000000">
            <w:pP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c>
          <w:tcPr>
            <w:tcW w:w="2107"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000000" w:rsidRDefault="00000000">
            <w:pPr>
              <w:jc w:val="center"/>
              <w:rPr>
                <w:rFonts w:ascii="宋体" w:hAnsi="宋体" w:cs="宋体" w:hint="eastAsia"/>
                <w:sz w:val="24"/>
                <w:szCs w:val="24"/>
              </w:rPr>
            </w:pPr>
          </w:p>
        </w:tc>
      </w:tr>
    </w:tbl>
    <w:p w:rsidR="00000000" w:rsidRDefault="00000000">
      <w:pPr>
        <w:rPr>
          <w:rFonts w:hint="eastAsia"/>
          <w:sz w:val="24"/>
          <w:szCs w:val="24"/>
        </w:rPr>
      </w:pPr>
    </w:p>
    <w:p w:rsidR="00000000" w:rsidRDefault="00000000">
      <w:r>
        <w:rPr>
          <w:rFonts w:hint="eastAsia"/>
          <w:sz w:val="24"/>
          <w:szCs w:val="24"/>
        </w:rPr>
        <w:t>说明：收支缺口通过历年滚存结余弥补。</w:t>
      </w:r>
    </w:p>
    <w:p w:rsidR="00000000" w:rsidRDefault="00000000">
      <w:pPr>
        <w:rPr>
          <w:rFonts w:ascii="黑体" w:eastAsia="黑体" w:hAnsi="黑体" w:cs="黑体" w:hint="eastAsia"/>
          <w:sz w:val="28"/>
          <w:szCs w:val="28"/>
        </w:rPr>
      </w:pPr>
      <w:r>
        <w:rPr>
          <w:rFonts w:hint="eastAsia"/>
        </w:rPr>
        <w:br w:type="page"/>
      </w:r>
      <w:r>
        <w:rPr>
          <w:rFonts w:ascii="黑体" w:eastAsia="黑体" w:hAnsi="黑体" w:cs="黑体" w:hint="eastAsia"/>
          <w:sz w:val="28"/>
          <w:szCs w:val="28"/>
        </w:rPr>
        <w:lastRenderedPageBreak/>
        <w:t>表十二</w:t>
      </w:r>
    </w:p>
    <w:p w:rsidR="00000000" w:rsidRDefault="00000000">
      <w:pPr>
        <w:jc w:val="center"/>
        <w:rPr>
          <w:rFonts w:ascii="方正小标宋_GBK" w:eastAsia="方正小标宋_GBK" w:hAnsi="方正小标宋_GBK" w:cs="方正小标宋_GBK" w:hint="eastAsia"/>
          <w:sz w:val="36"/>
          <w:szCs w:val="36"/>
        </w:rPr>
      </w:pPr>
      <w:r>
        <w:rPr>
          <w:rFonts w:ascii="方正小标宋简体" w:eastAsia="方正小标宋简体" w:hAnsi="方正小标宋简体" w:cs="方正小标宋简体" w:hint="eastAsia"/>
          <w:sz w:val="36"/>
          <w:szCs w:val="36"/>
        </w:rPr>
        <w:t>南召县2024年国有资本经营收支预算表（草案）</w:t>
      </w:r>
    </w:p>
    <w:p w:rsidR="00000000" w:rsidRDefault="00000000">
      <w:pPr>
        <w:ind w:firstLineChars="2900" w:firstLine="6960"/>
        <w:rPr>
          <w:rFonts w:hint="eastAsia"/>
          <w:sz w:val="24"/>
          <w:szCs w:val="24"/>
        </w:rPr>
      </w:pPr>
      <w:r>
        <w:rPr>
          <w:rFonts w:hint="eastAsia"/>
          <w:sz w:val="24"/>
          <w:szCs w:val="24"/>
        </w:rPr>
        <w:t>单位：万元</w:t>
      </w:r>
    </w:p>
    <w:tbl>
      <w:tblPr>
        <w:tblpPr w:leftFromText="180" w:rightFromText="180" w:vertAnchor="text" w:horzAnchor="page" w:tblpX="1454" w:tblpY="185"/>
        <w:tblOverlap w:val="never"/>
        <w:tblW w:w="8952" w:type="dxa"/>
        <w:tblInd w:w="0" w:type="dxa"/>
        <w:tblLayout w:type="fixed"/>
        <w:tblLook w:val="0000" w:firstRow="0" w:lastRow="0" w:firstColumn="0" w:lastColumn="0" w:noHBand="0" w:noVBand="0"/>
      </w:tblPr>
      <w:tblGrid>
        <w:gridCol w:w="2897"/>
        <w:gridCol w:w="1233"/>
        <w:gridCol w:w="3731"/>
        <w:gridCol w:w="1091"/>
      </w:tblGrid>
      <w:tr w:rsidR="00000000">
        <w:trPr>
          <w:trHeight w:val="907"/>
        </w:trPr>
        <w:tc>
          <w:tcPr>
            <w:tcW w:w="4130"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收       入</w:t>
            </w:r>
          </w:p>
        </w:tc>
        <w:tc>
          <w:tcPr>
            <w:tcW w:w="4822" w:type="dxa"/>
            <w:gridSpan w:val="2"/>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 xml:space="preserve">支       出 </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项     目</w:t>
            </w:r>
          </w:p>
        </w:tc>
        <w:tc>
          <w:tcPr>
            <w:tcW w:w="123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预算数</w:t>
            </w:r>
          </w:p>
        </w:tc>
        <w:tc>
          <w:tcPr>
            <w:tcW w:w="3731" w:type="dxa"/>
            <w:tcBorders>
              <w:top w:val="single" w:sz="4" w:space="0" w:color="000000"/>
              <w:left w:val="single" w:sz="4" w:space="0" w:color="000000"/>
              <w:bottom w:val="single" w:sz="4" w:space="0" w:color="000000"/>
              <w:right w:val="single" w:sz="4" w:space="0" w:color="000000"/>
            </w:tcBorders>
            <w:shd w:val="clear" w:color="auto" w:fill="FFFFFF"/>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项      目</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center"/>
              <w:textAlignment w:val="center"/>
              <w:rPr>
                <w:rFonts w:ascii="宋体" w:hAnsi="宋体" w:cs="宋体" w:hint="eastAsia"/>
                <w:b/>
                <w:bCs/>
                <w:sz w:val="24"/>
                <w:szCs w:val="24"/>
              </w:rPr>
            </w:pPr>
            <w:r>
              <w:rPr>
                <w:rFonts w:ascii="宋体" w:hAnsi="宋体" w:cs="宋体" w:hint="eastAsia"/>
                <w:b/>
                <w:bCs/>
                <w:kern w:val="0"/>
                <w:sz w:val="24"/>
                <w:szCs w:val="24"/>
                <w:lang w:bidi="ar"/>
              </w:rPr>
              <w:t>预算数</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20217</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20217</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其中： 利润收入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20000</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其中： 改革成本支出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股利、股息收入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国有企业资本金注入支出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产权转让收入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政策性补贴支出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清算收入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宋体" w:hAnsi="宋体" w:cs="宋体" w:hint="eastAsia"/>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其他国有资本经营支出</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217</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 xml:space="preserve">  其他国有资本经营收入</w:t>
            </w: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217</w:t>
            </w: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left"/>
              <w:textAlignment w:val="center"/>
              <w:rPr>
                <w:rFonts w:ascii="宋体" w:hAnsi="宋体" w:cs="宋体" w:hint="eastAsia"/>
                <w:sz w:val="24"/>
                <w:szCs w:val="24"/>
              </w:rPr>
            </w:pPr>
            <w:r>
              <w:rPr>
                <w:rFonts w:ascii="宋体" w:hAnsi="宋体" w:cs="宋体" w:hint="eastAsia"/>
                <w:kern w:val="0"/>
                <w:sz w:val="24"/>
                <w:szCs w:val="24"/>
                <w:lang w:bidi="ar"/>
              </w:rPr>
              <w:t>国有资本经营预算调出资金</w:t>
            </w: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widowControl/>
              <w:jc w:val="right"/>
              <w:textAlignment w:val="center"/>
              <w:rPr>
                <w:rFonts w:ascii="宋体" w:hAnsi="宋体" w:cs="宋体" w:hint="eastAsia"/>
                <w:sz w:val="24"/>
                <w:szCs w:val="24"/>
              </w:rPr>
            </w:pPr>
            <w:r>
              <w:rPr>
                <w:rFonts w:ascii="宋体" w:hAnsi="宋体" w:cs="宋体" w:hint="eastAsia"/>
                <w:kern w:val="0"/>
                <w:sz w:val="24"/>
                <w:szCs w:val="24"/>
                <w:lang w:bidi="ar"/>
              </w:rPr>
              <w:t xml:space="preserve">20000 </w:t>
            </w: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jc w:val="left"/>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center"/>
          </w:tcPr>
          <w:p w:rsidR="00000000" w:rsidRDefault="00000000">
            <w:pPr>
              <w:rPr>
                <w:rFonts w:ascii="方正黑体简体" w:eastAsia="方正黑体简体" w:hAnsi="方正黑体简体" w:cs="方正黑体简体"/>
                <w:b/>
                <w:bCs/>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r>
      <w:tr w:rsidR="00000000">
        <w:trPr>
          <w:trHeight w:val="907"/>
        </w:trPr>
        <w:tc>
          <w:tcPr>
            <w:tcW w:w="2897"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b/>
                <w:bCs/>
                <w:sz w:val="24"/>
                <w:szCs w:val="24"/>
              </w:rPr>
            </w:pPr>
          </w:p>
        </w:tc>
        <w:tc>
          <w:tcPr>
            <w:tcW w:w="1233"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373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c>
          <w:tcPr>
            <w:tcW w:w="1091" w:type="dxa"/>
            <w:tcBorders>
              <w:top w:val="single" w:sz="4" w:space="0" w:color="000000"/>
              <w:left w:val="single" w:sz="4" w:space="0" w:color="000000"/>
              <w:bottom w:val="single" w:sz="4" w:space="0" w:color="000000"/>
              <w:right w:val="single" w:sz="4" w:space="0" w:color="000000"/>
            </w:tcBorders>
            <w:noWrap/>
            <w:vAlign w:val="bottom"/>
          </w:tcPr>
          <w:p w:rsidR="00000000" w:rsidRDefault="00000000">
            <w:pPr>
              <w:rPr>
                <w:rFonts w:ascii="方正黑体简体" w:eastAsia="方正黑体简体" w:hAnsi="方正黑体简体" w:cs="方正黑体简体"/>
                <w:sz w:val="24"/>
                <w:szCs w:val="24"/>
              </w:rPr>
            </w:pPr>
          </w:p>
        </w:tc>
      </w:tr>
    </w:tbl>
    <w:p w:rsidR="00DF1E90" w:rsidRDefault="00DF1E90">
      <w:pPr>
        <w:rPr>
          <w:sz w:val="24"/>
          <w:szCs w:val="24"/>
        </w:rPr>
      </w:pPr>
    </w:p>
    <w:sectPr w:rsidR="00DF1E90">
      <w:footerReference w:type="even" r:id="rId6"/>
      <w:footerReference w:type="default" r:id="rId7"/>
      <w:pgSz w:w="11906" w:h="16838"/>
      <w:pgMar w:top="1871" w:right="1587" w:bottom="1701" w:left="1701" w:header="851" w:footer="1247" w:gutter="0"/>
      <w:pgNumType w:fmt="numberInDash"/>
      <w:cols w:space="720"/>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F1E90" w:rsidRDefault="00DF1E90">
      <w:r>
        <w:separator/>
      </w:r>
    </w:p>
  </w:endnote>
  <w:endnote w:type="continuationSeparator" w:id="0">
    <w:p w:rsidR="00DF1E90" w:rsidRDefault="00DF1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onospace">
    <w:altName w:val="Segoe Print"/>
    <w:charset w:val="00"/>
    <w:family w:val="auto"/>
    <w:pitch w:val="default"/>
    <w:sig w:usb0="00000000" w:usb1="00000000" w:usb2="00000000" w:usb3="00000000" w:csb0="00040001" w:csb1="00000000"/>
  </w:font>
  <w:font w:name="方正小标宋简体">
    <w:altName w:val="微软雅黑"/>
    <w:charset w:val="86"/>
    <w:family w:val="auto"/>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微软雅黑"/>
    <w:charset w:val="86"/>
    <w:family w:val="auto"/>
    <w:pitch w:val="default"/>
    <w:sig w:usb0="00000001" w:usb1="080E0000" w:usb2="00000000" w:usb3="00000000" w:csb0="00040000" w:csb1="00000000"/>
  </w:font>
  <w:font w:name="方正黑体简体">
    <w:altName w:val="微软雅黑"/>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824DEF">
    <w:pPr>
      <w:pStyle w:val="a4"/>
    </w:pPr>
    <w:r>
      <w:rPr>
        <w:noProof/>
      </w:rPr>
      <mc:AlternateContent>
        <mc:Choice Requires="wps">
          <w:drawing>
            <wp:anchor distT="0" distB="0" distL="114300" distR="114300" simplePos="0" relativeHeight="251657728" behindDoc="0" locked="0" layoutInCell="1" allowOverlap="1">
              <wp:simplePos x="0" y="0"/>
              <wp:positionH relativeFrom="margin">
                <wp:align>outside</wp:align>
              </wp:positionH>
              <wp:positionV relativeFrom="paragraph">
                <wp:posOffset>0</wp:posOffset>
              </wp:positionV>
              <wp:extent cx="254000" cy="175260"/>
              <wp:effectExtent l="0" t="0" r="0" b="0"/>
              <wp:wrapNone/>
              <wp:docPr id="650900125"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 cy="1752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000000" w:rsidRDefault="00000000">
                          <w:pPr>
                            <w:pStyle w:val="a4"/>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1.2pt;margin-top:0;width:20pt;height:13.8pt;z-index:25165772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" filled="f" stroked="f">
              <v:textbox style="mso-fit-shape-to-text:t" inset="0,0,0,0">
                <w:txbxContent>
                  <w:p w:rsidR="00000000" w:rsidRDefault="00000000">
                    <w:pPr>
                      <w:pStyle w:val="a4"/>
                      <w:rPr>
                        <w:sz w:val="24"/>
                        <w:szCs w:val="32"/>
                      </w:rPr>
                    </w:pPr>
                    <w:r>
                      <w:rPr>
                        <w:sz w:val="24"/>
                        <w:szCs w:val="32"/>
                      </w:rPr>
                      <w:fldChar w:fldCharType="begin"/>
                    </w:r>
                    <w:r>
                      <w:rPr>
                        <w:sz w:val="24"/>
                        <w:szCs w:val="32"/>
                      </w:rPr>
                      <w:instrText xml:space="preserve"> PAGE  \* MERGEFORMAT </w:instrText>
                    </w:r>
                    <w:r>
                      <w:rPr>
                        <w:sz w:val="24"/>
                        <w:szCs w:val="32"/>
                      </w:rPr>
                      <w:fldChar w:fldCharType="separate"/>
                    </w:r>
                    <w:r>
                      <w:rPr>
                        <w:sz w:val="24"/>
                        <w:szCs w:val="32"/>
                      </w:rPr>
                      <w:t>1</w:t>
                    </w:r>
                    <w:r>
                      <w:rPr>
                        <w:sz w:val="24"/>
                        <w:szCs w:val="3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F1E90" w:rsidRDefault="00DF1E90">
      <w:r>
        <w:separator/>
      </w:r>
    </w:p>
  </w:footnote>
  <w:footnote w:type="continuationSeparator" w:id="0">
    <w:p w:rsidR="00DF1E90" w:rsidRDefault="00DF1E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61"/>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MDQ1MjNhZmFmYmIwY2VhYTVhMWFkOGRjMzFmOTBjNTYifQ=="/>
  </w:docVars>
  <w:rsids>
    <w:rsidRoot w:val="00772316"/>
    <w:rsid w:val="00006707"/>
    <w:rsid w:val="00011B4E"/>
    <w:rsid w:val="00031F33"/>
    <w:rsid w:val="0003780E"/>
    <w:rsid w:val="00044F36"/>
    <w:rsid w:val="000538D6"/>
    <w:rsid w:val="00076F86"/>
    <w:rsid w:val="0009605D"/>
    <w:rsid w:val="000A0B65"/>
    <w:rsid w:val="000E0039"/>
    <w:rsid w:val="00112B0D"/>
    <w:rsid w:val="0012317A"/>
    <w:rsid w:val="00130AC9"/>
    <w:rsid w:val="00131AEC"/>
    <w:rsid w:val="001336DC"/>
    <w:rsid w:val="001351C4"/>
    <w:rsid w:val="00142310"/>
    <w:rsid w:val="0014392C"/>
    <w:rsid w:val="00194540"/>
    <w:rsid w:val="00197642"/>
    <w:rsid w:val="001A6EE2"/>
    <w:rsid w:val="001E789F"/>
    <w:rsid w:val="002136C3"/>
    <w:rsid w:val="00214910"/>
    <w:rsid w:val="00222864"/>
    <w:rsid w:val="00224767"/>
    <w:rsid w:val="00264E69"/>
    <w:rsid w:val="00284D87"/>
    <w:rsid w:val="00291181"/>
    <w:rsid w:val="00291ED9"/>
    <w:rsid w:val="00295241"/>
    <w:rsid w:val="00297332"/>
    <w:rsid w:val="002E1229"/>
    <w:rsid w:val="003045CF"/>
    <w:rsid w:val="00326F2A"/>
    <w:rsid w:val="00334D3E"/>
    <w:rsid w:val="003375F0"/>
    <w:rsid w:val="00353409"/>
    <w:rsid w:val="00360E24"/>
    <w:rsid w:val="003702A7"/>
    <w:rsid w:val="00370C6A"/>
    <w:rsid w:val="00373A9C"/>
    <w:rsid w:val="00384B9C"/>
    <w:rsid w:val="00385491"/>
    <w:rsid w:val="003B09B1"/>
    <w:rsid w:val="003B5D01"/>
    <w:rsid w:val="003B6ED8"/>
    <w:rsid w:val="003F75B2"/>
    <w:rsid w:val="003F79CE"/>
    <w:rsid w:val="004246EE"/>
    <w:rsid w:val="004319D0"/>
    <w:rsid w:val="004356F9"/>
    <w:rsid w:val="00437907"/>
    <w:rsid w:val="00445ACB"/>
    <w:rsid w:val="00452A70"/>
    <w:rsid w:val="00464FAD"/>
    <w:rsid w:val="004722A7"/>
    <w:rsid w:val="004C56C5"/>
    <w:rsid w:val="00507779"/>
    <w:rsid w:val="00514E1E"/>
    <w:rsid w:val="005208BB"/>
    <w:rsid w:val="00526B07"/>
    <w:rsid w:val="0053029E"/>
    <w:rsid w:val="00557622"/>
    <w:rsid w:val="00570E59"/>
    <w:rsid w:val="005723D4"/>
    <w:rsid w:val="00572BF1"/>
    <w:rsid w:val="00575524"/>
    <w:rsid w:val="005771F8"/>
    <w:rsid w:val="00583ADB"/>
    <w:rsid w:val="00586DA1"/>
    <w:rsid w:val="005A2A44"/>
    <w:rsid w:val="005A69DD"/>
    <w:rsid w:val="005B44D1"/>
    <w:rsid w:val="005D5E05"/>
    <w:rsid w:val="006232B5"/>
    <w:rsid w:val="006434DD"/>
    <w:rsid w:val="006435C5"/>
    <w:rsid w:val="006656FF"/>
    <w:rsid w:val="00693023"/>
    <w:rsid w:val="00694105"/>
    <w:rsid w:val="006F4F08"/>
    <w:rsid w:val="007127E4"/>
    <w:rsid w:val="00730F3B"/>
    <w:rsid w:val="00736AF0"/>
    <w:rsid w:val="0074720E"/>
    <w:rsid w:val="00750353"/>
    <w:rsid w:val="00770ABB"/>
    <w:rsid w:val="00772316"/>
    <w:rsid w:val="00772462"/>
    <w:rsid w:val="007C31C8"/>
    <w:rsid w:val="007C47A0"/>
    <w:rsid w:val="007D72A7"/>
    <w:rsid w:val="00803FC2"/>
    <w:rsid w:val="008110B1"/>
    <w:rsid w:val="00812C99"/>
    <w:rsid w:val="00824DEF"/>
    <w:rsid w:val="00840F1C"/>
    <w:rsid w:val="008442AF"/>
    <w:rsid w:val="00850716"/>
    <w:rsid w:val="008730DF"/>
    <w:rsid w:val="00884C4C"/>
    <w:rsid w:val="008B429E"/>
    <w:rsid w:val="008B5BBE"/>
    <w:rsid w:val="008C05AF"/>
    <w:rsid w:val="008D1E09"/>
    <w:rsid w:val="008D3E3C"/>
    <w:rsid w:val="008E0C60"/>
    <w:rsid w:val="008F3A04"/>
    <w:rsid w:val="008F4373"/>
    <w:rsid w:val="00920FD1"/>
    <w:rsid w:val="00921DCB"/>
    <w:rsid w:val="00927848"/>
    <w:rsid w:val="00933345"/>
    <w:rsid w:val="00934470"/>
    <w:rsid w:val="009432A6"/>
    <w:rsid w:val="00944DFB"/>
    <w:rsid w:val="0094637C"/>
    <w:rsid w:val="00950093"/>
    <w:rsid w:val="009517CF"/>
    <w:rsid w:val="00993A19"/>
    <w:rsid w:val="009A30A6"/>
    <w:rsid w:val="009B2BF2"/>
    <w:rsid w:val="009B6A78"/>
    <w:rsid w:val="009C0719"/>
    <w:rsid w:val="009C4D31"/>
    <w:rsid w:val="009E7817"/>
    <w:rsid w:val="00A23756"/>
    <w:rsid w:val="00A3459A"/>
    <w:rsid w:val="00A42231"/>
    <w:rsid w:val="00A718F8"/>
    <w:rsid w:val="00A83F8B"/>
    <w:rsid w:val="00AA57F4"/>
    <w:rsid w:val="00AA6CEC"/>
    <w:rsid w:val="00AB3C36"/>
    <w:rsid w:val="00AD21F2"/>
    <w:rsid w:val="00AE743E"/>
    <w:rsid w:val="00AF4619"/>
    <w:rsid w:val="00B32C1C"/>
    <w:rsid w:val="00B35F21"/>
    <w:rsid w:val="00B410F1"/>
    <w:rsid w:val="00B4119A"/>
    <w:rsid w:val="00B63A80"/>
    <w:rsid w:val="00B63E68"/>
    <w:rsid w:val="00B87086"/>
    <w:rsid w:val="00BC09B7"/>
    <w:rsid w:val="00BC6E9A"/>
    <w:rsid w:val="00BE2EC1"/>
    <w:rsid w:val="00BE76BC"/>
    <w:rsid w:val="00C42844"/>
    <w:rsid w:val="00C439AC"/>
    <w:rsid w:val="00C51195"/>
    <w:rsid w:val="00C55B9F"/>
    <w:rsid w:val="00C67B93"/>
    <w:rsid w:val="00C94B55"/>
    <w:rsid w:val="00CE1F51"/>
    <w:rsid w:val="00D01E66"/>
    <w:rsid w:val="00D0434D"/>
    <w:rsid w:val="00D40D69"/>
    <w:rsid w:val="00D45548"/>
    <w:rsid w:val="00D5278B"/>
    <w:rsid w:val="00D52B07"/>
    <w:rsid w:val="00D667F9"/>
    <w:rsid w:val="00D97985"/>
    <w:rsid w:val="00DA73B6"/>
    <w:rsid w:val="00DC0175"/>
    <w:rsid w:val="00DC38B3"/>
    <w:rsid w:val="00DD207A"/>
    <w:rsid w:val="00DF1E90"/>
    <w:rsid w:val="00DF2A40"/>
    <w:rsid w:val="00E4088B"/>
    <w:rsid w:val="00E551B4"/>
    <w:rsid w:val="00E724A7"/>
    <w:rsid w:val="00E823EF"/>
    <w:rsid w:val="00E83F12"/>
    <w:rsid w:val="00E97A10"/>
    <w:rsid w:val="00EB7A0F"/>
    <w:rsid w:val="00F47CD4"/>
    <w:rsid w:val="00F82FBE"/>
    <w:rsid w:val="00F909F1"/>
    <w:rsid w:val="00F96CA4"/>
    <w:rsid w:val="00FC67D4"/>
    <w:rsid w:val="00FE766C"/>
    <w:rsid w:val="00FF28CD"/>
    <w:rsid w:val="00FF7EE8"/>
    <w:rsid w:val="0100390C"/>
    <w:rsid w:val="010A29DC"/>
    <w:rsid w:val="010F7FF3"/>
    <w:rsid w:val="0112363F"/>
    <w:rsid w:val="01337D05"/>
    <w:rsid w:val="016B53DD"/>
    <w:rsid w:val="01736F5E"/>
    <w:rsid w:val="018376BE"/>
    <w:rsid w:val="01913FB9"/>
    <w:rsid w:val="01CC5EE4"/>
    <w:rsid w:val="01F1594A"/>
    <w:rsid w:val="020236B3"/>
    <w:rsid w:val="021358C1"/>
    <w:rsid w:val="02756A80"/>
    <w:rsid w:val="02765988"/>
    <w:rsid w:val="027C7A91"/>
    <w:rsid w:val="028F2D92"/>
    <w:rsid w:val="02900CBF"/>
    <w:rsid w:val="02A46519"/>
    <w:rsid w:val="02C10198"/>
    <w:rsid w:val="03257471"/>
    <w:rsid w:val="033D0C5F"/>
    <w:rsid w:val="034B4BE6"/>
    <w:rsid w:val="03572FE7"/>
    <w:rsid w:val="036A6929"/>
    <w:rsid w:val="03717A90"/>
    <w:rsid w:val="03800D34"/>
    <w:rsid w:val="03AF1619"/>
    <w:rsid w:val="03B2346E"/>
    <w:rsid w:val="03C30C20"/>
    <w:rsid w:val="03C5064A"/>
    <w:rsid w:val="03DC7239"/>
    <w:rsid w:val="040F2893"/>
    <w:rsid w:val="04114082"/>
    <w:rsid w:val="04267B2D"/>
    <w:rsid w:val="044C6E68"/>
    <w:rsid w:val="045226B8"/>
    <w:rsid w:val="047F2D99"/>
    <w:rsid w:val="04AF4EF3"/>
    <w:rsid w:val="04BA2023"/>
    <w:rsid w:val="04E6106A"/>
    <w:rsid w:val="050D4849"/>
    <w:rsid w:val="056621AB"/>
    <w:rsid w:val="05687CD1"/>
    <w:rsid w:val="05A827C4"/>
    <w:rsid w:val="05AE72CF"/>
    <w:rsid w:val="05DC5E9C"/>
    <w:rsid w:val="05E25CD6"/>
    <w:rsid w:val="05F71E0F"/>
    <w:rsid w:val="061B4495"/>
    <w:rsid w:val="0626130C"/>
    <w:rsid w:val="063B7194"/>
    <w:rsid w:val="064747B7"/>
    <w:rsid w:val="064C13A1"/>
    <w:rsid w:val="066739F5"/>
    <w:rsid w:val="06930D7E"/>
    <w:rsid w:val="069D1BFD"/>
    <w:rsid w:val="06B807E5"/>
    <w:rsid w:val="06BB6589"/>
    <w:rsid w:val="06E612E8"/>
    <w:rsid w:val="07301F12"/>
    <w:rsid w:val="07351E35"/>
    <w:rsid w:val="073B41C9"/>
    <w:rsid w:val="074105D3"/>
    <w:rsid w:val="076444C8"/>
    <w:rsid w:val="07660241"/>
    <w:rsid w:val="07762B7A"/>
    <w:rsid w:val="07930597"/>
    <w:rsid w:val="079977F0"/>
    <w:rsid w:val="07CF5DE6"/>
    <w:rsid w:val="07E06212"/>
    <w:rsid w:val="0822060B"/>
    <w:rsid w:val="082C4FE6"/>
    <w:rsid w:val="086A466D"/>
    <w:rsid w:val="08902440"/>
    <w:rsid w:val="08DA2C94"/>
    <w:rsid w:val="09061932"/>
    <w:rsid w:val="09074ADD"/>
    <w:rsid w:val="09102B5A"/>
    <w:rsid w:val="092C451D"/>
    <w:rsid w:val="095A4B5F"/>
    <w:rsid w:val="0969226A"/>
    <w:rsid w:val="09CF47C3"/>
    <w:rsid w:val="09D16488"/>
    <w:rsid w:val="09D26061"/>
    <w:rsid w:val="09E43723"/>
    <w:rsid w:val="09E726E0"/>
    <w:rsid w:val="0A4D471A"/>
    <w:rsid w:val="0A7B6D9D"/>
    <w:rsid w:val="0A7D7D7B"/>
    <w:rsid w:val="0A8E05A7"/>
    <w:rsid w:val="0AA90B70"/>
    <w:rsid w:val="0AB85257"/>
    <w:rsid w:val="0ABF25E8"/>
    <w:rsid w:val="0AC27AB4"/>
    <w:rsid w:val="0AD41965"/>
    <w:rsid w:val="0AD83203"/>
    <w:rsid w:val="0B3519ED"/>
    <w:rsid w:val="0B5036E2"/>
    <w:rsid w:val="0BDE0CED"/>
    <w:rsid w:val="0BF860AC"/>
    <w:rsid w:val="0BFC66C8"/>
    <w:rsid w:val="0C1106D0"/>
    <w:rsid w:val="0C1115B8"/>
    <w:rsid w:val="0C634AF2"/>
    <w:rsid w:val="0C783B67"/>
    <w:rsid w:val="0C7D22B4"/>
    <w:rsid w:val="0CB807B5"/>
    <w:rsid w:val="0CC021A1"/>
    <w:rsid w:val="0CFD5C91"/>
    <w:rsid w:val="0CFE7E0D"/>
    <w:rsid w:val="0D573BBE"/>
    <w:rsid w:val="0D5B0278"/>
    <w:rsid w:val="0D887163"/>
    <w:rsid w:val="0D955DE9"/>
    <w:rsid w:val="0DAB2E51"/>
    <w:rsid w:val="0DAC49E8"/>
    <w:rsid w:val="0DC13D2C"/>
    <w:rsid w:val="0DC829E3"/>
    <w:rsid w:val="0DE3083D"/>
    <w:rsid w:val="0E177258"/>
    <w:rsid w:val="0E4773FA"/>
    <w:rsid w:val="0E7A2600"/>
    <w:rsid w:val="0E9658AF"/>
    <w:rsid w:val="0F371914"/>
    <w:rsid w:val="0F852FE9"/>
    <w:rsid w:val="0FB16680"/>
    <w:rsid w:val="0FD93196"/>
    <w:rsid w:val="0FDA43C3"/>
    <w:rsid w:val="0FDE1FF2"/>
    <w:rsid w:val="0FF00FEF"/>
    <w:rsid w:val="0FF02D9D"/>
    <w:rsid w:val="101F18D4"/>
    <w:rsid w:val="102640F6"/>
    <w:rsid w:val="108F25B6"/>
    <w:rsid w:val="10961B97"/>
    <w:rsid w:val="10AC33DF"/>
    <w:rsid w:val="10BD35C7"/>
    <w:rsid w:val="11186A50"/>
    <w:rsid w:val="117A3266"/>
    <w:rsid w:val="1187256E"/>
    <w:rsid w:val="1195008D"/>
    <w:rsid w:val="11AB78C4"/>
    <w:rsid w:val="11CC5193"/>
    <w:rsid w:val="11DF1340"/>
    <w:rsid w:val="12130FC5"/>
    <w:rsid w:val="122D0B0D"/>
    <w:rsid w:val="126B7053"/>
    <w:rsid w:val="126D6927"/>
    <w:rsid w:val="127203E1"/>
    <w:rsid w:val="128D6FC9"/>
    <w:rsid w:val="12B66520"/>
    <w:rsid w:val="12C624DB"/>
    <w:rsid w:val="12F75976"/>
    <w:rsid w:val="131D034D"/>
    <w:rsid w:val="135B5CE8"/>
    <w:rsid w:val="13C73F1E"/>
    <w:rsid w:val="13F84916"/>
    <w:rsid w:val="14036F77"/>
    <w:rsid w:val="14074B59"/>
    <w:rsid w:val="141A488D"/>
    <w:rsid w:val="14691B4B"/>
    <w:rsid w:val="147B41BB"/>
    <w:rsid w:val="148C41D5"/>
    <w:rsid w:val="14B7657F"/>
    <w:rsid w:val="14E37374"/>
    <w:rsid w:val="14E71904"/>
    <w:rsid w:val="14FB54FA"/>
    <w:rsid w:val="15094EA0"/>
    <w:rsid w:val="150D43F1"/>
    <w:rsid w:val="151528BC"/>
    <w:rsid w:val="153A437F"/>
    <w:rsid w:val="15413638"/>
    <w:rsid w:val="155B4765"/>
    <w:rsid w:val="155C2C83"/>
    <w:rsid w:val="15853F88"/>
    <w:rsid w:val="15B02A50"/>
    <w:rsid w:val="15C34AB0"/>
    <w:rsid w:val="15D46CBD"/>
    <w:rsid w:val="16571DC8"/>
    <w:rsid w:val="1658088B"/>
    <w:rsid w:val="165D7301"/>
    <w:rsid w:val="16797F90"/>
    <w:rsid w:val="169F0B84"/>
    <w:rsid w:val="16A6074B"/>
    <w:rsid w:val="16BF171B"/>
    <w:rsid w:val="16F63249"/>
    <w:rsid w:val="16FD70D9"/>
    <w:rsid w:val="1717781A"/>
    <w:rsid w:val="174A7237"/>
    <w:rsid w:val="175B7696"/>
    <w:rsid w:val="176A310C"/>
    <w:rsid w:val="176D73C9"/>
    <w:rsid w:val="17A32DEB"/>
    <w:rsid w:val="17D336D0"/>
    <w:rsid w:val="18080C18"/>
    <w:rsid w:val="180A2E6A"/>
    <w:rsid w:val="182771F0"/>
    <w:rsid w:val="18504D21"/>
    <w:rsid w:val="18B76CDE"/>
    <w:rsid w:val="18E00B6D"/>
    <w:rsid w:val="19267830"/>
    <w:rsid w:val="196F567B"/>
    <w:rsid w:val="198729C4"/>
    <w:rsid w:val="19A34007"/>
    <w:rsid w:val="19AA6E6D"/>
    <w:rsid w:val="19AF7825"/>
    <w:rsid w:val="19B5404D"/>
    <w:rsid w:val="19B72B7E"/>
    <w:rsid w:val="19EE2A43"/>
    <w:rsid w:val="1A0A095C"/>
    <w:rsid w:val="1A142AF7"/>
    <w:rsid w:val="1A255D39"/>
    <w:rsid w:val="1A3F73E6"/>
    <w:rsid w:val="1A41172C"/>
    <w:rsid w:val="1A4519DD"/>
    <w:rsid w:val="1A54517F"/>
    <w:rsid w:val="1A714EBB"/>
    <w:rsid w:val="1A8213DE"/>
    <w:rsid w:val="1A82323E"/>
    <w:rsid w:val="1AC8328C"/>
    <w:rsid w:val="1AD627B6"/>
    <w:rsid w:val="1ADA6B24"/>
    <w:rsid w:val="1B283D33"/>
    <w:rsid w:val="1B520DB0"/>
    <w:rsid w:val="1B545C58"/>
    <w:rsid w:val="1B6B3C20"/>
    <w:rsid w:val="1B723A60"/>
    <w:rsid w:val="1B7D418E"/>
    <w:rsid w:val="1B9A62B3"/>
    <w:rsid w:val="1BE934DE"/>
    <w:rsid w:val="1BF218B3"/>
    <w:rsid w:val="1C0302FC"/>
    <w:rsid w:val="1C2470C8"/>
    <w:rsid w:val="1C2A3ADB"/>
    <w:rsid w:val="1C4050AC"/>
    <w:rsid w:val="1C764E49"/>
    <w:rsid w:val="1C782A98"/>
    <w:rsid w:val="1C9339F0"/>
    <w:rsid w:val="1CF33ECD"/>
    <w:rsid w:val="1D0831FB"/>
    <w:rsid w:val="1D085B18"/>
    <w:rsid w:val="1D183933"/>
    <w:rsid w:val="1D1A7BEF"/>
    <w:rsid w:val="1D235746"/>
    <w:rsid w:val="1D271DC8"/>
    <w:rsid w:val="1D2A06BD"/>
    <w:rsid w:val="1D320E99"/>
    <w:rsid w:val="1D4A27E4"/>
    <w:rsid w:val="1D7019C1"/>
    <w:rsid w:val="1DCC7835"/>
    <w:rsid w:val="1DE05670"/>
    <w:rsid w:val="1E392829"/>
    <w:rsid w:val="1E9B2A6E"/>
    <w:rsid w:val="1EAB3D63"/>
    <w:rsid w:val="1EC32AC5"/>
    <w:rsid w:val="1F0727F1"/>
    <w:rsid w:val="1F0871D4"/>
    <w:rsid w:val="1F494100"/>
    <w:rsid w:val="1F5C21FD"/>
    <w:rsid w:val="1F6F175F"/>
    <w:rsid w:val="1F7E03C6"/>
    <w:rsid w:val="1FAF67D1"/>
    <w:rsid w:val="1FD94955"/>
    <w:rsid w:val="1FE16BA6"/>
    <w:rsid w:val="1FEB78D1"/>
    <w:rsid w:val="200A455C"/>
    <w:rsid w:val="202820DF"/>
    <w:rsid w:val="203E5DA7"/>
    <w:rsid w:val="20461081"/>
    <w:rsid w:val="20630400"/>
    <w:rsid w:val="20847C5E"/>
    <w:rsid w:val="20CB7719"/>
    <w:rsid w:val="20E34258"/>
    <w:rsid w:val="210866EA"/>
    <w:rsid w:val="21166835"/>
    <w:rsid w:val="211D776A"/>
    <w:rsid w:val="212D5020"/>
    <w:rsid w:val="212E5E1B"/>
    <w:rsid w:val="21501B14"/>
    <w:rsid w:val="21787096"/>
    <w:rsid w:val="21910FB5"/>
    <w:rsid w:val="21955B32"/>
    <w:rsid w:val="21A84C2F"/>
    <w:rsid w:val="21EB7868"/>
    <w:rsid w:val="21FF584D"/>
    <w:rsid w:val="223C1E72"/>
    <w:rsid w:val="22471B27"/>
    <w:rsid w:val="224F5F4C"/>
    <w:rsid w:val="22501655"/>
    <w:rsid w:val="226C6BFB"/>
    <w:rsid w:val="226E11DC"/>
    <w:rsid w:val="227200DE"/>
    <w:rsid w:val="22745425"/>
    <w:rsid w:val="22D4654E"/>
    <w:rsid w:val="22D8577F"/>
    <w:rsid w:val="230706D2"/>
    <w:rsid w:val="2340480E"/>
    <w:rsid w:val="234C491E"/>
    <w:rsid w:val="23590882"/>
    <w:rsid w:val="23621D77"/>
    <w:rsid w:val="23841D23"/>
    <w:rsid w:val="23B8308F"/>
    <w:rsid w:val="23EE693F"/>
    <w:rsid w:val="24042E63"/>
    <w:rsid w:val="240820A0"/>
    <w:rsid w:val="240B41F2"/>
    <w:rsid w:val="241237D2"/>
    <w:rsid w:val="24286B52"/>
    <w:rsid w:val="242B7B2D"/>
    <w:rsid w:val="244B0A92"/>
    <w:rsid w:val="24507E57"/>
    <w:rsid w:val="24B2466D"/>
    <w:rsid w:val="24EC7B7F"/>
    <w:rsid w:val="25070436"/>
    <w:rsid w:val="250C0222"/>
    <w:rsid w:val="253328EC"/>
    <w:rsid w:val="255676EF"/>
    <w:rsid w:val="255749EF"/>
    <w:rsid w:val="25A4045A"/>
    <w:rsid w:val="25AE0C85"/>
    <w:rsid w:val="25C23CE7"/>
    <w:rsid w:val="261D2CD2"/>
    <w:rsid w:val="26235823"/>
    <w:rsid w:val="263D009D"/>
    <w:rsid w:val="2652117F"/>
    <w:rsid w:val="266C380A"/>
    <w:rsid w:val="267E4050"/>
    <w:rsid w:val="26920BFA"/>
    <w:rsid w:val="26AF5308"/>
    <w:rsid w:val="26C012C4"/>
    <w:rsid w:val="26E50D2A"/>
    <w:rsid w:val="26EA6712"/>
    <w:rsid w:val="270F224B"/>
    <w:rsid w:val="27114611"/>
    <w:rsid w:val="27250EEA"/>
    <w:rsid w:val="27880C2A"/>
    <w:rsid w:val="278B7B24"/>
    <w:rsid w:val="279B588D"/>
    <w:rsid w:val="27B506FD"/>
    <w:rsid w:val="27B801ED"/>
    <w:rsid w:val="27C070A1"/>
    <w:rsid w:val="27DC3E28"/>
    <w:rsid w:val="27F76F67"/>
    <w:rsid w:val="280D678A"/>
    <w:rsid w:val="28112D51"/>
    <w:rsid w:val="28416434"/>
    <w:rsid w:val="286914E7"/>
    <w:rsid w:val="289F6D73"/>
    <w:rsid w:val="28C36E49"/>
    <w:rsid w:val="28E62B38"/>
    <w:rsid w:val="290C4C94"/>
    <w:rsid w:val="2957613A"/>
    <w:rsid w:val="29C0782D"/>
    <w:rsid w:val="29CC6E69"/>
    <w:rsid w:val="29FF463D"/>
    <w:rsid w:val="2A3C5105"/>
    <w:rsid w:val="2A42753C"/>
    <w:rsid w:val="2A4D10C0"/>
    <w:rsid w:val="2A5D715B"/>
    <w:rsid w:val="2A952A67"/>
    <w:rsid w:val="2AD417E1"/>
    <w:rsid w:val="2AE337D3"/>
    <w:rsid w:val="2B1B7B3B"/>
    <w:rsid w:val="2B2C5BE4"/>
    <w:rsid w:val="2B794137"/>
    <w:rsid w:val="2B980A61"/>
    <w:rsid w:val="2B9B5E5B"/>
    <w:rsid w:val="2C130534"/>
    <w:rsid w:val="2C2916B9"/>
    <w:rsid w:val="2C2E4F21"/>
    <w:rsid w:val="2C72738C"/>
    <w:rsid w:val="2C7C38B2"/>
    <w:rsid w:val="2CC42A98"/>
    <w:rsid w:val="2CDA45CF"/>
    <w:rsid w:val="2CDF7FCA"/>
    <w:rsid w:val="2CF972DD"/>
    <w:rsid w:val="2D09627B"/>
    <w:rsid w:val="2D12039F"/>
    <w:rsid w:val="2D132B12"/>
    <w:rsid w:val="2D216D06"/>
    <w:rsid w:val="2D23435A"/>
    <w:rsid w:val="2D806DE9"/>
    <w:rsid w:val="2D9E7E85"/>
    <w:rsid w:val="2DA82AB1"/>
    <w:rsid w:val="2DBD655D"/>
    <w:rsid w:val="2DC307FE"/>
    <w:rsid w:val="2DC55411"/>
    <w:rsid w:val="2DC87E3F"/>
    <w:rsid w:val="2DC91939"/>
    <w:rsid w:val="2E0E0B66"/>
    <w:rsid w:val="2E1B7727"/>
    <w:rsid w:val="2E2935E7"/>
    <w:rsid w:val="2E29665D"/>
    <w:rsid w:val="2E520C07"/>
    <w:rsid w:val="2E5D564A"/>
    <w:rsid w:val="2E6115DE"/>
    <w:rsid w:val="2E6C2312"/>
    <w:rsid w:val="2E7C01C6"/>
    <w:rsid w:val="2E87199D"/>
    <w:rsid w:val="2EA65243"/>
    <w:rsid w:val="2EAF14E4"/>
    <w:rsid w:val="2EB424BD"/>
    <w:rsid w:val="2EC41B6D"/>
    <w:rsid w:val="2F1523C9"/>
    <w:rsid w:val="2F2377EE"/>
    <w:rsid w:val="2F4F7689"/>
    <w:rsid w:val="2F543B0D"/>
    <w:rsid w:val="2F570D1F"/>
    <w:rsid w:val="2F6475A8"/>
    <w:rsid w:val="2F673E2F"/>
    <w:rsid w:val="2F8310E0"/>
    <w:rsid w:val="2FA465C4"/>
    <w:rsid w:val="2FB6748B"/>
    <w:rsid w:val="2FDB53C0"/>
    <w:rsid w:val="2FEF0EC7"/>
    <w:rsid w:val="303076F4"/>
    <w:rsid w:val="3038498C"/>
    <w:rsid w:val="305B205D"/>
    <w:rsid w:val="30731155"/>
    <w:rsid w:val="307A24E3"/>
    <w:rsid w:val="307C26FF"/>
    <w:rsid w:val="308D63E5"/>
    <w:rsid w:val="30905ABF"/>
    <w:rsid w:val="30B005FB"/>
    <w:rsid w:val="30BF439A"/>
    <w:rsid w:val="31021C50"/>
    <w:rsid w:val="310628F0"/>
    <w:rsid w:val="311A3CC6"/>
    <w:rsid w:val="31660CB9"/>
    <w:rsid w:val="31A72209"/>
    <w:rsid w:val="31C53C32"/>
    <w:rsid w:val="31DB1F1D"/>
    <w:rsid w:val="32193F7E"/>
    <w:rsid w:val="324B1A3D"/>
    <w:rsid w:val="325154C6"/>
    <w:rsid w:val="32837387"/>
    <w:rsid w:val="32892EB1"/>
    <w:rsid w:val="32DF6F75"/>
    <w:rsid w:val="32F26CA9"/>
    <w:rsid w:val="334515C0"/>
    <w:rsid w:val="3348667A"/>
    <w:rsid w:val="3367795C"/>
    <w:rsid w:val="337A6C9E"/>
    <w:rsid w:val="338A5133"/>
    <w:rsid w:val="33A90E1D"/>
    <w:rsid w:val="33AA4CB2"/>
    <w:rsid w:val="33C85C5B"/>
    <w:rsid w:val="33FB7DDF"/>
    <w:rsid w:val="34012F1B"/>
    <w:rsid w:val="342E1F62"/>
    <w:rsid w:val="344A31DB"/>
    <w:rsid w:val="344F1ED9"/>
    <w:rsid w:val="345C7A88"/>
    <w:rsid w:val="345F3622"/>
    <w:rsid w:val="346079DA"/>
    <w:rsid w:val="34825E43"/>
    <w:rsid w:val="34963CCB"/>
    <w:rsid w:val="34BB756E"/>
    <w:rsid w:val="34BD32E6"/>
    <w:rsid w:val="34C5219B"/>
    <w:rsid w:val="350327A1"/>
    <w:rsid w:val="352D4135"/>
    <w:rsid w:val="35302461"/>
    <w:rsid w:val="35376A31"/>
    <w:rsid w:val="3583008C"/>
    <w:rsid w:val="35B54716"/>
    <w:rsid w:val="35D4620E"/>
    <w:rsid w:val="35D9170C"/>
    <w:rsid w:val="35F23E3B"/>
    <w:rsid w:val="36107446"/>
    <w:rsid w:val="366976A7"/>
    <w:rsid w:val="368220F2"/>
    <w:rsid w:val="36873BAC"/>
    <w:rsid w:val="36944A46"/>
    <w:rsid w:val="36A94F03"/>
    <w:rsid w:val="36B9188B"/>
    <w:rsid w:val="36D91A3A"/>
    <w:rsid w:val="36E03F4D"/>
    <w:rsid w:val="37C76019"/>
    <w:rsid w:val="37C91FA2"/>
    <w:rsid w:val="37EB2746"/>
    <w:rsid w:val="382E0769"/>
    <w:rsid w:val="3834566E"/>
    <w:rsid w:val="388008B3"/>
    <w:rsid w:val="38B46074"/>
    <w:rsid w:val="38CA15D3"/>
    <w:rsid w:val="38CC680D"/>
    <w:rsid w:val="390E4110"/>
    <w:rsid w:val="391C14F4"/>
    <w:rsid w:val="399540CF"/>
    <w:rsid w:val="39AE5FB8"/>
    <w:rsid w:val="39BD1693"/>
    <w:rsid w:val="39DD0AEA"/>
    <w:rsid w:val="3A0F78E4"/>
    <w:rsid w:val="3A127C30"/>
    <w:rsid w:val="3A136BA5"/>
    <w:rsid w:val="3A184B1B"/>
    <w:rsid w:val="3A1D7CF6"/>
    <w:rsid w:val="3A290F53"/>
    <w:rsid w:val="3A7D146E"/>
    <w:rsid w:val="3A8C79E3"/>
    <w:rsid w:val="3AA50AA5"/>
    <w:rsid w:val="3AA52853"/>
    <w:rsid w:val="3AD273C0"/>
    <w:rsid w:val="3AE72E6B"/>
    <w:rsid w:val="3B027CA5"/>
    <w:rsid w:val="3B312338"/>
    <w:rsid w:val="3B77012F"/>
    <w:rsid w:val="3B931800"/>
    <w:rsid w:val="3BA41687"/>
    <w:rsid w:val="3BB07701"/>
    <w:rsid w:val="3BF21AC7"/>
    <w:rsid w:val="3C5C7653"/>
    <w:rsid w:val="3C812FAD"/>
    <w:rsid w:val="3CC70708"/>
    <w:rsid w:val="3CCC056A"/>
    <w:rsid w:val="3D1612C7"/>
    <w:rsid w:val="3D197528"/>
    <w:rsid w:val="3D1C2E61"/>
    <w:rsid w:val="3D4C16AB"/>
    <w:rsid w:val="3D606F05"/>
    <w:rsid w:val="3D714C6E"/>
    <w:rsid w:val="3D7461A9"/>
    <w:rsid w:val="3D98669F"/>
    <w:rsid w:val="3DC63E39"/>
    <w:rsid w:val="3DE9514C"/>
    <w:rsid w:val="3DEE4F16"/>
    <w:rsid w:val="3E33760E"/>
    <w:rsid w:val="3E502AD5"/>
    <w:rsid w:val="3E79027E"/>
    <w:rsid w:val="3E7F160D"/>
    <w:rsid w:val="3E8135D7"/>
    <w:rsid w:val="3E9A01F4"/>
    <w:rsid w:val="3ECF7E9E"/>
    <w:rsid w:val="3EEB1359"/>
    <w:rsid w:val="3EFE53BA"/>
    <w:rsid w:val="3F1F481F"/>
    <w:rsid w:val="3F253F62"/>
    <w:rsid w:val="3F310B59"/>
    <w:rsid w:val="3F367F1D"/>
    <w:rsid w:val="3F4A1C1A"/>
    <w:rsid w:val="3F604F9A"/>
    <w:rsid w:val="3F696545"/>
    <w:rsid w:val="3F6F78D3"/>
    <w:rsid w:val="3F9D1D4A"/>
    <w:rsid w:val="3FA03031"/>
    <w:rsid w:val="3FCA68B7"/>
    <w:rsid w:val="3FF12096"/>
    <w:rsid w:val="40275237"/>
    <w:rsid w:val="40436D48"/>
    <w:rsid w:val="40681399"/>
    <w:rsid w:val="40907B01"/>
    <w:rsid w:val="409475F1"/>
    <w:rsid w:val="4110479E"/>
    <w:rsid w:val="411E335F"/>
    <w:rsid w:val="412805DB"/>
    <w:rsid w:val="412E12E8"/>
    <w:rsid w:val="412F2E76"/>
    <w:rsid w:val="417D0085"/>
    <w:rsid w:val="41B06239"/>
    <w:rsid w:val="41C31810"/>
    <w:rsid w:val="41D42F76"/>
    <w:rsid w:val="41E33AEE"/>
    <w:rsid w:val="41FF7251"/>
    <w:rsid w:val="4212359F"/>
    <w:rsid w:val="42157B1C"/>
    <w:rsid w:val="4224716E"/>
    <w:rsid w:val="423D5A66"/>
    <w:rsid w:val="42424E2B"/>
    <w:rsid w:val="4258464E"/>
    <w:rsid w:val="42815953"/>
    <w:rsid w:val="42A41642"/>
    <w:rsid w:val="42BF46CD"/>
    <w:rsid w:val="42C972FA"/>
    <w:rsid w:val="42D27F5D"/>
    <w:rsid w:val="42E648CC"/>
    <w:rsid w:val="4339305C"/>
    <w:rsid w:val="43975F60"/>
    <w:rsid w:val="43E7325C"/>
    <w:rsid w:val="440F4497"/>
    <w:rsid w:val="4422414D"/>
    <w:rsid w:val="443F7480"/>
    <w:rsid w:val="445F5EC9"/>
    <w:rsid w:val="449A0F4E"/>
    <w:rsid w:val="44A45929"/>
    <w:rsid w:val="44C61D43"/>
    <w:rsid w:val="44E421C9"/>
    <w:rsid w:val="44EB3558"/>
    <w:rsid w:val="450D5D22"/>
    <w:rsid w:val="45521829"/>
    <w:rsid w:val="45AA51C1"/>
    <w:rsid w:val="45B46040"/>
    <w:rsid w:val="45BD3146"/>
    <w:rsid w:val="46164604"/>
    <w:rsid w:val="46314259"/>
    <w:rsid w:val="4635567B"/>
    <w:rsid w:val="465429F3"/>
    <w:rsid w:val="46603AD2"/>
    <w:rsid w:val="46712183"/>
    <w:rsid w:val="468151D1"/>
    <w:rsid w:val="468C7EFA"/>
    <w:rsid w:val="469A7FFD"/>
    <w:rsid w:val="469D6836"/>
    <w:rsid w:val="46BC0199"/>
    <w:rsid w:val="46E91D19"/>
    <w:rsid w:val="47226FD9"/>
    <w:rsid w:val="47271D7F"/>
    <w:rsid w:val="475A2C17"/>
    <w:rsid w:val="47705F96"/>
    <w:rsid w:val="47754F17"/>
    <w:rsid w:val="47A82C88"/>
    <w:rsid w:val="47BA4746"/>
    <w:rsid w:val="482159BE"/>
    <w:rsid w:val="482B2691"/>
    <w:rsid w:val="483736E2"/>
    <w:rsid w:val="48382F58"/>
    <w:rsid w:val="48403A5C"/>
    <w:rsid w:val="48671147"/>
    <w:rsid w:val="487524B2"/>
    <w:rsid w:val="48BA1ECA"/>
    <w:rsid w:val="48BF0F83"/>
    <w:rsid w:val="48CE285F"/>
    <w:rsid w:val="48EB3819"/>
    <w:rsid w:val="48F350D1"/>
    <w:rsid w:val="490B5F77"/>
    <w:rsid w:val="494476DB"/>
    <w:rsid w:val="495E69EE"/>
    <w:rsid w:val="497E2BEC"/>
    <w:rsid w:val="497E43D6"/>
    <w:rsid w:val="49861AA1"/>
    <w:rsid w:val="49E05655"/>
    <w:rsid w:val="4A113A61"/>
    <w:rsid w:val="4A162E25"/>
    <w:rsid w:val="4A17094B"/>
    <w:rsid w:val="4A421E6C"/>
    <w:rsid w:val="4A4E6A63"/>
    <w:rsid w:val="4A631737"/>
    <w:rsid w:val="4A6A4611"/>
    <w:rsid w:val="4A7D2EA4"/>
    <w:rsid w:val="4A86673F"/>
    <w:rsid w:val="4A8E6E5F"/>
    <w:rsid w:val="4ADD50F2"/>
    <w:rsid w:val="4AE7656F"/>
    <w:rsid w:val="4B18534B"/>
    <w:rsid w:val="4B3A6FE7"/>
    <w:rsid w:val="4B3C4B0D"/>
    <w:rsid w:val="4B57247E"/>
    <w:rsid w:val="4B777AFC"/>
    <w:rsid w:val="4B7F0E9E"/>
    <w:rsid w:val="4BA26983"/>
    <w:rsid w:val="4BAD1567"/>
    <w:rsid w:val="4BBA6B91"/>
    <w:rsid w:val="4BC44B03"/>
    <w:rsid w:val="4BCB6ECE"/>
    <w:rsid w:val="4BD765E4"/>
    <w:rsid w:val="4BF36D83"/>
    <w:rsid w:val="4BF70A34"/>
    <w:rsid w:val="4C3677AE"/>
    <w:rsid w:val="4C3B4DC5"/>
    <w:rsid w:val="4C543EED"/>
    <w:rsid w:val="4C6F4A6E"/>
    <w:rsid w:val="4C866976"/>
    <w:rsid w:val="4C941A65"/>
    <w:rsid w:val="4CBA03DF"/>
    <w:rsid w:val="4CD723C4"/>
    <w:rsid w:val="4CE3263E"/>
    <w:rsid w:val="4CE52F83"/>
    <w:rsid w:val="4D3D31CD"/>
    <w:rsid w:val="4D551EB6"/>
    <w:rsid w:val="4D6E4D26"/>
    <w:rsid w:val="4D771BDE"/>
    <w:rsid w:val="4D867D75"/>
    <w:rsid w:val="4DAD3261"/>
    <w:rsid w:val="4DD052C1"/>
    <w:rsid w:val="4DD74AB4"/>
    <w:rsid w:val="4DE05FB3"/>
    <w:rsid w:val="4DEA41A6"/>
    <w:rsid w:val="4E0659F2"/>
    <w:rsid w:val="4E10726F"/>
    <w:rsid w:val="4E11738D"/>
    <w:rsid w:val="4E6D29C4"/>
    <w:rsid w:val="4E776639"/>
    <w:rsid w:val="4EB80BCC"/>
    <w:rsid w:val="4EC35342"/>
    <w:rsid w:val="4EF504D0"/>
    <w:rsid w:val="4F2064F4"/>
    <w:rsid w:val="4F2A2ECF"/>
    <w:rsid w:val="4F4977F9"/>
    <w:rsid w:val="4FA56EF7"/>
    <w:rsid w:val="4FA709C3"/>
    <w:rsid w:val="50471818"/>
    <w:rsid w:val="50700DB5"/>
    <w:rsid w:val="50752A0F"/>
    <w:rsid w:val="507E34D2"/>
    <w:rsid w:val="50966A6E"/>
    <w:rsid w:val="50C11611"/>
    <w:rsid w:val="511703CE"/>
    <w:rsid w:val="511B51C5"/>
    <w:rsid w:val="51383A4E"/>
    <w:rsid w:val="5156444F"/>
    <w:rsid w:val="51874608"/>
    <w:rsid w:val="519D207E"/>
    <w:rsid w:val="51FD48CA"/>
    <w:rsid w:val="52147711"/>
    <w:rsid w:val="523D116B"/>
    <w:rsid w:val="523D462B"/>
    <w:rsid w:val="525C5A95"/>
    <w:rsid w:val="52F35BB6"/>
    <w:rsid w:val="53031A56"/>
    <w:rsid w:val="530F0D59"/>
    <w:rsid w:val="539F3E8B"/>
    <w:rsid w:val="53A9470E"/>
    <w:rsid w:val="53BE279F"/>
    <w:rsid w:val="53BF44DB"/>
    <w:rsid w:val="53D538C8"/>
    <w:rsid w:val="53F87FDF"/>
    <w:rsid w:val="53FC12DE"/>
    <w:rsid w:val="54085957"/>
    <w:rsid w:val="54176C75"/>
    <w:rsid w:val="541775ED"/>
    <w:rsid w:val="541A6CDE"/>
    <w:rsid w:val="54242B66"/>
    <w:rsid w:val="543F566E"/>
    <w:rsid w:val="54863745"/>
    <w:rsid w:val="5488491F"/>
    <w:rsid w:val="548E192E"/>
    <w:rsid w:val="54F2189F"/>
    <w:rsid w:val="54FA3343"/>
    <w:rsid w:val="551B39E5"/>
    <w:rsid w:val="55366A71"/>
    <w:rsid w:val="555B64D8"/>
    <w:rsid w:val="5581338E"/>
    <w:rsid w:val="559B5E77"/>
    <w:rsid w:val="55BC39B6"/>
    <w:rsid w:val="55E50E67"/>
    <w:rsid w:val="563022F4"/>
    <w:rsid w:val="56390C26"/>
    <w:rsid w:val="567E5486"/>
    <w:rsid w:val="569345D4"/>
    <w:rsid w:val="56A95F37"/>
    <w:rsid w:val="56AD68BF"/>
    <w:rsid w:val="56C41E5B"/>
    <w:rsid w:val="572A6162"/>
    <w:rsid w:val="572D5C52"/>
    <w:rsid w:val="57987AD2"/>
    <w:rsid w:val="57A45621"/>
    <w:rsid w:val="57FD5624"/>
    <w:rsid w:val="57FD7D2F"/>
    <w:rsid w:val="58164938"/>
    <w:rsid w:val="5818245E"/>
    <w:rsid w:val="58313520"/>
    <w:rsid w:val="585216EC"/>
    <w:rsid w:val="58627CD5"/>
    <w:rsid w:val="58741A49"/>
    <w:rsid w:val="5895585D"/>
    <w:rsid w:val="58B32578"/>
    <w:rsid w:val="58BC728D"/>
    <w:rsid w:val="58C03E73"/>
    <w:rsid w:val="58FB2ABB"/>
    <w:rsid w:val="598C4EB2"/>
    <w:rsid w:val="59AC34DD"/>
    <w:rsid w:val="59B03974"/>
    <w:rsid w:val="59B47F65"/>
    <w:rsid w:val="59EF2CE1"/>
    <w:rsid w:val="5A0858DE"/>
    <w:rsid w:val="5A0A1AC1"/>
    <w:rsid w:val="5A1B6236"/>
    <w:rsid w:val="5A3051CC"/>
    <w:rsid w:val="5A47702B"/>
    <w:rsid w:val="5A484EF8"/>
    <w:rsid w:val="5A4E660B"/>
    <w:rsid w:val="5A5A6D5E"/>
    <w:rsid w:val="5A673229"/>
    <w:rsid w:val="5AA004E9"/>
    <w:rsid w:val="5AB32454"/>
    <w:rsid w:val="5ACF0B16"/>
    <w:rsid w:val="5ACF77CB"/>
    <w:rsid w:val="5AD563E4"/>
    <w:rsid w:val="5AE17B5D"/>
    <w:rsid w:val="5AE66844"/>
    <w:rsid w:val="5B046902"/>
    <w:rsid w:val="5B231846"/>
    <w:rsid w:val="5B266D8D"/>
    <w:rsid w:val="5B2D51B7"/>
    <w:rsid w:val="5B6141BE"/>
    <w:rsid w:val="5B8C73EB"/>
    <w:rsid w:val="5BA806D8"/>
    <w:rsid w:val="5BC03E9E"/>
    <w:rsid w:val="5BD64B98"/>
    <w:rsid w:val="5C282AC7"/>
    <w:rsid w:val="5C54527A"/>
    <w:rsid w:val="5C604DE6"/>
    <w:rsid w:val="5CE62B2B"/>
    <w:rsid w:val="5D2B49C1"/>
    <w:rsid w:val="5D32079C"/>
    <w:rsid w:val="5D465377"/>
    <w:rsid w:val="5D5A5B1A"/>
    <w:rsid w:val="5D942587"/>
    <w:rsid w:val="5DA216B3"/>
    <w:rsid w:val="5DBC6D00"/>
    <w:rsid w:val="5DC44AB6"/>
    <w:rsid w:val="5DD61C4C"/>
    <w:rsid w:val="5DE51034"/>
    <w:rsid w:val="5DF44432"/>
    <w:rsid w:val="5E013028"/>
    <w:rsid w:val="5E0A6D38"/>
    <w:rsid w:val="5E0F1C0D"/>
    <w:rsid w:val="5E31427A"/>
    <w:rsid w:val="5E4903E5"/>
    <w:rsid w:val="5E4A0E97"/>
    <w:rsid w:val="5E9643F4"/>
    <w:rsid w:val="5F0376B1"/>
    <w:rsid w:val="5F1679B9"/>
    <w:rsid w:val="5F342B25"/>
    <w:rsid w:val="5F443B39"/>
    <w:rsid w:val="5F5A1C32"/>
    <w:rsid w:val="5FAD7501"/>
    <w:rsid w:val="5FC5111D"/>
    <w:rsid w:val="5FEA5589"/>
    <w:rsid w:val="602D6CC3"/>
    <w:rsid w:val="6056497F"/>
    <w:rsid w:val="609A4358"/>
    <w:rsid w:val="60B71B8D"/>
    <w:rsid w:val="60D049EC"/>
    <w:rsid w:val="60D158A0"/>
    <w:rsid w:val="616E7593"/>
    <w:rsid w:val="618B5A4F"/>
    <w:rsid w:val="61BC3E5A"/>
    <w:rsid w:val="61C209B1"/>
    <w:rsid w:val="61C50478"/>
    <w:rsid w:val="61E93261"/>
    <w:rsid w:val="61F5736C"/>
    <w:rsid w:val="621517BC"/>
    <w:rsid w:val="623C273A"/>
    <w:rsid w:val="62446108"/>
    <w:rsid w:val="62707D34"/>
    <w:rsid w:val="627250E2"/>
    <w:rsid w:val="628D3A49"/>
    <w:rsid w:val="62A25746"/>
    <w:rsid w:val="62B40105"/>
    <w:rsid w:val="631F6EB6"/>
    <w:rsid w:val="63255CC7"/>
    <w:rsid w:val="63365AF4"/>
    <w:rsid w:val="63781FC3"/>
    <w:rsid w:val="642A59F3"/>
    <w:rsid w:val="64357EF4"/>
    <w:rsid w:val="643F7144"/>
    <w:rsid w:val="64430863"/>
    <w:rsid w:val="645835D9"/>
    <w:rsid w:val="64916A6F"/>
    <w:rsid w:val="64A227CA"/>
    <w:rsid w:val="64A32DC1"/>
    <w:rsid w:val="64AE431A"/>
    <w:rsid w:val="65181CEF"/>
    <w:rsid w:val="651E7A4F"/>
    <w:rsid w:val="65297A59"/>
    <w:rsid w:val="6543491C"/>
    <w:rsid w:val="657B4372"/>
    <w:rsid w:val="65BA2DA7"/>
    <w:rsid w:val="65BA4B55"/>
    <w:rsid w:val="65C43C25"/>
    <w:rsid w:val="65D200F0"/>
    <w:rsid w:val="65F8567D"/>
    <w:rsid w:val="6659611C"/>
    <w:rsid w:val="669435F8"/>
    <w:rsid w:val="66A650D9"/>
    <w:rsid w:val="66CC2D91"/>
    <w:rsid w:val="66CF63DE"/>
    <w:rsid w:val="66D734E4"/>
    <w:rsid w:val="66DE0D17"/>
    <w:rsid w:val="66F77C12"/>
    <w:rsid w:val="67130867"/>
    <w:rsid w:val="671F7174"/>
    <w:rsid w:val="676905E0"/>
    <w:rsid w:val="678418BE"/>
    <w:rsid w:val="678B49FB"/>
    <w:rsid w:val="67A21D44"/>
    <w:rsid w:val="67A87DFB"/>
    <w:rsid w:val="67A91325"/>
    <w:rsid w:val="67B20BAC"/>
    <w:rsid w:val="67E40854"/>
    <w:rsid w:val="67F51BF1"/>
    <w:rsid w:val="6817003C"/>
    <w:rsid w:val="682D3D04"/>
    <w:rsid w:val="682E169E"/>
    <w:rsid w:val="687F7DF0"/>
    <w:rsid w:val="689F6F38"/>
    <w:rsid w:val="68BC5088"/>
    <w:rsid w:val="68CC52CB"/>
    <w:rsid w:val="68E502D3"/>
    <w:rsid w:val="68E5638C"/>
    <w:rsid w:val="690D15B6"/>
    <w:rsid w:val="691E189E"/>
    <w:rsid w:val="69261304"/>
    <w:rsid w:val="69592D75"/>
    <w:rsid w:val="697F233D"/>
    <w:rsid w:val="699B2EEF"/>
    <w:rsid w:val="69A973BA"/>
    <w:rsid w:val="69C6227D"/>
    <w:rsid w:val="6A580DA5"/>
    <w:rsid w:val="6A6E5F0E"/>
    <w:rsid w:val="6A927E4E"/>
    <w:rsid w:val="6AA87672"/>
    <w:rsid w:val="6AD24B85"/>
    <w:rsid w:val="6ADB7E57"/>
    <w:rsid w:val="6ADC37BF"/>
    <w:rsid w:val="6AFB1E97"/>
    <w:rsid w:val="6AFB546D"/>
    <w:rsid w:val="6B0A3E88"/>
    <w:rsid w:val="6B43739A"/>
    <w:rsid w:val="6B4A6192"/>
    <w:rsid w:val="6B5E41D4"/>
    <w:rsid w:val="6B67752D"/>
    <w:rsid w:val="6B6F4633"/>
    <w:rsid w:val="6B7F6714"/>
    <w:rsid w:val="6B882FFF"/>
    <w:rsid w:val="6BA867AC"/>
    <w:rsid w:val="6BB32D8E"/>
    <w:rsid w:val="6BF67A1E"/>
    <w:rsid w:val="6C0528A2"/>
    <w:rsid w:val="6C072F8D"/>
    <w:rsid w:val="6C111246"/>
    <w:rsid w:val="6C410780"/>
    <w:rsid w:val="6C615D2A"/>
    <w:rsid w:val="6C6D0B73"/>
    <w:rsid w:val="6C9A0C44"/>
    <w:rsid w:val="6CD52274"/>
    <w:rsid w:val="6CE3096B"/>
    <w:rsid w:val="6D2D0AEE"/>
    <w:rsid w:val="6D4E11A6"/>
    <w:rsid w:val="6D513FF0"/>
    <w:rsid w:val="6D5D3C94"/>
    <w:rsid w:val="6D88378A"/>
    <w:rsid w:val="6D9640F9"/>
    <w:rsid w:val="6D973B1C"/>
    <w:rsid w:val="6DF350A8"/>
    <w:rsid w:val="6E2267D1"/>
    <w:rsid w:val="6E2B3217"/>
    <w:rsid w:val="6E62549C"/>
    <w:rsid w:val="6E6935BC"/>
    <w:rsid w:val="6EA52F6B"/>
    <w:rsid w:val="6ED36C87"/>
    <w:rsid w:val="6F2D6397"/>
    <w:rsid w:val="6F3326A5"/>
    <w:rsid w:val="6F433E0D"/>
    <w:rsid w:val="6F60051B"/>
    <w:rsid w:val="6FA56875"/>
    <w:rsid w:val="6FB9406F"/>
    <w:rsid w:val="6FFE5F86"/>
    <w:rsid w:val="701D01BA"/>
    <w:rsid w:val="70480FAF"/>
    <w:rsid w:val="706765BB"/>
    <w:rsid w:val="70743C18"/>
    <w:rsid w:val="709D754D"/>
    <w:rsid w:val="70D46E33"/>
    <w:rsid w:val="70DF5DB7"/>
    <w:rsid w:val="71193077"/>
    <w:rsid w:val="711D4AD7"/>
    <w:rsid w:val="71467BE4"/>
    <w:rsid w:val="7161057A"/>
    <w:rsid w:val="717C53B4"/>
    <w:rsid w:val="71C1726B"/>
    <w:rsid w:val="71CC23C9"/>
    <w:rsid w:val="71CC3A5F"/>
    <w:rsid w:val="71D8165E"/>
    <w:rsid w:val="71DE7E1D"/>
    <w:rsid w:val="71F5203A"/>
    <w:rsid w:val="72005FE5"/>
    <w:rsid w:val="720A602E"/>
    <w:rsid w:val="721F290F"/>
    <w:rsid w:val="722F236C"/>
    <w:rsid w:val="72343EE1"/>
    <w:rsid w:val="723F4D5F"/>
    <w:rsid w:val="7285473C"/>
    <w:rsid w:val="72D721A7"/>
    <w:rsid w:val="72E90827"/>
    <w:rsid w:val="73034496"/>
    <w:rsid w:val="730E64E0"/>
    <w:rsid w:val="7318413C"/>
    <w:rsid w:val="732452F0"/>
    <w:rsid w:val="7331759B"/>
    <w:rsid w:val="73582D47"/>
    <w:rsid w:val="73612AE8"/>
    <w:rsid w:val="7374265A"/>
    <w:rsid w:val="737547B1"/>
    <w:rsid w:val="737A5BEE"/>
    <w:rsid w:val="738635F7"/>
    <w:rsid w:val="73EF3BBA"/>
    <w:rsid w:val="73F000D0"/>
    <w:rsid w:val="73F73418"/>
    <w:rsid w:val="740A58F3"/>
    <w:rsid w:val="740B2A1F"/>
    <w:rsid w:val="740D09EB"/>
    <w:rsid w:val="74123DAE"/>
    <w:rsid w:val="741C69DA"/>
    <w:rsid w:val="744228E5"/>
    <w:rsid w:val="747538CC"/>
    <w:rsid w:val="74AF40D2"/>
    <w:rsid w:val="74F14706"/>
    <w:rsid w:val="74F95082"/>
    <w:rsid w:val="75042A96"/>
    <w:rsid w:val="750A33F9"/>
    <w:rsid w:val="75104791"/>
    <w:rsid w:val="752B15CB"/>
    <w:rsid w:val="7546040B"/>
    <w:rsid w:val="754806CE"/>
    <w:rsid w:val="75554DCC"/>
    <w:rsid w:val="75B23B5E"/>
    <w:rsid w:val="75C056F4"/>
    <w:rsid w:val="75D752AF"/>
    <w:rsid w:val="75FC748C"/>
    <w:rsid w:val="765468FF"/>
    <w:rsid w:val="7674569B"/>
    <w:rsid w:val="769907B6"/>
    <w:rsid w:val="76B93C26"/>
    <w:rsid w:val="76BB279C"/>
    <w:rsid w:val="76EC2FDC"/>
    <w:rsid w:val="76F93003"/>
    <w:rsid w:val="76FD0D45"/>
    <w:rsid w:val="770A7066"/>
    <w:rsid w:val="77553A8D"/>
    <w:rsid w:val="777431F1"/>
    <w:rsid w:val="778E7227"/>
    <w:rsid w:val="77B27D81"/>
    <w:rsid w:val="77BE4E66"/>
    <w:rsid w:val="77C67389"/>
    <w:rsid w:val="77C90C27"/>
    <w:rsid w:val="78024E9D"/>
    <w:rsid w:val="781520BE"/>
    <w:rsid w:val="782B304F"/>
    <w:rsid w:val="784A7FBA"/>
    <w:rsid w:val="78564BB1"/>
    <w:rsid w:val="78576B33"/>
    <w:rsid w:val="78664B90"/>
    <w:rsid w:val="78AB0D85"/>
    <w:rsid w:val="78EE303B"/>
    <w:rsid w:val="79352A18"/>
    <w:rsid w:val="793828A1"/>
    <w:rsid w:val="79442C5B"/>
    <w:rsid w:val="79B67EC5"/>
    <w:rsid w:val="7A230AC3"/>
    <w:rsid w:val="7A4E3666"/>
    <w:rsid w:val="7A5768A0"/>
    <w:rsid w:val="7A635363"/>
    <w:rsid w:val="7A6730A5"/>
    <w:rsid w:val="7A8552D9"/>
    <w:rsid w:val="7AA7568D"/>
    <w:rsid w:val="7AC027B5"/>
    <w:rsid w:val="7ACF47A6"/>
    <w:rsid w:val="7AD92144"/>
    <w:rsid w:val="7AE95911"/>
    <w:rsid w:val="7AEB3E1D"/>
    <w:rsid w:val="7B096151"/>
    <w:rsid w:val="7B116B6D"/>
    <w:rsid w:val="7B4C5DF7"/>
    <w:rsid w:val="7B5E37AE"/>
    <w:rsid w:val="7B8C6E50"/>
    <w:rsid w:val="7B931C78"/>
    <w:rsid w:val="7BAD0F8C"/>
    <w:rsid w:val="7BAD61AB"/>
    <w:rsid w:val="7BB12D01"/>
    <w:rsid w:val="7BD76009"/>
    <w:rsid w:val="7BE44282"/>
    <w:rsid w:val="7BEF37DA"/>
    <w:rsid w:val="7C063EAC"/>
    <w:rsid w:val="7C3548FB"/>
    <w:rsid w:val="7C4371FA"/>
    <w:rsid w:val="7C572CA5"/>
    <w:rsid w:val="7C5C650E"/>
    <w:rsid w:val="7C66738C"/>
    <w:rsid w:val="7C6B49A3"/>
    <w:rsid w:val="7C770FBA"/>
    <w:rsid w:val="7C886613"/>
    <w:rsid w:val="7C8973C3"/>
    <w:rsid w:val="7CA3413D"/>
    <w:rsid w:val="7CAB18EF"/>
    <w:rsid w:val="7CD150D1"/>
    <w:rsid w:val="7D30364F"/>
    <w:rsid w:val="7D5F3C88"/>
    <w:rsid w:val="7D676F18"/>
    <w:rsid w:val="7D8966AC"/>
    <w:rsid w:val="7DA77C5D"/>
    <w:rsid w:val="7DCC1471"/>
    <w:rsid w:val="7E0D3F64"/>
    <w:rsid w:val="7E470AF8"/>
    <w:rsid w:val="7E576F8D"/>
    <w:rsid w:val="7E5C0A47"/>
    <w:rsid w:val="7E6E2528"/>
    <w:rsid w:val="7E8458A8"/>
    <w:rsid w:val="7E961E57"/>
    <w:rsid w:val="7EA128FE"/>
    <w:rsid w:val="7EB16548"/>
    <w:rsid w:val="7EB45827"/>
    <w:rsid w:val="7EB7595C"/>
    <w:rsid w:val="7EC97F4F"/>
    <w:rsid w:val="7EE947D1"/>
    <w:rsid w:val="7F01339C"/>
    <w:rsid w:val="7F08297D"/>
    <w:rsid w:val="7F1E5CFC"/>
    <w:rsid w:val="7F201A75"/>
    <w:rsid w:val="7F2758DD"/>
    <w:rsid w:val="7F2C6C56"/>
    <w:rsid w:val="7F2E23E3"/>
    <w:rsid w:val="7F47778C"/>
    <w:rsid w:val="7F5160D2"/>
    <w:rsid w:val="7F6478E0"/>
    <w:rsid w:val="7F723244"/>
    <w:rsid w:val="7F7B314F"/>
    <w:rsid w:val="7F887B2A"/>
    <w:rsid w:val="7FA77AA0"/>
    <w:rsid w:val="7FB36445"/>
    <w:rsid w:val="7FBF5D51"/>
    <w:rsid w:val="7FD048F8"/>
    <w:rsid w:val="7FFF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118D284C-A993-4C15-BB6E-D4FFD47DF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a"/>
    <w:qFormat/>
    <w:pPr>
      <w:spacing w:before="100" w:beforeAutospacing="1" w:after="120"/>
    </w:pPr>
  </w:style>
  <w:style w:type="paragraph" w:styleId="a4">
    <w:name w:val="footer"/>
    <w:basedOn w:val="a"/>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pPr>
      <w:widowControl/>
      <w:jc w:val="left"/>
    </w:pPr>
    <w:rPr>
      <w:rFonts w:ascii="宋体" w:hAnsi="宋体" w:cs="宋体"/>
      <w:kern w:val="0"/>
      <w:sz w:val="24"/>
      <w:szCs w:val="24"/>
    </w:rPr>
  </w:style>
  <w:style w:type="character" w:styleId="a7">
    <w:name w:val="Strong"/>
    <w:basedOn w:val="a0"/>
    <w:qFormat/>
    <w:rPr>
      <w:b w:val="0"/>
      <w:bCs w:val="0"/>
      <w:i w:val="0"/>
      <w:iCs w:val="0"/>
    </w:rPr>
  </w:style>
  <w:style w:type="character" w:styleId="a8">
    <w:name w:val="FollowedHyperlink"/>
    <w:basedOn w:val="a0"/>
    <w:rPr>
      <w:color w:val="800080"/>
      <w:u w:val="none"/>
    </w:rPr>
  </w:style>
  <w:style w:type="character" w:styleId="a9">
    <w:name w:val="Emphasis"/>
    <w:basedOn w:val="a0"/>
    <w:qFormat/>
    <w:rPr>
      <w:b w:val="0"/>
      <w:bCs w:val="0"/>
      <w:i w:val="0"/>
      <w:iCs w:val="0"/>
    </w:rPr>
  </w:style>
  <w:style w:type="character" w:styleId="HTML">
    <w:name w:val="HTML Definition"/>
    <w:basedOn w:val="a0"/>
    <w:rPr>
      <w:b w:val="0"/>
      <w:bCs w:val="0"/>
      <w:i w:val="0"/>
      <w:iCs w:val="0"/>
    </w:rPr>
  </w:style>
  <w:style w:type="character" w:styleId="HTML0">
    <w:name w:val="HTML Typewriter"/>
    <w:basedOn w:val="a0"/>
    <w:rPr>
      <w:rFonts w:ascii="monospace" w:eastAsia="monospace" w:hAnsi="monospace" w:cs="monospace" w:hint="default"/>
      <w:sz w:val="20"/>
    </w:rPr>
  </w:style>
  <w:style w:type="character" w:styleId="HTML1">
    <w:name w:val="HTML Acronym"/>
    <w:basedOn w:val="a0"/>
  </w:style>
  <w:style w:type="character" w:styleId="HTML2">
    <w:name w:val="HTML Variable"/>
    <w:basedOn w:val="a0"/>
    <w:rPr>
      <w:b w:val="0"/>
      <w:bCs w:val="0"/>
      <w:i w:val="0"/>
      <w:iCs w:val="0"/>
    </w:rPr>
  </w:style>
  <w:style w:type="character" w:styleId="aa">
    <w:name w:val="Hyperlink"/>
    <w:basedOn w:val="a0"/>
    <w:rPr>
      <w:color w:val="0000FF"/>
      <w:u w:val="none"/>
    </w:rPr>
  </w:style>
  <w:style w:type="character" w:styleId="HTML3">
    <w:name w:val="HTML Code"/>
    <w:basedOn w:val="a0"/>
    <w:rPr>
      <w:rFonts w:ascii="monospace" w:eastAsia="monospace" w:hAnsi="monospace" w:cs="monospace"/>
      <w:b w:val="0"/>
      <w:bCs w:val="0"/>
      <w:i w:val="0"/>
      <w:iCs w:val="0"/>
      <w:sz w:val="20"/>
    </w:rPr>
  </w:style>
  <w:style w:type="character" w:styleId="HTML4">
    <w:name w:val="HTML Cite"/>
    <w:basedOn w:val="a0"/>
    <w:rPr>
      <w:b w:val="0"/>
      <w:bCs w:val="0"/>
      <w:i w:val="0"/>
      <w:iCs w:val="0"/>
    </w:rPr>
  </w:style>
  <w:style w:type="character" w:styleId="HTML5">
    <w:name w:val="HTML Keyboard"/>
    <w:basedOn w:val="a0"/>
    <w:rPr>
      <w:rFonts w:ascii="monospace" w:eastAsia="monospace" w:hAnsi="monospace" w:cs="monospace" w:hint="default"/>
      <w:sz w:val="20"/>
    </w:rPr>
  </w:style>
  <w:style w:type="character" w:styleId="HTML6">
    <w:name w:val="HTML Sample"/>
    <w:basedOn w:val="a0"/>
    <w:rPr>
      <w:rFonts w:ascii="monospace" w:eastAsia="monospace" w:hAnsi="monospace" w:cs="monospace" w:hint="default"/>
    </w:rPr>
  </w:style>
  <w:style w:type="character" w:customStyle="1" w:styleId="16">
    <w:name w:val="16"/>
    <w:basedOn w:val="a0"/>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2595</Words>
  <Characters>14793</Characters>
  <Application>Microsoft Office Word</Application>
  <DocSecurity>0</DocSecurity>
  <Lines>123</Lines>
  <Paragraphs>34</Paragraphs>
  <ScaleCrop>false</ScaleCrop>
  <Company>Microsoft</Company>
  <LinksUpToDate>false</LinksUpToDate>
  <CharactersWithSpaces>17354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南召县2021年预算执行情况和2022年预算草案的报告</dc:title>
  <dc:subject/>
  <dc:creator>微软用户</dc:creator>
  <cp:keywords/>
  <dc:description/>
  <cp:lastModifiedBy>jlfwq</cp:lastModifiedBy>
  <cp:revision>2</cp:revision>
  <cp:lastPrinted>2024-03-04T01:10:00Z</cp:lastPrinted>
  <dcterms:created xsi:type="dcterms:W3CDTF">2024-08-08T19:44:00Z</dcterms:created>
  <dcterms:modified xsi:type="dcterms:W3CDTF">2024-08-08T19:44:00Z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EFE77959888C43F1BF1B4EAD830AE7D4_13</vt:lpwstr>
  </property>
</Properties>
</file>