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Ind w:w="0" w:type="dxa"/>
        <w:tblCellMar>
          <w:left w:w="0" w:type="dxa"/>
          <w:right w:w="0" w:type="dxa"/>
        </w:tblCellMar>
        <w:tblLook w:val="0000" w:firstRow="0" w:lastRow="0" w:firstColumn="0" w:lastColumn="0" w:noHBand="0" w:noVBand="0"/>
      </w:tblPr>
      <w:tblGrid>
        <w:gridCol w:w="14570"/>
      </w:tblGrid>
      <w:tr w:rsidR="00000000">
        <w:trPr>
          <w:jc w:val="center"/>
        </w:trPr>
        <w:tc>
          <w:tcPr>
            <w:tcW w:w="0" w:type="auto"/>
            <w:vAlign w:val="center"/>
          </w:tcPr>
          <w:p w:rsidR="00000000" w:rsidRDefault="00000000">
            <w:pPr>
              <w:widowControl/>
              <w:spacing w:line="21" w:lineRule="atLeast"/>
              <w:jc w:val="center"/>
              <w:rPr>
                <w:rFonts w:ascii="微软雅黑" w:eastAsia="微软雅黑" w:hAnsi="微软雅黑" w:cs="微软雅黑"/>
                <w:b/>
                <w:color w:val="3D3D3D"/>
                <w:sz w:val="33"/>
                <w:szCs w:val="33"/>
              </w:rPr>
            </w:pPr>
            <w:r>
              <w:rPr>
                <w:rFonts w:ascii="微软雅黑" w:eastAsia="微软雅黑" w:hAnsi="微软雅黑" w:cs="微软雅黑" w:hint="eastAsia"/>
                <w:b/>
                <w:color w:val="3D3D3D"/>
                <w:kern w:val="0"/>
                <w:sz w:val="33"/>
                <w:szCs w:val="33"/>
                <w:lang w:bidi="ar"/>
              </w:rPr>
              <w:t>南召县【公共文化服务领域】基层政务公开标准目录</w:t>
            </w:r>
          </w:p>
        </w:tc>
      </w:tr>
      <w:tr w:rsidR="00000000">
        <w:trPr>
          <w:jc w:val="center"/>
        </w:trPr>
        <w:tc>
          <w:tcPr>
            <w:tcW w:w="0" w:type="auto"/>
            <w:vAlign w:val="center"/>
          </w:tcPr>
          <w:tbl>
            <w:tblPr>
              <w:tblW w:w="13943" w:type="dxa"/>
              <w:jc w:val="cente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506"/>
              <w:gridCol w:w="640"/>
              <w:gridCol w:w="854"/>
              <w:gridCol w:w="2205"/>
              <w:gridCol w:w="1332"/>
              <w:gridCol w:w="1426"/>
              <w:gridCol w:w="1158"/>
              <w:gridCol w:w="2100"/>
              <w:gridCol w:w="629"/>
              <w:gridCol w:w="619"/>
              <w:gridCol w:w="516"/>
              <w:gridCol w:w="629"/>
              <w:gridCol w:w="630"/>
              <w:gridCol w:w="699"/>
            </w:tblGrid>
            <w:tr w:rsidR="00000000">
              <w:trPr>
                <w:cantSplit/>
                <w:jc w:val="center"/>
              </w:trPr>
              <w:tc>
                <w:tcPr>
                  <w:tcW w:w="506"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序号</w:t>
                  </w:r>
                </w:p>
              </w:tc>
              <w:tc>
                <w:tcPr>
                  <w:tcW w:w="1494"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公开事项</w:t>
                  </w:r>
                </w:p>
              </w:tc>
              <w:tc>
                <w:tcPr>
                  <w:tcW w:w="2205"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公开内容（要素）</w:t>
                  </w:r>
                </w:p>
              </w:tc>
              <w:tc>
                <w:tcPr>
                  <w:tcW w:w="1332"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公开依据</w:t>
                  </w:r>
                </w:p>
              </w:tc>
              <w:tc>
                <w:tcPr>
                  <w:tcW w:w="1426"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公开时限</w:t>
                  </w:r>
                </w:p>
              </w:tc>
              <w:tc>
                <w:tcPr>
                  <w:tcW w:w="1158"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公开主体</w:t>
                  </w:r>
                </w:p>
              </w:tc>
              <w:tc>
                <w:tcPr>
                  <w:tcW w:w="2100"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公开渠道和载体</w:t>
                  </w:r>
                </w:p>
              </w:tc>
              <w:tc>
                <w:tcPr>
                  <w:tcW w:w="1248"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公开对象</w:t>
                  </w:r>
                </w:p>
              </w:tc>
              <w:tc>
                <w:tcPr>
                  <w:tcW w:w="1145"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公开方式</w:t>
                  </w:r>
                </w:p>
              </w:tc>
              <w:tc>
                <w:tcPr>
                  <w:tcW w:w="1329"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公开层级</w:t>
                  </w:r>
                </w:p>
              </w:tc>
            </w:tr>
            <w:tr w:rsidR="00000000">
              <w:trPr>
                <w:cantSplit/>
                <w:jc w:val="center"/>
              </w:trPr>
              <w:tc>
                <w:tcPr>
                  <w:tcW w:w="506" w:type="dxa"/>
                  <w:vMerge/>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一级事项</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二级事项</w:t>
                  </w:r>
                </w:p>
              </w:tc>
              <w:tc>
                <w:tcPr>
                  <w:tcW w:w="2205"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332"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426"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158"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2100"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全社会</w:t>
                  </w:r>
                </w:p>
              </w:tc>
              <w:tc>
                <w:tcPr>
                  <w:tcW w:w="61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特定群众</w:t>
                  </w: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主动</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依申请公开</w:t>
                  </w: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县级</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乡、村级</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hAnsi="宋体" w:cs="宋体"/>
                      <w:color w:val="333333"/>
                      <w:sz w:val="18"/>
                      <w:szCs w:val="18"/>
                    </w:rPr>
                    <w:t xml:space="preserve"> </w:t>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互联网上网服务营业场所经营许可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《行政许可法》、《政府信息公开条例》、《互联网上网服务营业场所管理条例》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文艺表演团体设立审批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《行政许可法》、《政府信息公开条例》、《营业性演出管理条例》、《文化部关于落实“先照后证”改进文化市场行政审批工作的通知》</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营业性演出审批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同上</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娱乐场所经营许可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县级文物保护单位保护范围内其他建设工程或者爆破、钻探、挖掘等作业审批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p>
                <w:p w:rsidR="00000000" w:rsidRDefault="00000000">
                  <w:pPr>
                    <w:pStyle w:val="a3"/>
                    <w:widowControl/>
                    <w:spacing w:line="240" w:lineRule="atLeast"/>
                    <w:rPr>
                      <w:sz w:val="21"/>
                      <w:szCs w:val="21"/>
                    </w:rPr>
                  </w:pPr>
                  <w:r>
                    <w:rPr>
                      <w:rFonts w:ascii="宋体" w:hAnsi="宋体" w:cs="宋体"/>
                      <w:color w:val="333333"/>
                      <w:sz w:val="18"/>
                      <w:szCs w:val="18"/>
                    </w:rP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6</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县级文物保护单位建设控制地带内建设工程设计方案审批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 xml:space="preserve">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县级文物保护单位实施原址保护措施审批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县级文物保护单位和未核定为文物保护单位的不可移动文物修缮审批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核定为县级文物保护单位的属于国家所有的纪念建筑物或者古建筑改变用途审批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10</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非国有文物收藏单位和其他单位举办展览需借用国有馆藏二级以下文物审批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11</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对互联网上网服务营业场所违法行为的行政处罚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对娱乐场所违法行为的行政处罚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对营业性演出违法行为的行政处罚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对艺术品经营违法行为的行政处罚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对社会艺术水平考级活动违法行为的行政处罚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16</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对互联网文化单位违法行为的行政处罚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互联网文化管理暂行规定》（文化部令第</w:t>
                  </w:r>
                  <w:r>
                    <w:rPr>
                      <w:rFonts w:ascii="宋体" w:hAnsi="宋体" w:cs="宋体"/>
                      <w:color w:val="333333"/>
                      <w:sz w:val="18"/>
                      <w:szCs w:val="18"/>
                    </w:rPr>
                    <w:t>51</w:t>
                  </w:r>
                  <w:r>
                    <w:rPr>
                      <w:rFonts w:ascii="宋体" w:hAnsi="宋体" w:cs="宋体" w:hint="eastAsia"/>
                      <w:color w:val="333333"/>
                      <w:sz w:val="18"/>
                      <w:szCs w:val="18"/>
                    </w:rPr>
                    <w:t>号，第</w:t>
                  </w:r>
                  <w:r>
                    <w:rPr>
                      <w:rFonts w:ascii="宋体" w:hAnsi="宋体" w:cs="宋体"/>
                      <w:color w:val="333333"/>
                      <w:sz w:val="18"/>
                      <w:szCs w:val="18"/>
                    </w:rPr>
                    <w:t>57</w:t>
                  </w:r>
                  <w:r>
                    <w:rPr>
                      <w:rFonts w:ascii="宋体" w:hAnsi="宋体" w:cs="宋体" w:hint="eastAsia"/>
                      <w:color w:val="333333"/>
                      <w:sz w:val="18"/>
                      <w:szCs w:val="18"/>
                    </w:rPr>
                    <w:t>号予以修改）</w:t>
                  </w:r>
                  <w:r>
                    <w:rPr>
                      <w:rFonts w:ascii="宋体" w:cs="宋体"/>
                      <w:color w:val="333333"/>
                      <w:sz w:val="18"/>
                      <w:szCs w:val="18"/>
                    </w:rPr>
                    <w:t> </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对擅自在文物保护单位的保护范围内进行建设工程或者爆破、钻探、挖掘等作业的行为进行处罚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对在文物保护单位的建设控制地带内进行建设工程，其工程设计方案未经南召县文广旅局同意、报城乡建设规划部门批准，对文物保护单位的历史风貌造成破坏的行为进行处罚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numPr>
                      <w:ilvl w:val="0"/>
                      <w:numId w:val="1"/>
                    </w:numPr>
                    <w:tabs>
                      <w:tab w:val="left" w:pos="312"/>
                    </w:tabs>
                    <w:spacing w:line="240" w:lineRule="atLeast"/>
                    <w:rPr>
                      <w:sz w:val="21"/>
                      <w:szCs w:val="21"/>
                    </w:rPr>
                  </w:pP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p>
                <w:p w:rsidR="00000000" w:rsidRDefault="00000000">
                  <w:pPr>
                    <w:pStyle w:val="a3"/>
                    <w:widowControl/>
                    <w:spacing w:line="240" w:lineRule="atLeast"/>
                    <w:rPr>
                      <w:sz w:val="21"/>
                      <w:szCs w:val="21"/>
                    </w:rPr>
                  </w:pP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对擅自迁移、拆除不可移动文物的行为进行处罚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对擅自修缮不可移动文物，明显改变文物原状的行为进行处罚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对擅自在原址重建已全部毁坏的不可移动文物，造成文物破坏的行为进行处罚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对施工单位未取得文物保护工程资质证书，擅自从事文物修缮、迁移、重建的行为进行处罚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对转让或者抵押国有不可移动文物的行为进行处罚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对将国有不可移动文物作为企业资产经营的行为进行处罚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对将非国有不可移动文物转让或者抵押给外国人的行为进行处罚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26</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对擅自改变国有文物保护单位用途的行为进行处罚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对文物收藏单位未按照国家有关规定配备防火、防盗、防自然损坏的设施的行为进行处罚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对国有文物收藏单位法定代表人离任时未按照馆藏文物档案移交馆藏文物，或者所移交的馆藏文物与馆藏文物档案不符的行为进行处罚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对将国有馆藏文物赠与、出租或者出售给其他单位、个人的行为进行处罚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对违法借用、交换、处置国有馆藏文物的行为进行处罚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对违法挪用或者侵占依法调拨、交换、出借文物所得补偿费用的行为进行处罚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对发现文物隐匿不报，或者拒不上交的行为进行处罚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对未按照规定移交拣选文物的行为进行处罚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对未取得相应等级的文物保护工程资质证书，擅自承担文物保护单位的修缮、迁移、重建工程逾期不改正，或者造成严重后果的行为进行处罚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35</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对未取得资质证书，擅自从事馆藏文物的修复、复制、拓印活动的行为进行处罚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36</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对擅自修复、复制、拓印馆藏珍贵文物的行为进行处罚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37</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强制</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对擅自从事互联网上网服务经营活动场所的查封，专用工具、设备的扣押</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处理依据；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处理结果。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公共文化机构免费开放信息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临时停止开放信息。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《公共文化服务保障法》、《政府信息公开条例》、《文化部</w:t>
                  </w:r>
                  <w:r>
                    <w:rPr>
                      <w:rFonts w:ascii="宋体" w:hAnsi="宋体" w:cs="宋体"/>
                      <w:color w:val="333333"/>
                      <w:sz w:val="18"/>
                      <w:szCs w:val="18"/>
                    </w:rPr>
                    <w:t xml:space="preserve">   </w:t>
                  </w:r>
                  <w:r>
                    <w:rPr>
                      <w:rFonts w:ascii="宋体" w:hAnsi="宋体" w:cs="宋体" w:hint="eastAsia"/>
                      <w:color w:val="333333"/>
                      <w:sz w:val="18"/>
                      <w:szCs w:val="18"/>
                    </w:rPr>
                    <w:t>财政部关于推进全国美术馆、公共图书馆、文化馆（站）免费开放工作的意见》、《文化部</w:t>
                  </w:r>
                  <w:r>
                    <w:rPr>
                      <w:rFonts w:ascii="宋体" w:hAnsi="宋体" w:cs="宋体"/>
                      <w:color w:val="333333"/>
                      <w:sz w:val="18"/>
                      <w:szCs w:val="18"/>
                    </w:rPr>
                    <w:t xml:space="preserve"> </w:t>
                  </w:r>
                  <w:r>
                    <w:rPr>
                      <w:rFonts w:ascii="宋体" w:hAnsi="宋体" w:cs="宋体" w:hint="eastAsia"/>
                      <w:color w:val="333333"/>
                      <w:sz w:val="18"/>
                      <w:szCs w:val="18"/>
                    </w:rPr>
                    <w:t>财政部关于做好城市社区</w:t>
                  </w:r>
                  <w:r>
                    <w:rPr>
                      <w:rFonts w:ascii="宋体" w:hAnsi="宋体" w:cs="宋体"/>
                      <w:color w:val="333333"/>
                      <w:sz w:val="18"/>
                      <w:szCs w:val="18"/>
                    </w:rPr>
                    <w:t>(</w:t>
                  </w:r>
                  <w:r>
                    <w:rPr>
                      <w:rFonts w:ascii="宋体" w:hAnsi="宋体" w:cs="宋体" w:hint="eastAsia"/>
                      <w:color w:val="333333"/>
                      <w:sz w:val="18"/>
                      <w:szCs w:val="18"/>
                    </w:rPr>
                    <w:t>街道</w:t>
                  </w:r>
                  <w:r>
                    <w:rPr>
                      <w:rFonts w:ascii="宋体" w:hAnsi="宋体" w:cs="宋体"/>
                      <w:color w:val="333333"/>
                      <w:sz w:val="18"/>
                      <w:szCs w:val="18"/>
                    </w:rPr>
                    <w:t>)</w:t>
                  </w:r>
                  <w:r>
                    <w:rPr>
                      <w:rFonts w:ascii="宋体" w:hAnsi="宋体" w:cs="宋体" w:hint="eastAsia"/>
                      <w:color w:val="333333"/>
                      <w:sz w:val="18"/>
                      <w:szCs w:val="18"/>
                    </w:rPr>
                    <w:t>文化中心免费开放工作的通知》</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特殊群体公共文化服务信息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临时停止开放信息。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《残疾人保障法》、《政府信息公开条例》、《中共中央办公厅</w:t>
                  </w:r>
                  <w:r>
                    <w:rPr>
                      <w:rFonts w:ascii="宋体" w:hAnsi="宋体" w:cs="宋体"/>
                      <w:color w:val="333333"/>
                      <w:sz w:val="18"/>
                      <w:szCs w:val="18"/>
                    </w:rPr>
                    <w:t xml:space="preserve">   </w:t>
                  </w:r>
                  <w:r>
                    <w:rPr>
                      <w:rFonts w:ascii="宋体" w:hAnsi="宋体" w:cs="宋体" w:hint="eastAsia"/>
                      <w:color w:val="333333"/>
                      <w:sz w:val="18"/>
                      <w:szCs w:val="18"/>
                    </w:rPr>
                    <w:t>国务院办公厅印发关于加快构建现代公共文化服务体系的意见》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40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组织开展群众文化活动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《政府信息公开条例》、《文化馆服务标准》</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下基层辅导、演出、展览和指导基层群众文化活动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活动单位；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《政府信息公开条例》、《文化馆服务标准》</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举办各类展览、讲座信息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活动单位；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《政府信息公开条例》、《乡镇综合文化站管理办法》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w:t>
                  </w:r>
                  <w:bookmarkStart w:id="0" w:name="_GoBack"/>
                  <w:bookmarkEnd w:id="0"/>
                  <w:r>
                    <w:rPr>
                      <w:rFonts w:ascii="宋体" w:hAnsi="宋体" w:cs="宋体" w:hint="eastAsia"/>
                      <w:color w:val="333333"/>
                      <w:sz w:val="18"/>
                      <w:szCs w:val="18"/>
                    </w:rPr>
                    <w:t>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43</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辅导和培训基层文化骨干</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培训时间；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培训单位；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培训地址；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《政府信息公开条例》、《乡镇综合文化站管理办法》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非物质文化遗产展示传播活动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组织单位；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《非物质文化遗产法》、《政府信息公开条例》</w:t>
                  </w:r>
                  <w:r>
                    <w:rPr>
                      <w:rFonts w:ascii="宋体" w:cs="宋体"/>
                      <w:color w:val="333333"/>
                      <w:sz w:val="18"/>
                      <w:szCs w:val="18"/>
                    </w:rPr>
                    <w:t> </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45</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文博单位名录</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文物保护管理机构和博物馆名录</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bl>
          <w:p w:rsidR="00000000" w:rsidRDefault="00000000">
            <w:pPr>
              <w:spacing w:line="240" w:lineRule="atLeast"/>
              <w:rPr>
                <w:rFonts w:ascii="微软雅黑" w:eastAsia="微软雅黑" w:hAnsi="微软雅黑" w:cs="微软雅黑"/>
                <w:color w:val="3D3D3D"/>
                <w:szCs w:val="21"/>
              </w:rPr>
            </w:pPr>
          </w:p>
        </w:tc>
      </w:tr>
    </w:tbl>
    <w:p w:rsidR="00000000" w:rsidRDefault="00000000"/>
    <w:p w:rsidR="005C7C95" w:rsidRDefault="005C7C95"/>
    <w:sectPr w:rsidR="005C7C95">
      <w:pgSz w:w="16838" w:h="11906" w:orient="landscape"/>
      <w:pgMar w:top="1134" w:right="1134" w:bottom="1134" w:left="1134"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BF5C93"/>
    <w:multiLevelType w:val="singleLevel"/>
    <w:tmpl w:val="DCBF5C93"/>
    <w:lvl w:ilvl="0">
      <w:start w:val="1"/>
      <w:numFmt w:val="decimal"/>
      <w:lvlText w:val="%1."/>
      <w:lvlJc w:val="left"/>
      <w:pPr>
        <w:tabs>
          <w:tab w:val="num" w:pos="312"/>
        </w:tabs>
      </w:pPr>
      <w:rPr>
        <w:rFonts w:cs="Times New Roman"/>
      </w:rPr>
    </w:lvl>
  </w:abstractNum>
  <w:num w:numId="1" w16cid:durableId="131513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9502A3"/>
    <w:rsid w:val="005B1FB9"/>
    <w:rsid w:val="005C7C95"/>
    <w:rsid w:val="009502A3"/>
    <w:rsid w:val="3DAB4DB9"/>
    <w:rsid w:val="7EB1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B21B9-943D-48B5-AD57-64158EC7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1354</Words>
  <Characters>7724</Characters>
  <Application>Microsoft Office Word</Application>
  <DocSecurity>0</DocSecurity>
  <Lines>64</Lines>
  <Paragraphs>18</Paragraphs>
  <ScaleCrop>false</ScaleCrop>
  <Company>CHINA</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jlfwq</cp:lastModifiedBy>
  <cp:revision>2</cp:revision>
  <dcterms:created xsi:type="dcterms:W3CDTF">2024-08-08T18:53:00Z</dcterms:created>
  <dcterms:modified xsi:type="dcterms:W3CDTF">2024-08-08T18:53:00Z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0E9AB0CB39BE4CB1B93F15859E76F40E_13</vt:lpwstr>
  </property>
</Properties>
</file>