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snapToGrid w:val="0"/>
        <w:spacing w:line="400" w:lineRule="exact"/>
        <w:rPr>
          <w:rFonts w:ascii="黑体" w:eastAsia="黑体" w:hAnsi="黑体" w:cs="黑体" w:hint="eastAsia"/>
          <w:sz w:val="32"/>
          <w:szCs w:val="32"/>
        </w:rPr>
      </w:pPr>
      <w:r>
        <w:rPr>
          <w:rFonts w:ascii="黑体" w:eastAsia="黑体" w:hAnsi="黑体" w:cs="黑体" w:hint="eastAsia"/>
          <w:sz w:val="32"/>
          <w:szCs w:val="32"/>
        </w:rPr>
        <w:t xml:space="preserve">  附件</w:t>
      </w:r>
    </w:p>
    <w:p w:rsidR="00000000" w:rsidRDefault="00000000">
      <w:pPr>
        <w:spacing w:line="600" w:lineRule="exact"/>
        <w:jc w:val="center"/>
        <w:rPr>
          <w:rFonts w:ascii="楷体" w:eastAsia="楷体" w:hAnsi="楷体" w:cs="楷体" w:hint="eastAsia"/>
          <w:sz w:val="32"/>
          <w:szCs w:val="32"/>
        </w:rPr>
      </w:pPr>
      <w:r>
        <w:rPr>
          <w:rFonts w:ascii="方正小标宋_GBK" w:eastAsia="方正小标宋_GBK" w:hAnsi="方正小标宋_GBK" w:cs="方正小标宋_GBK" w:hint="eastAsia"/>
          <w:sz w:val="44"/>
          <w:szCs w:val="44"/>
        </w:rPr>
        <w:t>南召县水利领域基层政务公开标准目录</w:t>
      </w:r>
    </w:p>
    <w:tbl>
      <w:tblPr>
        <w:tblW w:w="0" w:type="auto"/>
        <w:jc w:val="center"/>
        <w:tblInd w:w="0" w:type="dxa"/>
        <w:tblLayout w:type="fixed"/>
        <w:tblLook w:val="0000" w:firstRow="0" w:lastRow="0" w:firstColumn="0" w:lastColumn="0" w:noHBand="0" w:noVBand="0"/>
      </w:tblPr>
      <w:tblGrid>
        <w:gridCol w:w="433"/>
        <w:gridCol w:w="941"/>
        <w:gridCol w:w="955"/>
        <w:gridCol w:w="2441"/>
        <w:gridCol w:w="1868"/>
        <w:gridCol w:w="1173"/>
        <w:gridCol w:w="1241"/>
        <w:gridCol w:w="3313"/>
        <w:gridCol w:w="584"/>
        <w:gridCol w:w="586"/>
        <w:gridCol w:w="586"/>
        <w:gridCol w:w="519"/>
      </w:tblGrid>
      <w:tr w:rsidR="00000000">
        <w:trPr>
          <w:cantSplit/>
          <w:trHeight w:val="360"/>
          <w:tblHeader/>
          <w:jc w:val="center"/>
        </w:trPr>
        <w:tc>
          <w:tcPr>
            <w:tcW w:w="43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序号</w:t>
            </w:r>
          </w:p>
        </w:tc>
        <w:tc>
          <w:tcPr>
            <w:tcW w:w="18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公开事项</w:t>
            </w:r>
          </w:p>
        </w:tc>
        <w:tc>
          <w:tcPr>
            <w:tcW w:w="2441"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公开内容（要素）</w:t>
            </w:r>
          </w:p>
        </w:tc>
        <w:tc>
          <w:tcPr>
            <w:tcW w:w="186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公开依据</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公开</w:t>
            </w:r>
            <w:r>
              <w:rPr>
                <w:rFonts w:ascii="宋体" w:hAnsi="宋体" w:cs="宋体" w:hint="eastAsia"/>
                <w:color w:val="000000"/>
                <w:kern w:val="0"/>
                <w:sz w:val="22"/>
                <w:szCs w:val="22"/>
                <w:lang w:bidi="ar"/>
              </w:rPr>
              <w:br/>
              <w:t>时限</w:t>
            </w:r>
          </w:p>
        </w:tc>
        <w:tc>
          <w:tcPr>
            <w:tcW w:w="1241"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公开</w:t>
            </w:r>
            <w:r>
              <w:rPr>
                <w:rFonts w:ascii="宋体" w:hAnsi="宋体" w:cs="宋体" w:hint="eastAsia"/>
                <w:color w:val="000000"/>
                <w:kern w:val="0"/>
                <w:sz w:val="22"/>
                <w:szCs w:val="22"/>
                <w:lang w:bidi="ar"/>
              </w:rPr>
              <w:br/>
              <w:t>主体</w:t>
            </w:r>
          </w:p>
        </w:tc>
        <w:tc>
          <w:tcPr>
            <w:tcW w:w="331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公开渠道和载体</w:t>
            </w:r>
            <w:r>
              <w:rPr>
                <w:rFonts w:ascii="宋体" w:hAnsi="宋体" w:cs="宋体" w:hint="eastAsia"/>
                <w:color w:val="000000"/>
                <w:kern w:val="0"/>
                <w:sz w:val="22"/>
                <w:szCs w:val="22"/>
                <w:lang w:bidi="ar"/>
              </w:rPr>
              <w:br/>
              <w:t>（“□”表示可选项，由各地根据有关要求和实际情况确定）</w:t>
            </w:r>
          </w:p>
        </w:tc>
        <w:tc>
          <w:tcPr>
            <w:tcW w:w="11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公开对象</w:t>
            </w: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公开方式</w:t>
            </w:r>
          </w:p>
        </w:tc>
      </w:tr>
      <w:tr w:rsidR="00000000">
        <w:trPr>
          <w:cantSplit/>
          <w:trHeight w:val="460"/>
          <w:tblHeader/>
          <w:jc w:val="center"/>
        </w:trPr>
        <w:tc>
          <w:tcPr>
            <w:tcW w:w="43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一级事项</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二级事项</w:t>
            </w:r>
          </w:p>
        </w:tc>
        <w:tc>
          <w:tcPr>
            <w:tcW w:w="2441"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186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117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1241"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331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全社会</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特定群体</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主动</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依申请</w:t>
            </w:r>
          </w:p>
        </w:tc>
      </w:tr>
      <w:tr w:rsidR="00000000">
        <w:trPr>
          <w:cantSplit/>
          <w:trHeight w:val="2148"/>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941"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公共服务</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政策文件</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水利领域政策文件及相关解读</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《中华人民共和国政府信息公开条例》</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信息形成或者变更之日起20个工作日内</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南召县水利局</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sym w:font="Wingdings 2" w:char="00A3"/>
            </w: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r>
      <w:tr w:rsidR="00000000">
        <w:trPr>
          <w:cantSplit/>
          <w:trHeight w:val="2232"/>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公共服务</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决策预公开</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水利领域的重大决策，决策前向社会公开决策草案、决策依据，意见征集方式和期限</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《中华人民共和国政府信息公开条例》《重大行政决策程序暂行条例》</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按进展情况及时公开</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南召县水利局</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r>
      <w:tr w:rsidR="00000000">
        <w:trPr>
          <w:cantSplit/>
          <w:trHeight w:val="3028"/>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公共服务</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sz w:val="22"/>
                <w:szCs w:val="22"/>
              </w:rPr>
              <w:t>依申请公开</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对涉及到水利领域经济社会热点问题、群众广泛关注的热点、咨询的相关问题等进行回应</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《中华人民共和国政府信息公开条例》《国务院办公厅关于进一步加强政府信息公开回应社会关切提升政府公信力的意见》《国务院办公厅关于在政务公开工作中进一步做好政务舆情回应的通知》</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及时回应</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南召县水利局</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r>
      <w:tr w:rsidR="00000000">
        <w:trPr>
          <w:cantSplit/>
          <w:trHeight w:val="2990"/>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4</w:t>
            </w: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公共服务</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依法处罚</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实施行政处罚、行政强制等事项的依据、条件、程序以及本行政机关认为具有一定社会影响的行政处罚决定</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《中华人民共和国政府信息公开条例》《国务院办公厅关于全面推行行政执法公示制度全过程记录制度重大执法决定法制审核制度的指导意见》</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行政处罚的执法决定信息在执法决定作出之日起7个工作日内，其他信息形成或者变更之日起20个工作日内</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南召县水利局</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r>
      <w:tr w:rsidR="00000000">
        <w:trPr>
          <w:cantSplit/>
          <w:trHeight w:val="2254"/>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水资源管理与保护</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取用水</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重要饮用水水源地名录</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《国务院关于实行最严格水资源管理制度的意见》</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信息形成或者变更之日起20个工作日内</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南召县水利局</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r>
      <w:tr w:rsidR="00000000">
        <w:trPr>
          <w:cantSplit/>
          <w:trHeight w:val="2280"/>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w:t>
            </w: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水资源管理与保护</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取用水</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审批机关认为涉及社会公共利益的取水听证，定期发放取水许可证的情况</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《取水许可和水资源费征收管理条例》</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信息形成或者变更之日起20个工作日内</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南召县水利局</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r>
      <w:tr w:rsidR="00000000">
        <w:trPr>
          <w:cantSplit/>
          <w:trHeight w:val="2488"/>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7</w:t>
            </w: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节约用水</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节约用水</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县域节水型社会达标建设情况，水效领跑者引领行动开展情况</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《中华人民共和国政府信息公开条例》《“十四五”节水型社会建设规划》《水利部关于印发县域节水型社会达标建设管理办法的通知》</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信息形成或者变更之日起20个工作日内</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南召县水利局</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r>
      <w:tr w:rsidR="00000000">
        <w:trPr>
          <w:cantSplit/>
          <w:trHeight w:val="2200"/>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河道管理</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河长制工作</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县、乡两级河湖长名录，河湖长姓名、职责、河湖概况、管护目标、监督电话</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《关于全面推行河长制的意见》</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信息形成或者变更之日起20个工作日内</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南召县水利局</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r>
      <w:tr w:rsidR="00000000">
        <w:trPr>
          <w:cantSplit/>
          <w:trHeight w:val="2280"/>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w:t>
            </w: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河湖管理</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水域岸线管理</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河湖管理范围</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《中华人民共和国长江保护法》《关于全面推行河长制的意见》</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信息形成或者变更之日起20个工作日内</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南召县水利局</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r>
      <w:tr w:rsidR="00000000">
        <w:trPr>
          <w:cantSplit/>
          <w:trHeight w:val="2387"/>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10</w:t>
            </w: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河湖管理</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河道采砂管理</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采砂管理河长责任人、行政主管部门责任人、现场监管责任人、行政执法责任人，禁采区和禁采期</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《中华人民共和国水法》《水利部关于河道采砂管理工作的指导意见》</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信息形成或者变更之日起20个工作日内</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南召县水利局</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r>
      <w:tr w:rsidR="00000000">
        <w:trPr>
          <w:cantSplit/>
          <w:trHeight w:val="2160"/>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w:t>
            </w: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水土保持</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水土流失防治及监督管理</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水土流失重点预防区和重点治理区，崩塌、滑坡危险区和泥石流易发区的范围，禁止开垦的陡坡地的范围</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《中华人民共和国水土保持法》</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信息形成或者变更之日起20个工作日内</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南召县水利局</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r>
      <w:tr w:rsidR="00000000">
        <w:trPr>
          <w:cantSplit/>
          <w:trHeight w:val="2140"/>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w:t>
            </w: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农村水利水电</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农村供水工程</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千人以上供水单位责任人、供水服务电话</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《水利部关于建立农村饮水安全管理责任体系的通知》</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信息形成或者变更之日起20个工作日内</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供水单位</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r>
      <w:tr w:rsidR="00000000">
        <w:trPr>
          <w:cantSplit/>
          <w:trHeight w:val="2600"/>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13</w:t>
            </w: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监督管理</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“双随机一公开”监管</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随机抽查事项清单，抽查情况及查处结果</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《国务院办公厅关于推广随机抽查规范事中事后监管的通知》《水利部办公厅关于印发推行“双随机一公开”监管工作方案的通知》</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信息形成或者变更之日起20个工作日内</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南召县水利局</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snapToGrid w:val="0"/>
              <w:jc w:val="center"/>
              <w:rPr>
                <w:rFonts w:ascii="宋体" w:hAnsi="宋体" w:cs="宋体" w:hint="eastAsia"/>
                <w:color w:val="000000"/>
                <w:sz w:val="22"/>
                <w:szCs w:val="22"/>
              </w:rPr>
            </w:pPr>
          </w:p>
        </w:tc>
      </w:tr>
      <w:tr w:rsidR="00000000">
        <w:trPr>
          <w:cantSplit/>
          <w:trHeight w:val="2200"/>
          <w:jc w:val="center"/>
        </w:trPr>
        <w:tc>
          <w:tcPr>
            <w:tcW w:w="4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9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水文管理</w:t>
            </w:r>
          </w:p>
        </w:tc>
        <w:tc>
          <w:tcPr>
            <w:tcW w:w="9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基本水文资料</w:t>
            </w:r>
          </w:p>
        </w:tc>
        <w:tc>
          <w:tcPr>
            <w:tcW w:w="24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水资源公报</w:t>
            </w:r>
          </w:p>
        </w:tc>
        <w:tc>
          <w:tcPr>
            <w:tcW w:w="18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《中华人民共和国水法》</w:t>
            </w:r>
          </w:p>
        </w:tc>
        <w:tc>
          <w:tcPr>
            <w:tcW w:w="1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按照行业有关规定</w:t>
            </w:r>
          </w:p>
        </w:tc>
        <w:tc>
          <w:tcPr>
            <w:tcW w:w="12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南召县水利局</w:t>
            </w:r>
          </w:p>
        </w:tc>
        <w:tc>
          <w:tcPr>
            <w:tcW w:w="33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□政府网站    □政府公报</w:t>
            </w:r>
            <w:r>
              <w:rPr>
                <w:rFonts w:ascii="宋体" w:hAnsi="宋体" w:cs="宋体" w:hint="eastAsia"/>
                <w:color w:val="000000"/>
                <w:kern w:val="0"/>
                <w:sz w:val="22"/>
                <w:szCs w:val="22"/>
                <w:lang w:bidi="ar"/>
              </w:rPr>
              <w:br/>
              <w:t xml:space="preserve">□两微一端    □发布会/听证会                 </w:t>
            </w:r>
            <w:r>
              <w:rPr>
                <w:rFonts w:ascii="宋体" w:hAnsi="宋体" w:cs="宋体" w:hint="eastAsia"/>
                <w:color w:val="000000"/>
                <w:kern w:val="0"/>
                <w:sz w:val="22"/>
                <w:szCs w:val="22"/>
                <w:lang w:bidi="ar"/>
              </w:rPr>
              <w:br/>
              <w:t>□广播电视    □纸质媒体</w:t>
            </w:r>
            <w:r>
              <w:rPr>
                <w:rFonts w:ascii="宋体" w:hAnsi="宋体" w:cs="宋体" w:hint="eastAsia"/>
                <w:color w:val="000000"/>
                <w:kern w:val="0"/>
                <w:sz w:val="22"/>
                <w:szCs w:val="22"/>
                <w:lang w:bidi="ar"/>
              </w:rPr>
              <w:br/>
              <w:t>□公开查阅点  □政务服务中心</w:t>
            </w:r>
            <w:r>
              <w:rPr>
                <w:rFonts w:ascii="宋体" w:hAnsi="宋体" w:cs="宋体" w:hint="eastAsia"/>
                <w:color w:val="000000"/>
                <w:kern w:val="0"/>
                <w:sz w:val="22"/>
                <w:szCs w:val="22"/>
                <w:lang w:bidi="ar"/>
              </w:rPr>
              <w:br/>
              <w:t>□便民服务站  □入户/现场</w:t>
            </w:r>
            <w:r>
              <w:rPr>
                <w:rFonts w:ascii="宋体" w:hAnsi="宋体" w:cs="宋体" w:hint="eastAsia"/>
                <w:color w:val="000000"/>
                <w:kern w:val="0"/>
                <w:sz w:val="22"/>
                <w:szCs w:val="22"/>
                <w:lang w:bidi="ar"/>
              </w:rPr>
              <w:br/>
              <w:t>□社区/企事业单位/村公示栏（电子屏）</w:t>
            </w:r>
            <w:r>
              <w:rPr>
                <w:rFonts w:ascii="宋体" w:hAnsi="宋体" w:cs="宋体" w:hint="eastAsia"/>
                <w:color w:val="000000"/>
                <w:kern w:val="0"/>
                <w:sz w:val="22"/>
                <w:szCs w:val="22"/>
                <w:lang w:bidi="ar"/>
              </w:rPr>
              <w:br/>
              <w:t>□精准推送    □其他</w:t>
            </w:r>
          </w:p>
        </w:tc>
        <w:tc>
          <w:tcPr>
            <w:tcW w:w="584" w:type="dxa"/>
            <w:tcBorders>
              <w:top w:val="nil"/>
              <w:left w:val="nil"/>
              <w:bottom w:val="nil"/>
              <w:right w:val="nil"/>
            </w:tcBorders>
            <w:tcMar>
              <w:top w:w="0" w:type="dxa"/>
              <w:left w:w="28" w:type="dxa"/>
              <w:bottom w:w="0" w:type="dxa"/>
              <w:right w:w="28" w:type="dxa"/>
            </w:tcMar>
            <w:vAlign w:val="center"/>
          </w:tcPr>
          <w:p w:rsidR="00000000" w:rsidRDefault="00000000">
            <w:pPr>
              <w:snapToGrid w:val="0"/>
              <w:jc w:val="center"/>
              <w:rPr>
                <w:rFonts w:ascii="仿宋" w:eastAsia="仿宋" w:hAnsi="仿宋" w:cs="仿宋" w:hint="eastAsia"/>
                <w:color w:val="FF0000"/>
                <w:sz w:val="22"/>
                <w:szCs w:val="22"/>
              </w:rPr>
            </w:pPr>
            <w:r>
              <w:rPr>
                <w:rFonts w:ascii="宋体" w:hAnsi="宋体" w:cs="宋体" w:hint="eastAsia"/>
                <w:color w:val="000000"/>
                <w:kern w:val="0"/>
                <w:sz w:val="22"/>
                <w:szCs w:val="22"/>
                <w:lang w:bidi="ar"/>
              </w:rPr>
              <w:t>√</w:t>
            </w:r>
          </w:p>
        </w:tc>
        <w:tc>
          <w:tcPr>
            <w:tcW w:w="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p>
        </w:tc>
        <w:tc>
          <w:tcPr>
            <w:tcW w:w="586" w:type="dxa"/>
            <w:tcBorders>
              <w:top w:val="nil"/>
              <w:left w:val="nil"/>
              <w:bottom w:val="nil"/>
              <w:right w:val="nil"/>
            </w:tcBorders>
            <w:tcMar>
              <w:top w:w="0" w:type="dxa"/>
              <w:left w:w="28" w:type="dxa"/>
              <w:bottom w:w="0" w:type="dxa"/>
              <w:right w:w="28" w:type="dxa"/>
            </w:tcMar>
            <w:vAlign w:val="center"/>
          </w:tcPr>
          <w:p w:rsidR="00000000" w:rsidRDefault="00000000">
            <w:pPr>
              <w:snapToGrid w:val="0"/>
              <w:jc w:val="center"/>
              <w:rPr>
                <w:rFonts w:ascii="仿宋" w:eastAsia="仿宋" w:hAnsi="仿宋" w:cs="仿宋" w:hint="eastAsia"/>
                <w:color w:val="FF0000"/>
                <w:sz w:val="22"/>
                <w:szCs w:val="22"/>
              </w:rPr>
            </w:pPr>
            <w:r>
              <w:rPr>
                <w:rFonts w:ascii="宋体" w:hAnsi="宋体" w:cs="宋体" w:hint="eastAsia"/>
                <w:color w:val="000000"/>
                <w:kern w:val="0"/>
                <w:sz w:val="22"/>
                <w:szCs w:val="22"/>
                <w:lang w:bidi="ar"/>
              </w:rPr>
              <w:t>√</w:t>
            </w:r>
          </w:p>
        </w:tc>
        <w:tc>
          <w:tcPr>
            <w:tcW w:w="5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00000">
            <w:pPr>
              <w:widowControl/>
              <w:snapToGrid w:val="0"/>
              <w:jc w:val="center"/>
              <w:textAlignment w:val="center"/>
              <w:rPr>
                <w:rFonts w:ascii="宋体" w:hAnsi="宋体" w:cs="宋体" w:hint="eastAsia"/>
                <w:color w:val="000000"/>
                <w:sz w:val="22"/>
                <w:szCs w:val="22"/>
              </w:rPr>
            </w:pPr>
          </w:p>
        </w:tc>
      </w:tr>
    </w:tbl>
    <w:p w:rsidR="000F6B50" w:rsidRDefault="000F6B50">
      <w:pPr>
        <w:snapToGrid w:val="0"/>
      </w:pPr>
    </w:p>
    <w:sectPr w:rsidR="000F6B50">
      <w:pgSz w:w="16838" w:h="11906" w:orient="landscape"/>
      <w:pgMar w:top="1077" w:right="737" w:bottom="1077" w:left="73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5OTI4NjQ1ZjZjNTc1ZWZkMTkwZTg3YTQwNDRiYTcifQ=="/>
  </w:docVars>
  <w:rsids>
    <w:rsidRoot w:val="00172A27"/>
    <w:rsid w:val="000F6B50"/>
    <w:rsid w:val="00226E39"/>
    <w:rsid w:val="7A25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675AF002-3EE3-4012-B14E-885084DA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519</Words>
  <Characters>2960</Characters>
  <Application>Microsoft Office Word</Application>
  <DocSecurity>0</DocSecurity>
  <PresentationFormat/>
  <Lines>24</Lines>
  <Paragraphs>6</Paragraphs>
  <Slides>0</Slides>
  <Notes>0</Notes>
  <HiddenSlides>0</HiddenSlides>
  <MMClips>0</MMClips>
  <ScaleCrop>false</ScaleCrop>
  <Manager/>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Administrator</dc:creator>
  <cp:keywords/>
  <dc:description/>
  <cp:lastModifiedBy>jlfwq</cp:lastModifiedBy>
  <cp:revision>2</cp:revision>
  <cp:lastPrinted>2022-09-30T12:47:00Z</cp:lastPrinted>
  <dcterms:created xsi:type="dcterms:W3CDTF">2024-08-08T19:23:00Z</dcterms:created>
  <dcterms:modified xsi:type="dcterms:W3CDTF">2024-08-08T19:23:00Z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BD5BC03A66744130938FE75FCA33D68C_12</vt:lpwstr>
  </property>
</Properties>
</file>