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cs="宋体"/>
          <w:sz w:val="32"/>
          <w:szCs w:val="32"/>
          <w:shd w:val="clear" w:color="auto" w:fill="FFFFFF"/>
          <w:lang w:bidi="ar-SA"/>
        </w:rPr>
      </w:pPr>
    </w:p>
    <w:p>
      <w:pPr>
        <w:jc w:val="center"/>
        <w:rPr>
          <w:rFonts w:hint="eastAsia" w:ascii="宋体" w:cs="宋体"/>
          <w:sz w:val="28"/>
          <w:szCs w:val="28"/>
          <w:shd w:val="clear" w:color="auto" w:fill="FFFFFF"/>
          <w:lang w:bidi="ar-SA"/>
        </w:rPr>
      </w:pPr>
      <w:r>
        <w:rPr>
          <w:rFonts w:hint="eastAsia" w:ascii="方正小标宋简体" w:eastAsia="方正小标宋简体" w:cs="宋体"/>
          <w:sz w:val="40"/>
          <w:szCs w:val="40"/>
          <w:shd w:val="clear" w:color="auto" w:fill="FFFFFF"/>
          <w:lang w:val="en-US" w:eastAsia="zh-CN" w:bidi="ar-SA"/>
        </w:rPr>
        <w:t>南召县</w:t>
      </w:r>
      <w:r>
        <w:rPr>
          <w:rFonts w:hint="eastAsia" w:ascii="方正小标宋简体" w:eastAsia="方正小标宋简体" w:cs="宋体"/>
          <w:sz w:val="40"/>
          <w:szCs w:val="40"/>
          <w:shd w:val="clear" w:color="auto" w:fill="FFFFFF"/>
          <w:lang w:bidi="ar-SA"/>
        </w:rPr>
        <w:t>新闻出版版权领域基层政务公开标准目录</w:t>
      </w:r>
    </w:p>
    <w:p>
      <w:pPr>
        <w:widowControl/>
        <w:jc w:val="left"/>
        <w:rPr>
          <w:rFonts w:hint="eastAsia" w:ascii="宋体" w:eastAsia="宋体" w:cs="宋体"/>
          <w:kern w:val="0"/>
          <w:sz w:val="24"/>
          <w:shd w:val="clear" w:color="auto" w:fill="FFFFFF"/>
          <w:lang w:bidi="ar-SA"/>
        </w:rPr>
      </w:pPr>
    </w:p>
    <w:tbl>
      <w:tblPr>
        <w:tblStyle w:val="8"/>
        <w:tblW w:w="143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849"/>
        <w:gridCol w:w="2545"/>
        <w:gridCol w:w="1140"/>
        <w:gridCol w:w="980"/>
        <w:gridCol w:w="1795"/>
        <w:gridCol w:w="435"/>
        <w:gridCol w:w="705"/>
        <w:gridCol w:w="465"/>
        <w:gridCol w:w="840"/>
        <w:gridCol w:w="480"/>
        <w:gridCol w:w="4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849"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54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980"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795" w:type="dxa"/>
            <w:vMerge w:val="restart"/>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82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849"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254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980"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1795" w:type="dxa"/>
            <w:vMerge w:val="continue"/>
            <w:tcBorders>
              <w:top w:val="single" w:color="000000" w:sz="6" w:space="0"/>
              <w:left w:val="single" w:color="000000" w:sz="6" w:space="0"/>
              <w:bottom w:val="single" w:color="000000" w:sz="6" w:space="0"/>
              <w:right w:val="nil"/>
            </w:tcBorders>
            <w:tcMar>
              <w:left w:w="115" w:type="dxa"/>
            </w:tcMar>
            <w:vAlign w:val="center"/>
          </w:tcPr>
          <w:p/>
        </w:tc>
        <w:tc>
          <w:tcPr>
            <w:tcW w:w="43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jc w:val="center"/>
              <w:rPr>
                <w:rFonts w:hint="eastAsia" w:ascii="Times New Roman" w:hAnsi="Times New Roman" w:eastAsia="仿宋_GB2312" w:cs="Times New Roman"/>
                <w:sz w:val="19"/>
                <w:szCs w:val="19"/>
                <w:lang w:bidi="ar-SA"/>
              </w:rPr>
            </w:pPr>
          </w:p>
          <w:p>
            <w:pPr>
              <w:widowControl/>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p>
          <w:p>
            <w:pPr>
              <w:widowControl/>
              <w:jc w:val="center"/>
              <w:rPr>
                <w:rFonts w:hint="eastAsia" w:ascii="Times New Roman" w:hAnsi="Times New Roman" w:eastAsia="仿宋_GB2312" w:cs="Times New Roman"/>
                <w:sz w:val="19"/>
                <w:szCs w:val="19"/>
                <w:lang w:bidi="ar-SA"/>
              </w:rPr>
            </w:pPr>
          </w:p>
          <w:p>
            <w:pPr>
              <w:widowControl/>
              <w:spacing w:after="180"/>
              <w:jc w:val="center"/>
              <w:rPr>
                <w:rFonts w:hint="eastAsia" w:ascii="Times New Roman" w:hAnsi="Times New Roman" w:eastAsia="仿宋_GB2312" w:cs="Times New Roman"/>
                <w:sz w:val="19"/>
                <w:szCs w:val="19"/>
                <w:lang w:bidi="ar-SA"/>
              </w:rPr>
            </w:pP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出版物零售单位和个体工商户设立、变更审批</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2.行政许可决定。</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3.《出版管理条例》；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4.《出版物市场管理规定》；</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eastAsia="zh-CN" w:bidi="ar-SA"/>
              </w:rPr>
            </w:pPr>
            <w:r>
              <w:rPr>
                <w:rFonts w:hint="eastAsia" w:ascii="Times New Roman" w:hAnsi="Times New Roman" w:eastAsia="仿宋_GB2312" w:cs="宋体"/>
                <w:sz w:val="24"/>
                <w:lang w:eastAsia="zh-CN" w:bidi="ar-SA"/>
              </w:rPr>
              <w:t>南召县县委宣传部</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00" w:lineRule="exact"/>
              <w:jc w:val="left"/>
              <w:rPr>
                <w:rFonts w:hint="eastAsia" w:ascii="Times New Roman" w:hAnsi="Times New Roman" w:eastAsia="仿宋_GB2312" w:cs="Times New Roman"/>
                <w:kern w:val="0"/>
                <w:sz w:val="16"/>
                <w:szCs w:val="15"/>
                <w:shd w:val="clear" w:color="auto" w:fill="FFFFFF"/>
                <w:lang w:bidi="ar-SA"/>
              </w:rPr>
            </w:pPr>
            <w:r>
              <w:rPr>
                <w:rFonts w:hint="eastAsia" w:ascii="Times New Roman" w:hAnsi="Times New Roman" w:eastAsia="仿宋_GB2312" w:cs="Times New Roman"/>
                <w:color w:val="auto"/>
                <w:kern w:val="0"/>
                <w:sz w:val="24"/>
                <w:szCs w:val="24"/>
                <w:shd w:val="clear" w:color="auto" w:fill="FFFFFF"/>
                <w:lang w:bidi="ar-SA"/>
              </w:rPr>
              <w:t xml:space="preserve"> </w:t>
            </w:r>
            <w:r>
              <w:rPr>
                <w:rFonts w:hint="eastAsia" w:ascii="Times New Roman" w:hAnsi="Times New Roman" w:eastAsia="仿宋_GB2312" w:cs="Times New Roman"/>
                <w:color w:val="FF0000"/>
                <w:kern w:val="0"/>
                <w:sz w:val="24"/>
                <w:szCs w:val="24"/>
                <w:shd w:val="clear" w:color="auto" w:fill="FFFFFF"/>
                <w:lang w:bidi="ar-SA"/>
              </w:rPr>
              <w:t xml:space="preserve">  </w:t>
            </w:r>
            <w:r>
              <w:rPr>
                <w:rFonts w:hint="eastAsia" w:ascii="Times New Roman" w:hAnsi="Times New Roman" w:eastAsia="仿宋_GB2312" w:cs="Times New Roman"/>
                <w:kern w:val="0"/>
                <w:sz w:val="16"/>
                <w:szCs w:val="15"/>
                <w:shd w:val="clear" w:color="auto" w:fill="FFFFFF"/>
                <w:lang w:bidi="ar-SA"/>
              </w:rPr>
              <w:t xml:space="preserve">  </w:t>
            </w:r>
          </w:p>
          <w:p>
            <w:pPr>
              <w:widowControl/>
              <w:spacing w:line="300" w:lineRule="exact"/>
              <w:jc w:val="left"/>
              <w:rPr>
                <w:rFonts w:hint="eastAsia" w:ascii="Times New Roman" w:hAnsi="Times New Roman" w:eastAsia="仿宋_GB2312" w:cs="Times New Roman"/>
                <w:sz w:val="19"/>
                <w:szCs w:val="19"/>
                <w:lang w:bidi="ar-SA"/>
              </w:rPr>
            </w:pP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24"/>
                <w:szCs w:val="24"/>
                <w:lang w:bidi="ar-SA"/>
              </w:rPr>
              <w:t>从事出版物、包装装潢印刷品和其他印刷品印刷经营活动企业的设立、变更审批</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eastAsia="zh-CN" w:bidi="ar-SA"/>
              </w:rPr>
            </w:pPr>
            <w:r>
              <w:rPr>
                <w:rFonts w:hint="eastAsia" w:ascii="Times New Roman" w:hAnsi="Times New Roman" w:eastAsia="仿宋_GB2312" w:cs="宋体"/>
                <w:sz w:val="24"/>
                <w:lang w:bidi="ar-SA"/>
              </w:rPr>
              <w:t>2.行政许可决定</w:t>
            </w:r>
            <w:r>
              <w:rPr>
                <w:rFonts w:hint="eastAsia" w:ascii="Times New Roman" w:hAnsi="Times New Roman" w:eastAsia="仿宋_GB2312" w:cs="宋体"/>
                <w:sz w:val="24"/>
                <w:lang w:eastAsia="zh-CN" w:bidi="ar-SA"/>
              </w:rPr>
              <w:t>。</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w:t>
            </w:r>
            <w:r>
              <w:rPr>
                <w:rFonts w:hint="eastAsia" w:ascii="Times New Roman" w:hAnsi="Times New Roman" w:eastAsia="仿宋_GB2312" w:cs="宋体"/>
                <w:sz w:val="24"/>
                <w:lang w:eastAsia="zh-CN" w:bidi="ar-SA"/>
              </w:rPr>
              <w:t>印刷业</w:t>
            </w:r>
            <w:r>
              <w:rPr>
                <w:rFonts w:hint="eastAsia" w:ascii="Times New Roman" w:hAnsi="Times New Roman" w:eastAsia="仿宋_GB2312" w:cs="宋体"/>
                <w:sz w:val="24"/>
                <w:lang w:bidi="ar-SA"/>
              </w:rPr>
              <w:t>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val="en-US" w:eastAsia="zh-CN" w:bidi="ar-SA"/>
              </w:rPr>
              <w:t>4</w:t>
            </w:r>
            <w:r>
              <w:rPr>
                <w:rFonts w:hint="eastAsia" w:ascii="Times New Roman" w:hAnsi="Times New Roman" w:eastAsia="仿宋_GB2312" w:cs="宋体"/>
                <w:sz w:val="24"/>
                <w:lang w:bidi="ar-SA"/>
              </w:rPr>
              <w:t>.《关于全面推进政务公开工作的意见》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eastAsia="zh-CN" w:bidi="ar-SA"/>
              </w:rPr>
              <w:t>南召县县委宣传部</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20" w:lineRule="exact"/>
              <w:jc w:val="left"/>
              <w:rPr>
                <w:rFonts w:hint="eastAsia" w:ascii="Times New Roman" w:hAnsi="Times New Roman" w:eastAsia="仿宋_GB2312" w:cs="Times New Roman"/>
                <w:sz w:val="19"/>
                <w:szCs w:val="19"/>
                <w:lang w:bidi="ar-SA"/>
              </w:rPr>
            </w:pP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24"/>
                <w:szCs w:val="24"/>
                <w:lang w:bidi="ar-SA"/>
              </w:rPr>
              <w:t>内部资料性出版物准印证核发</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2.行政许可决定</w:t>
            </w:r>
            <w:r>
              <w:rPr>
                <w:rFonts w:hint="eastAsia" w:ascii="Times New Roman" w:hAnsi="Times New Roman" w:eastAsia="仿宋_GB2312" w:cs="宋体"/>
                <w:sz w:val="24"/>
                <w:lang w:eastAsia="zh-CN" w:bidi="ar-SA"/>
              </w:rPr>
              <w:t>。</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w:t>
            </w:r>
            <w:r>
              <w:rPr>
                <w:rFonts w:hint="eastAsia" w:ascii="Times New Roman" w:hAnsi="Times New Roman" w:eastAsia="仿宋_GB2312" w:cs="宋体"/>
                <w:sz w:val="24"/>
                <w:lang w:eastAsia="zh-CN" w:bidi="ar-SA"/>
              </w:rPr>
              <w:t>印刷业</w:t>
            </w:r>
            <w:r>
              <w:rPr>
                <w:rFonts w:hint="eastAsia" w:ascii="Times New Roman" w:hAnsi="Times New Roman" w:eastAsia="仿宋_GB2312" w:cs="宋体"/>
                <w:sz w:val="24"/>
                <w:lang w:bidi="ar-SA"/>
              </w:rPr>
              <w:t>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w:t>
            </w:r>
            <w:r>
              <w:rPr>
                <w:rFonts w:hint="eastAsia" w:ascii="Times New Roman" w:hAnsi="Times New Roman" w:eastAsia="仿宋_GB2312" w:cs="宋体"/>
                <w:sz w:val="24"/>
                <w:lang w:eastAsia="zh-CN" w:bidi="ar-SA"/>
              </w:rPr>
              <w:t>内部资料性出版物管理办法</w:t>
            </w:r>
            <w:r>
              <w:rPr>
                <w:rFonts w:hint="eastAsia" w:ascii="Times New Roman" w:hAnsi="Times New Roman" w:eastAsia="仿宋_GB2312" w:cs="宋体"/>
                <w:sz w:val="24"/>
                <w:lang w:bidi="ar-SA"/>
              </w:rPr>
              <w:t>》；</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eastAsia="zh-CN" w:bidi="ar-SA"/>
              </w:rPr>
              <w:t>南召县县委宣传部</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1</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公开查阅点     </w:t>
            </w:r>
          </w:p>
          <w:p>
            <w:pPr>
              <w:widowControl/>
              <w:spacing w:line="30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Times New Roman" w:hAnsi="Times New Roman" w:eastAsia="仿宋_GB2312" w:cs="Times New Roman"/>
                <w:color w:val="auto"/>
                <w:kern w:val="0"/>
                <w:sz w:val="24"/>
                <w:szCs w:val="24"/>
                <w:shd w:val="clear" w:color="auto" w:fill="FFFFFF"/>
                <w:lang w:val="en-US" w:eastAsia="zh-CN" w:bidi="ar-SA"/>
              </w:rPr>
              <w:t>2</w:t>
            </w:r>
            <w:r>
              <w:rPr>
                <w:rFonts w:ascii="Times New Roman" w:hAnsi="Times New Roman" w:eastAsia="仿宋_GB2312" w:cs="Times New Roman"/>
                <w:color w:val="auto"/>
                <w:kern w:val="0"/>
                <w:sz w:val="24"/>
                <w:szCs w:val="24"/>
                <w:shd w:val="clear" w:color="auto" w:fill="FFFFFF"/>
                <w:lang w:bidi="ar-SA"/>
              </w:rPr>
              <w:t>.</w:t>
            </w:r>
            <w:r>
              <w:rPr>
                <w:rFonts w:hint="eastAsia" w:ascii="Times New Roman" w:hAnsi="Times New Roman" w:eastAsia="仿宋_GB2312" w:cs="Times New Roman"/>
                <w:color w:val="auto"/>
                <w:kern w:val="0"/>
                <w:sz w:val="24"/>
                <w:szCs w:val="24"/>
                <w:shd w:val="clear" w:color="auto" w:fill="FFFFFF"/>
                <w:lang w:bidi="ar-SA"/>
              </w:rPr>
              <w:t xml:space="preserve">政务服务中心   </w:t>
            </w:r>
          </w:p>
          <w:p>
            <w:pPr>
              <w:widowControl/>
              <w:spacing w:line="320" w:lineRule="exact"/>
              <w:jc w:val="left"/>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color w:val="auto"/>
                <w:kern w:val="0"/>
                <w:sz w:val="24"/>
                <w:szCs w:val="24"/>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4</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宋体"/>
                <w:sz w:val="24"/>
                <w:lang w:bidi="ar-SA"/>
              </w:rPr>
            </w:pP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对非法从事印刷经营活动的行政处罚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1.《印刷业管理条例》；2.《国务院关于促进市场公平竞争维护市场正常秩序的若干意见》；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bookmarkStart w:id="0" w:name="_GoBack"/>
            <w:bookmarkEnd w:id="0"/>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5</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对非法从事复制经营活动的行政处罚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1.《音像制品管理条例》；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2.《复制管理办法》；</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r>
              <w:rPr>
                <w:rFonts w:hint="eastAsia" w:ascii="Times New Roman" w:hAnsi="Times New Roman" w:eastAsia="仿宋_GB2312" w:cs="Times New Roman"/>
                <w:kern w:val="0"/>
                <w:sz w:val="16"/>
                <w:szCs w:val="15"/>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6</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宋体"/>
                <w:sz w:val="24"/>
                <w:lang w:bidi="ar-SA"/>
              </w:rPr>
            </w:pP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对非法编印内部资料性出版物行为的行政处罚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处罚对象、案件名称、违法主要事实、处罚种类及内容、处罚依据、作出处罚决定部门、处罚时间、处罚结果、处罚决定书文号、处罚履行方式和期限等。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2.《内部资料性出版物管理办法》；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7</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对非法从事出版物发行活动的行政处罚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1.《出版管理条例》；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2.《出版物市场管理规定》；</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r>
              <w:rPr>
                <w:rFonts w:hint="eastAsia" w:ascii="Times New Roman" w:hAnsi="Times New Roman" w:eastAsia="仿宋_GB2312" w:cs="Times New Roman"/>
                <w:kern w:val="0"/>
                <w:sz w:val="16"/>
                <w:szCs w:val="15"/>
                <w:shd w:val="clear" w:color="auto" w:fill="FFFFFF"/>
                <w:lang w:bidi="ar-SA"/>
              </w:rPr>
              <w:t xml:space="preserve"> </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8</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对损害公共利益的有关著作权侵权行为作出行政处罚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著作权法实施条例》；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3.《计算机软件保护条例》；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widowControl/>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vAlign w:val="center"/>
          </w:tcPr>
          <w:p>
            <w:pPr>
              <w:widowControl/>
              <w:spacing w:after="180"/>
              <w:jc w:val="center"/>
              <w:rPr>
                <w:rFonts w:hint="eastAsia"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9</w:t>
            </w:r>
          </w:p>
        </w:tc>
        <w:tc>
          <w:tcPr>
            <w:tcW w:w="82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Times New Roman"/>
                <w:sz w:val="24"/>
                <w:szCs w:val="24"/>
                <w:lang w:bidi="ar-SA"/>
              </w:rPr>
            </w:pPr>
            <w:r>
              <w:rPr>
                <w:rFonts w:hint="eastAsia" w:ascii="Times New Roman" w:hAnsi="Times New Roman" w:eastAsia="仿宋_GB2312" w:cs="宋体"/>
                <w:sz w:val="24"/>
                <w:lang w:bidi="ar-SA"/>
              </w:rPr>
              <w:t>对违反《信息网络传播权保护条例》的有关行为作出行政处罚</w:t>
            </w:r>
          </w:p>
        </w:tc>
        <w:tc>
          <w:tcPr>
            <w:tcW w:w="1849"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9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rPr>
                <w:rFonts w:hint="eastAsia" w:ascii="Times New Roman" w:hAnsi="Times New Roman" w:eastAsia="仿宋_GB2312" w:cs="宋体"/>
                <w:sz w:val="24"/>
                <w:lang w:eastAsia="zh-CN" w:bidi="ar-SA"/>
              </w:rPr>
            </w:pPr>
            <w:r>
              <w:rPr>
                <w:rFonts w:hint="eastAsia" w:ascii="宋体" w:hAnsi="宋体" w:cs="宋体"/>
                <w:i w:val="0"/>
                <w:color w:val="auto"/>
                <w:kern w:val="0"/>
                <w:sz w:val="20"/>
                <w:szCs w:val="20"/>
                <w:u w:val="none"/>
                <w:lang w:val="en-US" w:eastAsia="zh-CN"/>
              </w:rPr>
              <w:t>南召县县委宣传部、南召县文广旅局</w:t>
            </w:r>
          </w:p>
        </w:tc>
        <w:tc>
          <w:tcPr>
            <w:tcW w:w="1795" w:type="dxa"/>
            <w:tcBorders>
              <w:top w:val="single" w:color="000000" w:sz="6" w:space="0"/>
              <w:left w:val="single" w:color="000000" w:sz="6" w:space="0"/>
              <w:bottom w:val="single" w:color="000000" w:sz="6" w:space="0"/>
              <w:right w:val="nil"/>
            </w:tcBorders>
            <w:tcMar>
              <w:left w:w="115" w:type="dxa"/>
            </w:tcMar>
            <w:vAlign w:val="center"/>
          </w:tcPr>
          <w:p>
            <w:pPr>
              <w:widowControl/>
              <w:wordWrap/>
              <w:overflowPunct w:val="0"/>
              <w:autoSpaceDE w:val="0"/>
              <w:autoSpaceDN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rPr>
            </w:pPr>
            <w:r>
              <w:rPr>
                <w:rFonts w:hint="eastAsia" w:ascii="宋体" w:hAnsi="宋体" w:eastAsia="宋体" w:cs="宋体"/>
                <w:i w:val="0"/>
                <w:color w:val="auto"/>
                <w:kern w:val="0"/>
                <w:sz w:val="20"/>
                <w:szCs w:val="20"/>
                <w:u w:val="none"/>
                <w:lang w:val="en-US" w:eastAsia="zh-CN"/>
              </w:rPr>
              <w:t>政府网站；政务服务中心；</w:t>
            </w:r>
          </w:p>
          <w:p>
            <w:pPr>
              <w:spacing w:line="320" w:lineRule="exact"/>
              <w:jc w:val="left"/>
              <w:rPr>
                <w:rFonts w:hint="eastAsia" w:ascii="Times New Roman" w:hAnsi="Times New Roman" w:eastAsia="仿宋_GB2312" w:cs="Times New Roman"/>
                <w:color w:val="auto"/>
                <w:kern w:val="0"/>
                <w:sz w:val="24"/>
                <w:szCs w:val="24"/>
                <w:shd w:val="clear" w:color="auto" w:fill="FFFFFF"/>
                <w:lang w:bidi="ar-SA"/>
              </w:rPr>
            </w:pPr>
            <w:r>
              <w:rPr>
                <w:rFonts w:hint="eastAsia" w:ascii="宋体" w:hAnsi="宋体" w:eastAsia="宋体" w:cs="宋体"/>
                <w:i w:val="0"/>
                <w:color w:val="auto"/>
                <w:kern w:val="0"/>
                <w:sz w:val="20"/>
                <w:szCs w:val="20"/>
                <w:u w:val="none"/>
                <w:lang w:val="en-US" w:eastAsia="zh-CN"/>
              </w:rPr>
              <w:t>公开查阅点</w:t>
            </w:r>
          </w:p>
        </w:tc>
        <w:tc>
          <w:tcPr>
            <w:tcW w:w="43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r>
    </w:tbl>
    <w:p>
      <w:pPr>
        <w:widowControl/>
        <w:shd w:val="clear" w:color="auto" w:fill="FFFFFF"/>
        <w:spacing w:line="450" w:lineRule="atLeast"/>
      </w:pPr>
    </w:p>
    <w:sectPr>
      <w:footerReference r:id="rId3" w:type="default"/>
      <w:pgSz w:w="16840" w:h="11907" w:orient="landscape"/>
      <w:pgMar w:top="1094" w:right="1440" w:bottom="1457" w:left="238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方正黑体_GBK">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5OTI4NjQ1ZjZjNTc1ZWZkMTkwZTg3YTQwNDRiYTcifQ=="/>
  </w:docVars>
  <w:rsids>
    <w:rsidRoot w:val="00000000"/>
    <w:rsid w:val="52762C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next w:val="1"/>
    <w:autoRedefine/>
    <w:qFormat/>
    <w:uiPriority w:val="0"/>
    <w:pPr>
      <w:keepNext/>
      <w:keepLines/>
      <w:widowControl w:val="0"/>
      <w:spacing w:before="340" w:after="330" w:line="578" w:lineRule="auto"/>
      <w:jc w:val="both"/>
      <w:outlineLvl w:val="0"/>
    </w:pPr>
    <w:rPr>
      <w:rFonts w:ascii="Calibri" w:hAnsi="Calibri" w:eastAsia="宋体" w:cs="Arial"/>
      <w:b/>
      <w:bCs/>
      <w:kern w:val="44"/>
      <w:sz w:val="44"/>
      <w:szCs w:val="44"/>
      <w:lang w:val="en-US" w:eastAsia="zh-CN" w:bidi="ar-SA"/>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afterAutospacing="0"/>
    </w:pPr>
  </w:style>
  <w:style w:type="paragraph" w:styleId="6">
    <w:name w:val="footer"/>
    <w:uiPriority w:val="0"/>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 w:type="paragraph" w:styleId="7">
    <w:name w:val="header"/>
    <w:basedOn w:val="1"/>
    <w:uiPriority w:val="0"/>
    <w:pPr>
      <w:pBdr>
        <w:bottom w:val="single" w:color="auto" w:sz="6" w:space="1"/>
      </w:pBdr>
      <w:tabs>
        <w:tab w:val="center" w:pos="4153"/>
        <w:tab w:val="right" w:pos="8307"/>
      </w:tabs>
      <w:snapToGrid w:val="0"/>
      <w:jc w:val="center"/>
    </w:pPr>
    <w:rPr>
      <w:sz w:val="18"/>
      <w:szCs w:val="18"/>
    </w:rPr>
  </w:style>
  <w:style w:type="paragraph" w:customStyle="1" w:styleId="10">
    <w:name w:val="Body Text First Indent"/>
    <w:basedOn w:val="5"/>
    <w:next w:val="1"/>
    <w:autoRedefine/>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2021-12-22T15:55:00Z</dcterms:created>
  <dc:creator>zxb</dc:creator>
  <cp:lastModifiedBy>你微笑时好美</cp:lastModifiedBy>
  <cp:lastPrinted>2022-01-28T08:52:00Z</cp:lastPrinted>
  <dcterms:modified xsi:type="dcterms:W3CDTF">2024-01-09T06:54:09Z</dcterms:modified>
  <dc:title>greatwall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D1DB944D35AD42DAA661471683E1BC4B</vt:lpwstr>
  </property>
</Properties>
</file>