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before="64" w:line="227" w:lineRule="auto"/>
        <w:rPr>
          <w:rFonts w:ascii="黑体" w:hAnsi="黑体" w:eastAsia="黑体" w:cs="黑体"/>
          <w:color w:val="auto"/>
          <w:spacing w:val="-2"/>
          <w:sz w:val="31"/>
          <w:szCs w:val="31"/>
        </w:rPr>
      </w:pPr>
      <w:r>
        <w:rPr>
          <w:rFonts w:ascii="黑体" w:hAnsi="黑体" w:eastAsia="黑体" w:cs="黑体"/>
          <w:color w:val="auto"/>
          <w:spacing w:val="-3"/>
          <w:sz w:val="31"/>
          <w:szCs w:val="31"/>
        </w:rPr>
        <w:t>附</w:t>
      </w:r>
      <w:r>
        <w:rPr>
          <w:rFonts w:hint="eastAsia" w:ascii="黑体" w:hAnsi="黑体" w:eastAsia="黑体" w:cs="黑体"/>
          <w:color w:val="auto"/>
          <w:spacing w:val="-3"/>
          <w:sz w:val="31"/>
          <w:szCs w:val="31"/>
          <w:lang w:val="en-US" w:eastAsia="zh-CN"/>
        </w:rPr>
        <w:t xml:space="preserve"> </w:t>
      </w:r>
      <w:r>
        <w:rPr>
          <w:rFonts w:ascii="黑体" w:hAnsi="黑体" w:eastAsia="黑体" w:cs="黑体"/>
          <w:color w:val="auto"/>
          <w:spacing w:val="-2"/>
          <w:sz w:val="31"/>
          <w:szCs w:val="31"/>
        </w:rPr>
        <w:t>件</w:t>
      </w:r>
    </w:p>
    <w:p>
      <w:pPr>
        <w:pStyle w:val="2"/>
        <w:keepNext w:val="0"/>
        <w:keepLines w:val="0"/>
        <w:pageBreakBefore w:val="0"/>
        <w:widowControl/>
        <w:kinsoku/>
        <w:wordWrap/>
        <w:overflowPunct w:val="0"/>
        <w:topLinePunct w:val="0"/>
        <w:autoSpaceDE w:val="0"/>
        <w:autoSpaceDN w:val="0"/>
        <w:bidi w:val="0"/>
        <w:adjustRightInd w:val="0"/>
        <w:snapToGrid w:val="0"/>
        <w:rPr>
          <w:color w:val="auto"/>
        </w:rPr>
      </w:pPr>
    </w:p>
    <w:p>
      <w:pPr>
        <w:keepNext w:val="0"/>
        <w:keepLines w:val="0"/>
        <w:pageBreakBefore w:val="0"/>
        <w:widowControl/>
        <w:kinsoku/>
        <w:wordWrap/>
        <w:overflowPunct w:val="0"/>
        <w:topLinePunct w:val="0"/>
        <w:autoSpaceDE w:val="0"/>
        <w:autoSpaceDN w:val="0"/>
        <w:bidi w:val="0"/>
        <w:adjustRightInd w:val="0"/>
        <w:snapToGrid w:val="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1"/>
          <w:sz w:val="44"/>
          <w:szCs w:val="44"/>
          <w:lang w:val="en-US" w:eastAsia="zh-CN"/>
        </w:rPr>
        <w:t>南召县</w:t>
      </w:r>
      <w:r>
        <w:rPr>
          <w:rFonts w:ascii="方正小标宋简体" w:hAnsi="方正小标宋简体" w:eastAsia="方正小标宋简体" w:cs="方正小标宋简体"/>
          <w:color w:val="auto"/>
          <w:spacing w:val="-1"/>
          <w:sz w:val="44"/>
          <w:szCs w:val="44"/>
        </w:rPr>
        <w:t>广播电视基层</w:t>
      </w:r>
      <w:r>
        <w:rPr>
          <w:rFonts w:ascii="方正小标宋简体" w:hAnsi="方正小标宋简体" w:eastAsia="方正小标宋简体" w:cs="方正小标宋简体"/>
          <w:color w:val="auto"/>
          <w:sz w:val="44"/>
          <w:szCs w:val="44"/>
        </w:rPr>
        <w:t>政务公开标准</w:t>
      </w:r>
      <w:r>
        <w:rPr>
          <w:rFonts w:hint="eastAsia" w:ascii="方正小标宋简体" w:hAnsi="方正小标宋简体" w:eastAsia="方正小标宋简体" w:cs="方正小标宋简体"/>
          <w:color w:val="auto"/>
          <w:sz w:val="44"/>
          <w:szCs w:val="44"/>
          <w:lang w:eastAsia="zh-CN"/>
        </w:rPr>
        <w:t>目录</w:t>
      </w:r>
    </w:p>
    <w:tbl>
      <w:tblPr>
        <w:tblStyle w:val="4"/>
        <w:tblW w:w="149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05"/>
        <w:gridCol w:w="1582"/>
        <w:gridCol w:w="1561"/>
        <w:gridCol w:w="2576"/>
        <w:gridCol w:w="1260"/>
        <w:gridCol w:w="1045"/>
        <w:gridCol w:w="1317"/>
        <w:gridCol w:w="915"/>
        <w:gridCol w:w="676"/>
        <w:gridCol w:w="696"/>
        <w:gridCol w:w="676"/>
        <w:gridCol w:w="567"/>
        <w:gridCol w:w="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blHeader/>
          <w:jc w:val="center"/>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snapToGrid w:val="0"/>
                <w:color w:val="auto"/>
                <w:sz w:val="21"/>
                <w:szCs w:val="21"/>
                <w:lang w:val="en-US" w:eastAsia="zh-CN" w:bidi="ar"/>
              </w:rPr>
              <w:t>序号</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公开事项</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snapToGrid w:val="0"/>
                <w:color w:val="auto"/>
                <w:sz w:val="21"/>
                <w:szCs w:val="21"/>
                <w:lang w:val="en-US" w:eastAsia="zh-CN" w:bidi="ar"/>
              </w:rPr>
              <w:t>公开内容(要素)</w:t>
            </w:r>
          </w:p>
        </w:tc>
        <w:tc>
          <w:tcPr>
            <w:tcW w:w="2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公开依据</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公开时限</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snapToGrid w:val="0"/>
                <w:color w:val="auto"/>
                <w:kern w:val="0"/>
                <w:sz w:val="21"/>
                <w:szCs w:val="21"/>
                <w:u w:val="none"/>
                <w:lang w:val="en-US" w:eastAsia="zh-CN" w:bidi="ar"/>
              </w:rPr>
            </w:pPr>
            <w:r>
              <w:rPr>
                <w:rFonts w:hint="eastAsia" w:ascii="黑体" w:hAnsi="黑体" w:eastAsia="黑体" w:cs="黑体"/>
                <w:i w:val="0"/>
                <w:iCs w:val="0"/>
                <w:snapToGrid w:val="0"/>
                <w:color w:val="auto"/>
                <w:kern w:val="0"/>
                <w:sz w:val="21"/>
                <w:szCs w:val="21"/>
                <w:u w:val="none"/>
                <w:lang w:val="en-US" w:eastAsia="zh-CN" w:bidi="ar"/>
              </w:rPr>
              <w:t>公开</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主体</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公开渠道和载体</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公开对象</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公开方式</w:t>
            </w:r>
          </w:p>
        </w:tc>
        <w:tc>
          <w:tcPr>
            <w:tcW w:w="1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blHeader/>
          <w:jc w:val="center"/>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一级事项</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二级事项</w:t>
            </w: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2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黑体" w:hAnsi="黑体" w:eastAsia="黑体" w:cs="黑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特定群众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主动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依申请公开</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Style w:val="7"/>
                <w:rFonts w:hint="eastAsia" w:ascii="黑体" w:hAnsi="黑体" w:eastAsia="黑体" w:cs="黑体"/>
                <w:snapToGrid w:val="0"/>
                <w:color w:val="auto"/>
                <w:sz w:val="21"/>
                <w:szCs w:val="21"/>
                <w:lang w:val="en-US" w:eastAsia="zh-CN" w:bidi="ar"/>
              </w:rPr>
              <w:t>市、县级</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黑体" w:hAnsi="黑体" w:eastAsia="黑体" w:cs="黑体"/>
                <w:i w:val="0"/>
                <w:iCs w:val="0"/>
                <w:color w:val="auto"/>
                <w:sz w:val="21"/>
                <w:szCs w:val="21"/>
                <w:u w:val="none"/>
              </w:rPr>
            </w:pPr>
            <w:r>
              <w:rPr>
                <w:rFonts w:hint="eastAsia" w:ascii="黑体" w:hAnsi="黑体" w:eastAsia="黑体" w:cs="黑体"/>
                <w:i w:val="0"/>
                <w:iCs w:val="0"/>
                <w:snapToGrid w:val="0"/>
                <w:color w:val="auto"/>
                <w:kern w:val="0"/>
                <w:sz w:val="21"/>
                <w:szCs w:val="21"/>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政策法规文件</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法律、行政法规、部门规章</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•有关广播电视和网络视听的法律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•有关广播电视和网络视听的行政法规</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•有关广播电视和网络视听的部门规章</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《中华人民共和国政府信息公开条例》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bookmarkStart w:id="0" w:name="_GoBack"/>
            <w:bookmarkEnd w:id="0"/>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规范性文件</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•各级广播电视行政管理机构涉及广播电视和网络视听领域的规范性文件</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《中华人民共和国政府信息公开条例》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乡镇设立广播电视站和机关、部队、团体、企业事业单位设立有线广播电视站审批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•审批结果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《广播电视管理条例》</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《广播电视站审批管理暂行规定》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行政许可</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有线广播电视传输覆盖网工程验收审核</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•审核结果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卫星电视广播地面接收设施安装服务许可</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•许可结果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《卫星电视广播地面接收设施管理规定》《卫星电视广播地面接收设施安装服务暂行办法》</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《广电总局关于设立卫星地面接收设施安装服务机构审批事项的通知》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c>
          <w:tcPr>
            <w:tcW w:w="80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设置卫星电视广播地面接收设施审批</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•审批结果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对擅自设立广播电台、电视台、教育电视台、有线广播电视传输覆盖网、广播电视站的处罚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•处罚依据</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对擅自设立广播电视发射台、转播台、微波站、卫星上行站的处罚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对擅自设立广播电视节目制作经营单位的处罚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jc w:val="center"/>
        </w:trPr>
        <w:tc>
          <w:tcPr>
            <w:tcW w:w="57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w:t>
            </w:r>
          </w:p>
        </w:tc>
        <w:tc>
          <w:tcPr>
            <w:tcW w:w="80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对擅自制作、发行、播出电视剧或者擅自制作其他广播电视节目的处罚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《电视剧内容管理规定》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对制作、发行、播放、向境外提供含有禁止内容的节目的处罚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《电视剧内容管理规定》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12</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对擅自变更台名、台标、节目设置范围或者节目套数的处罚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13</w:t>
            </w:r>
          </w:p>
        </w:tc>
        <w:tc>
          <w:tcPr>
            <w:tcW w:w="8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对出租、转让播出时段的处罚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5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14</w:t>
            </w:r>
          </w:p>
        </w:tc>
        <w:tc>
          <w:tcPr>
            <w:tcW w:w="805"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对违规转播、播放广播电视节目的处罚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jc w:val="center"/>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15</w:t>
            </w:r>
          </w:p>
        </w:tc>
        <w:tc>
          <w:tcPr>
            <w:tcW w:w="805"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对违反引进动画片播出比例或播出广告时间超过未成年人节目管理规定的处罚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《未成年人节目管理规定》《境外电视节目引进、播出管理规定》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16</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对播放境外广播电视节目或者广告的时间超出规定的处罚</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9" w:hRule="atLeast"/>
          <w:jc w:val="center"/>
        </w:trPr>
        <w:tc>
          <w:tcPr>
            <w:tcW w:w="5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17</w:t>
            </w:r>
          </w:p>
        </w:tc>
        <w:tc>
          <w:tcPr>
            <w:tcW w:w="805"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对播放未取得广播电视节目制作经营许可的单位制作的广播电视节目或者未取得电视剧制作许可的单位制作的电视剧的处罚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atLeast"/>
          <w:jc w:val="center"/>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18</w:t>
            </w:r>
          </w:p>
        </w:tc>
        <w:tc>
          <w:tcPr>
            <w:tcW w:w="805"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对违规发行和播出未经审查的中外合作制作电视剧(含电视动画片)的处罚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《中外合作制作电视剧管理规定》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19</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snapToGrid w:val="0"/>
                <w:color w:val="FF0000"/>
                <w:kern w:val="0"/>
                <w:sz w:val="21"/>
                <w:szCs w:val="21"/>
                <w:u w:val="none"/>
                <w:lang w:val="en-US" w:eastAsia="zh-CN" w:bidi="ar"/>
              </w:rPr>
              <w:t>对违规从事中外合作制作电视剧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《中外合作制作电视剧管理规定》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8" w:hRule="atLeast"/>
          <w:jc w:val="center"/>
        </w:trPr>
        <w:tc>
          <w:tcPr>
            <w:tcW w:w="5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20</w:t>
            </w:r>
          </w:p>
        </w:tc>
        <w:tc>
          <w:tcPr>
            <w:tcW w:w="805" w:type="dxa"/>
            <w:vMerge w:val="continue"/>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对播放未经批准的境外电影、电视剧和其他广播电视节目的处罚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21</w:t>
            </w:r>
          </w:p>
        </w:tc>
        <w:tc>
          <w:tcPr>
            <w:tcW w:w="805" w:type="dxa"/>
            <w:vMerge w:val="continue"/>
            <w:tcBorders>
              <w:left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对教育电视台播放规定禁止播放的节目的处罚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22</w:t>
            </w:r>
          </w:p>
        </w:tc>
        <w:tc>
          <w:tcPr>
            <w:tcW w:w="805"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对擅自举办广播电视节目交流、交易活动的处罚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23</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对出租、转让频率、频段，擅自变更广播电视发射台、转播台技术参数的处罚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24</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对广播电视发射台、转播台擅自播放自办节目、插播广告的处罚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对擅自利用卫星方式传输广播电视节目的处罚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对擅自以卫星等传输方式进口、转播境外广播电视节目的处罚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《境外电视节目引进、播出管理规定》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27</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对擅自利用有线广播电视传输覆盖网播放节目的处罚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28</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对擅自进行广播电视传输覆盖网的工程选址、设计、施工、安装的处罚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29</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对侵占、干扰广播电视专用频率和擅自截传、干扰、解扰广播电视信号的处罚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30</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对危害广播电台、电视台安全播出及破坏广播电视设施的处罚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《广播电视管理条例》《广播电视设施保护条例》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31</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对违反规定在广播电视设施保护范围内实施破坏或者威胁广播电视设施安全的行为的处罚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jc w:val="lef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《广播电视设施保护条例》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32</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对已获得入网认定证书的生产企业实施违反有关生产、管理或服务规定行为的处罚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《广播电视设备器材入网认定管理办法》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33</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对擅自安装和使用卫星地面接收设施的处罚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《卫星地面接收设施接收外国卫星传送电视节目管理办法》</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对未持有《许可证》而擅自设置卫星地面接收设施接收外国卫星传送的电视节目的处罚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《卫星地面接收设施接收外国卫星传送电视节目管理办法》《〈卫星电视广播地面接收设施管理规定〉实施细则》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对擅自提供卫星地面接收设施安装服务的处罚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《〈卫星电视广播地面接收设施管理规定〉实施细则》《卫星电视广播地面接收设施安装服务暂行办法》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对卫星地面接收设施安装服务机构和卫星地面接收设施生产企业之间，违规存在利益关联的处罚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《卫星电视广播地面接收设施安装服务暂行办法》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37</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对违规接收、使用、录制、传播外国卫星传送电视节目的处罚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《卫星地面接收设施接收外国卫星传送电视节目管理办法》</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《〈卫星电视广播地面接收设施管理规定〉实施细则》</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38</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对擅自从事广播电视节目传送业务的处罚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《广播电视节目传送业务管理办法》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39</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对从事广播电视传送业务的机构实施有关违规行为的处罚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《广播电视节目传送业务管理办法》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40</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对播出含有禁止内容的、禁止播出的广播电视广告的处罚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《广播电视广告播出管理办法》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对播放广告超时、违规插播广告的处罚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《广播电视广告播出管理办法》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对违规冠名、违规播出具有博彩性质广告、违规播出挂角广告、播出商业广告不尊重公众生活习惯、违规播出酒类商业广告的处罚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《广播电视管理条例》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43</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对违规开办有线电视台、电视站、使用有线电视设施以及违规开展有线电视播映活动的处罚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《有线电视管理暂行办法》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对擅自开办视频点播业务的处罚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《广播电视视频点播业务管理办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对持有《广播电视视频点播业务许可证》的机构实施有关违规行为的处罚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《广播电视视频点播业务管理办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对宾馆饭店允许无证机构在其宾馆饭店内经营视频点播业务的处罚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《广播电视视频点播业务管理办法》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对擅自从事专网及定向传播视听节目服务的处罚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《专网及定向传播视听节目服务管理规定》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48</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对专网及定向传播视听节目服务单位实施的其他违规行为的处罚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《专网及定向传播视听节目服务管理规定》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49</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对专网及定向传播视听节目服务单位实施的其他违规行为的处罚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《专网及定向传播视听节目服务管理规定》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50</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对擅自从事互联网视听节目服务的处罚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51</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对互联网视听节目服务单位传播违规节目内容的处罚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52</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对互联网视听节目服务单位未按照许可证载明或备案的事项从事互联网视听节目服务的或违规播出时政类视听新闻节目的处罚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53</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对互联网视听节目服务单位转播、链接、聚合、集成非法的广播电视频道和视听节目网站内容的，擅自插播、截留视听节目信号的处罚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54</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spacing w:val="-3"/>
                <w:kern w:val="0"/>
                <w:sz w:val="21"/>
                <w:szCs w:val="21"/>
                <w:u w:val="none"/>
                <w:lang w:val="en-US" w:eastAsia="zh-CN" w:bidi="ar"/>
              </w:rPr>
              <w:t>对互联网视听节目服务单位实施违规经营和管理行为的处罚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《互联网视听节目服务管理规定》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55</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对制作、传播渲染暴力、血腥、恐怖，教唆犯罪或者传授犯罪方法的未成年人节目的处罚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《未成年人节目管理规定》</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对在以科普、教育、警示为目的制作的未成年人节目中包含渲染暴力、血腥、恐怖，教唆犯罪或者传授犯罪方法，但未设置明确提醒、进行技术处理的处罚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《未成年人节目管理规定》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57</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对制作、传播利用未成年人或者未成年人角色进行商业宣传的非广告类节目的处罚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《广播电视管理条例》</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《未成年人节目管理规定》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58</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对机构和人员设置、技术系统配置、管理制度、运行流程、应急预案等不符合有关规定，导致播出质量达不到要求的处罚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59</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对技术系统的代维单位管理不力、引发重大安全播出事故的处罚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60</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对安全播出责任单位之间责任界限不清晰、导致故障处置不及时的处罚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61</w:t>
            </w:r>
          </w:p>
        </w:tc>
        <w:tc>
          <w:tcPr>
            <w:tcW w:w="8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对节目播出、传送质量不好影响用户正常接收广播电视节目的处罚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4"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62</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对从事广播电视传输、分发、覆盖业务的安全播出责任单位未按照有关规定完整传输、分发必转的广播电视节目的处罚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63</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对未按照规定向广播电视行政部门设立的监测监管、指挥调度机构提供完整节目信号、解密授权及相关信息，或者干扰、阻碍监测监管、指挥调度活动的处罚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64</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jc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对妨碍广播电视行政部门监督检查、事故调查，或者不服从安全播出统一调配的处罚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65</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行政处罚</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对未按照规定记录、保存本单位播出、集成、传输、分发、发射的节目信号的质量和效果的处罚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66</w:t>
            </w: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对未按照规定向广播电视行政部门备案安全保障方案或者应急预案的处罚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•主体信息</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•案由</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•处罚依据</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•处罚结果</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《广播电视安全播出管理规定》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公共服务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Style w:val="8"/>
                <w:rFonts w:hint="eastAsia" w:ascii="宋体" w:hAnsi="宋体" w:eastAsia="宋体" w:cs="宋体"/>
                <w:snapToGrid w:val="0"/>
                <w:color w:val="auto"/>
                <w:sz w:val="21"/>
                <w:szCs w:val="21"/>
                <w:lang w:val="en-US" w:eastAsia="zh-CN" w:bidi="ar"/>
              </w:rPr>
              <w:t>广播电视基本公共服务标准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•国家基本公共服务标准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•地方具体实施配套标准</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•市县标准化目录</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《关于印发＜国家基本公共服务标准(2021年版)＞的通知》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信息形成(变更)</w:t>
            </w:r>
            <w:r>
              <w:rPr>
                <w:rStyle w:val="9"/>
                <w:rFonts w:hint="eastAsia" w:ascii="宋体" w:hAnsi="宋体" w:eastAsia="宋体" w:cs="宋体"/>
                <w:snapToGrid w:val="0"/>
                <w:color w:val="auto"/>
                <w:sz w:val="21"/>
                <w:szCs w:val="21"/>
                <w:lang w:val="en-US" w:eastAsia="zh-CN" w:bidi="ar"/>
              </w:rPr>
              <w:t>20</w:t>
            </w:r>
            <w:r>
              <w:rPr>
                <w:rStyle w:val="8"/>
                <w:rFonts w:hint="eastAsia" w:ascii="宋体" w:hAnsi="宋体" w:eastAsia="宋体" w:cs="宋体"/>
                <w:snapToGrid w:val="0"/>
                <w:color w:val="auto"/>
                <w:sz w:val="21"/>
                <w:szCs w:val="21"/>
                <w:lang w:val="en-US" w:eastAsia="zh-CN" w:bidi="ar"/>
              </w:rPr>
              <w:t>个工作日内</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南召县文广旅局</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政府网站；政务服务中心；</w:t>
            </w:r>
          </w:p>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color w:val="auto"/>
                <w:kern w:val="0"/>
                <w:sz w:val="20"/>
                <w:szCs w:val="20"/>
                <w:u w:val="none"/>
                <w:lang w:val="en-US" w:eastAsia="zh-CN" w:bidi="ar"/>
              </w:rPr>
              <w:t>公开查阅点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rPr>
                <w:rFonts w:hint="eastAsia" w:ascii="宋体" w:hAnsi="宋体" w:eastAsia="宋体" w:cs="宋体"/>
                <w:i w:val="0"/>
                <w:iCs w:val="0"/>
                <w:color w:val="auto"/>
                <w:sz w:val="21"/>
                <w:szCs w:val="21"/>
                <w:u w:val="none"/>
              </w:rPr>
            </w:pPr>
          </w:p>
        </w:tc>
      </w:tr>
    </w:tbl>
    <w:p>
      <w:pPr>
        <w:pStyle w:val="2"/>
        <w:keepNext w:val="0"/>
        <w:keepLines w:val="0"/>
        <w:pageBreakBefore w:val="0"/>
        <w:widowControl/>
        <w:kinsoku/>
        <w:wordWrap/>
        <w:overflowPunct w:val="0"/>
        <w:topLinePunct w:val="0"/>
        <w:autoSpaceDE w:val="0"/>
        <w:autoSpaceDN w:val="0"/>
        <w:bidi w:val="0"/>
        <w:adjustRightInd w:val="0"/>
        <w:snapToGrid w:val="0"/>
        <w:rPr>
          <w:color w:val="auto"/>
        </w:rPr>
      </w:pPr>
    </w:p>
    <w:sectPr>
      <w:pgSz w:w="16838" w:h="11905" w:orient="landscape"/>
      <w:pgMar w:top="1417" w:right="1417" w:bottom="1417" w:left="1417" w:header="0" w:footer="1077"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M5OTI4NjQ1ZjZjNTc1ZWZkMTkwZTg3YTQwNDRiYTcifQ=="/>
  </w:docVars>
  <w:rsids>
    <w:rsidRoot w:val="00000000"/>
    <w:rsid w:val="01A669A4"/>
    <w:rsid w:val="1CA7781A"/>
    <w:rsid w:val="1FDFE2B5"/>
    <w:rsid w:val="25E752CF"/>
    <w:rsid w:val="2FAE48B1"/>
    <w:rsid w:val="3EFD5BEB"/>
    <w:rsid w:val="3FDD80E9"/>
    <w:rsid w:val="4FF2C1C5"/>
    <w:rsid w:val="5AFFF3D7"/>
    <w:rsid w:val="5B4F4F02"/>
    <w:rsid w:val="5ED959F0"/>
    <w:rsid w:val="5FFBAC42"/>
    <w:rsid w:val="67BF4822"/>
    <w:rsid w:val="6BFE3F3D"/>
    <w:rsid w:val="6FDF25D5"/>
    <w:rsid w:val="77FE3A4A"/>
    <w:rsid w:val="7B44CCAA"/>
    <w:rsid w:val="7BFB4469"/>
    <w:rsid w:val="7CBFF3B9"/>
    <w:rsid w:val="7D5F141C"/>
    <w:rsid w:val="7E6680AE"/>
    <w:rsid w:val="7EE95328"/>
    <w:rsid w:val="7F479550"/>
    <w:rsid w:val="7F6FF23D"/>
    <w:rsid w:val="7F8FCDF3"/>
    <w:rsid w:val="7FC9722F"/>
    <w:rsid w:val="7FFF7998"/>
    <w:rsid w:val="B3F2CF49"/>
    <w:rsid w:val="B7E16EEB"/>
    <w:rsid w:val="B97D994E"/>
    <w:rsid w:val="BDFD3823"/>
    <w:rsid w:val="BFAC1161"/>
    <w:rsid w:val="BFDF1E33"/>
    <w:rsid w:val="BFED82C0"/>
    <w:rsid w:val="CBDFE6C9"/>
    <w:rsid w:val="DF759F44"/>
    <w:rsid w:val="DFBC169E"/>
    <w:rsid w:val="DFF8D16A"/>
    <w:rsid w:val="DFFFA833"/>
    <w:rsid w:val="EDBF2EB0"/>
    <w:rsid w:val="F5F73E1C"/>
    <w:rsid w:val="FAFB2084"/>
    <w:rsid w:val="FB9EED63"/>
    <w:rsid w:val="FBF6630A"/>
    <w:rsid w:val="FEE5461E"/>
    <w:rsid w:val="FFE38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qFormat/>
    <w:uiPriority w:val="0"/>
    <w:pPr>
      <w:spacing w:after="120" w:afterLines="0" w:afterAutospacing="0"/>
    </w:p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11"/>
    <w:basedOn w:val="5"/>
    <w:autoRedefine/>
    <w:qFormat/>
    <w:uiPriority w:val="0"/>
    <w:rPr>
      <w:rFonts w:hint="eastAsia" w:ascii="微软雅黑" w:hAnsi="微软雅黑" w:eastAsia="微软雅黑" w:cs="微软雅黑"/>
      <w:color w:val="000000"/>
      <w:sz w:val="21"/>
      <w:szCs w:val="21"/>
      <w:u w:val="none"/>
    </w:rPr>
  </w:style>
  <w:style w:type="character" w:customStyle="1" w:styleId="8">
    <w:name w:val="font41"/>
    <w:basedOn w:val="5"/>
    <w:autoRedefine/>
    <w:qFormat/>
    <w:uiPriority w:val="0"/>
    <w:rPr>
      <w:rFonts w:hint="eastAsia" w:ascii="宋体" w:hAnsi="宋体" w:eastAsia="宋体" w:cs="宋体"/>
      <w:color w:val="000000"/>
      <w:sz w:val="21"/>
      <w:szCs w:val="21"/>
      <w:u w:val="none"/>
    </w:rPr>
  </w:style>
  <w:style w:type="character" w:customStyle="1" w:styleId="9">
    <w:name w:val="font31"/>
    <w:basedOn w:val="5"/>
    <w:autoRedefine/>
    <w:qFormat/>
    <w:uiPriority w:val="0"/>
    <w:rPr>
      <w:rFonts w:hint="default" w:ascii="Calibri" w:hAnsi="Calibri" w:cs="Calibri"/>
      <w:color w:val="000000"/>
      <w:sz w:val="21"/>
      <w:szCs w:val="21"/>
      <w:u w:val="none"/>
    </w:rPr>
  </w:style>
  <w:style w:type="character" w:customStyle="1" w:styleId="10">
    <w:name w:val="font51"/>
    <w:basedOn w:val="5"/>
    <w:autoRedefine/>
    <w:qFormat/>
    <w:uiPriority w:val="0"/>
    <w:rPr>
      <w:rFonts w:hint="eastAsia" w:ascii="方正舒体" w:hAnsi="方正舒体" w:eastAsia="方正舒体" w:cs="方正舒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7533</Words>
  <Characters>7733</Characters>
  <TotalTime>0</TotalTime>
  <ScaleCrop>false</ScaleCrop>
  <LinksUpToDate>false</LinksUpToDate>
  <CharactersWithSpaces>7734</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2022-01-15T02:20:00Z</dcterms:created>
  <dc:creator>李炜</dc:creator>
  <cp:lastModifiedBy>你微笑时好美</cp:lastModifiedBy>
  <dcterms:modified xsi:type="dcterms:W3CDTF">2024-01-09T06:55:42Z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2023-04-23T18:08:45Z</vt:filetime>
  </property>
  <property fmtid="{D5CDD505-2E9C-101B-9397-08002B2CF9AE}" pid="4" name="KSOProductBuildVer">
    <vt:lpwstr>2052-12.1.0.16120</vt:lpwstr>
  </property>
  <property fmtid="{D5CDD505-2E9C-101B-9397-08002B2CF9AE}" pid="5" name="ICV">
    <vt:lpwstr>22DE57A61ECA4C77B6AEF8F2E00FA9A6_12</vt:lpwstr>
  </property>
</Properties>
</file>