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bottom w:val="single" w:color="D20000" w:sz="36" w:space="22"/>
        </w:pBdr>
        <w:shd w:val="clear" w:color="auto" w:fill="FFFFFF"/>
        <w:adjustRightInd w:val="0"/>
        <w:snapToGrid w:val="0"/>
        <w:spacing w:before="300" w:afterAutospacing="0"/>
        <w:ind w:firstLine="0" w:firstLineChars="0"/>
        <w:jc w:val="center"/>
        <w:outlineLvl w:val="3"/>
        <w:rPr>
          <w:rFonts w:ascii="宋体" w:hAnsi="宋体" w:cs="宋体"/>
          <w:b/>
          <w:bCs/>
          <w:color w:val="D20000"/>
          <w:kern w:val="0"/>
          <w:sz w:val="42"/>
          <w:szCs w:val="42"/>
        </w:rPr>
      </w:pPr>
      <w:r>
        <w:rPr>
          <w:rFonts w:hint="eastAsia" w:ascii="宋体" w:hAnsi="宋体" w:cs="宋体"/>
          <w:b/>
          <w:bCs/>
          <w:color w:val="D20000"/>
          <w:kern w:val="0"/>
          <w:sz w:val="42"/>
          <w:szCs w:val="42"/>
        </w:rPr>
        <w:t>2022年度</w:t>
      </w:r>
      <w:r>
        <w:rPr>
          <w:rFonts w:hint="eastAsia" w:ascii="宋体" w:hAnsi="宋体" w:cs="宋体"/>
          <w:b/>
          <w:bCs/>
          <w:color w:val="D20000"/>
          <w:kern w:val="0"/>
          <w:sz w:val="42"/>
          <w:szCs w:val="42"/>
          <w:lang w:eastAsia="zh-CN"/>
        </w:rPr>
        <w:t>南召县卫生健康</w:t>
      </w:r>
      <w:r>
        <w:rPr>
          <w:rFonts w:hint="eastAsia" w:ascii="宋体" w:hAnsi="宋体" w:cs="宋体"/>
          <w:b/>
          <w:bCs/>
          <w:color w:val="D20000"/>
          <w:kern w:val="0"/>
          <w:sz w:val="42"/>
          <w:szCs w:val="42"/>
        </w:rPr>
        <w:t>部门预算公开说明</w:t>
      </w:r>
    </w:p>
    <w:p>
      <w:pPr>
        <w:pStyle w:val="2"/>
        <w:keepNext/>
        <w:keepLines/>
        <w:widowControl w:val="0"/>
        <w:wordWrap/>
        <w:adjustRightInd/>
        <w:snapToGrid/>
        <w:spacing w:before="140" w:after="140" w:line="413"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第一部分 </w:t>
      </w: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概况</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一、主要职责</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二、预算单位构成</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第二部分 </w:t>
      </w: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2022年部门预算情况说明</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第三部分 </w:t>
      </w:r>
      <w:r>
        <w:rPr>
          <w:rFonts w:hint="eastAsia" w:ascii="宋体" w:hAnsi="宋体" w:eastAsia="宋体" w:cs="宋体"/>
          <w:b/>
          <w:bCs/>
          <w:sz w:val="28"/>
          <w:szCs w:val="28"/>
          <w:lang w:val="en-US" w:eastAsia="zh-CN"/>
        </w:rPr>
        <w:t>名词解释</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 xml:space="preserve">附件 </w:t>
      </w: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2022年度部门预算表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一、2022年部门收支预算表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二、2022年部门收入预算表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三、2022年部门支出预算表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四、2022年财政拨款收支预算表</w:t>
      </w:r>
    </w:p>
    <w:p>
      <w:pPr>
        <w:widowControl w:val="0"/>
        <w:numPr>
          <w:numId w:val="0"/>
        </w:numPr>
        <w:wordWrap/>
        <w:adjustRightInd/>
        <w:snapToGrid/>
        <w:spacing w:beforeLines="50" w:line="444" w:lineRule="auto"/>
        <w:ind w:left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五、2022年一般公共预算支出预算表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六、一般公共预算基本支出表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七、2022年一般公共预算“三公”经费预算表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八、2022年政府性基金支出预算表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九、项目支出预算表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十、本级部门（单位）整体绩效目标表</w:t>
      </w:r>
    </w:p>
    <w:p>
      <w:pPr>
        <w:widowControl w:val="0"/>
        <w:numPr>
          <w:numId w:val="0"/>
        </w:numPr>
        <w:wordWrap/>
        <w:adjustRightInd/>
        <w:snapToGrid/>
        <w:spacing w:beforeLines="50" w:line="444"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十一、2022年度本级部门预算项目绩效目标汇总表</w:t>
      </w:r>
    </w:p>
    <w:p>
      <w:pPr>
        <w:widowControl w:val="0"/>
        <w:numPr>
          <w:numId w:val="0"/>
        </w:numPr>
        <w:wordWrap/>
        <w:adjustRightInd/>
        <w:snapToGrid/>
        <w:spacing w:line="444" w:lineRule="auto"/>
        <w:textAlignment w:val="auto"/>
        <w:rPr>
          <w:rFonts w:hint="eastAsia" w:ascii="宋体" w:hAnsi="宋体" w:eastAsia="宋体" w:cs="宋体"/>
          <w:b/>
          <w:bCs/>
          <w:sz w:val="28"/>
          <w:szCs w:val="28"/>
          <w:lang w:val="en-US" w:eastAsia="zh-CN"/>
        </w:rPr>
      </w:pPr>
    </w:p>
    <w:p>
      <w:pPr>
        <w:widowControl w:val="0"/>
        <w:numPr>
          <w:numId w:val="0"/>
        </w:numPr>
        <w:wordWrap/>
        <w:adjustRightInd/>
        <w:snapToGrid/>
        <w:spacing w:beforeLines="50" w:afterLines="50" w:line="48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第一部分</w:t>
      </w:r>
    </w:p>
    <w:p>
      <w:pPr>
        <w:widowControl w:val="0"/>
        <w:numPr>
          <w:numId w:val="0"/>
        </w:numPr>
        <w:wordWrap/>
        <w:adjustRightInd/>
        <w:snapToGrid/>
        <w:spacing w:beforeLines="50" w:afterLines="50" w:line="48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南召县</w:t>
      </w:r>
      <w:r>
        <w:rPr>
          <w:rFonts w:hint="eastAsia" w:ascii="宋体" w:hAnsi="宋体" w:cs="宋体"/>
          <w:b/>
          <w:bCs/>
          <w:sz w:val="28"/>
          <w:szCs w:val="28"/>
          <w:lang w:val="en-US" w:eastAsia="zh-CN"/>
        </w:rPr>
        <w:t>卫生健康委员会</w:t>
      </w:r>
      <w:r>
        <w:rPr>
          <w:rFonts w:hint="eastAsia" w:ascii="宋体" w:hAnsi="宋体" w:eastAsia="宋体" w:cs="宋体"/>
          <w:b/>
          <w:bCs/>
          <w:sz w:val="28"/>
          <w:szCs w:val="28"/>
          <w:lang w:val="en-US" w:eastAsia="zh-CN"/>
        </w:rPr>
        <w:t>概况</w:t>
      </w:r>
    </w:p>
    <w:p>
      <w:pPr>
        <w:widowControl/>
        <w:shd w:val="clear" w:color="auto" w:fill="FFFFFF"/>
        <w:adjustRightInd w:val="0"/>
        <w:snapToGrid w:val="0"/>
        <w:spacing w:before="100" w:beforeAutospacing="1" w:after="240" w:line="360" w:lineRule="auto"/>
        <w:ind w:firstLine="542" w:firstLineChars="200"/>
        <w:jc w:val="left"/>
        <w:rPr>
          <w:rFonts w:hint="eastAsia" w:ascii="宋体" w:hAnsi="宋体" w:cs="宋体"/>
          <w:b/>
          <w:bCs/>
          <w:color w:val="000000"/>
          <w:kern w:val="0"/>
          <w:sz w:val="27"/>
          <w:szCs w:val="27"/>
        </w:rPr>
      </w:pPr>
      <w:r>
        <w:rPr>
          <w:rFonts w:hint="eastAsia" w:ascii="宋体" w:hAnsi="宋体" w:cs="宋体"/>
          <w:b/>
          <w:bCs/>
          <w:color w:val="000000"/>
          <w:kern w:val="0"/>
          <w:sz w:val="27"/>
          <w:szCs w:val="27"/>
        </w:rPr>
        <w:t>一、</w:t>
      </w:r>
      <w:r>
        <w:rPr>
          <w:rFonts w:hint="eastAsia" w:ascii="宋体" w:hAnsi="宋体" w:cs="宋体"/>
          <w:b/>
          <w:bCs/>
          <w:color w:val="000000"/>
          <w:kern w:val="0"/>
          <w:sz w:val="27"/>
          <w:szCs w:val="27"/>
          <w:lang w:eastAsia="zh-CN"/>
        </w:rPr>
        <w:t>南召县</w:t>
      </w:r>
      <w:r>
        <w:rPr>
          <w:rFonts w:hint="eastAsia" w:ascii="宋体" w:hAnsi="宋体" w:cs="宋体"/>
          <w:b/>
          <w:bCs/>
          <w:sz w:val="28"/>
          <w:szCs w:val="28"/>
          <w:lang w:val="en-US" w:eastAsia="zh-CN"/>
        </w:rPr>
        <w:t>卫生健康委员会</w:t>
      </w:r>
      <w:r>
        <w:rPr>
          <w:rFonts w:hint="eastAsia" w:ascii="宋体" w:hAnsi="宋体" w:cs="宋体"/>
          <w:b/>
          <w:bCs/>
          <w:color w:val="000000"/>
          <w:kern w:val="0"/>
          <w:sz w:val="27"/>
          <w:szCs w:val="27"/>
        </w:rPr>
        <w:t>主要职责：</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一)贯彻执行党和国家国民健康、卫生健康事业发展法律法规、政策、规划，负责组织实施全县卫生健康事业发展的法规、规章和地方标准。统筹规划全县卫生健康资源配置，负责南召区域卫生健康规划编制和实施。拟订推进全县卫生健康基本公共服务均等化、普惠化、便捷化和公共资源向基层延伸等政策措施并组织实施。</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二)协调推进深化医药卫生体制改革，探索提出全县深化医药卫生体制改革重大政策、措施的建议。组织深化公立医院综合改革，推进管办分离，健全现代医院管理制度，组织实施国家及省、市、县卫生健康公共服务提供主体多元化、提供方式多样化的政策措施，提出医疗服务和药品价格政策的建议。</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(三)拟订并组织落实全县疾病预防控制规划、免疫规划以及严重危害人民健康公共卫生问题的干预措施。负责卫生应急工作，组织指导突发公共卫生事件的预防控制和各类突发公共事件的医疗卫生救援。</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(四)协调落实应对人口老龄化政策措施，负责推进老年健康服务体系建设和医养结合工作。</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(五)贯彻落实国家药物政策和国家基本药物制度，开展药品使用监测、临床综合评价和短缺药品预警。组织开展食品安全风险监测评估，参与拟订食品安全地方标准。</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(六)负责职责范围内的职业卫生、放射卫生、环境卫生、学校卫生、公共场所卫生、饮用水卫生等公共卫生的监督管理，负责传染病防治监督，健全卫生健康综合监督体系。</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七)负责全县医疗机构、医疗服务行业、采供血机构管理办法的监督实施，建立医疗服务评价和监督管理体系。会同有关部门贯彻执行国家卫生健康专业技术人员资格标准。组织实施医疗服务规范、标准和卫生健康专业技术人员执业规则、服务规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(八)负责计划生育管理和服务工作，开展人口监测预警，研究提出人口与家庭发展相关政策建议，提出完善计划生育政策。</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(九)指导基层医疗卫生、妇幼健康服务体系建设，加强全科医生队伍建设。推进卫生健康科技创新发展。</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(十) 负责中医药管理工作，拟订全县中医药事业中长期发展规划。</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(十一) 承担全县爱国卫生运动委员会、艾滋病防治工作委员会、县中医药工作领导小组、县老龄工作委员会、人口和计划生育工作领导小组日常工作，指导县计划生育协会、红十字协会的业务工作。</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000000"/>
          <w:kern w:val="0"/>
          <w:sz w:val="27"/>
          <w:szCs w:val="27"/>
          <w:lang w:eastAsia="zh-CN"/>
        </w:rPr>
        <w:t>　　　　(十二) 完成县委、县政府交办的其他任务。</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二、</w:t>
      </w:r>
      <w:r>
        <w:rPr>
          <w:rFonts w:hint="eastAsia" w:ascii="宋体" w:hAnsi="宋体" w:cs="宋体"/>
          <w:b/>
          <w:bCs/>
          <w:color w:val="000000"/>
          <w:kern w:val="0"/>
          <w:sz w:val="27"/>
          <w:szCs w:val="27"/>
          <w:lang w:eastAsia="zh-CN"/>
        </w:rPr>
        <w:t>南召县</w:t>
      </w:r>
      <w:r>
        <w:rPr>
          <w:rFonts w:hint="eastAsia" w:ascii="宋体" w:hAnsi="宋体" w:cs="宋体"/>
          <w:b/>
          <w:bCs/>
          <w:sz w:val="28"/>
          <w:szCs w:val="28"/>
          <w:lang w:val="en-US" w:eastAsia="zh-CN"/>
        </w:rPr>
        <w:t>卫生健康委员会</w:t>
      </w:r>
      <w:r>
        <w:rPr>
          <w:rFonts w:hint="eastAsia" w:ascii="宋体" w:hAnsi="宋体" w:cs="宋体"/>
          <w:b/>
          <w:bCs/>
          <w:color w:val="000000"/>
          <w:kern w:val="0"/>
          <w:sz w:val="27"/>
          <w:szCs w:val="27"/>
        </w:rPr>
        <w:t>构成</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w:t>
      </w:r>
      <w:r>
        <w:rPr>
          <w:rFonts w:hint="eastAsia" w:ascii="宋体" w:hAnsi="宋体" w:cs="宋体"/>
          <w:color w:val="000000"/>
          <w:kern w:val="0"/>
          <w:sz w:val="27"/>
          <w:szCs w:val="27"/>
          <w:lang w:val="en-US" w:eastAsia="zh-CN"/>
        </w:rPr>
        <w:t>卫生健康委员会</w:t>
      </w:r>
      <w:r>
        <w:rPr>
          <w:rFonts w:hint="eastAsia" w:ascii="宋体" w:hAnsi="宋体" w:cs="宋体"/>
          <w:color w:val="000000"/>
          <w:kern w:val="0"/>
          <w:sz w:val="27"/>
          <w:szCs w:val="27"/>
          <w:lang w:eastAsia="zh-CN"/>
        </w:rPr>
        <w:t>包含</w:t>
      </w:r>
      <w:r>
        <w:rPr>
          <w:rFonts w:hint="eastAsia" w:ascii="宋体" w:hAnsi="宋体" w:cs="宋体"/>
          <w:color w:val="000000"/>
          <w:kern w:val="0"/>
          <w:sz w:val="27"/>
          <w:szCs w:val="27"/>
          <w:lang w:val="en-US" w:eastAsia="zh-CN"/>
        </w:rPr>
        <w:t>15</w:t>
      </w:r>
      <w:r>
        <w:rPr>
          <w:rFonts w:hint="eastAsia" w:ascii="宋体" w:hAnsi="宋体" w:cs="宋体"/>
          <w:color w:val="000000"/>
          <w:kern w:val="0"/>
          <w:sz w:val="27"/>
          <w:szCs w:val="27"/>
          <w:lang w:eastAsia="zh-CN"/>
        </w:rPr>
        <w:t>个内设股室，分别为：办公室、人事科、财务科、规划发展与信息科、疾病预防控制科、医政医管科（医改办）、中医药管理科、基层卫生健康科、综合监督与法制科（行政审批科）、药物政策与基本药物制度科、老龄健康与人口监测家庭发展科、爱卫与宣教科、妇幼保健科、职业病防治科（卫生应急办公室）、信访科（退役军人服务站）。</w:t>
      </w:r>
      <w:r>
        <w:rPr>
          <w:rFonts w:hint="eastAsia" w:ascii="宋体" w:hAnsi="宋体" w:cs="宋体"/>
          <w:color w:val="000000"/>
          <w:kern w:val="0"/>
          <w:sz w:val="27"/>
          <w:szCs w:val="27"/>
          <w:lang w:val="en-US" w:eastAsia="zh-CN"/>
        </w:rPr>
        <w:t>8</w:t>
      </w:r>
      <w:r>
        <w:rPr>
          <w:rFonts w:hint="eastAsia" w:ascii="宋体" w:hAnsi="宋体" w:cs="宋体"/>
          <w:color w:val="000000"/>
          <w:kern w:val="0"/>
          <w:sz w:val="27"/>
          <w:szCs w:val="27"/>
        </w:rPr>
        <w:t>个二级单位，分别为</w:t>
      </w:r>
      <w:r>
        <w:rPr>
          <w:rFonts w:hint="default" w:ascii="宋体" w:hAnsi="宋体" w:cs="宋体"/>
          <w:color w:val="000000"/>
          <w:kern w:val="0"/>
          <w:sz w:val="27"/>
          <w:szCs w:val="27"/>
          <w:lang w:eastAsia="zh-CN"/>
        </w:rPr>
        <w:t>南召县人民医院、南召县中医院、南召县卫生监督所、南召县疾病预防控制中心、南召县第二人民医院、南召卫生职业中等专科学校、南召县妇幼保健院</w:t>
      </w:r>
      <w:r>
        <w:rPr>
          <w:rFonts w:hint="eastAsia" w:ascii="宋体" w:hAnsi="宋体" w:cs="宋体"/>
          <w:color w:val="000000"/>
          <w:kern w:val="0"/>
          <w:sz w:val="27"/>
          <w:szCs w:val="27"/>
          <w:lang w:eastAsia="zh-CN"/>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预算包含</w:t>
      </w:r>
      <w:r>
        <w:rPr>
          <w:rFonts w:hint="eastAsia" w:ascii="宋体" w:hAnsi="宋体" w:cs="宋体"/>
          <w:color w:val="000000"/>
          <w:kern w:val="0"/>
          <w:sz w:val="27"/>
          <w:szCs w:val="27"/>
          <w:lang w:val="en-US" w:eastAsia="zh-CN"/>
        </w:rPr>
        <w:t>5</w:t>
      </w:r>
      <w:r>
        <w:rPr>
          <w:rFonts w:hint="eastAsia" w:ascii="宋体" w:hAnsi="宋体" w:cs="宋体"/>
          <w:color w:val="000000"/>
          <w:kern w:val="0"/>
          <w:sz w:val="27"/>
          <w:szCs w:val="27"/>
        </w:rPr>
        <w:t>个单位，分别为：</w:t>
      </w:r>
      <w:r>
        <w:rPr>
          <w:rFonts w:hint="default" w:ascii="宋体" w:hAnsi="宋体" w:cs="宋体"/>
          <w:color w:val="000000"/>
          <w:kern w:val="0"/>
          <w:sz w:val="27"/>
          <w:szCs w:val="27"/>
          <w:lang w:eastAsia="zh-CN"/>
        </w:rPr>
        <w:t>南召县卫生监督所、南召县疾病预防控制中心、南召县第二人民医院、南召卫生职业中等专科学校、南召县妇幼保健院</w:t>
      </w:r>
      <w:r>
        <w:rPr>
          <w:rFonts w:hint="eastAsia" w:ascii="宋体" w:hAnsi="宋体" w:cs="宋体"/>
          <w:color w:val="000000"/>
          <w:kern w:val="0"/>
          <w:sz w:val="27"/>
          <w:szCs w:val="27"/>
          <w:lang w:eastAsia="zh-CN"/>
        </w:rPr>
        <w:t>。</w:t>
      </w:r>
    </w:p>
    <w:p>
      <w:pPr>
        <w:widowControl/>
        <w:shd w:val="clear" w:color="auto" w:fill="FFFFFF"/>
        <w:wordWrap/>
        <w:adjustRightInd w:val="0"/>
        <w:snapToGrid w:val="0"/>
        <w:spacing w:before="100" w:beforeAutospacing="1" w:after="360" w:line="360" w:lineRule="auto"/>
        <w:ind w:firstLine="540" w:firstLineChars="200"/>
        <w:jc w:val="center"/>
        <w:textAlignment w:val="auto"/>
        <w:rPr>
          <w:rFonts w:hint="eastAsia" w:ascii="宋体" w:hAnsi="宋体" w:cs="宋体"/>
          <w:b/>
          <w:bCs/>
          <w:color w:val="000000"/>
          <w:kern w:val="0"/>
          <w:sz w:val="27"/>
          <w:szCs w:val="27"/>
        </w:rPr>
      </w:pPr>
      <w:r>
        <w:rPr>
          <w:rFonts w:hint="eastAsia" w:ascii="宋体" w:hAnsi="宋体" w:cs="宋体"/>
          <w:b/>
          <w:bCs/>
          <w:color w:val="000000"/>
          <w:kern w:val="0"/>
          <w:sz w:val="27"/>
          <w:szCs w:val="27"/>
        </w:rPr>
        <w:t>第二部分</w:t>
      </w:r>
    </w:p>
    <w:p>
      <w:pPr>
        <w:widowControl/>
        <w:shd w:val="clear" w:color="auto" w:fill="FFFFFF"/>
        <w:wordWrap/>
        <w:adjustRightInd w:val="0"/>
        <w:snapToGrid w:val="0"/>
        <w:spacing w:before="100" w:beforeAutospacing="1" w:after="360" w:line="360" w:lineRule="auto"/>
        <w:jc w:val="center"/>
        <w:textAlignment w:val="auto"/>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南召县卫生健康委员会</w:t>
      </w:r>
      <w:r>
        <w:rPr>
          <w:rFonts w:hint="eastAsia" w:ascii="宋体" w:hAnsi="宋体" w:cs="宋体"/>
          <w:b/>
          <w:bCs/>
          <w:color w:val="000000"/>
          <w:kern w:val="0"/>
          <w:sz w:val="27"/>
          <w:szCs w:val="27"/>
        </w:rPr>
        <w:t>2022年度部门预算情况说明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一、2022年度部门预算收入支出总体情况说明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我单位2022年收入总计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万元，支出总计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万元，与2021年相比，收支总计各增加</w:t>
      </w:r>
      <w:r>
        <w:rPr>
          <w:rFonts w:hint="eastAsia" w:ascii="宋体" w:hAnsi="宋体" w:cs="宋体"/>
          <w:color w:val="000000"/>
          <w:kern w:val="0"/>
          <w:sz w:val="27"/>
          <w:szCs w:val="27"/>
          <w:lang w:val="en-US" w:eastAsia="zh-CN"/>
        </w:rPr>
        <w:t>1649.1</w:t>
      </w:r>
      <w:r>
        <w:rPr>
          <w:rFonts w:hint="eastAsia" w:ascii="宋体" w:hAnsi="宋体" w:cs="宋体"/>
          <w:color w:val="000000"/>
          <w:kern w:val="0"/>
          <w:sz w:val="27"/>
          <w:szCs w:val="27"/>
        </w:rPr>
        <w:t>万元，增长</w:t>
      </w:r>
      <w:r>
        <w:rPr>
          <w:rFonts w:hint="eastAsia" w:ascii="宋体" w:hAnsi="宋体" w:cs="宋体"/>
          <w:color w:val="000000"/>
          <w:kern w:val="0"/>
          <w:sz w:val="27"/>
          <w:szCs w:val="27"/>
          <w:lang w:val="en-US" w:eastAsia="zh-CN"/>
        </w:rPr>
        <w:t>14.8</w:t>
      </w:r>
      <w:r>
        <w:rPr>
          <w:rFonts w:hint="eastAsia" w:ascii="宋体" w:hAnsi="宋体" w:cs="宋体"/>
          <w:color w:val="000000"/>
          <w:kern w:val="0"/>
          <w:sz w:val="27"/>
          <w:szCs w:val="27"/>
        </w:rPr>
        <w:t>%。变化原因主要是：</w:t>
      </w:r>
      <w:r>
        <w:rPr>
          <w:rFonts w:hint="eastAsia" w:ascii="宋体" w:hAnsi="宋体" w:cs="宋体"/>
          <w:color w:val="000000"/>
          <w:kern w:val="0"/>
          <w:sz w:val="27"/>
          <w:szCs w:val="27"/>
          <w:lang w:eastAsia="zh-CN"/>
        </w:rPr>
        <w:t>政府对卫生事业投入加大</w:t>
      </w:r>
      <w:r>
        <w:rPr>
          <w:rFonts w:hint="eastAsia" w:ascii="宋体" w:hAnsi="宋体" w:cs="宋体"/>
          <w:color w:val="000000"/>
          <w:kern w:val="0"/>
          <w:sz w:val="27"/>
          <w:szCs w:val="27"/>
        </w:rPr>
        <w:t>。　</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二、2022年部门收入预算总体情况说明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2022年收入总计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万元，其中一般公共预算</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万元，政府性基金</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万元，国有资本经营预算</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万元，财政专户管理资金收入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万元，事业收入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万元，事业单位经营收入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万元，上级补助收入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万元，附属单位上缴收入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万元，其他收入</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万元，上年结转结余</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三、2022年部门支出预算总体情况说明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南召县卫生健康委员会</w:t>
      </w:r>
      <w:r>
        <w:rPr>
          <w:rFonts w:hint="eastAsia" w:ascii="宋体" w:hAnsi="宋体" w:cs="宋体"/>
          <w:color w:val="000000"/>
          <w:kern w:val="0"/>
          <w:sz w:val="27"/>
          <w:szCs w:val="27"/>
        </w:rPr>
        <w:t>2022年支出总计</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万元，其中：基本支出</w:t>
      </w:r>
      <w:r>
        <w:rPr>
          <w:rFonts w:hint="eastAsia" w:ascii="宋体" w:hAnsi="宋体" w:cs="宋体"/>
          <w:color w:val="000000"/>
          <w:kern w:val="0"/>
          <w:sz w:val="27"/>
          <w:szCs w:val="27"/>
          <w:lang w:val="en-US" w:eastAsia="zh-CN"/>
        </w:rPr>
        <w:t>2652.5</w:t>
      </w:r>
      <w:r>
        <w:rPr>
          <w:rFonts w:hint="eastAsia" w:ascii="宋体" w:hAnsi="宋体" w:cs="宋体"/>
          <w:color w:val="000000"/>
          <w:kern w:val="0"/>
          <w:sz w:val="27"/>
          <w:szCs w:val="27"/>
        </w:rPr>
        <w:t>万元，占总支出的</w:t>
      </w:r>
      <w:r>
        <w:rPr>
          <w:rFonts w:hint="eastAsia" w:ascii="宋体" w:hAnsi="宋体" w:cs="宋体"/>
          <w:color w:val="000000"/>
          <w:kern w:val="0"/>
          <w:sz w:val="27"/>
          <w:szCs w:val="27"/>
          <w:lang w:val="en-US" w:eastAsia="zh-CN"/>
        </w:rPr>
        <w:t>20.8</w:t>
      </w:r>
      <w:r>
        <w:rPr>
          <w:rFonts w:hint="eastAsia" w:ascii="宋体" w:hAnsi="宋体" w:cs="宋体"/>
          <w:color w:val="000000"/>
          <w:kern w:val="0"/>
          <w:sz w:val="27"/>
          <w:szCs w:val="27"/>
        </w:rPr>
        <w:t>%；项目支出</w:t>
      </w:r>
      <w:r>
        <w:rPr>
          <w:rFonts w:hint="eastAsia" w:ascii="宋体" w:hAnsi="宋体" w:cs="宋体"/>
          <w:color w:val="000000"/>
          <w:kern w:val="0"/>
          <w:sz w:val="27"/>
          <w:szCs w:val="27"/>
          <w:lang w:val="en-US" w:eastAsia="zh-CN"/>
        </w:rPr>
        <w:t>10110.6</w:t>
      </w:r>
      <w:r>
        <w:rPr>
          <w:rFonts w:hint="eastAsia" w:ascii="宋体" w:hAnsi="宋体" w:cs="宋体"/>
          <w:color w:val="000000"/>
          <w:kern w:val="0"/>
          <w:sz w:val="27"/>
          <w:szCs w:val="27"/>
        </w:rPr>
        <w:t>万元，占总支出的</w:t>
      </w:r>
      <w:r>
        <w:rPr>
          <w:rFonts w:hint="eastAsia" w:ascii="宋体" w:hAnsi="宋体" w:cs="宋体"/>
          <w:color w:val="000000"/>
          <w:kern w:val="0"/>
          <w:sz w:val="27"/>
          <w:szCs w:val="27"/>
          <w:lang w:val="en-US" w:eastAsia="zh-CN"/>
        </w:rPr>
        <w:t>79.2</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四、财政拨款收入支出预算总体情况说明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南召县</w:t>
      </w:r>
      <w:r>
        <w:rPr>
          <w:rFonts w:hint="eastAsia" w:ascii="宋体" w:hAnsi="宋体" w:cs="宋体"/>
          <w:color w:val="000000"/>
          <w:kern w:val="0"/>
          <w:sz w:val="27"/>
          <w:szCs w:val="27"/>
        </w:rPr>
        <w:t>XX局2022年财政拨款收入</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万元，财政拨款支出</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万元，与2021年相比，财政拨款收支增长</w:t>
      </w:r>
      <w:r>
        <w:rPr>
          <w:rFonts w:hint="eastAsia" w:ascii="宋体" w:hAnsi="宋体" w:cs="宋体"/>
          <w:color w:val="000000"/>
          <w:kern w:val="0"/>
          <w:sz w:val="27"/>
          <w:szCs w:val="27"/>
          <w:lang w:val="en-US" w:eastAsia="zh-CN"/>
        </w:rPr>
        <w:t>8332.1</w:t>
      </w:r>
      <w:r>
        <w:rPr>
          <w:rFonts w:hint="eastAsia" w:ascii="宋体" w:hAnsi="宋体" w:cs="宋体"/>
          <w:color w:val="000000"/>
          <w:kern w:val="0"/>
          <w:sz w:val="27"/>
          <w:szCs w:val="27"/>
        </w:rPr>
        <w:t>万元，增长</w:t>
      </w:r>
      <w:r>
        <w:rPr>
          <w:rFonts w:hint="eastAsia" w:ascii="宋体" w:hAnsi="宋体" w:cs="宋体"/>
          <w:color w:val="000000"/>
          <w:kern w:val="0"/>
          <w:sz w:val="27"/>
          <w:szCs w:val="27"/>
          <w:lang w:val="en-US" w:eastAsia="zh-CN"/>
        </w:rPr>
        <w:t>188</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五、2022年一般公共预算支出预算情况说明</w:t>
      </w:r>
    </w:p>
    <w:p>
      <w:pPr>
        <w:widowControl/>
        <w:shd w:val="clear" w:color="auto" w:fill="FFFFFF"/>
        <w:adjustRightInd w:val="0"/>
        <w:snapToGrid w:val="0"/>
        <w:spacing w:before="100" w:beforeAutospacing="1" w:after="240" w:line="360" w:lineRule="auto"/>
        <w:ind w:firstLine="540" w:firstLineChars="20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南召县</w:t>
      </w:r>
      <w:r>
        <w:rPr>
          <w:rFonts w:hint="eastAsia" w:ascii="宋体" w:hAnsi="宋体" w:cs="宋体"/>
          <w:color w:val="000000"/>
          <w:kern w:val="0"/>
          <w:sz w:val="27"/>
          <w:szCs w:val="27"/>
        </w:rPr>
        <w:t>XX局2022年一般公共预算支出为</w:t>
      </w:r>
      <w:r>
        <w:rPr>
          <w:rFonts w:hint="eastAsia" w:ascii="宋体" w:hAnsi="宋体" w:cs="宋体"/>
          <w:color w:val="000000"/>
          <w:kern w:val="0"/>
          <w:sz w:val="27"/>
          <w:szCs w:val="27"/>
          <w:lang w:val="en-US" w:eastAsia="zh-CN"/>
        </w:rPr>
        <w:t>12763.1</w:t>
      </w:r>
      <w:r>
        <w:rPr>
          <w:rFonts w:hint="eastAsia" w:ascii="宋体" w:hAnsi="宋体" w:cs="宋体"/>
          <w:color w:val="000000"/>
          <w:kern w:val="0"/>
          <w:sz w:val="27"/>
          <w:szCs w:val="27"/>
        </w:rPr>
        <w:t>万元。主要用于以下方面：行政运行</w:t>
      </w:r>
      <w:r>
        <w:rPr>
          <w:rFonts w:hint="eastAsia" w:ascii="宋体" w:hAnsi="宋体" w:cs="宋体"/>
          <w:color w:val="000000"/>
          <w:kern w:val="0"/>
          <w:sz w:val="27"/>
          <w:szCs w:val="27"/>
          <w:lang w:val="en-US" w:eastAsia="zh-CN"/>
        </w:rPr>
        <w:t>603</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4.7</w:t>
      </w:r>
      <w:r>
        <w:rPr>
          <w:rFonts w:hint="eastAsia" w:ascii="宋体" w:hAnsi="宋体" w:cs="宋体"/>
          <w:color w:val="000000"/>
          <w:kern w:val="0"/>
          <w:sz w:val="27"/>
          <w:szCs w:val="27"/>
        </w:rPr>
        <w:t>%；行政单位离退休</w:t>
      </w:r>
      <w:r>
        <w:rPr>
          <w:rFonts w:hint="eastAsia" w:ascii="宋体" w:hAnsi="宋体" w:cs="宋体"/>
          <w:color w:val="000000"/>
          <w:kern w:val="0"/>
          <w:sz w:val="27"/>
          <w:szCs w:val="27"/>
          <w:lang w:val="en-US" w:eastAsia="zh-CN"/>
        </w:rPr>
        <w:t>108</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0.8</w:t>
      </w:r>
      <w:r>
        <w:rPr>
          <w:rFonts w:hint="eastAsia" w:ascii="宋体" w:hAnsi="宋体" w:cs="宋体"/>
          <w:color w:val="000000"/>
          <w:kern w:val="0"/>
          <w:sz w:val="27"/>
          <w:szCs w:val="27"/>
        </w:rPr>
        <w:t>%；机关事业单位基本养老保险缴费支出</w:t>
      </w:r>
      <w:r>
        <w:rPr>
          <w:rFonts w:hint="eastAsia" w:ascii="宋体" w:hAnsi="宋体" w:cs="宋体"/>
          <w:color w:val="000000"/>
          <w:kern w:val="0"/>
          <w:sz w:val="27"/>
          <w:szCs w:val="27"/>
          <w:lang w:val="en-US" w:eastAsia="zh-CN"/>
        </w:rPr>
        <w:t>270</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2.1</w:t>
      </w:r>
      <w:r>
        <w:rPr>
          <w:rFonts w:hint="eastAsia" w:ascii="宋体" w:hAnsi="宋体" w:cs="宋体"/>
          <w:color w:val="000000"/>
          <w:kern w:val="0"/>
          <w:sz w:val="27"/>
          <w:szCs w:val="27"/>
        </w:rPr>
        <w:t>%；财政对工伤保险基金的补助</w:t>
      </w:r>
      <w:r>
        <w:rPr>
          <w:rFonts w:hint="eastAsia" w:ascii="宋体" w:hAnsi="宋体" w:cs="宋体"/>
          <w:color w:val="000000"/>
          <w:kern w:val="0"/>
          <w:sz w:val="27"/>
          <w:szCs w:val="27"/>
          <w:lang w:val="en-US" w:eastAsia="zh-CN"/>
        </w:rPr>
        <w:t>19.6</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0.1</w:t>
      </w:r>
      <w:r>
        <w:rPr>
          <w:rFonts w:hint="eastAsia" w:ascii="宋体" w:hAnsi="宋体" w:cs="宋体"/>
          <w:color w:val="000000"/>
          <w:kern w:val="0"/>
          <w:sz w:val="27"/>
          <w:szCs w:val="27"/>
        </w:rPr>
        <w:t>%；行政单位医疗</w:t>
      </w:r>
      <w:r>
        <w:rPr>
          <w:rFonts w:hint="eastAsia" w:ascii="宋体" w:hAnsi="宋体" w:cs="宋体"/>
          <w:color w:val="000000"/>
          <w:kern w:val="0"/>
          <w:sz w:val="27"/>
          <w:szCs w:val="27"/>
          <w:lang w:val="en-US" w:eastAsia="zh-CN"/>
        </w:rPr>
        <w:t>138.6</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1.1</w:t>
      </w:r>
      <w:r>
        <w:rPr>
          <w:rFonts w:hint="eastAsia" w:ascii="宋体" w:hAnsi="宋体" w:cs="宋体"/>
          <w:color w:val="000000"/>
          <w:kern w:val="0"/>
          <w:sz w:val="27"/>
          <w:szCs w:val="27"/>
        </w:rPr>
        <w:t>%；住房公积金</w:t>
      </w:r>
      <w:r>
        <w:rPr>
          <w:rFonts w:hint="eastAsia" w:ascii="宋体" w:hAnsi="宋体" w:cs="宋体"/>
          <w:color w:val="000000"/>
          <w:kern w:val="0"/>
          <w:sz w:val="27"/>
          <w:szCs w:val="27"/>
          <w:lang w:val="en-US" w:eastAsia="zh-CN"/>
        </w:rPr>
        <w:t>169</w:t>
      </w:r>
      <w:r>
        <w:rPr>
          <w:rFonts w:hint="eastAsia" w:ascii="宋体" w:hAnsi="宋体" w:cs="宋体"/>
          <w:color w:val="000000"/>
          <w:kern w:val="0"/>
          <w:sz w:val="27"/>
          <w:szCs w:val="27"/>
        </w:rPr>
        <w:t>万元，占</w:t>
      </w:r>
      <w:r>
        <w:rPr>
          <w:rFonts w:hint="eastAsia" w:ascii="宋体" w:hAnsi="宋体" w:cs="宋体"/>
          <w:color w:val="000000"/>
          <w:kern w:val="0"/>
          <w:sz w:val="27"/>
          <w:szCs w:val="27"/>
          <w:lang w:val="en-US" w:eastAsia="zh-CN"/>
        </w:rPr>
        <w:t>1.3</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六、2022年一般公共预算基本支出预算情况说明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eastAsia="zh-CN"/>
        </w:rPr>
      </w:pPr>
      <w:r>
        <w:rPr>
          <w:rFonts w:hint="eastAsia" w:ascii="宋体" w:hAnsi="宋体" w:cs="宋体"/>
          <w:color w:val="auto"/>
          <w:kern w:val="0"/>
          <w:sz w:val="27"/>
          <w:szCs w:val="27"/>
          <w:lang w:eastAsia="zh-CN"/>
        </w:rPr>
        <w:t>　　</w:t>
      </w:r>
      <w:r>
        <w:rPr>
          <w:rFonts w:hint="eastAsia" w:ascii="宋体" w:hAnsi="宋体" w:cs="宋体"/>
          <w:color w:val="000000"/>
          <w:kern w:val="0"/>
          <w:sz w:val="27"/>
          <w:szCs w:val="27"/>
          <w:lang w:eastAsia="zh-CN"/>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我单位《支出经济分类汇总表》,按两套经济分类科目分别反映不同资金来源的全部预算支出。</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lang w:val="en-US" w:eastAsia="zh-CN"/>
        </w:rPr>
      </w:pPr>
      <w:r>
        <w:rPr>
          <w:rFonts w:hint="eastAsia" w:ascii="宋体" w:hAnsi="宋体" w:cs="宋体"/>
          <w:color w:val="000000"/>
          <w:kern w:val="0"/>
          <w:sz w:val="27"/>
          <w:szCs w:val="27"/>
          <w:lang w:val="en-US" w:eastAsia="zh-CN"/>
        </w:rPr>
        <w:t>　　2022年一般公共预算基本支出年初预算数为2652.5</w:t>
      </w:r>
      <w:r>
        <w:rPr>
          <w:rFonts w:hint="eastAsia" w:ascii="宋体" w:hAnsi="宋体" w:cs="宋体"/>
          <w:color w:val="000000"/>
          <w:kern w:val="0"/>
          <w:sz w:val="27"/>
          <w:szCs w:val="27"/>
          <w:lang w:eastAsia="zh-CN"/>
        </w:rPr>
        <w:t>万元。其中：人员经费</w:t>
      </w:r>
      <w:r>
        <w:rPr>
          <w:rFonts w:hint="eastAsia" w:ascii="宋体" w:hAnsi="宋体" w:cs="宋体"/>
          <w:color w:val="000000"/>
          <w:kern w:val="0"/>
          <w:sz w:val="27"/>
          <w:szCs w:val="27"/>
          <w:lang w:val="en-US" w:eastAsia="zh-CN"/>
        </w:rPr>
        <w:t>2605.2</w:t>
      </w:r>
      <w:r>
        <w:rPr>
          <w:rFonts w:hint="eastAsia" w:ascii="宋体" w:hAnsi="宋体" w:cs="宋体"/>
          <w:color w:val="000000"/>
          <w:kern w:val="0"/>
          <w:sz w:val="27"/>
          <w:szCs w:val="27"/>
          <w:lang w:eastAsia="zh-CN"/>
        </w:rPr>
        <w:t>万元，主要包括：基本工资、津贴补贴、奖金、社会保障缴费、住房公积金、社会福利和救助费、其他工资福利。公用经费</w:t>
      </w:r>
      <w:r>
        <w:rPr>
          <w:rFonts w:hint="eastAsia" w:ascii="宋体" w:hAnsi="宋体" w:cs="宋体"/>
          <w:color w:val="000000"/>
          <w:kern w:val="0"/>
          <w:sz w:val="27"/>
          <w:szCs w:val="27"/>
          <w:lang w:val="en-US" w:eastAsia="zh-CN"/>
        </w:rPr>
        <w:t>47.2</w:t>
      </w:r>
      <w:r>
        <w:rPr>
          <w:rFonts w:hint="eastAsia" w:ascii="宋体" w:hAnsi="宋体" w:cs="宋体"/>
          <w:color w:val="000000"/>
          <w:kern w:val="0"/>
          <w:sz w:val="27"/>
          <w:szCs w:val="27"/>
          <w:lang w:eastAsia="zh-CN"/>
        </w:rPr>
        <w:t>万元，占</w:t>
      </w:r>
      <w:r>
        <w:rPr>
          <w:rFonts w:hint="eastAsia" w:ascii="宋体" w:hAnsi="宋体" w:cs="宋体"/>
          <w:color w:val="000000"/>
          <w:kern w:val="0"/>
          <w:sz w:val="27"/>
          <w:szCs w:val="27"/>
          <w:lang w:val="en-US" w:eastAsia="zh-CN"/>
        </w:rPr>
        <w:t>1.7</w:t>
      </w:r>
      <w:r>
        <w:rPr>
          <w:rFonts w:hint="eastAsia" w:ascii="宋体" w:hAnsi="宋体" w:cs="宋体"/>
          <w:color w:val="000000"/>
          <w:kern w:val="0"/>
          <w:sz w:val="27"/>
          <w:szCs w:val="27"/>
          <w:lang w:eastAsia="zh-CN"/>
        </w:rPr>
        <w:t>%，主要包括：办公费、印刷费、水电费、邮电费、物业管理费、差旅费、租赁费、会议费、培训费、工会经费、福利费、公务用车运行维护费、其他交通费用、专用设备购置。</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七</w:t>
      </w:r>
      <w:r>
        <w:rPr>
          <w:rFonts w:hint="eastAsia" w:ascii="宋体" w:hAnsi="宋体" w:cs="宋体"/>
          <w:b/>
          <w:bCs/>
          <w:color w:val="000000"/>
          <w:kern w:val="0"/>
          <w:sz w:val="27"/>
          <w:szCs w:val="27"/>
        </w:rPr>
        <w:t>、2022年“三公”经费支出预算情况说明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2022年一般公共预算安排的“三公”经费预算为</w:t>
      </w:r>
      <w:r>
        <w:rPr>
          <w:rFonts w:hint="eastAsia" w:ascii="宋体" w:hAnsi="宋体" w:cs="宋体"/>
          <w:color w:val="000000"/>
          <w:kern w:val="0"/>
          <w:sz w:val="27"/>
          <w:szCs w:val="27"/>
          <w:lang w:val="en-US" w:eastAsia="zh-CN"/>
        </w:rPr>
        <w:t>33</w:t>
      </w:r>
      <w:r>
        <w:rPr>
          <w:rFonts w:hint="eastAsia" w:ascii="宋体" w:hAnsi="宋体" w:cs="宋体"/>
          <w:color w:val="000000"/>
          <w:kern w:val="0"/>
          <w:sz w:val="27"/>
          <w:szCs w:val="27"/>
        </w:rPr>
        <w:t>万元。2022年“三公”经费支出预算数比2021年减少</w:t>
      </w:r>
      <w:r>
        <w:rPr>
          <w:rFonts w:hint="eastAsia" w:ascii="宋体" w:hAnsi="宋体" w:cs="宋体"/>
          <w:color w:val="000000"/>
          <w:kern w:val="0"/>
          <w:sz w:val="27"/>
          <w:szCs w:val="27"/>
          <w:lang w:val="en-US" w:eastAsia="zh-CN"/>
        </w:rPr>
        <w:t>8.62</w:t>
      </w:r>
      <w:r>
        <w:rPr>
          <w:rFonts w:hint="eastAsia" w:ascii="宋体" w:hAnsi="宋体" w:cs="宋体"/>
          <w:color w:val="000000"/>
          <w:kern w:val="0"/>
          <w:sz w:val="27"/>
          <w:szCs w:val="27"/>
        </w:rPr>
        <w:t>万元。具体支出情况如下：</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eastAsia="宋体" w:cs="宋体"/>
          <w:color w:val="000000"/>
          <w:kern w:val="0"/>
          <w:sz w:val="27"/>
          <w:szCs w:val="27"/>
          <w:lang w:eastAsia="zh-CN"/>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（一）因公出国（境）费</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万元，主要用于单位工作人员公</w:t>
      </w:r>
      <w:r>
        <w:rPr>
          <w:rFonts w:hint="eastAsia" w:ascii="宋体" w:hAnsi="宋体" w:eastAsia="宋体" w:cs="宋体"/>
          <w:color w:val="000000"/>
          <w:kern w:val="0"/>
          <w:sz w:val="27"/>
          <w:szCs w:val="27"/>
        </w:rPr>
        <w:t>务出国（境）的住宿费、旅费、伙食补助费、杂费、培训费等支出。预算数同比2020年增加/减少</w:t>
      </w:r>
      <w:r>
        <w:rPr>
          <w:rFonts w:hint="eastAsia" w:ascii="宋体" w:hAnsi="宋体" w:cs="宋体"/>
          <w:color w:val="000000"/>
          <w:kern w:val="0"/>
          <w:sz w:val="27"/>
          <w:szCs w:val="27"/>
          <w:lang w:val="en-US" w:eastAsia="zh-CN"/>
        </w:rPr>
        <w:t>0</w:t>
      </w:r>
      <w:r>
        <w:rPr>
          <w:rFonts w:hint="eastAsia" w:ascii="宋体" w:hAnsi="宋体" w:eastAsia="宋体" w:cs="宋体"/>
          <w:color w:val="000000"/>
          <w:kern w:val="0"/>
          <w:sz w:val="27"/>
          <w:szCs w:val="27"/>
        </w:rPr>
        <w:t>万元</w:t>
      </w:r>
      <w:r>
        <w:rPr>
          <w:rFonts w:hint="eastAsia" w:ascii="宋体" w:hAnsi="宋体" w:eastAsia="宋体" w:cs="宋体"/>
          <w:color w:val="000000"/>
          <w:kern w:val="0"/>
          <w:sz w:val="27"/>
          <w:szCs w:val="27"/>
          <w:lang w:eastAsia="zh-CN"/>
        </w:rPr>
        <w:t>（无变化）。</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（二）公务用车购置费</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万元，公务用车运行维护费</w:t>
      </w:r>
      <w:r>
        <w:rPr>
          <w:rFonts w:hint="eastAsia" w:ascii="宋体" w:hAnsi="宋体" w:cs="宋体"/>
          <w:color w:val="000000"/>
          <w:kern w:val="0"/>
          <w:sz w:val="27"/>
          <w:szCs w:val="27"/>
          <w:lang w:val="en-US" w:eastAsia="zh-CN"/>
        </w:rPr>
        <w:t>22</w:t>
      </w:r>
      <w:r>
        <w:rPr>
          <w:rFonts w:hint="eastAsia" w:ascii="宋体" w:hAnsi="宋体" w:cs="宋体"/>
          <w:color w:val="000000"/>
          <w:kern w:val="0"/>
          <w:sz w:val="27"/>
          <w:szCs w:val="27"/>
        </w:rPr>
        <w:t>万元，主要用于开展工作所需公务用车的燃料费、维修费、过路过桥费、保险费、安全奖励费用等支出。公务用车购置费预算数与2021年相比增加（或减少，或无变化）</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万元。公务用车运行维护费预算数与2021年相比增加</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（三）公务接待费</w:t>
      </w:r>
      <w:r>
        <w:rPr>
          <w:rFonts w:hint="eastAsia" w:ascii="宋体" w:hAnsi="宋体" w:cs="宋体"/>
          <w:color w:val="000000"/>
          <w:kern w:val="0"/>
          <w:sz w:val="27"/>
          <w:szCs w:val="27"/>
          <w:lang w:val="en-US" w:eastAsia="zh-CN"/>
        </w:rPr>
        <w:t>11</w:t>
      </w:r>
      <w:r>
        <w:rPr>
          <w:rFonts w:hint="eastAsia" w:ascii="宋体" w:hAnsi="宋体" w:cs="宋体"/>
          <w:color w:val="000000"/>
          <w:kern w:val="0"/>
          <w:sz w:val="27"/>
          <w:szCs w:val="27"/>
        </w:rPr>
        <w:t>万元，主要用于按规定开支的各类公务接待（含外宾接待）支出。预算数比2021年增加</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万元，主要原因：</w:t>
      </w:r>
      <w:r>
        <w:rPr>
          <w:rFonts w:hint="eastAsia" w:ascii="宋体" w:hAnsi="宋体" w:cs="宋体"/>
          <w:color w:val="000000"/>
          <w:kern w:val="0"/>
          <w:sz w:val="27"/>
          <w:szCs w:val="27"/>
          <w:lang w:eastAsia="zh-CN"/>
        </w:rPr>
        <w:t>检查增多</w:t>
      </w:r>
      <w:r>
        <w:rPr>
          <w:rFonts w:hint="eastAsia" w:ascii="宋体" w:hAnsi="宋体" w:cs="宋体"/>
          <w:color w:val="000000"/>
          <w:kern w:val="0"/>
          <w:sz w:val="27"/>
          <w:szCs w:val="27"/>
        </w:rPr>
        <w:t>。</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八</w:t>
      </w:r>
      <w:r>
        <w:rPr>
          <w:rFonts w:hint="eastAsia" w:ascii="宋体" w:hAnsi="宋体" w:cs="宋体"/>
          <w:b/>
          <w:bCs/>
          <w:color w:val="000000"/>
          <w:kern w:val="0"/>
          <w:sz w:val="27"/>
          <w:szCs w:val="27"/>
        </w:rPr>
        <w:t>、2022年政府性基金预算支出情况说明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val="en-US" w:eastAsia="zh-CN"/>
        </w:rPr>
        <w:t xml:space="preserve">    </w:t>
      </w:r>
      <w:r>
        <w:rPr>
          <w:rFonts w:hint="eastAsia" w:ascii="宋体" w:hAnsi="宋体" w:cs="宋体"/>
          <w:color w:val="000000"/>
          <w:kern w:val="0"/>
          <w:sz w:val="27"/>
          <w:szCs w:val="27"/>
        </w:rPr>
        <w:t>2022年无政府性基金预算业务</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九</w:t>
      </w:r>
      <w:r>
        <w:rPr>
          <w:rFonts w:hint="eastAsia" w:ascii="宋体" w:hAnsi="宋体" w:cs="宋体"/>
          <w:b/>
          <w:bCs/>
          <w:color w:val="000000"/>
          <w:kern w:val="0"/>
          <w:sz w:val="27"/>
          <w:szCs w:val="27"/>
        </w:rPr>
        <w:t>、其他重要事项的情况说明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（一）机关运行经费支出情况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2022年机关运行经费支出预算（不含人员经费）</w:t>
      </w:r>
      <w:r>
        <w:rPr>
          <w:rFonts w:hint="eastAsia" w:ascii="宋体" w:hAnsi="宋体" w:cs="宋体"/>
          <w:color w:val="000000"/>
          <w:kern w:val="0"/>
          <w:sz w:val="27"/>
          <w:szCs w:val="27"/>
          <w:lang w:val="en-US" w:eastAsia="zh-CN"/>
        </w:rPr>
        <w:t>43.3</w:t>
      </w:r>
      <w:r>
        <w:rPr>
          <w:rFonts w:hint="eastAsia" w:ascii="宋体" w:hAnsi="宋体" w:cs="宋体"/>
          <w:color w:val="000000"/>
          <w:kern w:val="0"/>
          <w:sz w:val="27"/>
          <w:szCs w:val="27"/>
        </w:rPr>
        <w:t>万元，主要用于保障机关机构正常运转、正常履职和开展全局性工作的经费需要。</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（二）政府采购支出情况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根据《河南省财政厅关于印发河南省政府集中采购目录及标准（2020年版）的通知》要求，政府采购限额标准以上，200万元以下的货物和服务采购项目、400万元以下的工程采购项目，适宜由中小企业提供的，部门预算单位应当专门面向中小企业采购。超过200万元的货物和服务采购项目、超过400万元的工程采购项目中适宜由中小企业提供的，部门预算单位预留该部分采购项目预算总额的30%以上专门面向中小企业采购，其中预留给小微企业的比例不低于60%。</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我单位2022年政府采购预算安排</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万元，其中：政府采购货物预算x万元、政府采购工程预算</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万元、政府采购服务预算</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（三）绩效目标设置情况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2022年预算项目均按要求编制了绩效目标，从项目产出、项目效益、满意度等方面设置了绩效指标，综合反映项目预期完成的数量、实效、质量，预期达到的社会经济效益、可持续影响以及服务对象满意度等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我单位设定了整体绩效目标，一级指标包括投入管理指标、产出指标和效益指标。投入管理指标的二级指标包括工作目标管理、预算和财务管理、绩效管理；产出指标的二级指标包括重点工作任务完成、履职目标实现；效益指标的二级指标包括履职效益和满意度等。每个二级指标包括若干个三级指标，每个三级指标都有相应的指标值和指标值说明。整体绩效全面反映了我单位年度主要工作任务和主要内容、预期绩效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（四）国有资产占用情况</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2021年末，我单位所属单位共有车改保留车辆</w:t>
      </w:r>
      <w:r>
        <w:rPr>
          <w:rFonts w:hint="eastAsia" w:ascii="宋体" w:hAnsi="宋体" w:cs="宋体"/>
          <w:color w:val="000000"/>
          <w:kern w:val="0"/>
          <w:sz w:val="27"/>
          <w:szCs w:val="27"/>
          <w:lang w:val="en-US" w:eastAsia="zh-CN"/>
        </w:rPr>
        <w:t>20</w:t>
      </w:r>
      <w:r>
        <w:rPr>
          <w:rFonts w:hint="eastAsia" w:ascii="宋体" w:hAnsi="宋体" w:cs="宋体"/>
          <w:color w:val="000000"/>
          <w:kern w:val="0"/>
          <w:sz w:val="27"/>
          <w:szCs w:val="27"/>
        </w:rPr>
        <w:t>辆，其中：一般公务用车</w:t>
      </w:r>
      <w:r>
        <w:rPr>
          <w:rFonts w:hint="eastAsia" w:ascii="宋体" w:hAnsi="宋体" w:cs="宋体"/>
          <w:color w:val="000000"/>
          <w:kern w:val="0"/>
          <w:sz w:val="27"/>
          <w:szCs w:val="27"/>
          <w:lang w:val="en-US" w:eastAsia="zh-CN"/>
        </w:rPr>
        <w:t>3</w:t>
      </w:r>
      <w:r>
        <w:rPr>
          <w:rFonts w:hint="eastAsia" w:ascii="宋体" w:hAnsi="宋体" w:cs="宋体"/>
          <w:color w:val="000000"/>
          <w:kern w:val="0"/>
          <w:sz w:val="27"/>
          <w:szCs w:val="27"/>
        </w:rPr>
        <w:t>辆、一般执法执勤用车</w:t>
      </w:r>
      <w:r>
        <w:rPr>
          <w:rFonts w:hint="eastAsia" w:ascii="宋体" w:hAnsi="宋体" w:cs="宋体"/>
          <w:color w:val="000000"/>
          <w:kern w:val="0"/>
          <w:sz w:val="27"/>
          <w:szCs w:val="27"/>
          <w:lang w:val="en-US" w:eastAsia="zh-CN"/>
        </w:rPr>
        <w:t>2</w:t>
      </w:r>
      <w:r>
        <w:rPr>
          <w:rFonts w:hint="eastAsia" w:ascii="宋体" w:hAnsi="宋体" w:cs="宋体"/>
          <w:color w:val="000000"/>
          <w:kern w:val="0"/>
          <w:sz w:val="27"/>
          <w:szCs w:val="27"/>
        </w:rPr>
        <w:t>辆，特种车辆</w:t>
      </w:r>
      <w:r>
        <w:rPr>
          <w:rFonts w:hint="eastAsia" w:ascii="宋体" w:hAnsi="宋体" w:cs="宋体"/>
          <w:color w:val="000000"/>
          <w:kern w:val="0"/>
          <w:sz w:val="27"/>
          <w:szCs w:val="27"/>
          <w:lang w:val="en-US" w:eastAsia="zh-CN"/>
        </w:rPr>
        <w:t>13</w:t>
      </w:r>
      <w:r>
        <w:rPr>
          <w:rFonts w:hint="eastAsia" w:ascii="宋体" w:hAnsi="宋体" w:cs="宋体"/>
          <w:color w:val="000000"/>
          <w:kern w:val="0"/>
          <w:sz w:val="27"/>
          <w:szCs w:val="27"/>
        </w:rPr>
        <w:t>辆；单位价值50万元以上通用设备</w:t>
      </w:r>
      <w:r>
        <w:rPr>
          <w:rFonts w:hint="eastAsia" w:ascii="宋体" w:hAnsi="宋体" w:cs="宋体"/>
          <w:color w:val="000000"/>
          <w:kern w:val="0"/>
          <w:sz w:val="27"/>
          <w:szCs w:val="27"/>
          <w:lang w:val="en-US" w:eastAsia="zh-CN"/>
        </w:rPr>
        <w:t>7</w:t>
      </w:r>
      <w:bookmarkStart w:id="0" w:name="_GoBack"/>
      <w:bookmarkEnd w:id="0"/>
      <w:r>
        <w:rPr>
          <w:rFonts w:hint="eastAsia" w:ascii="宋体" w:hAnsi="宋体" w:cs="宋体"/>
          <w:color w:val="000000"/>
          <w:kern w:val="0"/>
          <w:sz w:val="27"/>
          <w:szCs w:val="27"/>
        </w:rPr>
        <w:t>台（套），单位价值100万元以上专用设备</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台（套）。（若无则X为0，不要删除相关内容）</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w:t>
      </w:r>
      <w:r>
        <w:rPr>
          <w:rFonts w:hint="eastAsia" w:ascii="宋体" w:hAnsi="宋体" w:cs="宋体"/>
          <w:b/>
          <w:bCs/>
          <w:color w:val="000000"/>
          <w:kern w:val="0"/>
          <w:sz w:val="27"/>
          <w:szCs w:val="27"/>
          <w:lang w:eastAsia="zh-CN"/>
        </w:rPr>
        <w:t>五</w:t>
      </w:r>
      <w:r>
        <w:rPr>
          <w:rFonts w:hint="eastAsia" w:ascii="宋体" w:hAnsi="宋体" w:cs="宋体"/>
          <w:b/>
          <w:bCs/>
          <w:color w:val="000000"/>
          <w:kern w:val="0"/>
          <w:sz w:val="27"/>
          <w:szCs w:val="27"/>
        </w:rPr>
        <w:t>）专项转移支付情况说明</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上级专项转移支付资金</w:t>
      </w:r>
      <w:r>
        <w:rPr>
          <w:rFonts w:hint="eastAsia" w:ascii="宋体" w:hAnsi="宋体" w:cs="宋体"/>
          <w:color w:val="000000"/>
          <w:kern w:val="0"/>
          <w:sz w:val="27"/>
          <w:szCs w:val="27"/>
          <w:lang w:val="en-US" w:eastAsia="zh-CN"/>
        </w:rPr>
        <w:t>365.5</w:t>
      </w:r>
      <w:r>
        <w:rPr>
          <w:rFonts w:hint="eastAsia" w:ascii="宋体" w:hAnsi="宋体" w:cs="宋体"/>
          <w:color w:val="000000"/>
          <w:kern w:val="0"/>
          <w:sz w:val="27"/>
          <w:szCs w:val="27"/>
        </w:rPr>
        <w:t>万元，其中主要用于</w:t>
      </w:r>
      <w:r>
        <w:rPr>
          <w:rFonts w:hint="eastAsia" w:ascii="宋体" w:hAnsi="宋体" w:cs="宋体"/>
          <w:color w:val="000000"/>
          <w:kern w:val="0"/>
          <w:sz w:val="27"/>
          <w:szCs w:val="27"/>
          <w:lang w:val="en-US" w:eastAsia="zh-CN"/>
        </w:rPr>
        <w:t>2022年计划生育</w:t>
      </w:r>
      <w:r>
        <w:rPr>
          <w:rFonts w:hint="eastAsia" w:ascii="宋体" w:hAnsi="宋体" w:cs="宋体"/>
          <w:color w:val="000000"/>
          <w:kern w:val="0"/>
          <w:sz w:val="27"/>
          <w:szCs w:val="27"/>
        </w:rPr>
        <w:t>项目</w:t>
      </w:r>
      <w:r>
        <w:rPr>
          <w:rFonts w:hint="eastAsia" w:ascii="宋体" w:hAnsi="宋体" w:cs="宋体"/>
          <w:color w:val="000000"/>
          <w:kern w:val="0"/>
          <w:sz w:val="27"/>
          <w:szCs w:val="27"/>
          <w:lang w:val="en-US" w:eastAsia="zh-CN"/>
        </w:rPr>
        <w:t>365.5</w:t>
      </w:r>
      <w:r>
        <w:rPr>
          <w:rFonts w:hint="eastAsia" w:ascii="宋体" w:hAnsi="宋体" w:cs="宋体"/>
          <w:color w:val="000000"/>
          <w:kern w:val="0"/>
          <w:sz w:val="27"/>
          <w:szCs w:val="27"/>
        </w:rPr>
        <w:t>万元，截止目前结余</w:t>
      </w:r>
      <w:r>
        <w:rPr>
          <w:rFonts w:hint="eastAsia" w:ascii="宋体" w:hAnsi="宋体" w:cs="宋体"/>
          <w:color w:val="000000"/>
          <w:kern w:val="0"/>
          <w:sz w:val="27"/>
          <w:szCs w:val="27"/>
          <w:lang w:val="en-US" w:eastAsia="zh-CN"/>
        </w:rPr>
        <w:t>0</w:t>
      </w:r>
      <w:r>
        <w:rPr>
          <w:rFonts w:hint="eastAsia" w:ascii="宋体" w:hAnsi="宋体" w:cs="宋体"/>
          <w:color w:val="000000"/>
          <w:kern w:val="0"/>
          <w:sz w:val="27"/>
          <w:szCs w:val="27"/>
        </w:rPr>
        <w:t>万元。（使用上级专项转移支付资金的单位部门需做说明，若无请注明“2022年无专项转移支付资金。”）</w:t>
      </w:r>
    </w:p>
    <w:p>
      <w:pPr>
        <w:widowControl/>
        <w:shd w:val="clear" w:color="auto" w:fill="FFFFFF"/>
        <w:adjustRightInd w:val="0"/>
        <w:snapToGrid w:val="0"/>
        <w:spacing w:before="100" w:beforeAutospacing="1" w:after="240" w:line="360" w:lineRule="auto"/>
        <w:ind w:firstLine="0" w:firstLineChars="0"/>
        <w:jc w:val="center"/>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第三部分</w:t>
      </w:r>
    </w:p>
    <w:p>
      <w:pPr>
        <w:widowControl/>
        <w:shd w:val="clear" w:color="auto" w:fill="FFFFFF"/>
        <w:adjustRightInd w:val="0"/>
        <w:snapToGrid w:val="0"/>
        <w:spacing w:before="100" w:beforeAutospacing="1" w:after="240" w:line="360" w:lineRule="auto"/>
        <w:ind w:firstLine="0" w:firstLineChars="0"/>
        <w:jc w:val="center"/>
        <w:rPr>
          <w:rFonts w:hint="eastAsia" w:ascii="宋体" w:hAnsi="宋体" w:cs="宋体"/>
          <w:b/>
          <w:bCs/>
          <w:color w:val="000000"/>
          <w:kern w:val="0"/>
          <w:sz w:val="27"/>
          <w:szCs w:val="27"/>
        </w:rPr>
      </w:pPr>
      <w:r>
        <w:rPr>
          <w:rFonts w:hint="eastAsia" w:ascii="宋体" w:hAnsi="宋体" w:cs="宋体"/>
          <w:b/>
          <w:bCs/>
          <w:color w:val="000000"/>
          <w:kern w:val="0"/>
          <w:sz w:val="27"/>
          <w:szCs w:val="27"/>
          <w:lang w:eastAsia="zh-CN"/>
        </w:rPr>
        <w:t>　　</w:t>
      </w:r>
      <w:r>
        <w:rPr>
          <w:rFonts w:hint="eastAsia" w:ascii="宋体" w:hAnsi="宋体" w:cs="宋体"/>
          <w:b/>
          <w:bCs/>
          <w:color w:val="000000"/>
          <w:kern w:val="0"/>
          <w:sz w:val="27"/>
          <w:szCs w:val="27"/>
        </w:rPr>
        <w:t>名词解释</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一、财政拨款收入：是指财政当年拨付的资金。</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二、事业收入：是指事业单位开展专业活动及辅助活动所取得的收入。</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三、其他收入：是指部门取得的除“财政拨款”、“事业收入”、“事业单位经营收入”等以外的收入。</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五、基本支出：是指为保障机构正常运转、完成日常工作任务所必需的开支，其内容包括人员经费和日常公用经费两部分。</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六、项目支出：是指在基本支出之外，为完成特定的行政工作任务或事业发展目标所发生的支出。</w:t>
      </w:r>
    </w:p>
    <w:p>
      <w:pPr>
        <w:widowControl/>
        <w:shd w:val="clear" w:color="auto" w:fill="FFFFFF"/>
        <w:adjustRightInd w:val="0"/>
        <w:snapToGrid w:val="0"/>
        <w:spacing w:before="100" w:beforeAutospacing="1" w:after="240" w:line="360" w:lineRule="auto"/>
        <w:ind w:firstLine="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lang w:eastAsia="zh-CN"/>
        </w:rPr>
        <w:t>　　</w:t>
      </w:r>
      <w:r>
        <w:rPr>
          <w:rFonts w:hint="eastAsia" w:ascii="宋体" w:hAnsi="宋体" w:cs="宋体"/>
          <w:color w:val="000000"/>
          <w:kern w:val="0"/>
          <w:sz w:val="27"/>
          <w:szCs w:val="27"/>
        </w:rPr>
        <w:t>七、“三公”经费：是指纳入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adjustRightInd w:val="0"/>
        <w:snapToGrid w:val="0"/>
        <w:spacing w:before="100" w:beforeAutospacing="1" w:after="240" w:line="360" w:lineRule="auto"/>
        <w:ind w:firstLine="540" w:firstLineChars="0"/>
        <w:jc w:val="left"/>
        <w:rPr>
          <w:rFonts w:hint="eastAsia" w:ascii="宋体" w:hAnsi="宋体" w:cs="宋体"/>
          <w:color w:val="000000"/>
          <w:kern w:val="0"/>
          <w:sz w:val="27"/>
          <w:szCs w:val="27"/>
        </w:rPr>
      </w:pPr>
      <w:r>
        <w:rPr>
          <w:rFonts w:hint="eastAsia" w:ascii="宋体" w:hAnsi="宋体" w:cs="宋体"/>
          <w:color w:val="000000"/>
          <w:kern w:val="0"/>
          <w:sz w:val="27"/>
          <w:szCs w:val="27"/>
        </w:rPr>
        <w:t>八、机关运行经费：是指为保障行政单位（含参照公务员法管理的事业单位）运行用于</w:t>
      </w:r>
      <w:r>
        <w:rPr>
          <w:rFonts w:hint="eastAsia" w:ascii="宋体" w:hAnsi="宋体" w:cs="宋体"/>
          <w:color w:val="000000"/>
          <w:kern w:val="0"/>
          <w:sz w:val="27"/>
          <w:szCs w:val="27"/>
          <w:lang w:eastAsia="zh-CN"/>
        </w:rPr>
        <w:t>人员经费、</w:t>
      </w:r>
      <w:r>
        <w:rPr>
          <w:rFonts w:hint="eastAsia" w:ascii="宋体" w:hAnsi="宋体" w:cs="宋体"/>
          <w:color w:val="000000"/>
          <w:kern w:val="0"/>
          <w:sz w:val="27"/>
          <w:szCs w:val="27"/>
        </w:rPr>
        <w:t>购买货物和服务的各项资金，包括办公及印刷费、邮电费、差旅费、会议费、福利费、日常维修费及一般设备购置费、办公用房水电费、办公用房取暖费、办公用房物业管理费、公</w:t>
      </w:r>
    </w:p>
    <w:p>
      <w:pPr>
        <w:widowControl/>
        <w:shd w:val="clear" w:color="auto" w:fill="FFFFFF"/>
        <w:adjustRightInd w:val="0"/>
        <w:snapToGrid w:val="0"/>
        <w:spacing w:before="100" w:beforeAutospacing="1" w:after="240" w:line="360" w:lineRule="auto"/>
        <w:ind w:firstLine="540" w:firstLineChars="0"/>
        <w:jc w:val="left"/>
        <w:rPr>
          <w:rFonts w:hint="default" w:ascii="宋体" w:hAnsi="宋体" w:eastAsia="宋体" w:cs="宋体"/>
          <w:color w:val="000000"/>
          <w:kern w:val="0"/>
          <w:sz w:val="27"/>
          <w:szCs w:val="27"/>
          <w:lang w:val="en-US" w:eastAsia="zh-CN"/>
        </w:rPr>
      </w:pPr>
      <w:r>
        <w:rPr>
          <w:rFonts w:hint="eastAsia" w:ascii="宋体" w:hAnsi="宋体" w:cs="宋体"/>
          <w:color w:val="000000"/>
          <w:kern w:val="0"/>
          <w:sz w:val="27"/>
          <w:szCs w:val="27"/>
          <w:lang w:eastAsia="zh-CN"/>
        </w:rPr>
        <w:t>附件</w:t>
      </w:r>
      <w:r>
        <w:rPr>
          <w:rFonts w:hint="eastAsia" w:ascii="宋体" w:hAnsi="宋体" w:cs="宋体"/>
          <w:color w:val="000000"/>
          <w:kern w:val="0"/>
          <w:sz w:val="27"/>
          <w:szCs w:val="27"/>
          <w:lang w:val="en-US" w:eastAsia="zh-CN"/>
        </w:rPr>
        <w:t xml:space="preserve"> </w:t>
      </w:r>
      <w:r>
        <w:rPr>
          <w:rFonts w:hint="eastAsia" w:ascii="宋体" w:hAnsi="宋体" w:cs="宋体"/>
          <w:color w:val="000000"/>
          <w:kern w:val="0"/>
          <w:sz w:val="27"/>
          <w:szCs w:val="27"/>
          <w:lang w:eastAsia="zh-CN"/>
        </w:rPr>
        <w:t>南召县</w:t>
      </w:r>
      <w:r>
        <w:rPr>
          <w:rFonts w:hint="eastAsia" w:ascii="宋体" w:hAnsi="宋体" w:cs="宋体"/>
          <w:color w:val="000000"/>
          <w:kern w:val="0"/>
          <w:sz w:val="27"/>
          <w:szCs w:val="27"/>
        </w:rPr>
        <w:t>XX局</w:t>
      </w:r>
      <w:r>
        <w:rPr>
          <w:rFonts w:hint="eastAsia" w:ascii="宋体" w:hAnsi="宋体" w:cs="宋体"/>
          <w:color w:val="000000"/>
          <w:kern w:val="0"/>
          <w:sz w:val="27"/>
          <w:szCs w:val="27"/>
          <w:lang w:val="en-US" w:eastAsia="zh-CN"/>
        </w:rPr>
        <w:t>2022年部门预算表</w:t>
      </w:r>
    </w:p>
    <w:p>
      <w:pPr>
        <w:numPr>
          <w:numId w:val="0"/>
        </w:numPr>
        <w:jc w:val="both"/>
        <w:rPr>
          <w:rFonts w:hint="eastAsia" w:ascii="宋体" w:hAnsi="宋体" w:eastAsia="宋体" w:cs="宋体"/>
          <w:b/>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华文宋体">
    <w:altName w:val="宋体"/>
    <w:panose1 w:val="02010600040101010101"/>
    <w:charset w:val="86"/>
    <w:family w:val="auto"/>
    <w:pitch w:val="default"/>
    <w:sig w:usb0="00000287" w:usb1="080F0000" w:usb2="00000000" w:usb3="00000000" w:csb0="0004009F" w:csb1="DFD70000"/>
  </w:font>
  <w:font w:name="幼圆">
    <w:altName w:val="宋体"/>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Times New Roman"/>
    <w:panose1 w:val="00000000000000000000"/>
    <w:charset w:val="EE"/>
    <w:family w:val="auto"/>
    <w:pitch w:val="default"/>
    <w:sig w:usb0="00000000" w:usb1="00000000" w:usb2="00000000" w:usb3="00000000" w:csb0="00000002" w:csb1="00000000"/>
  </w:font>
  <w:font w:name="Arial Cyr">
    <w:altName w:val="Times New Roman"/>
    <w:panose1 w:val="00000000000000000000"/>
    <w:charset w:val="CC"/>
    <w:family w:val="auto"/>
    <w:pitch w:val="default"/>
    <w:sig w:usb0="00000000" w:usb1="00000000" w:usb2="00000000" w:usb3="00000000" w:csb0="00000004" w:csb1="00000000"/>
  </w:font>
  <w:font w:name="Arial Greek">
    <w:altName w:val="Times New Roman"/>
    <w:panose1 w:val="00000000000000000000"/>
    <w:charset w:val="A1"/>
    <w:family w:val="auto"/>
    <w:pitch w:val="default"/>
    <w:sig w:usb0="00000000" w:usb1="00000000" w:usb2="00000000" w:usb3="00000000" w:csb0="00000008" w:csb1="00000000"/>
  </w:font>
  <w:font w:name="Arial Tur">
    <w:altName w:val="Times New Roman"/>
    <w:panose1 w:val="00000000000000000000"/>
    <w:charset w:val="A2"/>
    <w:family w:val="auto"/>
    <w:pitch w:val="default"/>
    <w:sig w:usb0="00000000" w:usb1="00000000" w:usb2="00000000" w:usb3="00000000" w:csb0="00000010" w:csb1="00000000"/>
  </w:font>
  <w:font w:name="Arial (Hebrew)">
    <w:altName w:val="Times New Roman"/>
    <w:panose1 w:val="00000000000000000000"/>
    <w:charset w:val="B1"/>
    <w:family w:val="auto"/>
    <w:pitch w:val="default"/>
    <w:sig w:usb0="00000000" w:usb1="00000000" w:usb2="00000000" w:usb3="00000000" w:csb0="00000020" w:csb1="00000000"/>
  </w:font>
  <w:font w:name="Arial (Arabic)">
    <w:altName w:val="Times New Roman"/>
    <w:panose1 w:val="00000000000000000000"/>
    <w:charset w:val="B2"/>
    <w:family w:val="auto"/>
    <w:pitch w:val="default"/>
    <w:sig w:usb0="00000000" w:usb1="00000000" w:usb2="00000000" w:usb3="00000000" w:csb0="00000040" w:csb1="00000000"/>
  </w:font>
  <w:font w:name="Arial Baltic">
    <w:altName w:val="Times New Roman"/>
    <w:panose1 w:val="00000000000000000000"/>
    <w:charset w:val="BA"/>
    <w:family w:val="auto"/>
    <w:pitch w:val="default"/>
    <w:sig w:usb0="00000000" w:usb1="00000000" w:usb2="00000000" w:usb3="00000000" w:csb0="00000080" w:csb1="00000000"/>
  </w:font>
  <w:font w:name="Arial (Vietnamese)">
    <w:altName w:val="Times New Roman"/>
    <w:panose1 w:val="00000000000000000000"/>
    <w:charset w:val="A3"/>
    <w:family w:val="auto"/>
    <w:pitch w:val="default"/>
    <w:sig w:usb0="00000000" w:usb1="00000000" w:usb2="00000000" w:usb3="00000000" w:csb0="00000100" w:csb1="00000000"/>
  </w:font>
  <w:font w:name="SimSun Western">
    <w:altName w:val="Times New Roman"/>
    <w:panose1 w:val="00000000000000000000"/>
    <w:charset w:val="00"/>
    <w:family w:val="auto"/>
    <w:pitch w:val="default"/>
    <w:sig w:usb0="00000000" w:usb1="00000000" w:usb2="00000000" w:usb3="00000000" w:csb0="00000001" w:csb1="00000000"/>
  </w:font>
  <w:font w:name="SimHei Western">
    <w:altName w:val="Times New Roman"/>
    <w:panose1 w:val="00000000000000000000"/>
    <w:charset w:val="00"/>
    <w:family w:val="auto"/>
    <w:pitch w:val="default"/>
    <w:sig w:usb0="00000000" w:usb1="00000000" w:usb2="00000000" w:usb3="00000000" w:csb0="00000001" w:csb1="00000000"/>
  </w:font>
  <w:font w:name="Cambria Math CE">
    <w:altName w:val="Times New Roman"/>
    <w:panose1 w:val="00000000000000000000"/>
    <w:charset w:val="EE"/>
    <w:family w:val="auto"/>
    <w:pitch w:val="default"/>
    <w:sig w:usb0="00000000" w:usb1="00000000" w:usb2="00000000" w:usb3="00000000" w:csb0="00000002" w:csb1="00000000"/>
  </w:font>
  <w:font w:name="Cambria Math Cyr">
    <w:altName w:val="Times New Roman"/>
    <w:panose1 w:val="00000000000000000000"/>
    <w:charset w:val="CC"/>
    <w:family w:val="auto"/>
    <w:pitch w:val="default"/>
    <w:sig w:usb0="00000000" w:usb1="00000000" w:usb2="00000000" w:usb3="00000000" w:csb0="00000004" w:csb1="00000000"/>
  </w:font>
  <w:font w:name="Cambria Math Greek">
    <w:altName w:val="Times New Roman"/>
    <w:panose1 w:val="00000000000000000000"/>
    <w:charset w:val="A1"/>
    <w:family w:val="auto"/>
    <w:pitch w:val="default"/>
    <w:sig w:usb0="00000000" w:usb1="00000000" w:usb2="00000000" w:usb3="00000000" w:csb0="00000008" w:csb1="00000000"/>
  </w:font>
  <w:font w:name="Cambria Math Tur">
    <w:altName w:val="Times New Roman"/>
    <w:panose1 w:val="00000000000000000000"/>
    <w:charset w:val="A2"/>
    <w:family w:val="auto"/>
    <w:pitch w:val="default"/>
    <w:sig w:usb0="00000000" w:usb1="00000000" w:usb2="00000000" w:usb3="00000000" w:csb0="00000010" w:csb1="00000000"/>
  </w:font>
  <w:font w:name="Cambria Math Baltic">
    <w:altName w:val="Times New Roman"/>
    <w:panose1 w:val="00000000000000000000"/>
    <w:charset w:val="BA"/>
    <w:family w:val="auto"/>
    <w:pitch w:val="default"/>
    <w:sig w:usb0="00000000" w:usb1="00000000" w:usb2="00000000" w:usb3="00000000" w:csb0="00000080" w:csb1="00000000"/>
  </w:font>
  <w:font w:name="Cambria Math (Vietnamese)">
    <w:altName w:val="Times New Roman"/>
    <w:panose1 w:val="00000000000000000000"/>
    <w:charset w:val="A3"/>
    <w:family w:val="auto"/>
    <w:pitch w:val="default"/>
    <w:sig w:usb0="00000000" w:usb1="00000000" w:usb2="00000000" w:usb3="00000000" w:csb0="00000100" w:csb1="00000000"/>
  </w:font>
  <w:font w:name="Calibri CE">
    <w:altName w:val="Times New Roman"/>
    <w:panose1 w:val="00000000000000000000"/>
    <w:charset w:val="EE"/>
    <w:family w:val="auto"/>
    <w:pitch w:val="default"/>
    <w:sig w:usb0="00000000" w:usb1="00000000" w:usb2="00000000" w:usb3="00000000" w:csb0="00000002" w:csb1="00000000"/>
  </w:font>
  <w:font w:name="Calibri Cyr">
    <w:altName w:val="Times New Roman"/>
    <w:panose1 w:val="00000000000000000000"/>
    <w:charset w:val="CC"/>
    <w:family w:val="auto"/>
    <w:pitch w:val="default"/>
    <w:sig w:usb0="00000000" w:usb1="00000000" w:usb2="00000000" w:usb3="00000000" w:csb0="00000004" w:csb1="00000000"/>
  </w:font>
  <w:font w:name="Calibri Greek">
    <w:altName w:val="Times New Roman"/>
    <w:panose1 w:val="00000000000000000000"/>
    <w:charset w:val="A1"/>
    <w:family w:val="auto"/>
    <w:pitch w:val="default"/>
    <w:sig w:usb0="00000000" w:usb1="00000000" w:usb2="00000000" w:usb3="00000000" w:csb0="00000008" w:csb1="00000000"/>
  </w:font>
  <w:font w:name="Calibri Tur">
    <w:altName w:val="Times New Roman"/>
    <w:panose1 w:val="00000000000000000000"/>
    <w:charset w:val="A2"/>
    <w:family w:val="auto"/>
    <w:pitch w:val="default"/>
    <w:sig w:usb0="00000000" w:usb1="00000000" w:usb2="00000000" w:usb3="00000000" w:csb0="00000010" w:csb1="00000000"/>
  </w:font>
  <w:font w:name="Calibri Baltic">
    <w:altName w:val="Times New Roman"/>
    <w:panose1 w:val="00000000000000000000"/>
    <w:charset w:val="BA"/>
    <w:family w:val="auto"/>
    <w:pitch w:val="default"/>
    <w:sig w:usb0="00000000" w:usb1="00000000" w:usb2="00000000" w:usb3="00000000" w:csb0="00000080" w:csb1="00000000"/>
  </w:font>
  <w:font w:name="Calibri (Vietnamese)">
    <w:altName w:val="Times New Roman"/>
    <w:panose1 w:val="00000000000000000000"/>
    <w:charset w:val="A3"/>
    <w:family w:val="auto"/>
    <w:pitch w:val="default"/>
    <w:sig w:usb0="00000000" w:usb1="00000000" w:usb2="00000000" w:usb3="00000000" w:csb0="00000100" w:csb1="00000000"/>
  </w:font>
  <w:font w:name="Calibri_x0004_falt">
    <w:altName w:val="Shruti"/>
    <w:panose1 w:val="020F0502020204030204"/>
    <w:charset w:val="00"/>
    <w:family w:val="auto"/>
    <w:pitch w:val="default"/>
    <w:sig w:usb0="00000000"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方正大标宋简体">
    <w:altName w:val="微软雅黑"/>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寰蒋闆呴粦">
    <w:altName w:val="Microsoft YaHei UI"/>
    <w:panose1 w:val="00000000000000000000"/>
    <w:charset w:val="01"/>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3">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3268</Words>
  <Characters>3514</Characters>
  <Lines>0</Lines>
  <Paragraphs>0</Paragraphs>
  <ScaleCrop>false</ScaleCrop>
  <LinksUpToDate>false</LinksUpToDate>
  <CharactersWithSpaces>0</CharactersWithSpaces>
  <Application>WPS Office 个人版_9.1.0.4489_{F1E327BC-269C-435d-A152-05C5408002CA}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2022-09-29T01:29:00Z</dcterms:created>
  <dc:creator>DELL</dc:creator>
  <cp:lastModifiedBy>Administrator</cp:lastModifiedBy>
  <cp:lastPrinted>2022-11-03T01:43:00Z</cp:lastPrinted>
  <dcterms:modified xsi:type="dcterms:W3CDTF">2022-11-04T09:26:04Z</dcterms:modified>
  <dc:title>2022年度南召县卫生健康部门预算公开说明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y fmtid="{D5CDD505-2E9C-101B-9397-08002B2CF9AE}" pid="3" name="ICV">
    <vt:lpwstr>1384EF132C444DEAA789CA0607AA2564</vt:lpwstr>
  </property>
</Properties>
</file>