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313" w:beforeLines="100" w:after="410" w:afterLines="100" w:line="560" w:lineRule="exact"/>
        <w:jc w:val="center"/>
        <w:textAlignment w:val="auto"/>
        <w:rPr>
          <w:rFonts w:hint="eastAsia" w:ascii="华文中宋" w:hAnsi="华文中宋" w:eastAsia="华文中宋" w:cs="方正小标宋简体"/>
          <w:b/>
          <w:bCs w:val="0"/>
          <w:color w:val="auto"/>
          <w:sz w:val="48"/>
          <w:szCs w:val="48"/>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before="313" w:beforeLines="100" w:after="410" w:afterLines="100" w:line="560" w:lineRule="exact"/>
        <w:jc w:val="center"/>
        <w:textAlignment w:val="auto"/>
        <w:rPr>
          <w:rFonts w:hint="eastAsia" w:ascii="华文中宋" w:hAnsi="华文中宋" w:eastAsia="华文中宋" w:cs="方正小标宋简体"/>
          <w:b/>
          <w:bCs w:val="0"/>
          <w:color w:val="auto"/>
          <w:sz w:val="48"/>
          <w:szCs w:val="48"/>
          <w:highlight w:val="none"/>
          <w:lang w:val="en-US" w:eastAsia="zh-CN"/>
        </w:rPr>
      </w:pPr>
      <w:r>
        <w:rPr>
          <w:rFonts w:hint="eastAsia" w:ascii="华文中宋" w:hAnsi="华文中宋" w:eastAsia="华文中宋" w:cs="方正小标宋简体"/>
          <w:b/>
          <w:bCs w:val="0"/>
          <w:color w:val="auto"/>
          <w:sz w:val="48"/>
          <w:szCs w:val="48"/>
          <w:highlight w:val="none"/>
          <w:lang w:val="en-US" w:eastAsia="zh-CN"/>
        </w:rPr>
        <w:t>南召县民政局</w:t>
      </w:r>
    </w:p>
    <w:p>
      <w:pPr>
        <w:keepNext w:val="0"/>
        <w:keepLines w:val="0"/>
        <w:pageBreakBefore w:val="0"/>
        <w:widowControl w:val="0"/>
        <w:shd w:val="clear"/>
        <w:kinsoku/>
        <w:wordWrap/>
        <w:overflowPunct/>
        <w:topLinePunct w:val="0"/>
        <w:autoSpaceDE/>
        <w:autoSpaceDN/>
        <w:bidi w:val="0"/>
        <w:adjustRightInd/>
        <w:snapToGrid/>
        <w:spacing w:before="313" w:beforeLines="100" w:after="410" w:afterLines="100" w:line="560" w:lineRule="exact"/>
        <w:jc w:val="center"/>
        <w:textAlignment w:val="auto"/>
        <w:rPr>
          <w:rFonts w:hint="default" w:ascii="华文中宋" w:hAnsi="华文中宋" w:eastAsia="华文中宋" w:cs="方正小标宋简体"/>
          <w:b/>
          <w:bCs w:val="0"/>
          <w:color w:val="auto"/>
          <w:sz w:val="48"/>
          <w:szCs w:val="48"/>
          <w:highlight w:val="none"/>
          <w:lang w:val="en-US" w:eastAsia="zh-CN"/>
        </w:rPr>
      </w:pPr>
      <w:r>
        <w:rPr>
          <w:rFonts w:hint="eastAsia" w:ascii="华文中宋" w:hAnsi="华文中宋" w:eastAsia="华文中宋" w:cs="方正小标宋简体"/>
          <w:b/>
          <w:bCs w:val="0"/>
          <w:color w:val="auto"/>
          <w:sz w:val="48"/>
          <w:szCs w:val="48"/>
          <w:highlight w:val="none"/>
          <w:lang w:val="en-US" w:eastAsia="zh-CN"/>
        </w:rPr>
        <w:t>2021年度项目单位自评汇总报告</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1606" w:firstLineChars="500"/>
        <w:textAlignment w:val="auto"/>
        <w:rPr>
          <w:rFonts w:hint="eastAsia" w:ascii="宋体" w:hAnsi="宋体" w:eastAsia="宋体" w:cs="宋体"/>
          <w:b/>
          <w:color w:val="auto"/>
          <w:sz w:val="32"/>
          <w:szCs w:val="32"/>
          <w:highlight w:val="none"/>
        </w:rPr>
      </w:pPr>
    </w:p>
    <w:p>
      <w:pPr>
        <w:pStyle w:val="15"/>
        <w:shd w:val="clear"/>
        <w:rPr>
          <w:rFonts w:hint="eastAsia" w:ascii="宋体" w:hAnsi="宋体" w:eastAsia="宋体" w:cs="宋体"/>
          <w:b/>
          <w:color w:val="auto"/>
          <w:sz w:val="32"/>
          <w:szCs w:val="32"/>
          <w:highlight w:val="none"/>
        </w:rPr>
      </w:pPr>
    </w:p>
    <w:p>
      <w:pPr>
        <w:pStyle w:val="15"/>
        <w:shd w:val="clear"/>
        <w:rPr>
          <w:rFonts w:hint="eastAsia" w:ascii="宋体" w:hAnsi="宋体" w:eastAsia="宋体" w:cs="宋体"/>
          <w:b/>
          <w:color w:val="auto"/>
          <w:sz w:val="32"/>
          <w:szCs w:val="32"/>
          <w:highlight w:val="none"/>
        </w:rPr>
      </w:pPr>
    </w:p>
    <w:p>
      <w:pPr>
        <w:keepNext w:val="0"/>
        <w:keepLines w:val="0"/>
        <w:pageBreakBefore w:val="0"/>
        <w:widowControl w:val="0"/>
        <w:shd w:val="clear"/>
        <w:kinsoku/>
        <w:wordWrap/>
        <w:overflowPunct/>
        <w:topLinePunct w:val="0"/>
        <w:autoSpaceDE/>
        <w:autoSpaceDN/>
        <w:bidi w:val="0"/>
        <w:spacing w:before="100" w:after="100" w:line="360" w:lineRule="auto"/>
        <w:ind w:firstLine="1606" w:firstLineChars="500"/>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自评单位：南召县民政局</w:t>
      </w:r>
    </w:p>
    <w:p>
      <w:pPr>
        <w:keepNext w:val="0"/>
        <w:keepLines w:val="0"/>
        <w:pageBreakBefore w:val="0"/>
        <w:widowControl w:val="0"/>
        <w:shd w:val="clear"/>
        <w:kinsoku/>
        <w:wordWrap/>
        <w:overflowPunct/>
        <w:topLinePunct w:val="0"/>
        <w:autoSpaceDE/>
        <w:autoSpaceDN/>
        <w:bidi w:val="0"/>
        <w:adjustRightInd/>
        <w:snapToGrid/>
        <w:spacing w:line="360" w:lineRule="auto"/>
        <w:ind w:firstLine="1606" w:firstLineChars="500"/>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日    期：2022年9月</w:t>
      </w:r>
    </w:p>
    <w:p>
      <w:pPr>
        <w:keepNext w:val="0"/>
        <w:keepLines w:val="0"/>
        <w:pageBreakBefore w:val="0"/>
        <w:widowControl w:val="0"/>
        <w:shd w:val="clear"/>
        <w:kinsoku/>
        <w:wordWrap/>
        <w:overflowPunct/>
        <w:topLinePunct w:val="0"/>
        <w:autoSpaceDE/>
        <w:autoSpaceDN/>
        <w:bidi w:val="0"/>
        <w:spacing w:before="100" w:after="100" w:line="360" w:lineRule="auto"/>
        <w:ind w:firstLine="2209" w:firstLineChars="500"/>
        <w:textAlignment w:val="auto"/>
        <w:rPr>
          <w:rFonts w:hint="eastAsia" w:ascii="华文中宋" w:hAnsi="华文中宋" w:eastAsia="华文中宋" w:cs="方正小标宋简体"/>
          <w:b/>
          <w:bCs w:val="0"/>
          <w:color w:val="auto"/>
          <w:sz w:val="44"/>
          <w:szCs w:val="44"/>
          <w:highlight w:val="none"/>
          <w:lang w:val="en-US" w:eastAsia="zh-CN"/>
        </w:rPr>
      </w:pPr>
      <w:r>
        <w:rPr>
          <w:rFonts w:hint="eastAsia" w:ascii="华文中宋" w:hAnsi="华文中宋" w:eastAsia="华文中宋" w:cs="方正小标宋简体"/>
          <w:b/>
          <w:bCs w:val="0"/>
          <w:color w:val="auto"/>
          <w:sz w:val="44"/>
          <w:szCs w:val="44"/>
          <w:highlight w:val="none"/>
          <w:lang w:val="en-US" w:eastAsia="zh-CN"/>
        </w:rPr>
        <w:br w:type="page"/>
      </w:r>
    </w:p>
    <w:sdt>
      <w:sdtPr>
        <w:rPr>
          <w:rFonts w:ascii="宋体" w:hAnsi="宋体" w:eastAsia="宋体" w:cstheme="minorBidi"/>
          <w:b/>
          <w:bCs/>
          <w:color w:val="auto"/>
          <w:kern w:val="2"/>
          <w:sz w:val="44"/>
          <w:szCs w:val="52"/>
          <w:highlight w:val="none"/>
          <w:lang w:val="en-US" w:eastAsia="zh-CN" w:bidi="ar-SA"/>
        </w:rPr>
        <w:id w:val="147469386"/>
        <w15:color w:val="DBDBDB"/>
        <w:docPartObj>
          <w:docPartGallery w:val="Table of Contents"/>
          <w:docPartUnique/>
        </w:docPartObj>
      </w:sdtPr>
      <w:sdtEndPr>
        <w:rPr>
          <w:rFonts w:ascii="宋体" w:hAnsi="宋体" w:eastAsia="宋体" w:cstheme="minorBidi"/>
          <w:b/>
          <w:bCs/>
          <w:color w:val="auto"/>
          <w:kern w:val="2"/>
          <w:sz w:val="40"/>
          <w:szCs w:val="52"/>
          <w:highlight w:val="none"/>
          <w:lang w:val="en-US" w:eastAsia="zh-CN" w:bidi="ar-SA"/>
        </w:rPr>
      </w:sdtEndPr>
      <w:sdtContent>
        <w:p>
          <w:pPr>
            <w:shd w:val="clear"/>
            <w:spacing w:before="0" w:beforeLines="0" w:after="0" w:afterLines="0" w:line="240" w:lineRule="auto"/>
            <w:ind w:left="0" w:leftChars="0" w:right="0" w:rightChars="0" w:firstLine="0" w:firstLineChars="0"/>
            <w:jc w:val="center"/>
            <w:rPr>
              <w:b/>
              <w:bCs/>
              <w:color w:val="auto"/>
              <w:sz w:val="44"/>
              <w:szCs w:val="52"/>
              <w:highlight w:val="none"/>
            </w:rPr>
          </w:pPr>
          <w:bookmarkStart w:id="0" w:name="_Toc18026"/>
          <w:r>
            <w:rPr>
              <w:rFonts w:ascii="宋体" w:hAnsi="宋体" w:eastAsia="宋体"/>
              <w:b/>
              <w:bCs/>
              <w:color w:val="auto"/>
              <w:sz w:val="44"/>
              <w:szCs w:val="52"/>
              <w:highlight w:val="none"/>
            </w:rPr>
            <w:t>目</w:t>
          </w:r>
          <w:r>
            <w:rPr>
              <w:rFonts w:hint="eastAsia" w:ascii="宋体" w:hAnsi="宋体" w:eastAsia="宋体"/>
              <w:b/>
              <w:bCs/>
              <w:color w:val="auto"/>
              <w:sz w:val="44"/>
              <w:szCs w:val="52"/>
              <w:highlight w:val="none"/>
              <w:lang w:val="en-US" w:eastAsia="zh-CN"/>
            </w:rPr>
            <w:t xml:space="preserve">  </w:t>
          </w:r>
          <w:r>
            <w:rPr>
              <w:rFonts w:ascii="宋体" w:hAnsi="宋体" w:eastAsia="宋体"/>
              <w:b/>
              <w:bCs/>
              <w:color w:val="auto"/>
              <w:sz w:val="44"/>
              <w:szCs w:val="52"/>
              <w:highlight w:val="none"/>
            </w:rPr>
            <w:t>录</w:t>
          </w:r>
        </w:p>
        <w:p>
          <w:pPr>
            <w:pStyle w:val="12"/>
            <w:shd w:val="clear"/>
            <w:tabs>
              <w:tab w:val="right" w:leader="dot" w:pos="8306"/>
            </w:tabs>
            <w:rPr>
              <w:color w:val="auto"/>
              <w:sz w:val="32"/>
              <w:szCs w:val="40"/>
              <w:highlight w:val="none"/>
            </w:rPr>
          </w:pPr>
          <w:r>
            <w:rPr>
              <w:color w:val="auto"/>
              <w:sz w:val="260"/>
              <w:szCs w:val="320"/>
              <w:highlight w:val="none"/>
            </w:rPr>
            <w:fldChar w:fldCharType="begin"/>
          </w:r>
          <w:r>
            <w:rPr>
              <w:color w:val="auto"/>
              <w:sz w:val="260"/>
              <w:szCs w:val="320"/>
              <w:highlight w:val="none"/>
            </w:rPr>
            <w:instrText xml:space="preserve">TOC \o "1-2" \h \u </w:instrText>
          </w:r>
          <w:r>
            <w:rPr>
              <w:color w:val="auto"/>
              <w:sz w:val="260"/>
              <w:szCs w:val="320"/>
              <w:highlight w:val="none"/>
            </w:rPr>
            <w:fldChar w:fldCharType="separate"/>
          </w:r>
          <w:r>
            <w:rPr>
              <w:color w:val="auto"/>
              <w:sz w:val="32"/>
              <w:szCs w:val="400"/>
              <w:highlight w:val="none"/>
            </w:rPr>
            <w:fldChar w:fldCharType="begin"/>
          </w:r>
          <w:r>
            <w:rPr>
              <w:color w:val="auto"/>
              <w:sz w:val="32"/>
              <w:szCs w:val="400"/>
              <w:highlight w:val="none"/>
            </w:rPr>
            <w:instrText xml:space="preserve"> HYPERLINK \l _Toc1263 </w:instrText>
          </w:r>
          <w:r>
            <w:rPr>
              <w:color w:val="auto"/>
              <w:sz w:val="32"/>
              <w:szCs w:val="400"/>
              <w:highlight w:val="none"/>
            </w:rPr>
            <w:fldChar w:fldCharType="separate"/>
          </w:r>
          <w:r>
            <w:rPr>
              <w:rFonts w:hint="eastAsia" w:ascii="黑体" w:hAnsi="黑体" w:eastAsia="黑体" w:cs="黑体"/>
              <w:color w:val="auto"/>
              <w:sz w:val="32"/>
              <w:szCs w:val="48"/>
              <w:highlight w:val="none"/>
              <w:lang w:val="en-US" w:eastAsia="zh-CN"/>
            </w:rPr>
            <w:t>一、项目支出基本情况</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_Toc1263 </w:instrText>
          </w:r>
          <w:r>
            <w:rPr>
              <w:color w:val="auto"/>
              <w:sz w:val="32"/>
              <w:szCs w:val="40"/>
              <w:highlight w:val="none"/>
            </w:rPr>
            <w:fldChar w:fldCharType="separate"/>
          </w:r>
          <w:r>
            <w:rPr>
              <w:color w:val="auto"/>
              <w:sz w:val="32"/>
              <w:szCs w:val="40"/>
              <w:highlight w:val="none"/>
            </w:rPr>
            <w:t>1</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_Toc6407 </w:instrText>
          </w:r>
          <w:r>
            <w:rPr>
              <w:color w:val="auto"/>
              <w:sz w:val="32"/>
              <w:szCs w:val="400"/>
              <w:highlight w:val="none"/>
            </w:rPr>
            <w:fldChar w:fldCharType="separate"/>
          </w:r>
          <w:r>
            <w:rPr>
              <w:rFonts w:hint="eastAsia" w:ascii="楷体" w:hAnsi="楷体" w:eastAsia="楷体" w:cs="楷体"/>
              <w:color w:val="auto"/>
              <w:sz w:val="32"/>
              <w:szCs w:val="48"/>
              <w:highlight w:val="none"/>
              <w:lang w:val="en-US" w:eastAsia="zh-CN"/>
            </w:rPr>
            <w:t>（一）项目单位基本情况</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_Toc6407 </w:instrText>
          </w:r>
          <w:r>
            <w:rPr>
              <w:color w:val="auto"/>
              <w:sz w:val="32"/>
              <w:szCs w:val="40"/>
              <w:highlight w:val="none"/>
            </w:rPr>
            <w:fldChar w:fldCharType="separate"/>
          </w:r>
          <w:r>
            <w:rPr>
              <w:color w:val="auto"/>
              <w:sz w:val="32"/>
              <w:szCs w:val="40"/>
              <w:highlight w:val="none"/>
            </w:rPr>
            <w:t>1</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_Toc2611 </w:instrText>
          </w:r>
          <w:r>
            <w:rPr>
              <w:color w:val="auto"/>
              <w:sz w:val="32"/>
              <w:szCs w:val="400"/>
              <w:highlight w:val="none"/>
            </w:rPr>
            <w:fldChar w:fldCharType="separate"/>
          </w:r>
          <w:r>
            <w:rPr>
              <w:rFonts w:hint="eastAsia" w:ascii="楷体" w:hAnsi="楷体" w:eastAsia="楷体" w:cs="楷体"/>
              <w:color w:val="auto"/>
              <w:sz w:val="32"/>
              <w:szCs w:val="48"/>
              <w:highlight w:val="none"/>
              <w:lang w:val="en-US" w:eastAsia="zh-CN"/>
            </w:rPr>
            <w:t>（二）项目总体预算和执行情况</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_Toc2611 </w:instrText>
          </w:r>
          <w:r>
            <w:rPr>
              <w:color w:val="auto"/>
              <w:sz w:val="32"/>
              <w:szCs w:val="40"/>
              <w:highlight w:val="none"/>
            </w:rPr>
            <w:fldChar w:fldCharType="separate"/>
          </w:r>
          <w:r>
            <w:rPr>
              <w:color w:val="auto"/>
              <w:sz w:val="32"/>
              <w:szCs w:val="40"/>
              <w:highlight w:val="none"/>
            </w:rPr>
            <w:t>3</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_Toc24967 </w:instrText>
          </w:r>
          <w:r>
            <w:rPr>
              <w:color w:val="auto"/>
              <w:sz w:val="32"/>
              <w:szCs w:val="400"/>
              <w:highlight w:val="none"/>
            </w:rPr>
            <w:fldChar w:fldCharType="separate"/>
          </w:r>
          <w:r>
            <w:rPr>
              <w:rFonts w:hint="default" w:ascii="楷体" w:hAnsi="楷体" w:eastAsia="楷体" w:cs="楷体"/>
              <w:color w:val="auto"/>
              <w:sz w:val="32"/>
              <w:szCs w:val="48"/>
              <w:highlight w:val="none"/>
              <w:lang w:val="en-US" w:eastAsia="zh-CN"/>
            </w:rPr>
            <w:t>（三）项目构成情况</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_Toc24967 </w:instrText>
          </w:r>
          <w:r>
            <w:rPr>
              <w:color w:val="auto"/>
              <w:sz w:val="32"/>
              <w:szCs w:val="40"/>
              <w:highlight w:val="none"/>
            </w:rPr>
            <w:fldChar w:fldCharType="separate"/>
          </w:r>
          <w:r>
            <w:rPr>
              <w:color w:val="auto"/>
              <w:sz w:val="32"/>
              <w:szCs w:val="40"/>
              <w:highlight w:val="none"/>
            </w:rPr>
            <w:t>3</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_Toc375 </w:instrText>
          </w:r>
          <w:r>
            <w:rPr>
              <w:color w:val="auto"/>
              <w:sz w:val="32"/>
              <w:szCs w:val="400"/>
              <w:highlight w:val="none"/>
            </w:rPr>
            <w:fldChar w:fldCharType="separate"/>
          </w:r>
          <w:r>
            <w:rPr>
              <w:rFonts w:hint="eastAsia" w:ascii="黑体" w:hAnsi="黑体" w:eastAsia="黑体" w:cs="黑体"/>
              <w:color w:val="auto"/>
              <w:sz w:val="32"/>
              <w:szCs w:val="48"/>
              <w:highlight w:val="none"/>
              <w:lang w:val="en-US" w:eastAsia="zh-CN"/>
            </w:rPr>
            <w:t>二、单位</w:t>
          </w:r>
          <w:r>
            <w:rPr>
              <w:rFonts w:hint="default" w:ascii="黑体" w:hAnsi="黑体" w:eastAsia="黑体" w:cs="黑体"/>
              <w:color w:val="auto"/>
              <w:sz w:val="32"/>
              <w:szCs w:val="48"/>
              <w:highlight w:val="none"/>
              <w:lang w:val="en-US" w:eastAsia="zh-CN"/>
            </w:rPr>
            <w:t>自评工作开展情况</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_Toc375 </w:instrText>
          </w:r>
          <w:r>
            <w:rPr>
              <w:color w:val="auto"/>
              <w:sz w:val="32"/>
              <w:szCs w:val="40"/>
              <w:highlight w:val="none"/>
            </w:rPr>
            <w:fldChar w:fldCharType="separate"/>
          </w:r>
          <w:r>
            <w:rPr>
              <w:color w:val="auto"/>
              <w:sz w:val="32"/>
              <w:szCs w:val="40"/>
              <w:highlight w:val="none"/>
            </w:rPr>
            <w:t>3</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_Toc31892 </w:instrText>
          </w:r>
          <w:r>
            <w:rPr>
              <w:color w:val="auto"/>
              <w:sz w:val="32"/>
              <w:szCs w:val="400"/>
              <w:highlight w:val="none"/>
            </w:rPr>
            <w:fldChar w:fldCharType="separate"/>
          </w:r>
          <w:r>
            <w:rPr>
              <w:rFonts w:hint="eastAsia" w:ascii="楷体" w:hAnsi="楷体" w:eastAsia="楷体" w:cs="楷体"/>
              <w:color w:val="auto"/>
              <w:sz w:val="32"/>
              <w:szCs w:val="48"/>
              <w:highlight w:val="none"/>
              <w:lang w:val="en-US" w:eastAsia="zh-CN"/>
            </w:rPr>
            <w:t>（一）绩效自评目的和意义</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_Toc31892 </w:instrText>
          </w:r>
          <w:r>
            <w:rPr>
              <w:color w:val="auto"/>
              <w:sz w:val="32"/>
              <w:szCs w:val="40"/>
              <w:highlight w:val="none"/>
            </w:rPr>
            <w:fldChar w:fldCharType="separate"/>
          </w:r>
          <w:r>
            <w:rPr>
              <w:color w:val="auto"/>
              <w:sz w:val="32"/>
              <w:szCs w:val="40"/>
              <w:highlight w:val="none"/>
            </w:rPr>
            <w:t>3</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_Toc21602 </w:instrText>
          </w:r>
          <w:r>
            <w:rPr>
              <w:color w:val="auto"/>
              <w:sz w:val="32"/>
              <w:szCs w:val="400"/>
              <w:highlight w:val="none"/>
            </w:rPr>
            <w:fldChar w:fldCharType="separate"/>
          </w:r>
          <w:r>
            <w:rPr>
              <w:rFonts w:hint="eastAsia" w:ascii="楷体" w:hAnsi="楷体" w:eastAsia="楷体" w:cs="楷体"/>
              <w:color w:val="auto"/>
              <w:sz w:val="32"/>
              <w:szCs w:val="48"/>
              <w:highlight w:val="none"/>
              <w:lang w:val="en-US" w:eastAsia="zh-CN"/>
            </w:rPr>
            <w:t>（二）绩效自评对象和范围</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_Toc21602 </w:instrText>
          </w:r>
          <w:r>
            <w:rPr>
              <w:color w:val="auto"/>
              <w:sz w:val="32"/>
              <w:szCs w:val="40"/>
              <w:highlight w:val="none"/>
            </w:rPr>
            <w:fldChar w:fldCharType="separate"/>
          </w:r>
          <w:r>
            <w:rPr>
              <w:color w:val="auto"/>
              <w:sz w:val="32"/>
              <w:szCs w:val="40"/>
              <w:highlight w:val="none"/>
            </w:rPr>
            <w:t>4</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_Toc9140 </w:instrText>
          </w:r>
          <w:r>
            <w:rPr>
              <w:color w:val="auto"/>
              <w:sz w:val="32"/>
              <w:szCs w:val="400"/>
              <w:highlight w:val="none"/>
            </w:rPr>
            <w:fldChar w:fldCharType="separate"/>
          </w:r>
          <w:r>
            <w:rPr>
              <w:rFonts w:hint="eastAsia" w:ascii="楷体" w:hAnsi="楷体" w:eastAsia="楷体" w:cs="楷体"/>
              <w:color w:val="auto"/>
              <w:sz w:val="32"/>
              <w:szCs w:val="48"/>
              <w:highlight w:val="none"/>
              <w:lang w:val="en-US" w:eastAsia="zh-CN"/>
            </w:rPr>
            <w:t>（三）绩效评价的依据</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_Toc9140 </w:instrText>
          </w:r>
          <w:r>
            <w:rPr>
              <w:color w:val="auto"/>
              <w:sz w:val="32"/>
              <w:szCs w:val="40"/>
              <w:highlight w:val="none"/>
            </w:rPr>
            <w:fldChar w:fldCharType="separate"/>
          </w:r>
          <w:r>
            <w:rPr>
              <w:color w:val="auto"/>
              <w:sz w:val="32"/>
              <w:szCs w:val="40"/>
              <w:highlight w:val="none"/>
            </w:rPr>
            <w:t>4</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_Toc23291 </w:instrText>
          </w:r>
          <w:r>
            <w:rPr>
              <w:color w:val="auto"/>
              <w:sz w:val="32"/>
              <w:szCs w:val="400"/>
              <w:highlight w:val="none"/>
            </w:rPr>
            <w:fldChar w:fldCharType="separate"/>
          </w:r>
          <w:r>
            <w:rPr>
              <w:rFonts w:hint="eastAsia" w:ascii="楷体" w:hAnsi="楷体" w:eastAsia="楷体" w:cs="楷体"/>
              <w:color w:val="auto"/>
              <w:sz w:val="32"/>
              <w:szCs w:val="48"/>
              <w:highlight w:val="none"/>
              <w:lang w:val="en-US" w:eastAsia="zh-CN"/>
            </w:rPr>
            <w:t>（四）评分方法</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_Toc23291 </w:instrText>
          </w:r>
          <w:r>
            <w:rPr>
              <w:color w:val="auto"/>
              <w:sz w:val="32"/>
              <w:szCs w:val="40"/>
              <w:highlight w:val="none"/>
            </w:rPr>
            <w:fldChar w:fldCharType="separate"/>
          </w:r>
          <w:r>
            <w:rPr>
              <w:color w:val="auto"/>
              <w:sz w:val="32"/>
              <w:szCs w:val="40"/>
              <w:highlight w:val="none"/>
            </w:rPr>
            <w:t>4</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_Toc2334 </w:instrText>
          </w:r>
          <w:r>
            <w:rPr>
              <w:color w:val="auto"/>
              <w:sz w:val="32"/>
              <w:szCs w:val="400"/>
              <w:highlight w:val="none"/>
            </w:rPr>
            <w:fldChar w:fldCharType="separate"/>
          </w:r>
          <w:r>
            <w:rPr>
              <w:rFonts w:hint="eastAsia" w:ascii="楷体" w:hAnsi="楷体" w:eastAsia="楷体" w:cs="楷体"/>
              <w:color w:val="auto"/>
              <w:sz w:val="32"/>
              <w:szCs w:val="48"/>
              <w:highlight w:val="none"/>
              <w:lang w:val="en-US" w:eastAsia="zh-CN"/>
            </w:rPr>
            <w:t>（五）绩效自评工作组织</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_Toc2334 </w:instrText>
          </w:r>
          <w:r>
            <w:rPr>
              <w:color w:val="auto"/>
              <w:sz w:val="32"/>
              <w:szCs w:val="40"/>
              <w:highlight w:val="none"/>
            </w:rPr>
            <w:fldChar w:fldCharType="separate"/>
          </w:r>
          <w:r>
            <w:rPr>
              <w:color w:val="auto"/>
              <w:sz w:val="32"/>
              <w:szCs w:val="40"/>
              <w:highlight w:val="none"/>
            </w:rPr>
            <w:t>5</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_Toc30653 </w:instrText>
          </w:r>
          <w:r>
            <w:rPr>
              <w:color w:val="auto"/>
              <w:sz w:val="32"/>
              <w:szCs w:val="400"/>
              <w:highlight w:val="none"/>
            </w:rPr>
            <w:fldChar w:fldCharType="separate"/>
          </w:r>
          <w:r>
            <w:rPr>
              <w:rFonts w:hint="eastAsia" w:ascii="黑体" w:hAnsi="黑体" w:eastAsia="黑体" w:cs="黑体"/>
              <w:color w:val="auto"/>
              <w:sz w:val="32"/>
              <w:szCs w:val="48"/>
              <w:highlight w:val="none"/>
              <w:lang w:val="zh-CN" w:eastAsia="zh-CN"/>
            </w:rPr>
            <w:t>三、</w:t>
          </w:r>
          <w:r>
            <w:rPr>
              <w:rFonts w:hint="default" w:ascii="黑体" w:hAnsi="黑体" w:eastAsia="黑体" w:cs="黑体"/>
              <w:color w:val="auto"/>
              <w:sz w:val="32"/>
              <w:szCs w:val="48"/>
              <w:highlight w:val="none"/>
              <w:lang w:val="zh-CN" w:eastAsia="zh-CN"/>
            </w:rPr>
            <w:t>单位自评结果及分析</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_Toc30653 </w:instrText>
          </w:r>
          <w:r>
            <w:rPr>
              <w:color w:val="auto"/>
              <w:sz w:val="32"/>
              <w:szCs w:val="40"/>
              <w:highlight w:val="none"/>
            </w:rPr>
            <w:fldChar w:fldCharType="separate"/>
          </w:r>
          <w:r>
            <w:rPr>
              <w:color w:val="auto"/>
              <w:sz w:val="32"/>
              <w:szCs w:val="40"/>
              <w:highlight w:val="none"/>
            </w:rPr>
            <w:t>6</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_Toc8701 </w:instrText>
          </w:r>
          <w:r>
            <w:rPr>
              <w:color w:val="auto"/>
              <w:sz w:val="32"/>
              <w:szCs w:val="400"/>
              <w:highlight w:val="none"/>
            </w:rPr>
            <w:fldChar w:fldCharType="separate"/>
          </w:r>
          <w:r>
            <w:rPr>
              <w:rFonts w:hint="default" w:ascii="楷体" w:hAnsi="楷体" w:eastAsia="楷体" w:cs="楷体"/>
              <w:color w:val="auto"/>
              <w:sz w:val="32"/>
              <w:szCs w:val="48"/>
              <w:highlight w:val="none"/>
              <w:lang w:val="zh-CN" w:eastAsia="zh-CN"/>
            </w:rPr>
            <w:t>（一）自评结果</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_Toc8701 </w:instrText>
          </w:r>
          <w:r>
            <w:rPr>
              <w:color w:val="auto"/>
              <w:sz w:val="32"/>
              <w:szCs w:val="40"/>
              <w:highlight w:val="none"/>
            </w:rPr>
            <w:fldChar w:fldCharType="separate"/>
          </w:r>
          <w:r>
            <w:rPr>
              <w:color w:val="auto"/>
              <w:sz w:val="32"/>
              <w:szCs w:val="40"/>
              <w:highlight w:val="none"/>
            </w:rPr>
            <w:t>6</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_Toc23896 </w:instrText>
          </w:r>
          <w:r>
            <w:rPr>
              <w:color w:val="auto"/>
              <w:sz w:val="32"/>
              <w:szCs w:val="400"/>
              <w:highlight w:val="none"/>
            </w:rPr>
            <w:fldChar w:fldCharType="separate"/>
          </w:r>
          <w:r>
            <w:rPr>
              <w:rFonts w:hint="eastAsia" w:ascii="楷体" w:hAnsi="楷体" w:eastAsia="楷体" w:cs="楷体"/>
              <w:color w:val="auto"/>
              <w:sz w:val="32"/>
              <w:szCs w:val="48"/>
              <w:highlight w:val="none"/>
              <w:lang w:val="zh-CN" w:eastAsia="zh-CN"/>
            </w:rPr>
            <w:t>（二）</w:t>
          </w:r>
          <w:r>
            <w:rPr>
              <w:rFonts w:hint="default" w:ascii="楷体" w:hAnsi="楷体" w:eastAsia="楷体" w:cs="楷体"/>
              <w:color w:val="auto"/>
              <w:sz w:val="32"/>
              <w:szCs w:val="48"/>
              <w:highlight w:val="none"/>
              <w:lang w:val="zh-CN" w:eastAsia="zh-CN"/>
            </w:rPr>
            <w:t>偏差较大项目说明</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_Toc23896 </w:instrText>
          </w:r>
          <w:r>
            <w:rPr>
              <w:color w:val="auto"/>
              <w:sz w:val="32"/>
              <w:szCs w:val="40"/>
              <w:highlight w:val="none"/>
            </w:rPr>
            <w:fldChar w:fldCharType="separate"/>
          </w:r>
          <w:r>
            <w:rPr>
              <w:color w:val="auto"/>
              <w:sz w:val="32"/>
              <w:szCs w:val="40"/>
              <w:highlight w:val="none"/>
            </w:rPr>
            <w:t>7</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_Toc26535 </w:instrText>
          </w:r>
          <w:r>
            <w:rPr>
              <w:color w:val="auto"/>
              <w:sz w:val="32"/>
              <w:szCs w:val="400"/>
              <w:highlight w:val="none"/>
            </w:rPr>
            <w:fldChar w:fldCharType="separate"/>
          </w:r>
          <w:r>
            <w:rPr>
              <w:rFonts w:hint="eastAsia" w:ascii="黑体" w:hAnsi="黑体" w:eastAsia="黑体" w:cs="黑体"/>
              <w:color w:val="auto"/>
              <w:sz w:val="32"/>
              <w:szCs w:val="48"/>
              <w:highlight w:val="none"/>
              <w:lang w:val="zh-CN" w:eastAsia="zh-CN"/>
            </w:rPr>
            <w:t>四、</w:t>
          </w:r>
          <w:r>
            <w:rPr>
              <w:rFonts w:hint="default" w:ascii="黑体" w:hAnsi="黑体" w:eastAsia="黑体" w:cs="黑体"/>
              <w:color w:val="auto"/>
              <w:sz w:val="32"/>
              <w:szCs w:val="48"/>
              <w:highlight w:val="none"/>
              <w:lang w:val="zh-CN" w:eastAsia="zh-CN"/>
            </w:rPr>
            <w:t>自评发现的问题及整改措施</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_Toc26535 </w:instrText>
          </w:r>
          <w:r>
            <w:rPr>
              <w:color w:val="auto"/>
              <w:sz w:val="32"/>
              <w:szCs w:val="40"/>
              <w:highlight w:val="none"/>
            </w:rPr>
            <w:fldChar w:fldCharType="separate"/>
          </w:r>
          <w:r>
            <w:rPr>
              <w:color w:val="auto"/>
              <w:sz w:val="32"/>
              <w:szCs w:val="40"/>
              <w:highlight w:val="none"/>
            </w:rPr>
            <w:t>7</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_Toc5004 </w:instrText>
          </w:r>
          <w:r>
            <w:rPr>
              <w:color w:val="auto"/>
              <w:sz w:val="32"/>
              <w:szCs w:val="400"/>
              <w:highlight w:val="none"/>
            </w:rPr>
            <w:fldChar w:fldCharType="separate"/>
          </w:r>
          <w:r>
            <w:rPr>
              <w:rFonts w:hint="eastAsia" w:ascii="黑体" w:hAnsi="黑体" w:eastAsia="黑体" w:cs="黑体"/>
              <w:color w:val="auto"/>
              <w:sz w:val="32"/>
              <w:szCs w:val="48"/>
              <w:highlight w:val="none"/>
              <w:lang w:val="zh-CN" w:eastAsia="zh-CN"/>
            </w:rPr>
            <w:t>五、</w:t>
          </w:r>
          <w:r>
            <w:rPr>
              <w:rFonts w:hint="default" w:ascii="黑体" w:hAnsi="黑体" w:eastAsia="黑体" w:cs="黑体"/>
              <w:color w:val="auto"/>
              <w:sz w:val="32"/>
              <w:szCs w:val="48"/>
              <w:highlight w:val="none"/>
              <w:lang w:val="zh-CN" w:eastAsia="zh-CN"/>
            </w:rPr>
            <w:t>绩效自评工作建议及预算安排建议</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_Toc5004 </w:instrText>
          </w:r>
          <w:r>
            <w:rPr>
              <w:color w:val="auto"/>
              <w:sz w:val="32"/>
              <w:szCs w:val="40"/>
              <w:highlight w:val="none"/>
            </w:rPr>
            <w:fldChar w:fldCharType="separate"/>
          </w:r>
          <w:r>
            <w:rPr>
              <w:color w:val="auto"/>
              <w:sz w:val="32"/>
              <w:szCs w:val="40"/>
              <w:highlight w:val="none"/>
            </w:rPr>
            <w:t>8</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sz w:val="32"/>
              <w:szCs w:val="40"/>
              <w:highlight w:val="none"/>
            </w:rPr>
          </w:pPr>
          <w:r>
            <w:rPr>
              <w:color w:val="auto"/>
              <w:sz w:val="32"/>
              <w:szCs w:val="400"/>
              <w:highlight w:val="none"/>
            </w:rPr>
            <w:fldChar w:fldCharType="begin"/>
          </w:r>
          <w:r>
            <w:rPr>
              <w:color w:val="auto"/>
              <w:sz w:val="32"/>
              <w:szCs w:val="400"/>
              <w:highlight w:val="none"/>
            </w:rPr>
            <w:instrText xml:space="preserve"> HYPERLINK \l _Toc28566 </w:instrText>
          </w:r>
          <w:r>
            <w:rPr>
              <w:color w:val="auto"/>
              <w:sz w:val="32"/>
              <w:szCs w:val="400"/>
              <w:highlight w:val="none"/>
            </w:rPr>
            <w:fldChar w:fldCharType="separate"/>
          </w:r>
          <w:r>
            <w:rPr>
              <w:rFonts w:hint="eastAsia" w:ascii="黑体" w:hAnsi="黑体" w:eastAsia="黑体" w:cs="黑体"/>
              <w:color w:val="auto"/>
              <w:sz w:val="32"/>
              <w:szCs w:val="48"/>
              <w:highlight w:val="none"/>
              <w:lang w:val="zh-CN" w:eastAsia="zh-CN"/>
            </w:rPr>
            <w:t>六、</w:t>
          </w:r>
          <w:r>
            <w:rPr>
              <w:rFonts w:hint="default" w:ascii="黑体" w:hAnsi="黑体" w:eastAsia="黑体" w:cs="黑体"/>
              <w:color w:val="auto"/>
              <w:sz w:val="32"/>
              <w:szCs w:val="48"/>
              <w:highlight w:val="none"/>
              <w:lang w:val="zh-CN" w:eastAsia="zh-CN"/>
            </w:rPr>
            <w:t>其他需要说明的问题</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_Toc28566 </w:instrText>
          </w:r>
          <w:r>
            <w:rPr>
              <w:color w:val="auto"/>
              <w:sz w:val="32"/>
              <w:szCs w:val="40"/>
              <w:highlight w:val="none"/>
            </w:rPr>
            <w:fldChar w:fldCharType="separate"/>
          </w:r>
          <w:r>
            <w:rPr>
              <w:color w:val="auto"/>
              <w:sz w:val="32"/>
              <w:szCs w:val="40"/>
              <w:highlight w:val="none"/>
            </w:rPr>
            <w:t>8</w:t>
          </w:r>
          <w:r>
            <w:rPr>
              <w:color w:val="auto"/>
              <w:sz w:val="32"/>
              <w:szCs w:val="40"/>
              <w:highlight w:val="none"/>
            </w:rPr>
            <w:fldChar w:fldCharType="end"/>
          </w:r>
          <w:r>
            <w:rPr>
              <w:color w:val="auto"/>
              <w:sz w:val="32"/>
              <w:szCs w:val="400"/>
              <w:highlight w:val="none"/>
            </w:rPr>
            <w:fldChar w:fldCharType="end"/>
          </w:r>
        </w:p>
        <w:p>
          <w:pPr>
            <w:pStyle w:val="12"/>
            <w:shd w:val="clear"/>
            <w:tabs>
              <w:tab w:val="right" w:leader="dot" w:pos="8306"/>
            </w:tabs>
            <w:rPr>
              <w:color w:val="auto"/>
              <w:highlight w:val="none"/>
            </w:rPr>
          </w:pPr>
          <w:r>
            <w:rPr>
              <w:color w:val="auto"/>
              <w:sz w:val="32"/>
              <w:szCs w:val="400"/>
              <w:highlight w:val="none"/>
            </w:rPr>
            <w:fldChar w:fldCharType="begin"/>
          </w:r>
          <w:r>
            <w:rPr>
              <w:color w:val="auto"/>
              <w:sz w:val="32"/>
              <w:szCs w:val="400"/>
              <w:highlight w:val="none"/>
            </w:rPr>
            <w:instrText xml:space="preserve"> HYPERLINK \l _Toc15292 </w:instrText>
          </w:r>
          <w:r>
            <w:rPr>
              <w:color w:val="auto"/>
              <w:sz w:val="32"/>
              <w:szCs w:val="400"/>
              <w:highlight w:val="none"/>
            </w:rPr>
            <w:fldChar w:fldCharType="separate"/>
          </w:r>
          <w:r>
            <w:rPr>
              <w:rFonts w:hint="eastAsia" w:ascii="黑体" w:hAnsi="黑体" w:eastAsia="黑体" w:cs="黑体"/>
              <w:color w:val="auto"/>
              <w:sz w:val="32"/>
              <w:szCs w:val="48"/>
              <w:highlight w:val="none"/>
              <w:lang w:val="zh-CN" w:eastAsia="zh-CN"/>
            </w:rPr>
            <w:t>七、</w:t>
          </w:r>
          <w:r>
            <w:rPr>
              <w:rFonts w:hint="default" w:ascii="黑体" w:hAnsi="黑体" w:eastAsia="黑体" w:cs="黑体"/>
              <w:color w:val="auto"/>
              <w:sz w:val="32"/>
              <w:szCs w:val="48"/>
              <w:highlight w:val="none"/>
              <w:lang w:val="zh-CN" w:eastAsia="zh-CN"/>
            </w:rPr>
            <w:t>附表：项目单位自评汇总表</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_Toc15292 </w:instrText>
          </w:r>
          <w:r>
            <w:rPr>
              <w:color w:val="auto"/>
              <w:sz w:val="32"/>
              <w:szCs w:val="40"/>
              <w:highlight w:val="none"/>
            </w:rPr>
            <w:fldChar w:fldCharType="separate"/>
          </w:r>
          <w:r>
            <w:rPr>
              <w:color w:val="auto"/>
              <w:sz w:val="32"/>
              <w:szCs w:val="40"/>
              <w:highlight w:val="none"/>
            </w:rPr>
            <w:t>9</w:t>
          </w:r>
          <w:r>
            <w:rPr>
              <w:color w:val="auto"/>
              <w:sz w:val="32"/>
              <w:szCs w:val="40"/>
              <w:highlight w:val="none"/>
            </w:rPr>
            <w:fldChar w:fldCharType="end"/>
          </w:r>
          <w:r>
            <w:rPr>
              <w:color w:val="auto"/>
              <w:sz w:val="32"/>
              <w:szCs w:val="400"/>
              <w:highlight w:val="none"/>
            </w:rPr>
            <w:fldChar w:fldCharType="end"/>
          </w:r>
        </w:p>
        <w:p>
          <w:pPr>
            <w:pStyle w:val="13"/>
            <w:shd w:val="clear"/>
            <w:tabs>
              <w:tab w:val="right" w:leader="dot" w:pos="8306"/>
            </w:tabs>
            <w:rPr>
              <w:color w:val="auto"/>
              <w:sz w:val="40"/>
              <w:szCs w:val="52"/>
              <w:highlight w:val="none"/>
            </w:rPr>
          </w:pPr>
          <w:r>
            <w:rPr>
              <w:color w:val="auto"/>
              <w:szCs w:val="320"/>
              <w:highlight w:val="none"/>
            </w:rPr>
            <w:fldChar w:fldCharType="end"/>
          </w:r>
        </w:p>
      </w:sdtContent>
    </w:sdt>
    <w:p>
      <w:pPr>
        <w:pStyle w:val="13"/>
        <w:shd w:val="clear"/>
        <w:tabs>
          <w:tab w:val="right" w:leader="dot" w:pos="8306"/>
        </w:tabs>
        <w:rPr>
          <w:rFonts w:hint="eastAsia"/>
          <w:color w:val="auto"/>
          <w:sz w:val="40"/>
          <w:szCs w:val="52"/>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 w:name="_Toc10199"/>
    </w:p>
    <w:bookmarkEnd w:id="0"/>
    <w:bookmarkEnd w:id="1"/>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华文中宋" w:hAnsi="华文中宋" w:eastAsia="华文中宋" w:cs="方正小标宋简体"/>
          <w:b/>
          <w:bCs w:val="0"/>
          <w:color w:val="auto"/>
          <w:sz w:val="44"/>
          <w:szCs w:val="44"/>
          <w:highlight w:val="none"/>
          <w:lang w:val="en-US" w:eastAsia="zh-CN"/>
        </w:rPr>
      </w:pPr>
      <w:r>
        <w:rPr>
          <w:rFonts w:hint="eastAsia" w:ascii="华文中宋" w:hAnsi="华文中宋" w:eastAsia="华文中宋" w:cs="方正小标宋简体"/>
          <w:b/>
          <w:bCs w:val="0"/>
          <w:color w:val="auto"/>
          <w:sz w:val="44"/>
          <w:szCs w:val="44"/>
          <w:highlight w:val="none"/>
          <w:lang w:val="en-US" w:eastAsia="zh-CN"/>
        </w:rPr>
        <w:t>南召县</w:t>
      </w:r>
      <w:bookmarkStart w:id="2" w:name="_Toc7184"/>
      <w:bookmarkStart w:id="3" w:name="_Toc3382"/>
      <w:bookmarkStart w:id="4" w:name="_Toc19313"/>
      <w:bookmarkStart w:id="5" w:name="_Toc16874"/>
      <w:bookmarkStart w:id="6" w:name="_Toc3271"/>
      <w:bookmarkStart w:id="7" w:name="_Toc26573"/>
      <w:bookmarkStart w:id="8" w:name="_Toc1775"/>
      <w:bookmarkStart w:id="9" w:name="_Toc12697"/>
      <w:bookmarkStart w:id="10" w:name="_Toc25959"/>
      <w:bookmarkStart w:id="11" w:name="_Toc2936"/>
      <w:bookmarkStart w:id="12" w:name="_Toc24854"/>
      <w:r>
        <w:rPr>
          <w:rFonts w:hint="eastAsia" w:ascii="华文中宋" w:hAnsi="华文中宋" w:eastAsia="华文中宋" w:cs="方正小标宋简体"/>
          <w:b/>
          <w:bCs w:val="0"/>
          <w:color w:val="auto"/>
          <w:sz w:val="44"/>
          <w:szCs w:val="44"/>
          <w:highlight w:val="none"/>
          <w:lang w:val="en-US" w:eastAsia="zh-CN"/>
        </w:rPr>
        <w:t>民政局</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华文中宋" w:hAnsi="华文中宋" w:eastAsia="华文中宋" w:cs="方正小标宋简体"/>
          <w:b/>
          <w:bCs w:val="0"/>
          <w:color w:val="auto"/>
          <w:sz w:val="44"/>
          <w:szCs w:val="44"/>
          <w:highlight w:val="none"/>
          <w:lang w:val="en-US" w:eastAsia="zh-CN"/>
        </w:rPr>
      </w:pPr>
      <w:r>
        <w:rPr>
          <w:rFonts w:hint="eastAsia" w:ascii="华文中宋" w:hAnsi="华文中宋" w:eastAsia="华文中宋" w:cs="方正小标宋简体"/>
          <w:b/>
          <w:bCs w:val="0"/>
          <w:color w:val="auto"/>
          <w:sz w:val="44"/>
          <w:szCs w:val="44"/>
          <w:highlight w:val="none"/>
          <w:lang w:val="en-US" w:eastAsia="zh-CN"/>
        </w:rPr>
        <w:t>2021年度项目单位自评汇总报告</w:t>
      </w:r>
      <w:bookmarkEnd w:id="2"/>
      <w:bookmarkEnd w:id="3"/>
      <w:bookmarkEnd w:id="4"/>
      <w:bookmarkEnd w:id="5"/>
      <w:bookmarkEnd w:id="6"/>
      <w:bookmarkEnd w:id="7"/>
      <w:bookmarkEnd w:id="8"/>
      <w:bookmarkEnd w:id="9"/>
      <w:bookmarkEnd w:id="10"/>
      <w:bookmarkEnd w:id="11"/>
      <w:bookmarkEnd w:id="12"/>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为深入贯彻落实</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河南省省</w:t>
      </w:r>
      <w:r>
        <w:rPr>
          <w:rFonts w:hint="eastAsia" w:ascii="仿宋" w:hAnsi="仿宋" w:eastAsia="仿宋" w:cs="仿宋"/>
          <w:color w:val="auto"/>
          <w:sz w:val="32"/>
          <w:szCs w:val="32"/>
          <w:highlight w:val="none"/>
        </w:rPr>
        <w:t>级预算项目支出绩效评价管理办法》</w:t>
      </w:r>
      <w:r>
        <w:rPr>
          <w:rFonts w:hint="eastAsia" w:ascii="仿宋" w:hAnsi="仿宋" w:eastAsia="仿宋" w:cs="仿宋"/>
          <w:color w:val="auto"/>
          <w:sz w:val="32"/>
          <w:szCs w:val="32"/>
          <w:highlight w:val="none"/>
          <w:lang w:val="en-US" w:eastAsia="zh-CN"/>
        </w:rPr>
        <w:t>有关要求，健全绩效管理常态化机制，强化部门预算绩效管理主体责任，提高财政资金使用效益。按照《南召县财政局关于开展2021年度县级预算资金绩效评价工作的通知》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召财</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w:t>
      </w:r>
      <w:r>
        <w:rPr>
          <w:rFonts w:hint="eastAsia" w:ascii="仿宋" w:hAnsi="仿宋" w:cs="仿宋"/>
          <w:color w:val="auto"/>
          <w:sz w:val="32"/>
          <w:szCs w:val="32"/>
          <w:highlight w:val="none"/>
          <w:lang w:val="en-US" w:eastAsia="zh-CN"/>
        </w:rPr>
        <w:t>9</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highlight w:val="none"/>
          <w:lang w:val="en-US" w:eastAsia="zh-CN"/>
        </w:rPr>
        <w:t>文件的相关要求，本单位高度重视，成立了绩效自评工作小组，通过基础资料收集、数据汇总分析等工作程序，对单位各项目的情况进行全面了解，形成如下项目单位自评总结绩效报告。现将有关情况报告如下：</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黑体" w:hAnsi="黑体" w:eastAsia="黑体" w:cs="黑体"/>
          <w:color w:val="auto"/>
          <w:sz w:val="32"/>
          <w:szCs w:val="32"/>
          <w:highlight w:val="none"/>
          <w:lang w:val="en-US" w:eastAsia="zh-CN"/>
        </w:rPr>
      </w:pPr>
      <w:bookmarkStart w:id="13" w:name="_Toc1263"/>
      <w:bookmarkStart w:id="14" w:name="_Toc22884"/>
      <w:r>
        <w:rPr>
          <w:rFonts w:hint="eastAsia" w:ascii="黑体" w:hAnsi="黑体" w:eastAsia="黑体" w:cs="黑体"/>
          <w:color w:val="auto"/>
          <w:sz w:val="32"/>
          <w:szCs w:val="32"/>
          <w:highlight w:val="none"/>
          <w:lang w:val="en-US" w:eastAsia="zh-CN"/>
        </w:rPr>
        <w:t>一、项目支出基本情况</w:t>
      </w:r>
      <w:bookmarkEnd w:id="13"/>
      <w:bookmarkEnd w:id="14"/>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楷体" w:hAnsi="楷体" w:eastAsia="楷体" w:cs="楷体"/>
          <w:color w:val="auto"/>
          <w:sz w:val="32"/>
          <w:szCs w:val="32"/>
          <w:highlight w:val="none"/>
          <w:lang w:val="en-US" w:eastAsia="zh-CN"/>
        </w:rPr>
      </w:pPr>
      <w:bookmarkStart w:id="15" w:name="_Toc1381"/>
      <w:bookmarkStart w:id="16" w:name="_Toc19332"/>
      <w:bookmarkStart w:id="17" w:name="_Toc6407"/>
      <w:bookmarkStart w:id="18" w:name="_Toc8963"/>
      <w:bookmarkStart w:id="19" w:name="_Toc18601"/>
      <w:bookmarkStart w:id="20" w:name="_Toc12365"/>
      <w:r>
        <w:rPr>
          <w:rFonts w:hint="eastAsia" w:ascii="楷体" w:hAnsi="楷体" w:eastAsia="楷体" w:cs="楷体"/>
          <w:color w:val="auto"/>
          <w:sz w:val="32"/>
          <w:szCs w:val="32"/>
          <w:highlight w:val="none"/>
          <w:lang w:val="en-US" w:eastAsia="zh-CN"/>
        </w:rPr>
        <w:t>（一）</w:t>
      </w:r>
      <w:bookmarkEnd w:id="15"/>
      <w:bookmarkEnd w:id="16"/>
      <w:r>
        <w:rPr>
          <w:rFonts w:hint="eastAsia" w:ascii="楷体" w:hAnsi="楷体" w:eastAsia="楷体" w:cs="楷体"/>
          <w:color w:val="auto"/>
          <w:sz w:val="32"/>
          <w:szCs w:val="32"/>
          <w:highlight w:val="none"/>
          <w:lang w:val="en-US" w:eastAsia="zh-CN"/>
        </w:rPr>
        <w:t>项目单位基本情况</w:t>
      </w:r>
      <w:bookmarkEnd w:id="17"/>
      <w:bookmarkEnd w:id="18"/>
      <w:bookmarkEnd w:id="19"/>
      <w:bookmarkEnd w:id="20"/>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主要职责</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1.贯彻执行民政事业发展的法律、法规和政策，拟订全县民政事业发展规划和标准并组织实施。</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2.落实全县社会团体、基金会、社会服务机构等社会组织登记和监督管理办法，依法对社会组织进行登记管理和执法监督。</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3.拟订全县社会救助政策性措施、标准，统筹社会救助体系建设，负责城乡居民最低生活保障、特困人员救助供养、临时救助、生活无着流浪乞讨人员救助工作。指导低收入家庭经济状况信息核对工作。</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4.拟订全县城乡基层群众自治建设和社区治理政策性措施，指导城乡社区治理体系和治理能力建设，提出加强和改进城乡基层政权建设的建议，推动基层民主政治建设。</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贯彻落实行政区划管理政策和行政区域界限管理，地名管理办法并组织实施。负责全县乡镇（街道办事处）以下行政区域设立、撤销、更名、界线变更及政府驻地迁移的审核报批工作，负责跨县区和跨乡镇重要自然地理实体命名和更名的审核报批工作，负责全县地名标志的设置及管理工作，负责全县行政区域界线的勘定和管理工作。</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6.贯彻落实婚姻管理政策，推进婚俗改革。</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7.贯彻落实殡葬管理政策和服务规范，推进殡葬改革。</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8.贯彻落实残疾人权益保护政策，统筹推进残疾人福利制度建设和康复辅助器具产业发展。</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9.统筹推进、督促指导、监督管理养老服务工作，拟订全县养老服务体系建设规划和标准并组织实施，承担老年人福利和特殊困难老年人救助工作。</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10.拟订全县儿童福利、孤弃儿童保障、儿童收养、儿童救助保护政策性措施和标准并组织实施，健全农村留守儿童关爱服务体系和困境儿童保障制度。</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11.贯彻落实促进慈善事业发展政策，组织指导社会捐助工作，负责全县福利彩票发行管理工作。</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12.拟订全县社会工作、志愿服务政策性措施和标准，会同有关部门推进社会工作人才队伍建设和志愿者队伍建设。</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13.完成县委、县政府交办的其他任务。</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楷体" w:hAnsi="楷体" w:eastAsia="楷体" w:cs="楷体"/>
          <w:color w:val="auto"/>
          <w:sz w:val="32"/>
          <w:szCs w:val="32"/>
          <w:highlight w:val="none"/>
          <w:lang w:val="en-US" w:eastAsia="zh-CN"/>
        </w:rPr>
      </w:pPr>
      <w:bookmarkStart w:id="21" w:name="_Toc2545"/>
      <w:bookmarkStart w:id="22" w:name="_Toc2611"/>
      <w:r>
        <w:rPr>
          <w:rFonts w:hint="eastAsia" w:ascii="楷体" w:hAnsi="楷体" w:eastAsia="楷体" w:cs="楷体"/>
          <w:color w:val="auto"/>
          <w:sz w:val="32"/>
          <w:szCs w:val="32"/>
          <w:highlight w:val="none"/>
          <w:lang w:val="en-US" w:eastAsia="zh-CN"/>
        </w:rPr>
        <w:t>（二）项目总体预算和执行情况</w:t>
      </w:r>
      <w:bookmarkEnd w:id="21"/>
      <w:bookmarkEnd w:id="22"/>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2021年民政局共有8个项目</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项目</w:t>
      </w:r>
      <w:r>
        <w:rPr>
          <w:rFonts w:hint="default" w:ascii="仿宋" w:hAnsi="仿宋" w:eastAsia="仿宋" w:cs="仿宋"/>
          <w:color w:val="auto"/>
          <w:sz w:val="32"/>
          <w:szCs w:val="32"/>
          <w:highlight w:val="none"/>
          <w:lang w:val="en-US" w:eastAsia="zh-CN"/>
        </w:rPr>
        <w:t>全年预算资金总额</w:t>
      </w:r>
      <w:r>
        <w:rPr>
          <w:rFonts w:hint="eastAsia" w:ascii="仿宋" w:hAnsi="仿宋" w:eastAsia="仿宋" w:cs="仿宋"/>
          <w:color w:val="auto"/>
          <w:sz w:val="32"/>
          <w:szCs w:val="32"/>
          <w:highlight w:val="none"/>
          <w:lang w:val="en-US" w:eastAsia="zh-CN"/>
        </w:rPr>
        <w:t>12101.002</w:t>
      </w:r>
      <w:r>
        <w:rPr>
          <w:rFonts w:hint="default" w:ascii="仿宋" w:hAnsi="仿宋" w:eastAsia="仿宋" w:cs="仿宋"/>
          <w:color w:val="auto"/>
          <w:sz w:val="32"/>
          <w:szCs w:val="32"/>
          <w:highlight w:val="none"/>
          <w:lang w:val="en-US" w:eastAsia="zh-CN"/>
        </w:rPr>
        <w:t>万元</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全年实际执行数为</w:t>
      </w:r>
      <w:r>
        <w:rPr>
          <w:rFonts w:hint="eastAsia" w:ascii="仿宋" w:hAnsi="仿宋" w:eastAsia="仿宋" w:cs="仿宋"/>
          <w:color w:val="auto"/>
          <w:sz w:val="32"/>
          <w:szCs w:val="32"/>
          <w:highlight w:val="none"/>
          <w:lang w:val="en-US" w:eastAsia="zh-CN"/>
        </w:rPr>
        <w:t>12101.002万</w:t>
      </w:r>
      <w:r>
        <w:rPr>
          <w:rFonts w:hint="default" w:ascii="仿宋" w:hAnsi="仿宋" w:eastAsia="仿宋" w:cs="仿宋"/>
          <w:color w:val="auto"/>
          <w:sz w:val="32"/>
          <w:szCs w:val="32"/>
          <w:highlight w:val="none"/>
          <w:lang w:val="en-US" w:eastAsia="zh-CN"/>
        </w:rPr>
        <w:t>元，预算执行率为</w:t>
      </w:r>
      <w:r>
        <w:rPr>
          <w:rFonts w:hint="eastAsia" w:ascii="仿宋" w:hAnsi="仿宋" w:eastAsia="仿宋" w:cs="仿宋"/>
          <w:color w:val="auto"/>
          <w:sz w:val="32"/>
          <w:szCs w:val="32"/>
          <w:highlight w:val="none"/>
          <w:lang w:val="en-US" w:eastAsia="zh-CN"/>
        </w:rPr>
        <w:t>100%</w:t>
      </w:r>
      <w:r>
        <w:rPr>
          <w:rFonts w:hint="default" w:ascii="仿宋" w:hAnsi="仿宋" w:eastAsia="仿宋" w:cs="仿宋"/>
          <w:color w:val="auto"/>
          <w:sz w:val="32"/>
          <w:szCs w:val="32"/>
          <w:highlight w:val="none"/>
          <w:lang w:val="en-US" w:eastAsia="zh-CN"/>
        </w:rPr>
        <w:t>。具体情况详</w:t>
      </w:r>
      <w:r>
        <w:rPr>
          <w:rFonts w:hint="eastAsia" w:ascii="仿宋" w:hAnsi="仿宋" w:eastAsia="仿宋" w:cs="仿宋"/>
          <w:color w:val="auto"/>
          <w:sz w:val="32"/>
          <w:szCs w:val="32"/>
          <w:highlight w:val="none"/>
          <w:lang w:val="en-US" w:eastAsia="zh-CN"/>
        </w:rPr>
        <w:t>见项目单位自评汇总表。</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楷体" w:hAnsi="楷体" w:eastAsia="楷体" w:cs="楷体"/>
          <w:color w:val="auto"/>
          <w:sz w:val="32"/>
          <w:szCs w:val="32"/>
          <w:highlight w:val="none"/>
          <w:lang w:val="en-US" w:eastAsia="zh-CN"/>
        </w:rPr>
      </w:pPr>
      <w:bookmarkStart w:id="23" w:name="_Toc28149"/>
      <w:bookmarkStart w:id="24" w:name="_Toc24967"/>
      <w:r>
        <w:rPr>
          <w:rFonts w:hint="default" w:ascii="楷体" w:hAnsi="楷体" w:eastAsia="楷体" w:cs="楷体"/>
          <w:color w:val="auto"/>
          <w:sz w:val="32"/>
          <w:szCs w:val="32"/>
          <w:highlight w:val="none"/>
          <w:lang w:val="en-US" w:eastAsia="zh-CN"/>
        </w:rPr>
        <w:t>（三）项目构成情况</w:t>
      </w:r>
      <w:bookmarkEnd w:id="23"/>
      <w:bookmarkEnd w:id="24"/>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color w:val="auto"/>
          <w:sz w:val="28"/>
          <w:szCs w:val="28"/>
          <w:highlight w:val="none"/>
          <w:lang w:val="en-US" w:eastAsia="zh-CN"/>
        </w:rPr>
      </w:pPr>
      <w:r>
        <w:rPr>
          <w:rFonts w:hint="eastAsia" w:ascii="仿宋" w:hAnsi="仿宋" w:eastAsia="仿宋" w:cs="仿宋"/>
          <w:color w:val="auto"/>
          <w:sz w:val="32"/>
          <w:szCs w:val="32"/>
          <w:highlight w:val="none"/>
          <w:lang w:val="en-US" w:eastAsia="zh-CN"/>
        </w:rPr>
        <w:t>2021年共有8个项目，分别为高龄老人津贴补助资金、“政康保”工程参保资金、解决“政福保”“政康保”工程工作经费、2020年四集中机构建设和机构运营经费、县级公益性公墓建设前期费用、2020年社会救助工作经费、火化炉环保改造资金和农村低保资金。</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黑体" w:hAnsi="黑体" w:eastAsia="黑体" w:cs="黑体"/>
          <w:color w:val="auto"/>
          <w:sz w:val="32"/>
          <w:szCs w:val="32"/>
          <w:highlight w:val="none"/>
          <w:lang w:val="en-US" w:eastAsia="zh-CN"/>
        </w:rPr>
      </w:pPr>
      <w:bookmarkStart w:id="25" w:name="_Toc2800"/>
      <w:bookmarkStart w:id="26" w:name="_Toc375"/>
      <w:r>
        <w:rPr>
          <w:rFonts w:hint="eastAsia" w:ascii="黑体" w:hAnsi="黑体" w:eastAsia="黑体" w:cs="黑体"/>
          <w:color w:val="auto"/>
          <w:sz w:val="32"/>
          <w:szCs w:val="32"/>
          <w:highlight w:val="none"/>
          <w:lang w:val="en-US" w:eastAsia="zh-CN"/>
        </w:rPr>
        <w:t>二、项目单位</w:t>
      </w:r>
      <w:r>
        <w:rPr>
          <w:rFonts w:hint="default" w:ascii="黑体" w:hAnsi="黑体" w:eastAsia="黑体" w:cs="黑体"/>
          <w:color w:val="auto"/>
          <w:sz w:val="32"/>
          <w:szCs w:val="32"/>
          <w:highlight w:val="none"/>
          <w:lang w:val="en-US" w:eastAsia="zh-CN"/>
        </w:rPr>
        <w:t>自评工作开展情况</w:t>
      </w:r>
      <w:bookmarkEnd w:id="25"/>
      <w:bookmarkEnd w:id="26"/>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楷体" w:hAnsi="楷体" w:eastAsia="楷体" w:cs="楷体"/>
          <w:color w:val="auto"/>
          <w:sz w:val="32"/>
          <w:szCs w:val="32"/>
          <w:highlight w:val="none"/>
          <w:lang w:val="en-US" w:eastAsia="zh-CN"/>
        </w:rPr>
      </w:pPr>
      <w:bookmarkStart w:id="27" w:name="_Toc24220"/>
      <w:bookmarkStart w:id="28" w:name="_Toc25866"/>
      <w:bookmarkStart w:id="29" w:name="_Toc31892"/>
      <w:bookmarkStart w:id="30" w:name="_Toc12595"/>
      <w:r>
        <w:rPr>
          <w:rFonts w:hint="eastAsia" w:ascii="楷体" w:hAnsi="楷体" w:eastAsia="楷体" w:cs="楷体"/>
          <w:color w:val="auto"/>
          <w:sz w:val="32"/>
          <w:szCs w:val="32"/>
          <w:highlight w:val="none"/>
          <w:lang w:val="en-US" w:eastAsia="zh-CN"/>
        </w:rPr>
        <w:t>（一）绩效自评目的和意义</w:t>
      </w:r>
      <w:bookmarkEnd w:id="27"/>
      <w:bookmarkEnd w:id="28"/>
      <w:bookmarkEnd w:id="29"/>
      <w:bookmarkEnd w:id="30"/>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预算支出绩效自评是预算单位运用科学、规范的评价方法，对照统一的评价标准，对预算支出的效率和效益进行的自我衡量和综合评价。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预算支出绩效自评的目的是：通过对绩效目标的综合考评，合理配置资源，优化支出结构，规范预算资金分配，提高财政资源配置效率和使用效益。</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推进预算支出绩效自评的意义是：加强部门及项目预算管理，有利于建设高效透明政府，有利于深化政府管理体制改革。从政府部门管理层面来看，可促进预算单位预算管理的科学性和合理性；从财政部门资金监管层面来看，可深入了解资金投向的明确性和准确性，提高资金使用效率；从项目实施单位来看，可以进一步规范资金使用，提升项目实施效果。</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楷体" w:hAnsi="楷体" w:eastAsia="楷体" w:cs="楷体"/>
          <w:color w:val="auto"/>
          <w:sz w:val="32"/>
          <w:szCs w:val="32"/>
          <w:highlight w:val="none"/>
          <w:lang w:val="en-US" w:eastAsia="zh-CN"/>
        </w:rPr>
      </w:pPr>
      <w:bookmarkStart w:id="31" w:name="_Toc21602"/>
      <w:bookmarkStart w:id="32" w:name="_Toc26818"/>
      <w:bookmarkStart w:id="33" w:name="_Toc4780"/>
      <w:bookmarkStart w:id="34" w:name="_Toc4202"/>
      <w:r>
        <w:rPr>
          <w:rFonts w:hint="eastAsia" w:ascii="楷体" w:hAnsi="楷体" w:eastAsia="楷体" w:cs="楷体"/>
          <w:color w:val="auto"/>
          <w:sz w:val="32"/>
          <w:szCs w:val="32"/>
          <w:highlight w:val="none"/>
          <w:lang w:val="en-US" w:eastAsia="zh-CN"/>
        </w:rPr>
        <w:t>（二）绩效自评对象和范围</w:t>
      </w:r>
      <w:bookmarkEnd w:id="31"/>
      <w:bookmarkEnd w:id="32"/>
      <w:bookmarkEnd w:id="33"/>
      <w:bookmarkEnd w:id="34"/>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本次绩效自评对象为本部门2021年实施8个项目的费用支出，涉及项目资金12101.002</w:t>
      </w:r>
      <w:r>
        <w:rPr>
          <w:rFonts w:hint="default" w:ascii="仿宋" w:hAnsi="仿宋" w:eastAsia="仿宋" w:cs="仿宋"/>
          <w:color w:val="auto"/>
          <w:sz w:val="32"/>
          <w:szCs w:val="32"/>
          <w:highlight w:val="none"/>
          <w:lang w:val="en-US" w:eastAsia="zh-CN"/>
        </w:rPr>
        <w:t>万元</w:t>
      </w:r>
      <w:r>
        <w:rPr>
          <w:rFonts w:hint="eastAsia" w:ascii="仿宋" w:hAnsi="仿宋" w:eastAsia="仿宋" w:cs="仿宋"/>
          <w:color w:val="auto"/>
          <w:sz w:val="32"/>
          <w:szCs w:val="32"/>
          <w:highlight w:val="none"/>
          <w:lang w:val="en-US" w:eastAsia="zh-CN"/>
        </w:rPr>
        <w:t>，评价范围为涉及该项目管理及其预算资金使用绩效的相关情况。</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楷体" w:hAnsi="楷体" w:eastAsia="楷体" w:cs="楷体"/>
          <w:color w:val="auto"/>
          <w:sz w:val="32"/>
          <w:szCs w:val="32"/>
          <w:highlight w:val="none"/>
          <w:lang w:val="en-US" w:eastAsia="zh-CN"/>
        </w:rPr>
      </w:pPr>
      <w:bookmarkStart w:id="35" w:name="_Toc9140"/>
      <w:bookmarkStart w:id="36" w:name="_Toc17710"/>
      <w:bookmarkStart w:id="37" w:name="_Toc23494"/>
      <w:bookmarkStart w:id="38" w:name="_Toc7283"/>
      <w:r>
        <w:rPr>
          <w:rFonts w:hint="eastAsia" w:ascii="楷体" w:hAnsi="楷体" w:eastAsia="楷体" w:cs="楷体"/>
          <w:color w:val="auto"/>
          <w:sz w:val="32"/>
          <w:szCs w:val="32"/>
          <w:highlight w:val="none"/>
          <w:lang w:val="en-US" w:eastAsia="zh-CN"/>
        </w:rPr>
        <w:t>（三）绩效评价的依据</w:t>
      </w:r>
      <w:bookmarkEnd w:id="35"/>
      <w:bookmarkEnd w:id="36"/>
      <w:bookmarkEnd w:id="37"/>
      <w:bookmarkEnd w:id="38"/>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1.中共中央、国务院《关于全面实施预算绩效管理的意见》（中发〔2018〕34号）；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2.《项目支出绩效评价管理办法》（财预〔2020〕10号）；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3.《中共河南省委 河南省人民政府关于全面实施预算绩效管理的实施意见》（豫发〔2019〕10号）；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4.《河南省省级预算项目支出绩效评价管理办法》；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5.《南阳市市级预算项目支出绩效评价管理办法》（宛财办〔2020〕35号）；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6.南阳市财政局关于印发《南阳市市级预算项目政策事前绩效评估管理办法》等5个办法的通知；</w:t>
      </w:r>
    </w:p>
    <w:p>
      <w:pPr>
        <w:pStyle w:val="2"/>
        <w:shd w:val="clear"/>
        <w:rPr>
          <w:rFonts w:hint="eastAsia" w:eastAsia="仿宋"/>
          <w:color w:val="auto"/>
          <w:highlight w:val="none"/>
          <w:lang w:val="en-US" w:eastAsia="zh-CN"/>
        </w:rPr>
      </w:pPr>
      <w:r>
        <w:rPr>
          <w:rFonts w:hint="eastAsia" w:ascii="仿宋" w:hAnsi="仿宋" w:eastAsia="仿宋" w:cs="仿宋"/>
          <w:color w:val="auto"/>
          <w:sz w:val="32"/>
          <w:szCs w:val="32"/>
          <w:highlight w:val="none"/>
          <w:lang w:val="en-US" w:eastAsia="zh-CN"/>
        </w:rPr>
        <w:t>7.南召县财政局关于印发《南召县县级预算项目政策事前绩效评估管理办法》等5个办法的通知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召财</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95</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8.与本次自评相关的其他资料。</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楷体" w:hAnsi="楷体" w:eastAsia="楷体" w:cs="楷体"/>
          <w:color w:val="auto"/>
          <w:sz w:val="32"/>
          <w:szCs w:val="32"/>
          <w:highlight w:val="none"/>
          <w:lang w:val="en-US" w:eastAsia="zh-CN"/>
        </w:rPr>
      </w:pPr>
      <w:bookmarkStart w:id="39" w:name="_Toc13226"/>
      <w:bookmarkStart w:id="40" w:name="_Toc23291"/>
      <w:bookmarkStart w:id="41" w:name="_Toc2346"/>
      <w:bookmarkStart w:id="42" w:name="_Toc15060"/>
      <w:r>
        <w:rPr>
          <w:rFonts w:hint="eastAsia" w:ascii="楷体" w:hAnsi="楷体" w:eastAsia="楷体" w:cs="楷体"/>
          <w:color w:val="auto"/>
          <w:sz w:val="32"/>
          <w:szCs w:val="32"/>
          <w:highlight w:val="none"/>
          <w:lang w:val="en-US" w:eastAsia="zh-CN"/>
        </w:rPr>
        <w:t>（四）评分方法</w:t>
      </w:r>
      <w:bookmarkEnd w:id="39"/>
      <w:bookmarkEnd w:id="40"/>
      <w:bookmarkEnd w:id="41"/>
      <w:bookmarkEnd w:id="42"/>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根据财政部《项目支出绩效评价管理办法》（财预〔2020〕10号）第十六条的相关要求：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“单位自评采用定量与定性评价相结合的比较法，总分由各项指标得分汇总形成。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定量指标得分按照以下方法评定：与年初指标值相比，完成指标值的，计该指标所赋全部分值；对完成值高于指标值较多的，要分析原因，如果是由于年初指标值设定明显偏低造成的，要按照偏离度适度调减分值；未完成指标值的，按照完成值与指标值的比例计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定性指标得分按照以下方法评定：根据指标完成情况分为达成年度指标、部分达成年度指标并具有一定效果、未达成年度指标且效果较差三档，分别按照该指标对应分值区间100%—80%（含）、80%—60%（含）、60%—0%合理确定分值。</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根据《项目支出绩效评价管理办法》（财预〔2020〕10号）相关要求：“</w:t>
      </w:r>
      <w:r>
        <w:rPr>
          <w:rFonts w:hint="default" w:ascii="仿宋" w:hAnsi="仿宋" w:eastAsia="仿宋" w:cs="仿宋"/>
          <w:color w:val="auto"/>
          <w:sz w:val="32"/>
          <w:szCs w:val="32"/>
          <w:highlight w:val="none"/>
          <w:lang w:val="zh-CN" w:eastAsia="zh-CN"/>
        </w:rPr>
        <w:t>绩效自评采取打分评价的形式，满分为100分，项目单位自评原则上一级指标分值统一设置为：产出指标50分、效益指标30分、服务对象满意度10分、预算资金执行率10分。</w:t>
      </w:r>
      <w:r>
        <w:rPr>
          <w:rFonts w:hint="eastAsia" w:ascii="仿宋" w:hAnsi="仿宋" w:eastAsia="仿宋" w:cs="仿宋"/>
          <w:color w:val="auto"/>
          <w:sz w:val="32"/>
          <w:szCs w:val="32"/>
          <w:highlight w:val="none"/>
          <w:lang w:val="en-US" w:eastAsia="zh-CN"/>
        </w:rPr>
        <w:t>”指标权重可根据指标的重要程度自主确定各项三级指标的权重分值，各项指标得分加总得出自评的总分。</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楷体" w:hAnsi="楷体" w:eastAsia="楷体" w:cs="楷体"/>
          <w:color w:val="auto"/>
          <w:sz w:val="32"/>
          <w:szCs w:val="32"/>
          <w:highlight w:val="none"/>
          <w:lang w:val="en-US" w:eastAsia="zh-CN"/>
        </w:rPr>
      </w:pPr>
      <w:bookmarkStart w:id="43" w:name="_Toc15508"/>
      <w:bookmarkStart w:id="44" w:name="_Toc2334"/>
      <w:bookmarkStart w:id="45" w:name="_Toc7444"/>
      <w:bookmarkStart w:id="46" w:name="_Toc10949"/>
      <w:r>
        <w:rPr>
          <w:rFonts w:hint="eastAsia" w:ascii="楷体" w:hAnsi="楷体" w:eastAsia="楷体" w:cs="楷体"/>
          <w:color w:val="auto"/>
          <w:sz w:val="32"/>
          <w:szCs w:val="32"/>
          <w:highlight w:val="none"/>
          <w:lang w:val="en-US" w:eastAsia="zh-CN"/>
        </w:rPr>
        <w:t>（五）绩效自评工作组织</w:t>
      </w:r>
      <w:bookmarkEnd w:id="43"/>
      <w:bookmarkEnd w:id="44"/>
      <w:bookmarkEnd w:id="45"/>
      <w:bookmarkEnd w:id="46"/>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我单位依据县财政局相关要求，成立项目自评工作组，根据具体项目指定专人配合进行自评。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工作组主要工作内容有：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1.召开自评专门会议，进行自评工作的统一部署并组织项目相关成员进行必要的政策法规学习；</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根据政策要求</w:t>
      </w:r>
      <w:r>
        <w:rPr>
          <w:rFonts w:hint="eastAsia" w:ascii="仿宋" w:hAnsi="仿宋" w:eastAsia="仿宋" w:cs="仿宋"/>
          <w:color w:val="auto"/>
          <w:sz w:val="32"/>
          <w:szCs w:val="32"/>
          <w:highlight w:val="none"/>
        </w:rPr>
        <w:t>制定自评方法和标准；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3.组织有效的调查研究、项目座谈、查阅相关资料；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4.根据获取的资料，依照《项目支出绩效自评表》进行合理打分；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5.综合上述工作成果，撰写项目自评报告；</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6.完成项目绩效评价相关政策所要求的其他事项；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7.发现问题，并落实整改。</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黑体" w:hAnsi="黑体" w:eastAsia="黑体" w:cs="黑体"/>
          <w:color w:val="auto"/>
          <w:sz w:val="32"/>
          <w:szCs w:val="32"/>
          <w:highlight w:val="none"/>
          <w:lang w:val="zh-CN" w:eastAsia="zh-CN"/>
        </w:rPr>
      </w:pPr>
      <w:bookmarkStart w:id="47" w:name="_Toc16"/>
      <w:bookmarkStart w:id="48" w:name="_Toc30653"/>
      <w:bookmarkStart w:id="49" w:name="_Toc17646"/>
      <w:bookmarkStart w:id="50" w:name="_Toc11676"/>
      <w:r>
        <w:rPr>
          <w:rFonts w:hint="eastAsia" w:ascii="黑体" w:hAnsi="黑体" w:eastAsia="黑体" w:cs="黑体"/>
          <w:color w:val="auto"/>
          <w:sz w:val="32"/>
          <w:szCs w:val="32"/>
          <w:highlight w:val="none"/>
          <w:lang w:val="zh-CN" w:eastAsia="zh-CN"/>
        </w:rPr>
        <w:t>三、</w:t>
      </w:r>
      <w:r>
        <w:rPr>
          <w:rFonts w:hint="eastAsia" w:ascii="黑体" w:hAnsi="黑体" w:eastAsia="黑体" w:cs="黑体"/>
          <w:color w:val="auto"/>
          <w:sz w:val="32"/>
          <w:szCs w:val="32"/>
          <w:highlight w:val="none"/>
          <w:lang w:val="en-US" w:eastAsia="zh-CN"/>
        </w:rPr>
        <w:t>项目</w:t>
      </w:r>
      <w:r>
        <w:rPr>
          <w:rFonts w:hint="default" w:ascii="黑体" w:hAnsi="黑体" w:eastAsia="黑体" w:cs="黑体"/>
          <w:color w:val="auto"/>
          <w:sz w:val="32"/>
          <w:szCs w:val="32"/>
          <w:highlight w:val="none"/>
          <w:lang w:val="zh-CN" w:eastAsia="zh-CN"/>
        </w:rPr>
        <w:t>单位自评结果及分析</w:t>
      </w:r>
      <w:bookmarkEnd w:id="47"/>
      <w:bookmarkEnd w:id="48"/>
      <w:bookmarkEnd w:id="49"/>
      <w:bookmarkEnd w:id="50"/>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楷体" w:hAnsi="楷体" w:eastAsia="楷体" w:cs="楷体"/>
          <w:color w:val="auto"/>
          <w:sz w:val="32"/>
          <w:szCs w:val="32"/>
          <w:highlight w:val="none"/>
          <w:lang w:val="zh-CN" w:eastAsia="zh-CN"/>
        </w:rPr>
      </w:pPr>
      <w:bookmarkStart w:id="51" w:name="_Toc18398"/>
      <w:bookmarkStart w:id="52" w:name="_Toc8701"/>
      <w:r>
        <w:rPr>
          <w:rFonts w:hint="default" w:ascii="楷体" w:hAnsi="楷体" w:eastAsia="楷体" w:cs="楷体"/>
          <w:color w:val="auto"/>
          <w:sz w:val="32"/>
          <w:szCs w:val="32"/>
          <w:highlight w:val="none"/>
          <w:lang w:val="zh-CN" w:eastAsia="zh-CN"/>
        </w:rPr>
        <w:t>（一）自评结果</w:t>
      </w:r>
      <w:bookmarkEnd w:id="51"/>
      <w:bookmarkEnd w:id="52"/>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zh-CN" w:eastAsia="zh-CN"/>
        </w:rPr>
      </w:pPr>
      <w:r>
        <w:rPr>
          <w:rFonts w:hint="default" w:ascii="仿宋" w:hAnsi="仿宋" w:eastAsia="仿宋" w:cs="仿宋"/>
          <w:color w:val="auto"/>
          <w:sz w:val="32"/>
          <w:szCs w:val="32"/>
          <w:highlight w:val="none"/>
          <w:lang w:val="zh-CN" w:eastAsia="zh-CN"/>
        </w:rPr>
        <w:t>根据《南召县财政局关于开展2021年度县级预算资金绩效评价工作的通知》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召财</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w:t>
      </w:r>
      <w:r>
        <w:rPr>
          <w:rFonts w:hint="eastAsia" w:ascii="仿宋" w:hAnsi="仿宋" w:cs="仿宋"/>
          <w:color w:val="auto"/>
          <w:sz w:val="32"/>
          <w:szCs w:val="32"/>
          <w:highlight w:val="none"/>
          <w:lang w:val="en-US" w:eastAsia="zh-CN"/>
        </w:rPr>
        <w:t>9</w:t>
      </w:r>
      <w:r>
        <w:rPr>
          <w:rFonts w:hint="eastAsia" w:ascii="仿宋" w:hAnsi="仿宋" w:eastAsia="仿宋" w:cs="仿宋"/>
          <w:color w:val="auto"/>
          <w:sz w:val="32"/>
          <w:szCs w:val="32"/>
          <w:highlight w:val="none"/>
        </w:rPr>
        <w:t>号）</w:t>
      </w:r>
      <w:r>
        <w:rPr>
          <w:rFonts w:hint="default" w:ascii="仿宋" w:hAnsi="仿宋" w:eastAsia="仿宋" w:cs="仿宋"/>
          <w:color w:val="auto"/>
          <w:sz w:val="32"/>
          <w:szCs w:val="32"/>
          <w:highlight w:val="none"/>
          <w:lang w:val="zh-CN" w:eastAsia="zh-CN"/>
        </w:rPr>
        <w:t>相关规定，绩效评价结果实行百分制和四级分类，分别是：90</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en-US" w:eastAsia="zh-CN"/>
        </w:rPr>
        <w:t>含</w:t>
      </w:r>
      <w:r>
        <w:rPr>
          <w:rFonts w:hint="eastAsia" w:ascii="仿宋" w:hAnsi="仿宋" w:eastAsia="仿宋" w:cs="仿宋"/>
          <w:color w:val="auto"/>
          <w:sz w:val="32"/>
          <w:szCs w:val="32"/>
          <w:highlight w:val="none"/>
          <w:lang w:val="zh-CN" w:eastAsia="zh-CN"/>
        </w:rPr>
        <w:t>）</w:t>
      </w:r>
      <w:r>
        <w:rPr>
          <w:rFonts w:hint="default" w:ascii="仿宋" w:hAnsi="仿宋" w:eastAsia="仿宋" w:cs="仿宋"/>
          <w:color w:val="auto"/>
          <w:sz w:val="32"/>
          <w:szCs w:val="32"/>
          <w:highlight w:val="none"/>
          <w:lang w:val="zh-CN" w:eastAsia="zh-CN"/>
        </w:rPr>
        <w:t>-100分为优、80</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en-US" w:eastAsia="zh-CN"/>
        </w:rPr>
        <w:t>含</w:t>
      </w:r>
      <w:r>
        <w:rPr>
          <w:rFonts w:hint="eastAsia" w:ascii="仿宋" w:hAnsi="仿宋" w:eastAsia="仿宋" w:cs="仿宋"/>
          <w:color w:val="auto"/>
          <w:sz w:val="32"/>
          <w:szCs w:val="32"/>
          <w:highlight w:val="none"/>
          <w:lang w:val="zh-CN" w:eastAsia="zh-CN"/>
        </w:rPr>
        <w:t>）</w:t>
      </w:r>
      <w:r>
        <w:rPr>
          <w:rFonts w:hint="default"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en-US" w:eastAsia="zh-CN"/>
        </w:rPr>
        <w:t>90</w:t>
      </w:r>
      <w:r>
        <w:rPr>
          <w:rFonts w:hint="default" w:ascii="仿宋" w:hAnsi="仿宋" w:eastAsia="仿宋" w:cs="仿宋"/>
          <w:color w:val="auto"/>
          <w:sz w:val="32"/>
          <w:szCs w:val="32"/>
          <w:highlight w:val="none"/>
          <w:lang w:val="zh-CN" w:eastAsia="zh-CN"/>
        </w:rPr>
        <w:t>分为良、60</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en-US" w:eastAsia="zh-CN"/>
        </w:rPr>
        <w:t>含</w:t>
      </w:r>
      <w:r>
        <w:rPr>
          <w:rFonts w:hint="eastAsia" w:ascii="仿宋" w:hAnsi="仿宋" w:eastAsia="仿宋" w:cs="仿宋"/>
          <w:color w:val="auto"/>
          <w:sz w:val="32"/>
          <w:szCs w:val="32"/>
          <w:highlight w:val="none"/>
          <w:lang w:val="zh-CN" w:eastAsia="zh-CN"/>
        </w:rPr>
        <w:t>）</w:t>
      </w:r>
      <w:r>
        <w:rPr>
          <w:rFonts w:hint="default"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en-US" w:eastAsia="zh-CN"/>
        </w:rPr>
        <w:t>80</w:t>
      </w:r>
      <w:r>
        <w:rPr>
          <w:rFonts w:hint="default" w:ascii="仿宋" w:hAnsi="仿宋" w:eastAsia="仿宋" w:cs="仿宋"/>
          <w:color w:val="auto"/>
          <w:sz w:val="32"/>
          <w:szCs w:val="32"/>
          <w:highlight w:val="none"/>
          <w:lang w:val="zh-CN" w:eastAsia="zh-CN"/>
        </w:rPr>
        <w:t>分为中、</w:t>
      </w:r>
      <w:r>
        <w:rPr>
          <w:rFonts w:hint="eastAsia" w:ascii="仿宋" w:hAnsi="仿宋" w:eastAsia="仿宋" w:cs="仿宋"/>
          <w:color w:val="auto"/>
          <w:sz w:val="32"/>
          <w:szCs w:val="32"/>
          <w:highlight w:val="none"/>
          <w:lang w:val="en-US" w:eastAsia="zh-CN"/>
        </w:rPr>
        <w:t>60</w:t>
      </w:r>
      <w:r>
        <w:rPr>
          <w:rFonts w:hint="default" w:ascii="仿宋" w:hAnsi="仿宋" w:eastAsia="仿宋" w:cs="仿宋"/>
          <w:color w:val="auto"/>
          <w:sz w:val="32"/>
          <w:szCs w:val="32"/>
          <w:highlight w:val="none"/>
          <w:lang w:val="zh-CN" w:eastAsia="zh-CN"/>
        </w:rPr>
        <w:t>分</w:t>
      </w:r>
      <w:r>
        <w:rPr>
          <w:rFonts w:hint="eastAsia" w:ascii="仿宋" w:hAnsi="仿宋" w:eastAsia="仿宋" w:cs="仿宋"/>
          <w:color w:val="auto"/>
          <w:sz w:val="32"/>
          <w:szCs w:val="32"/>
          <w:highlight w:val="none"/>
          <w:lang w:val="en-US" w:eastAsia="zh-CN"/>
        </w:rPr>
        <w:t>以下</w:t>
      </w:r>
      <w:r>
        <w:rPr>
          <w:rFonts w:hint="default" w:ascii="仿宋" w:hAnsi="仿宋" w:eastAsia="仿宋" w:cs="仿宋"/>
          <w:color w:val="auto"/>
          <w:sz w:val="32"/>
          <w:szCs w:val="32"/>
          <w:highlight w:val="none"/>
          <w:lang w:val="zh-CN" w:eastAsia="zh-CN"/>
        </w:rPr>
        <w:t>为差。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我单位通过对本部门项目调查研究、座谈、查阅相关资料，根据相关政策要求进行打分，最终项目自评平均得分约为97.25分，评价结果为“优”。</w:t>
      </w:r>
    </w:p>
    <w:p>
      <w:pPr>
        <w:pStyle w:val="15"/>
        <w:pageBreakBefore w:val="0"/>
        <w:shd w:val="clear"/>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表3-1 绩效自评得分区间表</w:t>
      </w:r>
    </w:p>
    <w:tbl>
      <w:tblPr>
        <w:tblStyle w:val="17"/>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1424"/>
        <w:gridCol w:w="1419"/>
        <w:gridCol w:w="142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248" w:type="dxa"/>
            <w:shd w:val="clear" w:color="auto" w:fill="BEBEBE" w:themeFill="background1" w:themeFillShade="BF"/>
            <w:vAlign w:val="center"/>
          </w:tcPr>
          <w:p>
            <w:pPr>
              <w:shd w:val="clear"/>
              <w:bidi w:val="0"/>
              <w:jc w:val="center"/>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评价结果分类</w:t>
            </w:r>
          </w:p>
        </w:tc>
        <w:tc>
          <w:tcPr>
            <w:tcW w:w="1424" w:type="dxa"/>
            <w:shd w:val="clear" w:color="auto" w:fill="BEBEBE" w:themeFill="background1" w:themeFillShade="BF"/>
            <w:vAlign w:val="center"/>
          </w:tcPr>
          <w:p>
            <w:pPr>
              <w:shd w:val="clear"/>
              <w:bidi w:val="0"/>
              <w:jc w:val="center"/>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优（90-100）</w:t>
            </w:r>
          </w:p>
        </w:tc>
        <w:tc>
          <w:tcPr>
            <w:tcW w:w="1419" w:type="dxa"/>
            <w:shd w:val="clear" w:color="auto" w:fill="BEBEBE" w:themeFill="background1" w:themeFillShade="BF"/>
            <w:vAlign w:val="center"/>
          </w:tcPr>
          <w:p>
            <w:pPr>
              <w:shd w:val="clear"/>
              <w:bidi w:val="0"/>
              <w:jc w:val="center"/>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良（80-90）</w:t>
            </w:r>
          </w:p>
        </w:tc>
        <w:tc>
          <w:tcPr>
            <w:tcW w:w="1420" w:type="dxa"/>
            <w:shd w:val="clear" w:color="auto" w:fill="BEBEBE" w:themeFill="background1" w:themeFillShade="BF"/>
            <w:vAlign w:val="center"/>
          </w:tcPr>
          <w:p>
            <w:pPr>
              <w:shd w:val="clear"/>
              <w:bidi w:val="0"/>
              <w:jc w:val="center"/>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中（60-80）</w:t>
            </w:r>
          </w:p>
        </w:tc>
        <w:tc>
          <w:tcPr>
            <w:tcW w:w="1573" w:type="dxa"/>
            <w:shd w:val="clear" w:color="auto" w:fill="BEBEBE" w:themeFill="background1" w:themeFillShade="BF"/>
            <w:vAlign w:val="center"/>
          </w:tcPr>
          <w:p>
            <w:pPr>
              <w:shd w:val="clear"/>
              <w:bidi w:val="0"/>
              <w:jc w:val="center"/>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差（60以下）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48" w:type="dxa"/>
            <w:vAlign w:val="center"/>
          </w:tcPr>
          <w:p>
            <w:pPr>
              <w:shd w:val="clear"/>
              <w:bidi w:val="0"/>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数量</w:t>
            </w:r>
          </w:p>
        </w:tc>
        <w:tc>
          <w:tcPr>
            <w:tcW w:w="1424" w:type="dxa"/>
            <w:vAlign w:val="center"/>
          </w:tcPr>
          <w:p>
            <w:pPr>
              <w:shd w:val="clear"/>
              <w:bidi w:val="0"/>
              <w:jc w:val="center"/>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8</w:t>
            </w:r>
          </w:p>
        </w:tc>
        <w:tc>
          <w:tcPr>
            <w:tcW w:w="1419" w:type="dxa"/>
            <w:vAlign w:val="center"/>
          </w:tcPr>
          <w:p>
            <w:pPr>
              <w:shd w:val="clear"/>
              <w:bidi w:val="0"/>
              <w:jc w:val="center"/>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0</w:t>
            </w:r>
          </w:p>
        </w:tc>
        <w:tc>
          <w:tcPr>
            <w:tcW w:w="1420" w:type="dxa"/>
            <w:vAlign w:val="center"/>
          </w:tcPr>
          <w:p>
            <w:pPr>
              <w:shd w:val="clear"/>
              <w:bidi w:val="0"/>
              <w:jc w:val="center"/>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0</w:t>
            </w:r>
          </w:p>
        </w:tc>
        <w:tc>
          <w:tcPr>
            <w:tcW w:w="1573" w:type="dxa"/>
            <w:vAlign w:val="center"/>
          </w:tcPr>
          <w:p>
            <w:pPr>
              <w:shd w:val="clear"/>
              <w:bidi w:val="0"/>
              <w:jc w:val="center"/>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0</w:t>
            </w:r>
          </w:p>
        </w:tc>
      </w:tr>
    </w:tbl>
    <w:p>
      <w:pPr>
        <w:pStyle w:val="15"/>
        <w:pageBreakBefore w:val="0"/>
        <w:shd w:val="clear"/>
        <w:kinsoku/>
        <w:wordWrap/>
        <w:overflowPunct/>
        <w:topLinePunct w:val="0"/>
        <w:autoSpaceDE/>
        <w:autoSpaceDN/>
        <w:bidi w:val="0"/>
        <w:adjustRightInd/>
        <w:snapToGrid/>
        <w:spacing w:after="0" w:line="360" w:lineRule="auto"/>
        <w:ind w:left="0" w:leftChars="0" w:right="0" w:rightChars="0" w:firstLine="0" w:firstLineChars="0"/>
        <w:jc w:val="center"/>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表3-2 绩效目标完成程度区间表</w:t>
      </w:r>
    </w:p>
    <w:tbl>
      <w:tblPr>
        <w:tblStyle w:val="16"/>
        <w:tblW w:w="4998" w:type="pct"/>
        <w:jc w:val="center"/>
        <w:shd w:val="clear" w:color="auto" w:fill="auto"/>
        <w:tblLayout w:type="autofit"/>
        <w:tblCellMar>
          <w:top w:w="0" w:type="dxa"/>
          <w:left w:w="0" w:type="dxa"/>
          <w:bottom w:w="0" w:type="dxa"/>
          <w:right w:w="0" w:type="dxa"/>
        </w:tblCellMar>
      </w:tblPr>
      <w:tblGrid>
        <w:gridCol w:w="1447"/>
        <w:gridCol w:w="5644"/>
        <w:gridCol w:w="1242"/>
      </w:tblGrid>
      <w:tr>
        <w:tblPrEx>
          <w:shd w:val="clear" w:color="auto" w:fill="auto"/>
          <w:tblCellMar>
            <w:top w:w="0" w:type="dxa"/>
            <w:left w:w="0" w:type="dxa"/>
            <w:bottom w:w="0" w:type="dxa"/>
            <w:right w:w="0" w:type="dxa"/>
          </w:tblCellMar>
        </w:tblPrEx>
        <w:trPr>
          <w:trHeight w:val="417"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5A5A5" w:themeFill="accent3"/>
            <w:noWrap/>
            <w:tcMar>
              <w:top w:w="15" w:type="dxa"/>
              <w:left w:w="15" w:type="dxa"/>
              <w:right w:w="15" w:type="dxa"/>
            </w:tcMar>
            <w:vAlign w:val="center"/>
          </w:tcPr>
          <w:p>
            <w:pPr>
              <w:shd w:val="clear"/>
              <w:bidi w:val="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3386" w:type="pct"/>
            <w:tcBorders>
              <w:top w:val="single" w:color="000000" w:sz="4" w:space="0"/>
              <w:left w:val="single" w:color="000000" w:sz="4" w:space="0"/>
              <w:bottom w:val="single" w:color="000000" w:sz="4" w:space="0"/>
              <w:right w:val="single" w:color="000000" w:sz="4" w:space="0"/>
            </w:tcBorders>
            <w:shd w:val="clear" w:color="auto" w:fill="A5A5A5" w:themeFill="accent3"/>
            <w:noWrap/>
            <w:tcMar>
              <w:top w:w="15" w:type="dxa"/>
              <w:left w:w="15" w:type="dxa"/>
              <w:right w:w="15" w:type="dxa"/>
            </w:tcMar>
            <w:vAlign w:val="center"/>
          </w:tcPr>
          <w:p>
            <w:pPr>
              <w:shd w:val="clear"/>
              <w:bidi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分类</w:t>
            </w:r>
          </w:p>
        </w:tc>
        <w:tc>
          <w:tcPr>
            <w:tcW w:w="745" w:type="pct"/>
            <w:tcBorders>
              <w:top w:val="single" w:color="000000" w:sz="4" w:space="0"/>
              <w:left w:val="single" w:color="000000" w:sz="4" w:space="0"/>
              <w:bottom w:val="single" w:color="000000" w:sz="4" w:space="0"/>
              <w:right w:val="single" w:color="000000" w:sz="4" w:space="0"/>
            </w:tcBorders>
            <w:shd w:val="clear" w:color="auto" w:fill="A5A5A5" w:themeFill="accent3"/>
            <w:noWrap/>
            <w:tcMar>
              <w:top w:w="15" w:type="dxa"/>
              <w:left w:w="15" w:type="dxa"/>
              <w:right w:w="15" w:type="dxa"/>
            </w:tcMar>
            <w:vAlign w:val="center"/>
          </w:tcPr>
          <w:p>
            <w:pPr>
              <w:shd w:val="clear"/>
              <w:bidi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数量</w:t>
            </w:r>
          </w:p>
        </w:tc>
      </w:tr>
      <w:tr>
        <w:tblPrEx>
          <w:tblCellMar>
            <w:top w:w="0" w:type="dxa"/>
            <w:left w:w="0" w:type="dxa"/>
            <w:bottom w:w="0" w:type="dxa"/>
            <w:right w:w="0" w:type="dxa"/>
          </w:tblCellMar>
        </w:tblPrEx>
        <w:trPr>
          <w:trHeight w:val="397"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年度实施项目数量</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r>
      <w:tr>
        <w:tblPrEx>
          <w:shd w:val="clear" w:color="auto" w:fill="auto"/>
          <w:tblCellMar>
            <w:top w:w="0" w:type="dxa"/>
            <w:left w:w="0" w:type="dxa"/>
            <w:bottom w:w="0" w:type="dxa"/>
            <w:right w:w="0" w:type="dxa"/>
          </w:tblCellMar>
        </w:tblPrEx>
        <w:trPr>
          <w:trHeight w:val="312"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完成绩效目标的项目数量</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457"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未完成绩效目标的项目数量</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p>
        </w:tc>
      </w:tr>
      <w:tr>
        <w:tblPrEx>
          <w:shd w:val="clear" w:color="auto" w:fill="auto"/>
          <w:tblCellMar>
            <w:top w:w="0" w:type="dxa"/>
            <w:left w:w="0" w:type="dxa"/>
            <w:bottom w:w="0" w:type="dxa"/>
            <w:right w:w="0" w:type="dxa"/>
          </w:tblCellMar>
        </w:tblPrEx>
        <w:trPr>
          <w:trHeight w:val="232"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指标完成有偏差的项目个数</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r>
      <w:tr>
        <w:tblPrEx>
          <w:shd w:val="clear" w:color="auto" w:fill="auto"/>
          <w:tblCellMar>
            <w:top w:w="0" w:type="dxa"/>
            <w:left w:w="0" w:type="dxa"/>
            <w:bottom w:w="0" w:type="dxa"/>
            <w:right w:w="0" w:type="dxa"/>
          </w:tblCellMar>
        </w:tblPrEx>
        <w:trPr>
          <w:trHeight w:val="447"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偏差较大（30%及以上）的项目个数</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p>
        </w:tc>
      </w:tr>
      <w:tr>
        <w:tblPrEx>
          <w:shd w:val="clear" w:color="auto" w:fill="auto"/>
          <w:tblCellMar>
            <w:top w:w="0" w:type="dxa"/>
            <w:left w:w="0" w:type="dxa"/>
            <w:bottom w:w="0" w:type="dxa"/>
            <w:right w:w="0" w:type="dxa"/>
          </w:tblCellMar>
        </w:tblPrEx>
        <w:trPr>
          <w:trHeight w:val="270"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存在偏差的项目占比</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12.5%</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表格说明：完成绩效目标的项目个数是指产出数量指标为100%的项目数；</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没有完成绩效目标的项目个数是指产出数量指标小于100%的项目数；</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指标完成有偏差的项目个数是指①执行率得分小于等于80%的项目②效益指标得分率小于等于80%的项目③满意度指标得分率小于等于80%的项目；三者汇总数；</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偏差较大（30%及以上）的项目个数是指自评得分小于70分项目数量；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存在偏差的项目占比是指指标完成有偏差的项目个数与年度实施项目数量的比值*100%。</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楷体" w:hAnsi="楷体" w:eastAsia="楷体" w:cs="楷体"/>
          <w:color w:val="auto"/>
          <w:sz w:val="32"/>
          <w:szCs w:val="32"/>
          <w:highlight w:val="none"/>
          <w:lang w:val="zh-CN" w:eastAsia="zh-CN"/>
        </w:rPr>
      </w:pPr>
      <w:bookmarkStart w:id="53" w:name="_Toc23896"/>
      <w:bookmarkStart w:id="54" w:name="_Toc16118"/>
      <w:r>
        <w:rPr>
          <w:rFonts w:hint="eastAsia" w:ascii="楷体" w:hAnsi="楷体" w:eastAsia="楷体" w:cs="楷体"/>
          <w:color w:val="auto"/>
          <w:sz w:val="32"/>
          <w:szCs w:val="32"/>
          <w:highlight w:val="none"/>
          <w:lang w:val="zh-CN" w:eastAsia="zh-CN"/>
        </w:rPr>
        <w:t>（二）</w:t>
      </w:r>
      <w:r>
        <w:rPr>
          <w:rFonts w:hint="default" w:ascii="楷体" w:hAnsi="楷体" w:eastAsia="楷体" w:cs="楷体"/>
          <w:color w:val="auto"/>
          <w:sz w:val="32"/>
          <w:szCs w:val="32"/>
          <w:highlight w:val="none"/>
          <w:lang w:val="zh-CN" w:eastAsia="zh-CN"/>
        </w:rPr>
        <w:t>偏差较大项目说明</w:t>
      </w:r>
      <w:bookmarkEnd w:id="53"/>
      <w:bookmarkEnd w:id="54"/>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360" w:lineRule="auto"/>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无偏差较大项目。</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黑体" w:hAnsi="黑体" w:eastAsia="黑体" w:cs="黑体"/>
          <w:color w:val="auto"/>
          <w:sz w:val="32"/>
          <w:szCs w:val="32"/>
          <w:highlight w:val="yellow"/>
          <w:lang w:val="zh-CN" w:eastAsia="zh-CN"/>
        </w:rPr>
      </w:pPr>
      <w:bookmarkStart w:id="55" w:name="_Toc26535"/>
      <w:bookmarkStart w:id="56" w:name="_Toc19398"/>
      <w:r>
        <w:rPr>
          <w:rFonts w:hint="eastAsia" w:ascii="黑体" w:hAnsi="黑体" w:eastAsia="黑体" w:cs="黑体"/>
          <w:color w:val="auto"/>
          <w:sz w:val="32"/>
          <w:szCs w:val="32"/>
          <w:highlight w:val="none"/>
          <w:lang w:val="zh-CN" w:eastAsia="zh-CN"/>
        </w:rPr>
        <w:t>四、</w:t>
      </w:r>
      <w:r>
        <w:rPr>
          <w:rFonts w:hint="eastAsia" w:ascii="黑体" w:hAnsi="黑体" w:eastAsia="黑体" w:cs="黑体"/>
          <w:color w:val="auto"/>
          <w:sz w:val="32"/>
          <w:szCs w:val="32"/>
          <w:highlight w:val="none"/>
          <w:lang w:val="en-US" w:eastAsia="zh-CN"/>
        </w:rPr>
        <w:t>项目单位</w:t>
      </w:r>
      <w:r>
        <w:rPr>
          <w:rFonts w:hint="default" w:ascii="黑体" w:hAnsi="黑体" w:eastAsia="黑体" w:cs="黑体"/>
          <w:color w:val="auto"/>
          <w:sz w:val="32"/>
          <w:szCs w:val="32"/>
          <w:highlight w:val="none"/>
          <w:lang w:val="zh-CN" w:eastAsia="zh-CN"/>
        </w:rPr>
        <w:t>自评发现的问题及整改措施</w:t>
      </w:r>
      <w:bookmarkEnd w:id="55"/>
      <w:bookmarkEnd w:id="56"/>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bookmarkStart w:id="57" w:name="_Toc7595"/>
      <w:bookmarkStart w:id="58" w:name="_Toc19886"/>
      <w:bookmarkStart w:id="59" w:name="_Toc19880"/>
      <w:bookmarkStart w:id="60" w:name="_Toc17345"/>
      <w:bookmarkStart w:id="61" w:name="_Toc5004"/>
      <w:bookmarkStart w:id="62" w:name="_Toc17406"/>
      <w:r>
        <w:rPr>
          <w:rFonts w:hint="eastAsia" w:ascii="仿宋" w:hAnsi="仿宋" w:eastAsia="仿宋" w:cs="仿宋"/>
          <w:color w:val="auto"/>
          <w:sz w:val="32"/>
          <w:szCs w:val="32"/>
          <w:highlight w:val="none"/>
          <w:lang w:val="en-US" w:eastAsia="zh-CN"/>
        </w:rPr>
        <w:t>（一）绩效管理意识薄弱</w:t>
      </w:r>
      <w:bookmarkEnd w:id="57"/>
      <w:bookmarkEnd w:id="58"/>
      <w:bookmarkEnd w:id="59"/>
      <w:bookmarkEnd w:id="60"/>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zh-CN" w:eastAsia="zh-CN"/>
        </w:rPr>
      </w:pPr>
      <w:r>
        <w:rPr>
          <w:rFonts w:hint="default" w:ascii="仿宋" w:hAnsi="仿宋" w:eastAsia="仿宋" w:cs="仿宋"/>
          <w:color w:val="auto"/>
          <w:sz w:val="32"/>
          <w:szCs w:val="32"/>
          <w:highlight w:val="none"/>
          <w:lang w:val="zh-CN" w:eastAsia="zh-CN"/>
        </w:rPr>
        <w:t>第一，绩效评价在</w:t>
      </w:r>
      <w:r>
        <w:rPr>
          <w:rFonts w:hint="eastAsia" w:ascii="仿宋" w:hAnsi="仿宋" w:eastAsia="仿宋" w:cs="仿宋"/>
          <w:color w:val="auto"/>
          <w:sz w:val="32"/>
          <w:szCs w:val="32"/>
          <w:highlight w:val="none"/>
          <w:lang w:val="zh-CN" w:eastAsia="zh-CN"/>
        </w:rPr>
        <w:t>指标</w:t>
      </w:r>
      <w:r>
        <w:rPr>
          <w:rFonts w:hint="default" w:ascii="仿宋" w:hAnsi="仿宋" w:eastAsia="仿宋" w:cs="仿宋"/>
          <w:color w:val="auto"/>
          <w:sz w:val="32"/>
          <w:szCs w:val="32"/>
          <w:highlight w:val="none"/>
          <w:lang w:val="zh-CN" w:eastAsia="zh-CN"/>
        </w:rPr>
        <w:t>设定上</w:t>
      </w:r>
      <w:r>
        <w:rPr>
          <w:rFonts w:hint="eastAsia" w:ascii="仿宋" w:hAnsi="仿宋" w:eastAsia="仿宋" w:cs="仿宋"/>
          <w:color w:val="auto"/>
          <w:sz w:val="32"/>
          <w:szCs w:val="32"/>
          <w:highlight w:val="none"/>
          <w:lang w:val="zh-CN" w:eastAsia="zh-CN"/>
        </w:rPr>
        <w:t>不够科学</w:t>
      </w:r>
      <w:r>
        <w:rPr>
          <w:rFonts w:hint="default" w:ascii="仿宋" w:hAnsi="仿宋" w:eastAsia="仿宋" w:cs="仿宋"/>
          <w:color w:val="auto"/>
          <w:sz w:val="32"/>
          <w:szCs w:val="32"/>
          <w:highlight w:val="none"/>
          <w:lang w:val="zh-CN" w:eastAsia="zh-CN"/>
        </w:rPr>
        <w:t>。个别绩效指标设置不够合理，细化量化程度不足</w:t>
      </w:r>
      <w:r>
        <w:rPr>
          <w:rFonts w:hint="eastAsia" w:ascii="仿宋" w:hAnsi="仿宋" w:eastAsia="仿宋" w:cs="仿宋"/>
          <w:color w:val="auto"/>
          <w:sz w:val="32"/>
          <w:szCs w:val="32"/>
          <w:highlight w:val="none"/>
          <w:lang w:val="zh-CN" w:eastAsia="zh-CN"/>
        </w:rPr>
        <w:t>，</w:t>
      </w:r>
      <w:r>
        <w:rPr>
          <w:rFonts w:hint="default" w:ascii="仿宋" w:hAnsi="仿宋" w:eastAsia="仿宋" w:cs="仿宋"/>
          <w:color w:val="auto"/>
          <w:sz w:val="32"/>
          <w:szCs w:val="32"/>
          <w:highlight w:val="none"/>
          <w:lang w:val="zh-CN" w:eastAsia="zh-CN"/>
        </w:rPr>
        <w:t>没有明确的衡量标准，多样化标准的情况一定程度上</w:t>
      </w:r>
      <w:r>
        <w:rPr>
          <w:rFonts w:hint="eastAsia" w:ascii="仿宋" w:hAnsi="仿宋" w:eastAsia="仿宋" w:cs="仿宋"/>
          <w:color w:val="auto"/>
          <w:sz w:val="32"/>
          <w:szCs w:val="32"/>
          <w:highlight w:val="none"/>
          <w:lang w:val="en-US" w:eastAsia="zh-CN"/>
        </w:rPr>
        <w:t>导致</w:t>
      </w:r>
      <w:r>
        <w:rPr>
          <w:rFonts w:hint="default" w:ascii="仿宋" w:hAnsi="仿宋" w:eastAsia="仿宋" w:cs="仿宋"/>
          <w:color w:val="auto"/>
          <w:sz w:val="32"/>
          <w:szCs w:val="32"/>
          <w:highlight w:val="none"/>
          <w:lang w:val="zh-CN" w:eastAsia="zh-CN"/>
        </w:rPr>
        <w:t>绩效评价的随意性较大。另一方面，简单的量化指标又缺乏客观标准及相关数据支持，导致不能真实反映预算的总体情况</w:t>
      </w:r>
      <w:r>
        <w:rPr>
          <w:rFonts w:hint="eastAsia" w:ascii="仿宋" w:hAnsi="仿宋" w:eastAsia="仿宋" w:cs="仿宋"/>
          <w:color w:val="auto"/>
          <w:sz w:val="32"/>
          <w:szCs w:val="32"/>
          <w:highlight w:val="none"/>
          <w:lang w:val="zh-CN" w:eastAsia="zh-CN"/>
        </w:rPr>
        <w:t>。</w:t>
      </w:r>
      <w:r>
        <w:rPr>
          <w:rFonts w:hint="default" w:ascii="仿宋" w:hAnsi="仿宋" w:eastAsia="仿宋" w:cs="仿宋"/>
          <w:color w:val="auto"/>
          <w:sz w:val="32"/>
          <w:szCs w:val="32"/>
          <w:highlight w:val="none"/>
          <w:lang w:val="zh-CN" w:eastAsia="zh-CN"/>
        </w:rPr>
        <w:t>第二，对项目支出</w:t>
      </w:r>
      <w:r>
        <w:rPr>
          <w:rFonts w:hint="eastAsia" w:ascii="仿宋" w:hAnsi="仿宋" w:eastAsia="仿宋" w:cs="仿宋"/>
          <w:color w:val="auto"/>
          <w:sz w:val="32"/>
          <w:szCs w:val="32"/>
          <w:highlight w:val="none"/>
          <w:lang w:val="zh-CN" w:eastAsia="zh-CN"/>
        </w:rPr>
        <w:t>中期</w:t>
      </w:r>
      <w:r>
        <w:rPr>
          <w:rFonts w:hint="default" w:ascii="仿宋" w:hAnsi="仿宋" w:eastAsia="仿宋" w:cs="仿宋"/>
          <w:color w:val="auto"/>
          <w:sz w:val="32"/>
          <w:szCs w:val="32"/>
          <w:highlight w:val="none"/>
          <w:lang w:val="zh-CN" w:eastAsia="zh-CN"/>
        </w:rPr>
        <w:t>绩效</w:t>
      </w:r>
      <w:r>
        <w:rPr>
          <w:rFonts w:hint="eastAsia" w:ascii="仿宋" w:hAnsi="仿宋" w:eastAsia="仿宋" w:cs="仿宋"/>
          <w:color w:val="auto"/>
          <w:sz w:val="32"/>
          <w:szCs w:val="32"/>
          <w:highlight w:val="none"/>
          <w:lang w:val="zh-CN" w:eastAsia="zh-CN"/>
        </w:rPr>
        <w:t>监控未达到全覆盖</w:t>
      </w:r>
      <w:r>
        <w:rPr>
          <w:rFonts w:hint="default"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en-US" w:eastAsia="zh-CN"/>
        </w:rPr>
        <w:t>发现由于前期绩效管理意识薄弱，仅对部分重点项目进行绩效监控，未及时对项目全部资料进行梳理备案统一保管，出现资料不全问题，导致单位自评依据不完整，评价结果不够准确。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（二）绩效自评未做到全面覆盖，只对年初申报预算的项目做自评，年中追加项目未纳入自评范围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根据政策要求，预算资金绩效自评由预算主管部门负责，组织部门本级和所属单位对2021年度所有预算项目资金开展绩效自评。但本次只对年初申报预算的项目做自评，年中追加项目未纳入自评范围。</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五、</w:t>
      </w:r>
      <w:r>
        <w:rPr>
          <w:rFonts w:hint="eastAsia" w:ascii="黑体" w:hAnsi="黑体" w:eastAsia="黑体" w:cs="黑体"/>
          <w:color w:val="auto"/>
          <w:sz w:val="32"/>
          <w:szCs w:val="32"/>
          <w:highlight w:val="none"/>
          <w:lang w:val="en-US" w:eastAsia="zh-CN"/>
        </w:rPr>
        <w:t>项目单位</w:t>
      </w:r>
      <w:r>
        <w:rPr>
          <w:rFonts w:hint="default" w:ascii="黑体" w:hAnsi="黑体" w:eastAsia="黑体" w:cs="黑体"/>
          <w:color w:val="auto"/>
          <w:sz w:val="32"/>
          <w:szCs w:val="32"/>
          <w:highlight w:val="none"/>
          <w:lang w:val="zh-CN" w:eastAsia="zh-CN"/>
        </w:rPr>
        <w:t>绩效自评工作建议及预算安排建议</w:t>
      </w:r>
      <w:bookmarkEnd w:id="61"/>
      <w:bookmarkEnd w:id="62"/>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zh-CN" w:eastAsia="zh-CN"/>
        </w:rPr>
      </w:pPr>
      <w:bookmarkStart w:id="63" w:name="_Toc21382"/>
      <w:bookmarkStart w:id="64" w:name="_Toc26469"/>
      <w:bookmarkStart w:id="65" w:name="_Toc8868"/>
      <w:bookmarkStart w:id="66" w:name="_Toc28566"/>
      <w:bookmarkStart w:id="67" w:name="_Toc24722"/>
      <w:r>
        <w:rPr>
          <w:rFonts w:hint="eastAsia" w:ascii="仿宋" w:hAnsi="仿宋" w:eastAsia="仿宋" w:cs="仿宋"/>
          <w:color w:val="auto"/>
          <w:sz w:val="32"/>
          <w:szCs w:val="32"/>
          <w:highlight w:val="none"/>
          <w:lang w:val="en-US" w:eastAsia="zh-CN"/>
        </w:rPr>
        <w:t>（一）</w:t>
      </w:r>
      <w:r>
        <w:rPr>
          <w:rFonts w:hint="default" w:ascii="仿宋" w:hAnsi="仿宋" w:eastAsia="仿宋" w:cs="仿宋"/>
          <w:color w:val="auto"/>
          <w:sz w:val="32"/>
          <w:szCs w:val="32"/>
          <w:highlight w:val="none"/>
          <w:lang w:val="zh-CN" w:eastAsia="zh-CN"/>
        </w:rPr>
        <w:t>建立健全预算绩效管理机制，强化绩效管理意识</w:t>
      </w:r>
      <w:bookmarkEnd w:id="63"/>
      <w:bookmarkEnd w:id="64"/>
      <w:bookmarkEnd w:id="65"/>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zh-CN" w:eastAsia="zh-CN"/>
        </w:rPr>
      </w:pPr>
      <w:r>
        <w:rPr>
          <w:rFonts w:hint="default" w:ascii="仿宋" w:hAnsi="仿宋" w:eastAsia="仿宋" w:cs="仿宋"/>
          <w:color w:val="auto"/>
          <w:sz w:val="32"/>
          <w:szCs w:val="32"/>
          <w:highlight w:val="none"/>
          <w:lang w:val="zh-CN" w:eastAsia="zh-CN"/>
        </w:rPr>
        <w:t>一是</w:t>
      </w:r>
      <w:r>
        <w:rPr>
          <w:rFonts w:hint="eastAsia" w:ascii="仿宋" w:hAnsi="仿宋" w:eastAsia="仿宋" w:cs="仿宋"/>
          <w:color w:val="auto"/>
          <w:sz w:val="32"/>
          <w:szCs w:val="32"/>
          <w:highlight w:val="none"/>
          <w:lang w:val="en-US" w:eastAsia="zh-CN"/>
        </w:rPr>
        <w:t>我单位</w:t>
      </w:r>
      <w:r>
        <w:rPr>
          <w:rFonts w:hint="default" w:ascii="仿宋" w:hAnsi="仿宋" w:eastAsia="仿宋" w:cs="仿宋"/>
          <w:color w:val="auto"/>
          <w:sz w:val="32"/>
          <w:szCs w:val="32"/>
          <w:highlight w:val="none"/>
          <w:lang w:val="zh-CN" w:eastAsia="zh-CN"/>
        </w:rPr>
        <w:t>应进一步健全专项资金绩效管理机制，积极推进专项资金绩效评价工作有效开展，切实做到“花钱必问效，无效必问责”。二是加强人员培训，强化全员绩效意识，为推进预算绩效管理提供人才储备。三是科学制定绩效目标，参照历史数据、行业标准、计划标准等数据资料，设置指向明确、细化量化、合理可行、相应匹配的绩效目标，为后期开展绩效监控和评价提供基础支撑</w:t>
      </w:r>
      <w:r>
        <w:rPr>
          <w:rFonts w:hint="eastAsia" w:ascii="仿宋" w:hAnsi="仿宋" w:eastAsia="仿宋" w:cs="仿宋"/>
          <w:color w:val="auto"/>
          <w:sz w:val="32"/>
          <w:szCs w:val="32"/>
          <w:highlight w:val="none"/>
          <w:lang w:val="zh-CN" w:eastAsia="zh-CN"/>
        </w:rPr>
        <w:t>。</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（二）梳理全年度项目支出，扩大绩效自评范围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对年初申报预算项目及年中追加项目进行整体梳理，收集项目资料，扩大绩效自评范围，切实落实绩效管理相关政策要求。</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黑体" w:hAnsi="黑体" w:eastAsia="黑体" w:cs="黑体"/>
          <w:color w:val="auto"/>
          <w:sz w:val="32"/>
          <w:szCs w:val="32"/>
          <w:highlight w:val="none"/>
          <w:lang w:val="zh-CN" w:eastAsia="zh-CN"/>
        </w:rPr>
      </w:pPr>
      <w:bookmarkStart w:id="70" w:name="_GoBack"/>
      <w:bookmarkEnd w:id="70"/>
      <w:r>
        <w:rPr>
          <w:rFonts w:hint="eastAsia" w:ascii="黑体" w:hAnsi="黑体" w:eastAsia="黑体" w:cs="黑体"/>
          <w:color w:val="auto"/>
          <w:sz w:val="32"/>
          <w:szCs w:val="32"/>
          <w:highlight w:val="none"/>
          <w:lang w:val="zh-CN" w:eastAsia="zh-CN"/>
        </w:rPr>
        <w:t>六、</w:t>
      </w:r>
      <w:r>
        <w:rPr>
          <w:rFonts w:hint="default" w:ascii="黑体" w:hAnsi="黑体" w:eastAsia="黑体" w:cs="黑体"/>
          <w:color w:val="auto"/>
          <w:sz w:val="32"/>
          <w:szCs w:val="32"/>
          <w:highlight w:val="none"/>
          <w:lang w:val="zh-CN" w:eastAsia="zh-CN"/>
        </w:rPr>
        <w:t>其他需要说明的问题</w:t>
      </w:r>
      <w:bookmarkEnd w:id="66"/>
      <w:bookmarkEnd w:id="67"/>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640" w:firstLineChars="200"/>
        <w:jc w:val="both"/>
        <w:textAlignment w:val="auto"/>
        <w:rPr>
          <w:rFonts w:hint="default" w:ascii="仿宋_GB2312" w:eastAsia="仿宋_GB2312" w:cs="仿宋_GB2312"/>
          <w:color w:val="auto"/>
          <w:sz w:val="28"/>
          <w:szCs w:val="28"/>
          <w:highlight w:val="none"/>
          <w:lang w:val="zh-CN" w:eastAsia="zh-CN"/>
        </w:rPr>
      </w:pPr>
      <w:r>
        <w:rPr>
          <w:rFonts w:hint="eastAsia" w:ascii="仿宋" w:hAnsi="仿宋" w:eastAsia="仿宋" w:cs="仿宋"/>
          <w:color w:val="auto"/>
          <w:sz w:val="32"/>
          <w:szCs w:val="32"/>
          <w:highlight w:val="none"/>
          <w:lang w:val="en-US" w:eastAsia="zh-CN"/>
        </w:rPr>
        <w:t>需要说明的是：受多种因素影响，本次绩效自评工作还存在一定的局限性。一是定性指标考察受主观因素影响；二是指标体系设计缺乏标杆，科学性、全面性存在局限。</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黑体" w:hAnsi="黑体" w:eastAsia="黑体" w:cs="黑体"/>
          <w:color w:val="auto"/>
          <w:sz w:val="32"/>
          <w:szCs w:val="32"/>
          <w:highlight w:val="none"/>
          <w:lang w:val="zh-CN" w:eastAsia="zh-CN"/>
        </w:rPr>
      </w:pPr>
      <w:bookmarkStart w:id="68" w:name="_Toc15292"/>
      <w:bookmarkStart w:id="69" w:name="_Toc6032"/>
      <w:r>
        <w:rPr>
          <w:rFonts w:hint="eastAsia" w:ascii="黑体" w:hAnsi="黑体" w:eastAsia="黑体" w:cs="黑体"/>
          <w:color w:val="auto"/>
          <w:sz w:val="32"/>
          <w:szCs w:val="32"/>
          <w:highlight w:val="none"/>
          <w:lang w:val="zh-CN" w:eastAsia="zh-CN"/>
        </w:rPr>
        <w:t>七、</w:t>
      </w:r>
      <w:r>
        <w:rPr>
          <w:rFonts w:hint="default" w:ascii="黑体" w:hAnsi="黑体" w:eastAsia="黑体" w:cs="黑体"/>
          <w:color w:val="auto"/>
          <w:sz w:val="32"/>
          <w:szCs w:val="32"/>
          <w:highlight w:val="none"/>
          <w:lang w:val="zh-CN" w:eastAsia="zh-CN"/>
        </w:rPr>
        <w:t>附表：项目单位自评汇总表</w:t>
      </w:r>
      <w:bookmarkEnd w:id="68"/>
      <w:bookmarkEnd w:id="69"/>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Times New Roman"/>
          <w:color w:val="auto"/>
          <w:sz w:val="24"/>
          <w:szCs w:val="24"/>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zh-CN" w:eastAsia="zh-CN"/>
        </w:rPr>
        <w:t>项目单位自评汇总表</w:t>
      </w:r>
    </w:p>
    <w:tbl>
      <w:tblPr>
        <w:tblStyle w:val="16"/>
        <w:tblW w:w="4998" w:type="pct"/>
        <w:tblInd w:w="0" w:type="dxa"/>
        <w:shd w:val="clear" w:color="auto" w:fill="auto"/>
        <w:tblLayout w:type="autofit"/>
        <w:tblCellMar>
          <w:top w:w="0" w:type="dxa"/>
          <w:left w:w="0" w:type="dxa"/>
          <w:bottom w:w="0" w:type="dxa"/>
          <w:right w:w="0" w:type="dxa"/>
        </w:tblCellMar>
      </w:tblPr>
      <w:tblGrid>
        <w:gridCol w:w="475"/>
        <w:gridCol w:w="1983"/>
        <w:gridCol w:w="3994"/>
        <w:gridCol w:w="1039"/>
        <w:gridCol w:w="1006"/>
        <w:gridCol w:w="697"/>
        <w:gridCol w:w="861"/>
        <w:gridCol w:w="790"/>
        <w:gridCol w:w="978"/>
        <w:gridCol w:w="546"/>
        <w:gridCol w:w="555"/>
        <w:gridCol w:w="487"/>
        <w:gridCol w:w="475"/>
        <w:gridCol w:w="450"/>
        <w:gridCol w:w="1086"/>
      </w:tblGrid>
      <w:tr>
        <w:tblPrEx>
          <w:shd w:val="clear" w:color="auto" w:fill="auto"/>
          <w:tblCellMar>
            <w:top w:w="0" w:type="dxa"/>
            <w:left w:w="0" w:type="dxa"/>
            <w:bottom w:w="0" w:type="dxa"/>
            <w:right w:w="0" w:type="dxa"/>
          </w:tblCellMar>
        </w:tblPrEx>
        <w:trPr>
          <w:trHeight w:val="735"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序号</w:t>
            </w: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项目单位</w:t>
            </w:r>
          </w:p>
        </w:tc>
        <w:tc>
          <w:tcPr>
            <w:tcW w:w="1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项目名称</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全年预算数（万元）</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全年执行数（万元）</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预算执行率</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产出指标得分率</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效益指标得分率</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满意度指标得分率</w:t>
            </w:r>
          </w:p>
        </w:tc>
        <w:tc>
          <w:tcPr>
            <w:tcW w:w="1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自评得分</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评价等级</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是否有较大偏差</w:t>
            </w:r>
          </w:p>
        </w:tc>
      </w:tr>
      <w:tr>
        <w:tblPrEx>
          <w:shd w:val="clear" w:color="auto" w:fill="auto"/>
          <w:tblCellMar>
            <w:top w:w="0" w:type="dxa"/>
            <w:left w:w="0" w:type="dxa"/>
            <w:bottom w:w="0" w:type="dxa"/>
            <w:right w:w="0" w:type="dxa"/>
          </w:tblCellMar>
        </w:tblPrEx>
        <w:trPr>
          <w:trHeight w:val="73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1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优</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良</w:t>
            </w: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中</w:t>
            </w: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差</w:t>
            </w: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4"/>
                <w:szCs w:val="24"/>
                <w:u w:val="none"/>
              </w:rPr>
            </w:pPr>
          </w:p>
        </w:tc>
      </w:tr>
      <w:tr>
        <w:tblPrEx>
          <w:shd w:val="clear" w:color="auto" w:fill="auto"/>
          <w:tblCellMar>
            <w:top w:w="0" w:type="dxa"/>
            <w:left w:w="0" w:type="dxa"/>
            <w:bottom w:w="0" w:type="dxa"/>
            <w:right w:w="0" w:type="dxa"/>
          </w:tblCellMar>
        </w:tblPrEx>
        <w:trPr>
          <w:trHeight w:val="735"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南召县民政局</w:t>
            </w:r>
          </w:p>
        </w:tc>
        <w:tc>
          <w:tcPr>
            <w:tcW w:w="1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高龄老人津贴补助资金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192.85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192.85 </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90.00%</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97</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等线" w:cs="Arial"/>
                <w:i w:val="0"/>
                <w:color w:val="000000"/>
                <w:sz w:val="22"/>
                <w:szCs w:val="22"/>
                <w:u w:val="none"/>
              </w:rPr>
            </w:pPr>
            <w:r>
              <w:rPr>
                <w:rFonts w:hint="default" w:ascii="Arial" w:hAnsi="Arial" w:eastAsia="等线" w:cs="Arial"/>
                <w:i w:val="0"/>
                <w:color w:val="000000"/>
                <w:kern w:val="0"/>
                <w:sz w:val="22"/>
                <w:szCs w:val="22"/>
                <w:u w:val="none"/>
                <w:lang w:val="en-US" w:eastAsia="zh-CN" w:bidi="ar"/>
              </w:rPr>
              <w:t>√</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否</w:t>
            </w:r>
          </w:p>
        </w:tc>
      </w:tr>
      <w:tr>
        <w:tblPrEx>
          <w:shd w:val="clear" w:color="auto" w:fill="auto"/>
          <w:tblCellMar>
            <w:top w:w="0" w:type="dxa"/>
            <w:left w:w="0" w:type="dxa"/>
            <w:bottom w:w="0" w:type="dxa"/>
            <w:right w:w="0" w:type="dxa"/>
          </w:tblCellMar>
        </w:tblPrEx>
        <w:trPr>
          <w:trHeight w:val="735"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南召县民政局</w:t>
            </w:r>
          </w:p>
        </w:tc>
        <w:tc>
          <w:tcPr>
            <w:tcW w:w="1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“政康保”工程参保资金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1,063.68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1,063.68 </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96.67%</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99</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等线" w:cs="Arial"/>
                <w:i w:val="0"/>
                <w:color w:val="000000"/>
                <w:sz w:val="22"/>
                <w:szCs w:val="22"/>
                <w:u w:val="none"/>
              </w:rPr>
            </w:pPr>
            <w:r>
              <w:rPr>
                <w:rFonts w:hint="default" w:ascii="Arial" w:hAnsi="Arial" w:eastAsia="等线" w:cs="Arial"/>
                <w:i w:val="0"/>
                <w:color w:val="000000"/>
                <w:kern w:val="0"/>
                <w:sz w:val="22"/>
                <w:szCs w:val="22"/>
                <w:u w:val="none"/>
                <w:lang w:val="en-US" w:eastAsia="zh-CN" w:bidi="ar"/>
              </w:rPr>
              <w:t>√</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否</w:t>
            </w:r>
          </w:p>
        </w:tc>
      </w:tr>
      <w:tr>
        <w:tblPrEx>
          <w:shd w:val="clear" w:color="auto" w:fill="auto"/>
          <w:tblCellMar>
            <w:top w:w="0" w:type="dxa"/>
            <w:left w:w="0" w:type="dxa"/>
            <w:bottom w:w="0" w:type="dxa"/>
            <w:right w:w="0" w:type="dxa"/>
          </w:tblCellMar>
        </w:tblPrEx>
        <w:trPr>
          <w:trHeight w:val="735"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南召县民政局</w:t>
            </w:r>
          </w:p>
        </w:tc>
        <w:tc>
          <w:tcPr>
            <w:tcW w:w="1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解决“政福保”、“政康保”工程工作经费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30.00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30.00 </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93.33%</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98</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等线" w:cs="Arial"/>
                <w:i w:val="0"/>
                <w:color w:val="000000"/>
                <w:sz w:val="22"/>
                <w:szCs w:val="22"/>
                <w:u w:val="none"/>
              </w:rPr>
            </w:pPr>
            <w:r>
              <w:rPr>
                <w:rFonts w:hint="default" w:ascii="Arial" w:hAnsi="Arial" w:eastAsia="等线" w:cs="Arial"/>
                <w:i w:val="0"/>
                <w:color w:val="000000"/>
                <w:kern w:val="0"/>
                <w:sz w:val="22"/>
                <w:szCs w:val="22"/>
                <w:u w:val="none"/>
                <w:lang w:val="en-US" w:eastAsia="zh-CN" w:bidi="ar"/>
              </w:rPr>
              <w:t>√</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否</w:t>
            </w:r>
          </w:p>
        </w:tc>
      </w:tr>
      <w:tr>
        <w:tblPrEx>
          <w:shd w:val="clear" w:color="auto" w:fill="auto"/>
          <w:tblCellMar>
            <w:top w:w="0" w:type="dxa"/>
            <w:left w:w="0" w:type="dxa"/>
            <w:bottom w:w="0" w:type="dxa"/>
            <w:right w:w="0" w:type="dxa"/>
          </w:tblCellMar>
        </w:tblPrEx>
        <w:trPr>
          <w:trHeight w:val="735"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南召县民政局</w:t>
            </w:r>
          </w:p>
        </w:tc>
        <w:tc>
          <w:tcPr>
            <w:tcW w:w="1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2020年四集中机构建设和机构运营经费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932.70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932.70 </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93.33%</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98</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等线" w:cs="Arial"/>
                <w:i w:val="0"/>
                <w:color w:val="000000"/>
                <w:sz w:val="22"/>
                <w:szCs w:val="22"/>
                <w:u w:val="none"/>
              </w:rPr>
            </w:pPr>
            <w:r>
              <w:rPr>
                <w:rFonts w:hint="default" w:ascii="Arial" w:hAnsi="Arial" w:eastAsia="等线" w:cs="Arial"/>
                <w:i w:val="0"/>
                <w:color w:val="000000"/>
                <w:kern w:val="0"/>
                <w:sz w:val="22"/>
                <w:szCs w:val="22"/>
                <w:u w:val="none"/>
                <w:lang w:val="en-US" w:eastAsia="zh-CN" w:bidi="ar"/>
              </w:rPr>
              <w:t>√</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否</w:t>
            </w:r>
          </w:p>
        </w:tc>
      </w:tr>
      <w:tr>
        <w:tblPrEx>
          <w:shd w:val="clear" w:color="auto" w:fill="auto"/>
          <w:tblCellMar>
            <w:top w:w="0" w:type="dxa"/>
            <w:left w:w="0" w:type="dxa"/>
            <w:bottom w:w="0" w:type="dxa"/>
            <w:right w:w="0" w:type="dxa"/>
          </w:tblCellMar>
        </w:tblPrEx>
        <w:trPr>
          <w:trHeight w:val="735"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南召县民政局</w:t>
            </w:r>
          </w:p>
        </w:tc>
        <w:tc>
          <w:tcPr>
            <w:tcW w:w="1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县级公益性公墓建设前期费用</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125.10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125.10 </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83.33%</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95</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等线" w:cs="Arial"/>
                <w:i w:val="0"/>
                <w:color w:val="000000"/>
                <w:sz w:val="22"/>
                <w:szCs w:val="22"/>
                <w:u w:val="none"/>
              </w:rPr>
            </w:pPr>
            <w:r>
              <w:rPr>
                <w:rFonts w:hint="default" w:ascii="Arial" w:hAnsi="Arial" w:eastAsia="等线" w:cs="Arial"/>
                <w:i w:val="0"/>
                <w:color w:val="000000"/>
                <w:kern w:val="0"/>
                <w:sz w:val="22"/>
                <w:szCs w:val="22"/>
                <w:u w:val="none"/>
                <w:lang w:val="en-US" w:eastAsia="zh-CN" w:bidi="ar"/>
              </w:rPr>
              <w:t>√</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否</w:t>
            </w:r>
          </w:p>
        </w:tc>
      </w:tr>
      <w:tr>
        <w:tblPrEx>
          <w:shd w:val="clear" w:color="auto" w:fill="auto"/>
          <w:tblCellMar>
            <w:top w:w="0" w:type="dxa"/>
            <w:left w:w="0" w:type="dxa"/>
            <w:bottom w:w="0" w:type="dxa"/>
            <w:right w:w="0" w:type="dxa"/>
          </w:tblCellMar>
        </w:tblPrEx>
        <w:trPr>
          <w:trHeight w:val="735"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南召县民政局</w:t>
            </w:r>
          </w:p>
        </w:tc>
        <w:tc>
          <w:tcPr>
            <w:tcW w:w="1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2020年社会救助工作经费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10.00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10.00 </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90.00%</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97</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等线" w:cs="Arial"/>
                <w:i w:val="0"/>
                <w:color w:val="000000"/>
                <w:sz w:val="22"/>
                <w:szCs w:val="22"/>
                <w:u w:val="none"/>
              </w:rPr>
            </w:pPr>
            <w:r>
              <w:rPr>
                <w:rFonts w:hint="default" w:ascii="Arial" w:hAnsi="Arial" w:eastAsia="等线" w:cs="Arial"/>
                <w:i w:val="0"/>
                <w:color w:val="000000"/>
                <w:kern w:val="0"/>
                <w:sz w:val="22"/>
                <w:szCs w:val="22"/>
                <w:u w:val="none"/>
                <w:lang w:val="en-US" w:eastAsia="zh-CN" w:bidi="ar"/>
              </w:rPr>
              <w:t>√</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否</w:t>
            </w:r>
          </w:p>
        </w:tc>
      </w:tr>
      <w:tr>
        <w:tblPrEx>
          <w:shd w:val="clear" w:color="auto" w:fill="auto"/>
          <w:tblCellMar>
            <w:top w:w="0" w:type="dxa"/>
            <w:left w:w="0" w:type="dxa"/>
            <w:bottom w:w="0" w:type="dxa"/>
            <w:right w:w="0" w:type="dxa"/>
          </w:tblCellMar>
        </w:tblPrEx>
        <w:trPr>
          <w:trHeight w:val="735"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南召县民政局</w:t>
            </w:r>
          </w:p>
        </w:tc>
        <w:tc>
          <w:tcPr>
            <w:tcW w:w="1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火化炉环保改造资金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24.68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24.68 </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100.00%</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等线" w:cs="Arial"/>
                <w:i w:val="0"/>
                <w:color w:val="000000"/>
                <w:sz w:val="22"/>
                <w:szCs w:val="22"/>
                <w:u w:val="none"/>
              </w:rPr>
            </w:pPr>
            <w:r>
              <w:rPr>
                <w:rFonts w:hint="default" w:ascii="Arial" w:hAnsi="Arial" w:eastAsia="等线" w:cs="Arial"/>
                <w:i w:val="0"/>
                <w:color w:val="000000"/>
                <w:kern w:val="0"/>
                <w:sz w:val="22"/>
                <w:szCs w:val="22"/>
                <w:u w:val="none"/>
                <w:lang w:val="en-US" w:eastAsia="zh-CN" w:bidi="ar"/>
              </w:rPr>
              <w:t>√</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否</w:t>
            </w:r>
          </w:p>
        </w:tc>
      </w:tr>
      <w:tr>
        <w:tblPrEx>
          <w:shd w:val="clear" w:color="auto" w:fill="auto"/>
          <w:tblCellMar>
            <w:top w:w="0" w:type="dxa"/>
            <w:left w:w="0" w:type="dxa"/>
            <w:bottom w:w="0" w:type="dxa"/>
            <w:right w:w="0" w:type="dxa"/>
          </w:tblCellMar>
        </w:tblPrEx>
        <w:trPr>
          <w:trHeight w:val="735"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南召县民政局</w:t>
            </w:r>
          </w:p>
        </w:tc>
        <w:tc>
          <w:tcPr>
            <w:tcW w:w="1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农村低保资金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9,722 </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9,722 </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80.00%</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94</w:t>
            </w: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等线" w:cs="Arial"/>
                <w:i w:val="0"/>
                <w:color w:val="000000"/>
                <w:sz w:val="22"/>
                <w:szCs w:val="22"/>
                <w:u w:val="none"/>
              </w:rPr>
            </w:pPr>
            <w:r>
              <w:rPr>
                <w:rFonts w:hint="default" w:ascii="Arial" w:hAnsi="Arial" w:eastAsia="等线" w:cs="Arial"/>
                <w:i w:val="0"/>
                <w:color w:val="000000"/>
                <w:kern w:val="0"/>
                <w:sz w:val="22"/>
                <w:szCs w:val="22"/>
                <w:u w:val="none"/>
                <w:lang w:val="en-US" w:eastAsia="zh-CN" w:bidi="ar"/>
              </w:rPr>
              <w:t>√</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否</w:t>
            </w:r>
          </w:p>
        </w:tc>
      </w:tr>
      <w:tr>
        <w:tblPrEx>
          <w:shd w:val="clear" w:color="auto" w:fill="auto"/>
          <w:tblCellMar>
            <w:top w:w="0" w:type="dxa"/>
            <w:left w:w="0" w:type="dxa"/>
            <w:bottom w:w="0" w:type="dxa"/>
            <w:right w:w="0" w:type="dxa"/>
          </w:tblCellMar>
        </w:tblPrEx>
        <w:trPr>
          <w:trHeight w:val="735"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汇总</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12,101.00 </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12,101.00 </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等线" w:cs="Arial"/>
                <w:i w:val="0"/>
                <w:color w:val="000000"/>
                <w:sz w:val="22"/>
                <w:szCs w:val="22"/>
                <w:u w:val="none"/>
              </w:rPr>
            </w:pPr>
            <w:r>
              <w:rPr>
                <w:rFonts w:hint="default" w:ascii="Arial" w:hAnsi="Arial" w:eastAsia="等线" w:cs="Arial"/>
                <w:i w:val="0"/>
                <w:color w:val="000000"/>
                <w:kern w:val="0"/>
                <w:sz w:val="22"/>
                <w:szCs w:val="22"/>
                <w:u w:val="none"/>
                <w:lang w:val="en-US" w:eastAsia="zh-CN" w:bidi="ar"/>
              </w:rPr>
              <w:t>8</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0</w:t>
            </w: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0</w:t>
            </w: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880" w:hRule="atLeast"/>
        </w:trPr>
        <w:tc>
          <w:tcPr>
            <w:tcW w:w="5000" w:type="pct"/>
            <w:gridSpan w:val="15"/>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备注：1.最后一栏请汇总全年预算数、全年执行数金额以及优、良、中、差项目个数。</w:t>
            </w:r>
          </w:p>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      2.全年预算数、全年执行数以万元为单位，并保留两位小数</w:t>
            </w:r>
          </w:p>
        </w:tc>
      </w:tr>
    </w:tbl>
    <w:p>
      <w:pPr>
        <w:pStyle w:val="15"/>
        <w:keepNext w:val="0"/>
        <w:keepLines w:val="0"/>
        <w:pageBreakBefore w:val="0"/>
        <w:shd w:val="clear"/>
        <w:kinsoku/>
        <w:wordWrap/>
        <w:overflowPunct/>
        <w:topLinePunct w:val="0"/>
        <w:autoSpaceDE/>
        <w:autoSpaceDN/>
        <w:bidi w:val="0"/>
        <w:adjustRightInd/>
        <w:snapToGrid/>
        <w:spacing w:after="0" w:line="240" w:lineRule="auto"/>
        <w:ind w:firstLine="0" w:firstLineChars="0"/>
        <w:rPr>
          <w:rFonts w:hint="default"/>
          <w:color w:val="auto"/>
          <w:highlight w:val="none"/>
          <w:lang w:val="en-US" w:eastAsia="zh-CN"/>
        </w:rPr>
      </w:pPr>
    </w:p>
    <w:sectPr>
      <w:pgSz w:w="16838" w:h="11906" w:orient="landscape"/>
      <w:pgMar w:top="720" w:right="720" w:bottom="720" w:left="7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ZmEwOTY4MjI5YmExZjk5ZTQxYmZhOTczMGMxNzEifQ=="/>
  </w:docVars>
  <w:rsids>
    <w:rsidRoot w:val="00172A27"/>
    <w:rsid w:val="0055721E"/>
    <w:rsid w:val="006225BA"/>
    <w:rsid w:val="00BB5B37"/>
    <w:rsid w:val="00D403CC"/>
    <w:rsid w:val="015620B5"/>
    <w:rsid w:val="01803DAF"/>
    <w:rsid w:val="01CD24AB"/>
    <w:rsid w:val="023829EB"/>
    <w:rsid w:val="025F55F3"/>
    <w:rsid w:val="03687896"/>
    <w:rsid w:val="03A74472"/>
    <w:rsid w:val="03CF39B3"/>
    <w:rsid w:val="03E3527A"/>
    <w:rsid w:val="043376C8"/>
    <w:rsid w:val="049E1667"/>
    <w:rsid w:val="05310285"/>
    <w:rsid w:val="056F3629"/>
    <w:rsid w:val="06022C39"/>
    <w:rsid w:val="06241739"/>
    <w:rsid w:val="067D4911"/>
    <w:rsid w:val="06CD2CAD"/>
    <w:rsid w:val="06D44DB6"/>
    <w:rsid w:val="06E56BDE"/>
    <w:rsid w:val="073C001E"/>
    <w:rsid w:val="07EC720E"/>
    <w:rsid w:val="0856445B"/>
    <w:rsid w:val="089B5BE8"/>
    <w:rsid w:val="09054196"/>
    <w:rsid w:val="093F5EA3"/>
    <w:rsid w:val="09517008"/>
    <w:rsid w:val="09B92F8B"/>
    <w:rsid w:val="09F340DC"/>
    <w:rsid w:val="0ABC7A79"/>
    <w:rsid w:val="0B714783"/>
    <w:rsid w:val="0B7C6F20"/>
    <w:rsid w:val="0BA212E3"/>
    <w:rsid w:val="0BDB688F"/>
    <w:rsid w:val="0C0C654C"/>
    <w:rsid w:val="0C1D2D9B"/>
    <w:rsid w:val="0C2B3B54"/>
    <w:rsid w:val="0D1C125D"/>
    <w:rsid w:val="0D8572D8"/>
    <w:rsid w:val="0DAC117D"/>
    <w:rsid w:val="0DC63D28"/>
    <w:rsid w:val="0DF77003"/>
    <w:rsid w:val="0EF760A8"/>
    <w:rsid w:val="0F0A5349"/>
    <w:rsid w:val="0F3221B5"/>
    <w:rsid w:val="0F6767B7"/>
    <w:rsid w:val="100C1C87"/>
    <w:rsid w:val="10403E70"/>
    <w:rsid w:val="10E76A79"/>
    <w:rsid w:val="11181DA8"/>
    <w:rsid w:val="11BE372B"/>
    <w:rsid w:val="11D11ACB"/>
    <w:rsid w:val="11D94FBF"/>
    <w:rsid w:val="11DF7AA5"/>
    <w:rsid w:val="121E4775"/>
    <w:rsid w:val="124F0E8F"/>
    <w:rsid w:val="12CC3713"/>
    <w:rsid w:val="13663A30"/>
    <w:rsid w:val="13C60661"/>
    <w:rsid w:val="14044465"/>
    <w:rsid w:val="142A71C6"/>
    <w:rsid w:val="143049A4"/>
    <w:rsid w:val="14BD44C7"/>
    <w:rsid w:val="14C2416E"/>
    <w:rsid w:val="14DE3D76"/>
    <w:rsid w:val="15C00483"/>
    <w:rsid w:val="1639625A"/>
    <w:rsid w:val="16403AB7"/>
    <w:rsid w:val="16A86570"/>
    <w:rsid w:val="17346B43"/>
    <w:rsid w:val="17514E74"/>
    <w:rsid w:val="180130A1"/>
    <w:rsid w:val="18074165"/>
    <w:rsid w:val="18120089"/>
    <w:rsid w:val="184F37E8"/>
    <w:rsid w:val="186944EF"/>
    <w:rsid w:val="18CE3F3C"/>
    <w:rsid w:val="196138D2"/>
    <w:rsid w:val="19953697"/>
    <w:rsid w:val="19B44EED"/>
    <w:rsid w:val="19B73EA9"/>
    <w:rsid w:val="1A2A3C27"/>
    <w:rsid w:val="1A4450BF"/>
    <w:rsid w:val="1AC12C79"/>
    <w:rsid w:val="1B7911A5"/>
    <w:rsid w:val="1B8B0E1E"/>
    <w:rsid w:val="1BFD0F60"/>
    <w:rsid w:val="1C29383C"/>
    <w:rsid w:val="1D47313A"/>
    <w:rsid w:val="1DC41A36"/>
    <w:rsid w:val="1DEC6949"/>
    <w:rsid w:val="1E216956"/>
    <w:rsid w:val="1E556498"/>
    <w:rsid w:val="1E711770"/>
    <w:rsid w:val="1E7C7AF5"/>
    <w:rsid w:val="1E886D96"/>
    <w:rsid w:val="1EA51E7C"/>
    <w:rsid w:val="1F016C57"/>
    <w:rsid w:val="1F0314C6"/>
    <w:rsid w:val="1F3A1FDC"/>
    <w:rsid w:val="1F6E60BF"/>
    <w:rsid w:val="1FFB2D1C"/>
    <w:rsid w:val="20E32BEF"/>
    <w:rsid w:val="212C46B1"/>
    <w:rsid w:val="21500B88"/>
    <w:rsid w:val="21564BFD"/>
    <w:rsid w:val="21D837DA"/>
    <w:rsid w:val="21ED3453"/>
    <w:rsid w:val="21F67297"/>
    <w:rsid w:val="225713CF"/>
    <w:rsid w:val="22715B15"/>
    <w:rsid w:val="22AA312C"/>
    <w:rsid w:val="233F3577"/>
    <w:rsid w:val="23AC70BE"/>
    <w:rsid w:val="23B80592"/>
    <w:rsid w:val="24A621B9"/>
    <w:rsid w:val="24CF5ABD"/>
    <w:rsid w:val="24DC7018"/>
    <w:rsid w:val="251A22E8"/>
    <w:rsid w:val="25795502"/>
    <w:rsid w:val="25AB5C72"/>
    <w:rsid w:val="26443E46"/>
    <w:rsid w:val="266D3B8D"/>
    <w:rsid w:val="26BC0AD1"/>
    <w:rsid w:val="274970C1"/>
    <w:rsid w:val="277B0F48"/>
    <w:rsid w:val="288C42DB"/>
    <w:rsid w:val="2894277B"/>
    <w:rsid w:val="28BB7863"/>
    <w:rsid w:val="295F61D0"/>
    <w:rsid w:val="2B147896"/>
    <w:rsid w:val="2B25139B"/>
    <w:rsid w:val="2B9823C3"/>
    <w:rsid w:val="2CF66F3B"/>
    <w:rsid w:val="2CFC4390"/>
    <w:rsid w:val="2D4131A0"/>
    <w:rsid w:val="2DFC3ABA"/>
    <w:rsid w:val="2E0750E2"/>
    <w:rsid w:val="2E3B1D53"/>
    <w:rsid w:val="2E874CFC"/>
    <w:rsid w:val="2EB40E0D"/>
    <w:rsid w:val="2EF27139"/>
    <w:rsid w:val="2FDE5397"/>
    <w:rsid w:val="2FE87747"/>
    <w:rsid w:val="307D5CCE"/>
    <w:rsid w:val="308527DF"/>
    <w:rsid w:val="3088385B"/>
    <w:rsid w:val="30B9326C"/>
    <w:rsid w:val="30CE2679"/>
    <w:rsid w:val="3229411A"/>
    <w:rsid w:val="32C318DF"/>
    <w:rsid w:val="33005A5F"/>
    <w:rsid w:val="330151D0"/>
    <w:rsid w:val="335509C7"/>
    <w:rsid w:val="338D3213"/>
    <w:rsid w:val="33DE4E5E"/>
    <w:rsid w:val="348315EB"/>
    <w:rsid w:val="34A77095"/>
    <w:rsid w:val="35180C4C"/>
    <w:rsid w:val="35323F4D"/>
    <w:rsid w:val="354A3F81"/>
    <w:rsid w:val="358728F2"/>
    <w:rsid w:val="35B118AC"/>
    <w:rsid w:val="35F5341F"/>
    <w:rsid w:val="35FA40EA"/>
    <w:rsid w:val="36470C94"/>
    <w:rsid w:val="364D7507"/>
    <w:rsid w:val="36853699"/>
    <w:rsid w:val="369B5035"/>
    <w:rsid w:val="36B10C41"/>
    <w:rsid w:val="36FD7907"/>
    <w:rsid w:val="37844747"/>
    <w:rsid w:val="383E476D"/>
    <w:rsid w:val="38587408"/>
    <w:rsid w:val="38774D48"/>
    <w:rsid w:val="3902565F"/>
    <w:rsid w:val="392C0B54"/>
    <w:rsid w:val="39694146"/>
    <w:rsid w:val="39BD192C"/>
    <w:rsid w:val="39D7349B"/>
    <w:rsid w:val="39D95A19"/>
    <w:rsid w:val="3A540F32"/>
    <w:rsid w:val="3B3E1BBD"/>
    <w:rsid w:val="3B4630D5"/>
    <w:rsid w:val="3B4A0249"/>
    <w:rsid w:val="3B8E0BEC"/>
    <w:rsid w:val="3C1259C9"/>
    <w:rsid w:val="3C1A7087"/>
    <w:rsid w:val="3C21355B"/>
    <w:rsid w:val="3CB13EB7"/>
    <w:rsid w:val="3D162FD9"/>
    <w:rsid w:val="3D606B02"/>
    <w:rsid w:val="3DB053D5"/>
    <w:rsid w:val="3DBB4886"/>
    <w:rsid w:val="3DBF1787"/>
    <w:rsid w:val="3DD558A6"/>
    <w:rsid w:val="3DE44CB8"/>
    <w:rsid w:val="3DEA26E4"/>
    <w:rsid w:val="3E033736"/>
    <w:rsid w:val="3E7169CD"/>
    <w:rsid w:val="3E873D85"/>
    <w:rsid w:val="3EE01EF4"/>
    <w:rsid w:val="3F756F34"/>
    <w:rsid w:val="402D21C1"/>
    <w:rsid w:val="404D4025"/>
    <w:rsid w:val="41B94E6B"/>
    <w:rsid w:val="41BA54AD"/>
    <w:rsid w:val="41DA5F81"/>
    <w:rsid w:val="426274DE"/>
    <w:rsid w:val="42AC5E61"/>
    <w:rsid w:val="42DC39AC"/>
    <w:rsid w:val="43556670"/>
    <w:rsid w:val="439D43A4"/>
    <w:rsid w:val="43EF7CB6"/>
    <w:rsid w:val="44815799"/>
    <w:rsid w:val="44A76620"/>
    <w:rsid w:val="450D161C"/>
    <w:rsid w:val="45DB5816"/>
    <w:rsid w:val="463955F5"/>
    <w:rsid w:val="467F19D6"/>
    <w:rsid w:val="470B471F"/>
    <w:rsid w:val="47237B65"/>
    <w:rsid w:val="47AC6349"/>
    <w:rsid w:val="47B41DDF"/>
    <w:rsid w:val="47B9772E"/>
    <w:rsid w:val="47EA4F22"/>
    <w:rsid w:val="48316427"/>
    <w:rsid w:val="48973CBD"/>
    <w:rsid w:val="48F77AAF"/>
    <w:rsid w:val="490B409F"/>
    <w:rsid w:val="491C4AEB"/>
    <w:rsid w:val="492B5C25"/>
    <w:rsid w:val="49395B00"/>
    <w:rsid w:val="49C72763"/>
    <w:rsid w:val="49CE783D"/>
    <w:rsid w:val="4A257AB1"/>
    <w:rsid w:val="4A5C7F26"/>
    <w:rsid w:val="4A932475"/>
    <w:rsid w:val="4A9D098B"/>
    <w:rsid w:val="4AFF07C1"/>
    <w:rsid w:val="4BC5390B"/>
    <w:rsid w:val="4BD52E6E"/>
    <w:rsid w:val="4C647120"/>
    <w:rsid w:val="4C6D38F6"/>
    <w:rsid w:val="4C8B5190"/>
    <w:rsid w:val="4D656886"/>
    <w:rsid w:val="4EAD039F"/>
    <w:rsid w:val="50720FEA"/>
    <w:rsid w:val="50D26009"/>
    <w:rsid w:val="512F199A"/>
    <w:rsid w:val="515E556F"/>
    <w:rsid w:val="51750F26"/>
    <w:rsid w:val="52123901"/>
    <w:rsid w:val="521774C0"/>
    <w:rsid w:val="523F7E77"/>
    <w:rsid w:val="524878B5"/>
    <w:rsid w:val="528A72EF"/>
    <w:rsid w:val="52942ED4"/>
    <w:rsid w:val="52B95ACF"/>
    <w:rsid w:val="53041E31"/>
    <w:rsid w:val="53137349"/>
    <w:rsid w:val="531D10CF"/>
    <w:rsid w:val="538E68F1"/>
    <w:rsid w:val="53F02BBD"/>
    <w:rsid w:val="54087C43"/>
    <w:rsid w:val="54151AB3"/>
    <w:rsid w:val="547C2982"/>
    <w:rsid w:val="553D7376"/>
    <w:rsid w:val="555C7E27"/>
    <w:rsid w:val="55DE029D"/>
    <w:rsid w:val="566F58D8"/>
    <w:rsid w:val="56750501"/>
    <w:rsid w:val="56EA0736"/>
    <w:rsid w:val="56EF1656"/>
    <w:rsid w:val="56F72425"/>
    <w:rsid w:val="56F94133"/>
    <w:rsid w:val="570730E6"/>
    <w:rsid w:val="5711375D"/>
    <w:rsid w:val="573D02BD"/>
    <w:rsid w:val="57BD5228"/>
    <w:rsid w:val="57D22477"/>
    <w:rsid w:val="581B3AC4"/>
    <w:rsid w:val="58270281"/>
    <w:rsid w:val="58836238"/>
    <w:rsid w:val="589247BF"/>
    <w:rsid w:val="58AA4D2B"/>
    <w:rsid w:val="58BF2BBA"/>
    <w:rsid w:val="58C3256A"/>
    <w:rsid w:val="58C80F7B"/>
    <w:rsid w:val="59964EC4"/>
    <w:rsid w:val="5A9D143D"/>
    <w:rsid w:val="5AB372B3"/>
    <w:rsid w:val="5B8A2F37"/>
    <w:rsid w:val="5BBA585B"/>
    <w:rsid w:val="5BC435B9"/>
    <w:rsid w:val="5C8201DE"/>
    <w:rsid w:val="5C9E6E6F"/>
    <w:rsid w:val="5DAE6520"/>
    <w:rsid w:val="5DD90A4F"/>
    <w:rsid w:val="5E250CB8"/>
    <w:rsid w:val="5E370097"/>
    <w:rsid w:val="5E393FCD"/>
    <w:rsid w:val="5E9667BD"/>
    <w:rsid w:val="5EAB68AB"/>
    <w:rsid w:val="5EDA41BE"/>
    <w:rsid w:val="5EF73BE2"/>
    <w:rsid w:val="5F3D3065"/>
    <w:rsid w:val="608A1152"/>
    <w:rsid w:val="608B20EF"/>
    <w:rsid w:val="60967BC8"/>
    <w:rsid w:val="609D521D"/>
    <w:rsid w:val="60B2376D"/>
    <w:rsid w:val="60DD3700"/>
    <w:rsid w:val="610F48FB"/>
    <w:rsid w:val="61382481"/>
    <w:rsid w:val="61BF196A"/>
    <w:rsid w:val="61F11689"/>
    <w:rsid w:val="621255CD"/>
    <w:rsid w:val="62600656"/>
    <w:rsid w:val="62A03A1E"/>
    <w:rsid w:val="62A44963"/>
    <w:rsid w:val="62D01BD1"/>
    <w:rsid w:val="631E05FA"/>
    <w:rsid w:val="63436BA2"/>
    <w:rsid w:val="65900A51"/>
    <w:rsid w:val="65FC37D4"/>
    <w:rsid w:val="663A68A6"/>
    <w:rsid w:val="665935D9"/>
    <w:rsid w:val="66AC3ED0"/>
    <w:rsid w:val="677A24B6"/>
    <w:rsid w:val="67924DFD"/>
    <w:rsid w:val="679A0EE3"/>
    <w:rsid w:val="68503E83"/>
    <w:rsid w:val="6863009D"/>
    <w:rsid w:val="68781637"/>
    <w:rsid w:val="687A78F9"/>
    <w:rsid w:val="687D4D6D"/>
    <w:rsid w:val="68CE1443"/>
    <w:rsid w:val="690C5CCC"/>
    <w:rsid w:val="69124FDF"/>
    <w:rsid w:val="69901EC0"/>
    <w:rsid w:val="69F21813"/>
    <w:rsid w:val="6A043746"/>
    <w:rsid w:val="6A5357A1"/>
    <w:rsid w:val="6A78052C"/>
    <w:rsid w:val="6A875334"/>
    <w:rsid w:val="6A884503"/>
    <w:rsid w:val="6AC5360B"/>
    <w:rsid w:val="6ADF0274"/>
    <w:rsid w:val="6AFC6911"/>
    <w:rsid w:val="6B1B61E1"/>
    <w:rsid w:val="6BC85164"/>
    <w:rsid w:val="6BFB6BCB"/>
    <w:rsid w:val="6C145F65"/>
    <w:rsid w:val="6C842205"/>
    <w:rsid w:val="6D225641"/>
    <w:rsid w:val="6DA91A60"/>
    <w:rsid w:val="6E0B664E"/>
    <w:rsid w:val="6E5823D1"/>
    <w:rsid w:val="6E6E0A7D"/>
    <w:rsid w:val="6E722F0C"/>
    <w:rsid w:val="6EE54DDD"/>
    <w:rsid w:val="6F472C16"/>
    <w:rsid w:val="6F7A57BD"/>
    <w:rsid w:val="6F9718E7"/>
    <w:rsid w:val="6F9E47D1"/>
    <w:rsid w:val="70DE368C"/>
    <w:rsid w:val="71617EE7"/>
    <w:rsid w:val="718805D0"/>
    <w:rsid w:val="726766E1"/>
    <w:rsid w:val="72712D91"/>
    <w:rsid w:val="727754A1"/>
    <w:rsid w:val="72CC0D0F"/>
    <w:rsid w:val="731E1707"/>
    <w:rsid w:val="73C72D5A"/>
    <w:rsid w:val="73F551D4"/>
    <w:rsid w:val="7449202E"/>
    <w:rsid w:val="748037CC"/>
    <w:rsid w:val="74A72714"/>
    <w:rsid w:val="74ED7A64"/>
    <w:rsid w:val="74F22980"/>
    <w:rsid w:val="754822C9"/>
    <w:rsid w:val="754C33DC"/>
    <w:rsid w:val="76047E29"/>
    <w:rsid w:val="763A21BC"/>
    <w:rsid w:val="773D4564"/>
    <w:rsid w:val="77432D30"/>
    <w:rsid w:val="77723342"/>
    <w:rsid w:val="77774A55"/>
    <w:rsid w:val="77C57565"/>
    <w:rsid w:val="77D5668C"/>
    <w:rsid w:val="783B6565"/>
    <w:rsid w:val="78746F95"/>
    <w:rsid w:val="78B6314A"/>
    <w:rsid w:val="78EB64E6"/>
    <w:rsid w:val="79181E93"/>
    <w:rsid w:val="79E41632"/>
    <w:rsid w:val="7A3D329F"/>
    <w:rsid w:val="7A620D4B"/>
    <w:rsid w:val="7A622BF1"/>
    <w:rsid w:val="7AA11E6E"/>
    <w:rsid w:val="7AA155DC"/>
    <w:rsid w:val="7AA60219"/>
    <w:rsid w:val="7B0923C8"/>
    <w:rsid w:val="7B1A039F"/>
    <w:rsid w:val="7BC115C0"/>
    <w:rsid w:val="7C193CEA"/>
    <w:rsid w:val="7C1F1C32"/>
    <w:rsid w:val="7C647D27"/>
    <w:rsid w:val="7CD158D6"/>
    <w:rsid w:val="7D2726CD"/>
    <w:rsid w:val="7D347EF8"/>
    <w:rsid w:val="7D456F51"/>
    <w:rsid w:val="7D6A19D7"/>
    <w:rsid w:val="7E914532"/>
    <w:rsid w:val="7E922BD7"/>
    <w:rsid w:val="7EBE117D"/>
    <w:rsid w:val="7EC22AF7"/>
    <w:rsid w:val="7F442C7A"/>
    <w:rsid w:val="7FD7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4"/>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link w:val="21"/>
    <w:unhideWhenUsed/>
    <w:qFormat/>
    <w:uiPriority w:val="0"/>
    <w:pPr>
      <w:keepNext/>
      <w:keepLines/>
      <w:adjustRightInd w:val="0"/>
      <w:snapToGrid w:val="0"/>
      <w:spacing w:before="100" w:after="100" w:line="360" w:lineRule="auto"/>
      <w:outlineLvl w:val="1"/>
    </w:pPr>
    <w:rPr>
      <w:rFonts w:ascii="Times New Roman" w:hAnsi="Times New Roman" w:eastAsia="仿宋" w:cs="Times New Roman"/>
      <w:b/>
      <w:sz w:val="32"/>
      <w:szCs w:val="32"/>
    </w:rPr>
  </w:style>
  <w:style w:type="paragraph" w:styleId="5">
    <w:name w:val="heading 3"/>
    <w:basedOn w:val="1"/>
    <w:next w:val="1"/>
    <w:unhideWhenUsed/>
    <w:qFormat/>
    <w:uiPriority w:val="0"/>
    <w:pPr>
      <w:keepNext/>
      <w:keepLines/>
      <w:adjustRightInd w:val="0"/>
      <w:snapToGrid w:val="0"/>
      <w:spacing w:before="100" w:after="100" w:line="360" w:lineRule="auto"/>
      <w:ind w:firstLine="560" w:firstLineChars="200"/>
      <w:outlineLvl w:val="2"/>
    </w:pPr>
    <w:rPr>
      <w:rFonts w:ascii="Times New Roman" w:hAnsi="Times New Roman" w:eastAsia="仿宋" w:cs="Times New Roman"/>
      <w:b/>
      <w:sz w:val="30"/>
      <w:szCs w:val="30"/>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szCs w:val="24"/>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2"/>
    <w:basedOn w:val="1"/>
    <w:qFormat/>
    <w:uiPriority w:val="0"/>
    <w:pPr>
      <w:spacing w:after="120" w:line="480" w:lineRule="auto"/>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qFormat/>
    <w:uiPriority w:val="0"/>
    <w:pPr>
      <w:ind w:firstLine="420" w:firstLineChars="100"/>
    </w:pPr>
  </w:style>
  <w:style w:type="table" w:styleId="17">
    <w:name w:val="Table Grid"/>
    <w:basedOn w:val="1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paragraph" w:customStyle="1" w:styleId="20">
    <w:name w:val="Body Text First Indent1"/>
    <w:basedOn w:val="8"/>
    <w:qFormat/>
    <w:uiPriority w:val="0"/>
    <w:pPr>
      <w:spacing w:after="120"/>
      <w:ind w:firstLine="420" w:firstLineChars="100"/>
      <w:jc w:val="both"/>
    </w:pPr>
    <w:rPr>
      <w:rFonts w:ascii="Calibri" w:hAnsi="Calibri" w:eastAsia="宋体" w:cs="Times New Roman"/>
      <w:sz w:val="21"/>
      <w:szCs w:val="24"/>
    </w:rPr>
  </w:style>
  <w:style w:type="character" w:customStyle="1" w:styleId="21">
    <w:name w:val="标题 2 Char"/>
    <w:link w:val="4"/>
    <w:qFormat/>
    <w:uiPriority w:val="9"/>
    <w:rPr>
      <w:rFonts w:ascii="Times New Roman" w:hAnsi="Times New Roman" w:eastAsia="仿宋" w:cs="Times New Roman"/>
      <w:b/>
      <w:sz w:val="32"/>
      <w:szCs w:val="32"/>
    </w:rPr>
  </w:style>
  <w:style w:type="character" w:customStyle="1" w:styleId="22">
    <w:name w:val="font21"/>
    <w:basedOn w:val="18"/>
    <w:qFormat/>
    <w:uiPriority w:val="0"/>
    <w:rPr>
      <w:rFonts w:hint="eastAsia" w:ascii="黑体" w:hAnsi="宋体" w:eastAsia="黑体" w:cs="黑体"/>
      <w:color w:val="000000"/>
      <w:sz w:val="13"/>
      <w:szCs w:val="13"/>
      <w:u w:val="none"/>
    </w:rPr>
  </w:style>
  <w:style w:type="character" w:customStyle="1" w:styleId="23">
    <w:name w:val="font11"/>
    <w:basedOn w:val="18"/>
    <w:qFormat/>
    <w:uiPriority w:val="0"/>
    <w:rPr>
      <w:rFonts w:hint="default" w:ascii="Times New Roman" w:hAnsi="Times New Roman" w:cs="Times New Roman"/>
      <w:color w:val="000000"/>
      <w:sz w:val="13"/>
      <w:szCs w:val="13"/>
      <w:u w:val="none"/>
    </w:rPr>
  </w:style>
  <w:style w:type="character" w:customStyle="1" w:styleId="24">
    <w:name w:val="font51"/>
    <w:basedOn w:val="18"/>
    <w:qFormat/>
    <w:uiPriority w:val="0"/>
    <w:rPr>
      <w:rFonts w:hint="eastAsia" w:ascii="黑体" w:hAnsi="宋体" w:eastAsia="黑体" w:cs="黑体"/>
      <w:color w:val="000000"/>
      <w:sz w:val="13"/>
      <w:szCs w:val="13"/>
      <w:u w:val="none"/>
      <w:vertAlign w:val="superscript"/>
    </w:rPr>
  </w:style>
  <w:style w:type="character" w:customStyle="1" w:styleId="25">
    <w:name w:val="font41"/>
    <w:basedOn w:val="18"/>
    <w:qFormat/>
    <w:uiPriority w:val="0"/>
    <w:rPr>
      <w:rFonts w:hint="eastAsia" w:ascii="宋体" w:hAnsi="宋体" w:eastAsia="宋体" w:cs="宋体"/>
      <w:color w:val="000000"/>
      <w:sz w:val="22"/>
      <w:szCs w:val="22"/>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font31"/>
    <w:basedOn w:val="18"/>
    <w:qFormat/>
    <w:uiPriority w:val="0"/>
    <w:rPr>
      <w:rFonts w:hint="eastAsia" w:ascii="宋体" w:hAnsi="宋体" w:eastAsia="宋体" w:cs="宋体"/>
      <w:color w:val="000000"/>
      <w:sz w:val="20"/>
      <w:szCs w:val="20"/>
      <w:u w:val="none"/>
    </w:rPr>
  </w:style>
  <w:style w:type="character" w:customStyle="1" w:styleId="29">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4456</Words>
  <Characters>4885</Characters>
  <Lines>0</Lines>
  <Paragraphs>0</Paragraphs>
  <TotalTime>0</TotalTime>
  <ScaleCrop>false</ScaleCrop>
  <LinksUpToDate>false</LinksUpToDate>
  <CharactersWithSpaces>4969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2021-05-19T12:19:00Z</dcterms:created>
  <dc:creator>Administrator</dc:creator>
  <cp:lastModifiedBy>诺言[月亮][月亮][月亮][月亮]</cp:lastModifiedBy>
  <dcterms:modified xsi:type="dcterms:W3CDTF">2022-09-29T00:47:49Z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4B3C4B1663154315AE62B466B1CA8016</vt:lpwstr>
  </property>
</Properties>
</file>