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sz w:val="32"/>
          <w:szCs w:val="32"/>
        </w:rPr>
      </w:pPr>
      <w:r>
        <w:rPr>
          <w:rFonts w:hint="eastAsia" w:ascii="黑体" w:hAnsi="黑体" w:eastAsia="黑体"/>
          <w:sz w:val="32"/>
          <w:szCs w:val="32"/>
        </w:rPr>
        <w:t>附件2</w:t>
      </w:r>
    </w:p>
    <w:p>
      <w:pPr>
        <w:adjustRightInd w:val="0"/>
        <w:snapToGrid w:val="0"/>
        <w:spacing w:line="520" w:lineRule="exact"/>
        <w:jc w:val="center"/>
        <w:rPr>
          <w:rFonts w:ascii="方正小标宋简体" w:eastAsia="方正小标宋简体"/>
          <w:sz w:val="32"/>
          <w:szCs w:val="32"/>
          <w:u w:val="single"/>
        </w:rPr>
      </w:pPr>
    </w:p>
    <w:p>
      <w:pPr>
        <w:adjustRightInd w:val="0"/>
        <w:snapToGrid w:val="0"/>
        <w:spacing w:line="520" w:lineRule="exact"/>
        <w:jc w:val="center"/>
        <w:rPr>
          <w:rFonts w:ascii="方正小标宋简体" w:eastAsia="方正小标宋简体"/>
          <w:sz w:val="44"/>
          <w:szCs w:val="44"/>
        </w:rPr>
      </w:pPr>
      <w:r>
        <w:rPr>
          <w:rFonts w:hint="eastAsia" w:ascii="黑体" w:hAnsi="黑体" w:eastAsia="黑体" w:cs="黑体"/>
          <w:color w:val="000000"/>
          <w:kern w:val="0"/>
          <w:sz w:val="44"/>
          <w:szCs w:val="36"/>
          <w:lang w:eastAsia="zh-CN" w:bidi="en-US"/>
        </w:rPr>
        <w:t>表</w:t>
      </w:r>
      <w:r>
        <w:rPr>
          <w:rFonts w:hint="eastAsia" w:ascii="黑体" w:hAnsi="黑体" w:eastAsia="黑体" w:cs="黑体"/>
          <w:color w:val="000000"/>
          <w:kern w:val="0"/>
          <w:sz w:val="44"/>
          <w:szCs w:val="36"/>
          <w:lang w:val="en-US" w:eastAsia="zh-CN" w:bidi="en-US"/>
        </w:rPr>
        <w:t>2-1</w:t>
      </w:r>
      <w:r>
        <w:rPr>
          <w:rFonts w:hint="eastAsia" w:ascii="黑体" w:hAnsi="黑体" w:eastAsia="黑体" w:cs="黑体"/>
          <w:color w:val="000000"/>
          <w:kern w:val="0"/>
          <w:sz w:val="44"/>
          <w:szCs w:val="36"/>
          <w:lang w:eastAsia="zh-CN" w:bidi="en-US"/>
        </w:rPr>
        <w:t xml:space="preserve">  食品生产监督检查结果记录表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lang w:eastAsia="zh-CN"/>
              </w:rPr>
              <w:t>市场</w:t>
            </w:r>
            <w:r>
              <w:rPr>
                <w:rFonts w:hint="eastAsia" w:ascii="宋体" w:hAnsi="宋体"/>
                <w:szCs w:val="21"/>
                <w:u w:val="single"/>
              </w:rPr>
              <w:t xml:space="preserve">监督管理部门全称）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6"/>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hint="eastAsia" w:ascii="黑体" w:hAnsi="黑体" w:eastAsia="黑体" w:cs="黑体"/>
          <w:color w:val="000000"/>
          <w:kern w:val="0"/>
          <w:sz w:val="44"/>
          <w:szCs w:val="36"/>
          <w:lang w:eastAsia="zh-CN" w:bidi="en-US"/>
        </w:rPr>
      </w:pPr>
      <w:bookmarkStart w:id="0" w:name="_GoBack"/>
      <w:r>
        <w:rPr>
          <w:rFonts w:hint="eastAsia" w:ascii="黑体" w:hAnsi="黑体" w:eastAsia="黑体" w:cs="黑体"/>
          <w:color w:val="000000"/>
          <w:kern w:val="0"/>
          <w:sz w:val="44"/>
          <w:szCs w:val="36"/>
          <w:lang w:eastAsia="zh-CN" w:bidi="en-US"/>
        </w:rPr>
        <w:t>表</w:t>
      </w:r>
      <w:r>
        <w:rPr>
          <w:rFonts w:hint="eastAsia" w:ascii="黑体" w:hAnsi="黑体" w:eastAsia="黑体" w:cs="黑体"/>
          <w:color w:val="000000"/>
          <w:kern w:val="0"/>
          <w:sz w:val="44"/>
          <w:szCs w:val="36"/>
          <w:lang w:val="en-US" w:eastAsia="zh-CN" w:bidi="en-US"/>
        </w:rPr>
        <w:t xml:space="preserve">2-2  </w:t>
      </w:r>
      <w:r>
        <w:rPr>
          <w:rFonts w:hint="eastAsia" w:ascii="黑体" w:hAnsi="黑体" w:eastAsia="黑体" w:cs="黑体"/>
          <w:color w:val="000000"/>
          <w:kern w:val="0"/>
          <w:sz w:val="44"/>
          <w:szCs w:val="36"/>
          <w:lang w:eastAsia="zh-CN" w:bidi="en-US"/>
        </w:rPr>
        <w:t>食品经营监督检查结果记录表</w:t>
      </w:r>
    </w:p>
    <w:bookmarkEnd w:id="0"/>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2505B"/>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1165733"/>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2152</Words>
  <Characters>2202</Characters>
  <Lines>0</Lines>
  <Paragraphs>0</Paragraphs>
  <TotalTime>8</TotalTime>
  <ScaleCrop>false</ScaleCrop>
  <LinksUpToDate>false</LinksUpToDate>
  <CharactersWithSpaces>2632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平淡</cp:lastModifiedBy>
  <cp:lastPrinted>2022-03-08T10:25:00Z</cp:lastPrinted>
  <dcterms:modified xsi:type="dcterms:W3CDTF">2022-03-16T08:33:12Z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5DE80CF842CD47458C97BADA30A9B86D</vt:lpwstr>
  </property>
</Properties>
</file>