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2022年</w:t>
      </w:r>
      <w:r>
        <w:rPr>
          <w:rFonts w:hint="eastAsia" w:ascii="宋体" w:hAnsi="宋体" w:eastAsia="宋体" w:cs="宋体"/>
          <w:sz w:val="32"/>
          <w:szCs w:val="40"/>
        </w:rPr>
        <w:t>转移支付安排情况说明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0"/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540" w:firstLineChars="200"/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2年初县本级一般公共预算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收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到上级下达转移支付资金额度212893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万元，其中：返还性收入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6886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万元，一般性转移支付收入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204263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万元，专项转移支付收入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1744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万元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540" w:firstLineChars="200"/>
        <w:rPr>
          <w:rFonts w:hint="default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2年初县本级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政府性基金预算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收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到上级下达转移支付资金额度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1797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万元，其中：社会保障和就业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422万元，城乡社区事务1276万元，其他支出99万元。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540" w:firstLineChars="200"/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2年初县本级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国有资本经营预算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收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到上级下达转移支付资金额度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万元，其中：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其他国有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资本经营收入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aps w:val="0"/>
          <w:color w:val="000000"/>
          <w:spacing w:val="0"/>
          <w:sz w:val="27"/>
          <w:szCs w:val="27"/>
          <w:shd w:val="clear" w:fill="FFFFFF"/>
        </w:rPr>
        <w:t>万元。</w:t>
      </w:r>
    </w:p>
    <w:p>
      <w:pPr>
        <w:jc w:val="left"/>
        <w:rPr>
          <w:rFonts w:hint="eastAsia" w:ascii="宋体" w:hAnsi="宋体" w:eastAsia="宋体" w:cs="宋体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GE2MjY2ZDYyOTYxYWM5ZDZjYTYxYTIyODQ1YWEifQ=="/>
  </w:docVars>
  <w:rsids>
    <w:rsidRoot w:val="00000000"/>
    <w:rsid w:val="23264554"/>
    <w:rsid w:val="49386518"/>
    <w:rsid w:val="58A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228</Characters>
  <Lines>0</Lines>
  <Paragraphs>0</Paragraphs>
  <TotalTime>8</TotalTime>
  <ScaleCrop>false</ScaleCrop>
  <LinksUpToDate>false</LinksUpToDate>
  <CharactersWithSpaces>228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2023-07-06T00:48:00Z</dcterms:created>
  <dc:creator>Administrator</dc:creator>
  <cp:lastModifiedBy>Administrator</cp:lastModifiedBy>
  <dcterms:modified xsi:type="dcterms:W3CDTF">2023-07-06T02:40:55Z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15DF3D6C788C43E685EC16F928291DE2</vt:lpwstr>
  </property>
</Properties>
</file>