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D10" w:rsidRDefault="00A94D10" w:rsidP="00A62E92">
      <w:pPr>
        <w:adjustRightInd w:val="0"/>
        <w:snapToGrid w:val="0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7B27B6" w:rsidRDefault="006275E2" w:rsidP="00A62E92">
      <w:pPr>
        <w:adjustRightInd w:val="0"/>
        <w:snapToGrid w:val="0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bookmarkStart w:id="0" w:name="_GoBack"/>
      <w:bookmarkEnd w:id="0"/>
      <w:r>
        <w:rPr>
          <w:rFonts w:ascii="Times New Roman" w:eastAsia="方正小标宋简体" w:hAnsi="Times New Roman" w:cs="Times New Roman" w:hint="eastAsia"/>
          <w:sz w:val="44"/>
          <w:szCs w:val="44"/>
        </w:rPr>
        <w:t>2021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年</w:t>
      </w:r>
      <w:r w:rsidR="000020A8">
        <w:rPr>
          <w:rFonts w:ascii="Times New Roman" w:eastAsia="方正小标宋简体" w:hAnsi="Times New Roman" w:cs="Times New Roman" w:hint="eastAsia"/>
          <w:sz w:val="44"/>
          <w:szCs w:val="44"/>
        </w:rPr>
        <w:t>财政</w:t>
      </w:r>
      <w:r w:rsidR="000020A8">
        <w:rPr>
          <w:rFonts w:ascii="Times New Roman" w:eastAsia="方正小标宋简体" w:hAnsi="Times New Roman" w:cs="Times New Roman"/>
          <w:sz w:val="44"/>
          <w:szCs w:val="44"/>
        </w:rPr>
        <w:t>资金直达基层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使用</w:t>
      </w:r>
      <w:r>
        <w:rPr>
          <w:rFonts w:ascii="Times New Roman" w:eastAsia="方正小标宋简体" w:hAnsi="Times New Roman" w:cs="Times New Roman"/>
          <w:sz w:val="44"/>
          <w:szCs w:val="44"/>
        </w:rPr>
        <w:t>情况</w:t>
      </w:r>
    </w:p>
    <w:p w:rsidR="007B27B6" w:rsidRDefault="007B27B6">
      <w:pPr>
        <w:rPr>
          <w:rFonts w:ascii="Times New Roman" w:hAnsi="Times New Roman" w:cs="Times New Roman"/>
        </w:rPr>
      </w:pPr>
    </w:p>
    <w:p w:rsidR="004505FE" w:rsidRDefault="006275E2" w:rsidP="004505FE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根据</w:t>
      </w:r>
      <w:r w:rsidR="004B44EB">
        <w:rPr>
          <w:rFonts w:ascii="Times New Roman" w:eastAsia="仿宋_GB2312" w:hAnsi="Times New Roman" w:cs="Times New Roman" w:hint="eastAsia"/>
          <w:sz w:val="32"/>
          <w:szCs w:val="32"/>
        </w:rPr>
        <w:t>上级直达资金</w:t>
      </w:r>
      <w:r w:rsidR="004B44EB">
        <w:rPr>
          <w:rFonts w:ascii="Times New Roman" w:eastAsia="仿宋_GB2312" w:hAnsi="Times New Roman" w:cs="Times New Roman"/>
          <w:sz w:val="32"/>
          <w:szCs w:val="32"/>
        </w:rPr>
        <w:t>惠企利民等</w:t>
      </w:r>
      <w:r w:rsidR="004B44EB">
        <w:rPr>
          <w:rFonts w:ascii="Times New Roman" w:eastAsia="仿宋_GB2312" w:hAnsi="Times New Roman" w:cs="Times New Roman" w:hint="eastAsia"/>
          <w:sz w:val="32"/>
          <w:szCs w:val="32"/>
        </w:rPr>
        <w:t>一系列</w:t>
      </w:r>
      <w:r>
        <w:rPr>
          <w:rFonts w:ascii="Times New Roman" w:eastAsia="仿宋_GB2312" w:hAnsi="Times New Roman" w:cs="Times New Roman"/>
          <w:sz w:val="32"/>
          <w:szCs w:val="32"/>
        </w:rPr>
        <w:t>文件精神，</w:t>
      </w:r>
      <w:r w:rsidR="004505FE">
        <w:rPr>
          <w:rFonts w:ascii="仿宋_GB2312" w:eastAsia="仿宋_GB2312" w:hint="eastAsia"/>
          <w:sz w:val="32"/>
          <w:szCs w:val="32"/>
        </w:rPr>
        <w:t>我县高度重视财政直达资金管理工作，及时传达贯彻文件要求，</w:t>
      </w:r>
      <w:r>
        <w:rPr>
          <w:rFonts w:ascii="Times New Roman" w:eastAsia="仿宋_GB2312" w:hAnsi="Times New Roman" w:cs="Times New Roman"/>
          <w:sz w:val="32"/>
          <w:szCs w:val="32"/>
        </w:rPr>
        <w:t>对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2021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 w:rsidR="004505FE">
        <w:rPr>
          <w:rFonts w:ascii="Times New Roman" w:eastAsia="仿宋_GB2312" w:hAnsi="Times New Roman" w:cs="Times New Roman"/>
          <w:sz w:val="32"/>
          <w:szCs w:val="32"/>
        </w:rPr>
        <w:t>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县</w:t>
      </w:r>
      <w:r w:rsidR="004505FE">
        <w:rPr>
          <w:rFonts w:ascii="Times New Roman" w:eastAsia="仿宋_GB2312" w:hAnsi="Times New Roman" w:cs="Times New Roman"/>
          <w:sz w:val="32"/>
          <w:szCs w:val="32"/>
        </w:rPr>
        <w:t>直达资金预算执行情况进行了梳理总结</w:t>
      </w:r>
      <w:r w:rsidR="004505FE">
        <w:rPr>
          <w:rFonts w:ascii="仿宋_GB2312" w:eastAsia="仿宋_GB2312" w:hint="eastAsia"/>
          <w:sz w:val="32"/>
          <w:szCs w:val="32"/>
        </w:rPr>
        <w:t>：</w:t>
      </w:r>
    </w:p>
    <w:p w:rsidR="007B27B6" w:rsidRDefault="006275E2">
      <w:pPr>
        <w:numPr>
          <w:ilvl w:val="0"/>
          <w:numId w:val="1"/>
        </w:numPr>
        <w:ind w:firstLineChars="200" w:firstLine="640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/>
          <w:bCs/>
          <w:sz w:val="32"/>
          <w:szCs w:val="32"/>
        </w:rPr>
        <w:t>直达资金预算</w:t>
      </w:r>
      <w:r w:rsidR="004505FE">
        <w:rPr>
          <w:rFonts w:ascii="Times New Roman" w:eastAsia="黑体" w:hAnsi="Times New Roman" w:cs="Times New Roman" w:hint="eastAsia"/>
          <w:bCs/>
          <w:sz w:val="32"/>
          <w:szCs w:val="32"/>
        </w:rPr>
        <w:t>下达拨付</w:t>
      </w:r>
      <w:r w:rsidR="004505FE">
        <w:rPr>
          <w:rFonts w:ascii="Times New Roman" w:eastAsia="黑体" w:hAnsi="Times New Roman" w:cs="Times New Roman"/>
          <w:bCs/>
          <w:sz w:val="32"/>
          <w:szCs w:val="32"/>
        </w:rPr>
        <w:t>情况</w:t>
      </w:r>
    </w:p>
    <w:p w:rsidR="007B27B6" w:rsidRDefault="006275E2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2021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，上级共下达我</w:t>
      </w:r>
      <w:r w:rsidR="004505FE">
        <w:rPr>
          <w:rFonts w:ascii="Times New Roman" w:eastAsia="仿宋_GB2312" w:hAnsi="Times New Roman" w:cs="Times New Roman" w:hint="eastAsia"/>
          <w:sz w:val="32"/>
          <w:szCs w:val="32"/>
        </w:rPr>
        <w:t>县</w:t>
      </w:r>
      <w:r>
        <w:rPr>
          <w:rFonts w:ascii="Times New Roman" w:eastAsia="仿宋_GB2312" w:hAnsi="Times New Roman" w:cs="Times New Roman"/>
          <w:sz w:val="32"/>
          <w:szCs w:val="32"/>
        </w:rPr>
        <w:t>直达资金</w:t>
      </w:r>
      <w:r w:rsidR="004505FE">
        <w:rPr>
          <w:rFonts w:ascii="Times New Roman" w:eastAsia="仿宋_GB2312" w:hAnsi="Times New Roman" w:cs="Times New Roman"/>
          <w:sz w:val="32"/>
          <w:szCs w:val="32"/>
        </w:rPr>
        <w:t>129603.58</w:t>
      </w:r>
      <w:r>
        <w:rPr>
          <w:rFonts w:ascii="Times New Roman" w:eastAsia="仿宋_GB2312" w:hAnsi="Times New Roman" w:cs="Times New Roman"/>
          <w:sz w:val="32"/>
          <w:szCs w:val="32"/>
        </w:rPr>
        <w:t>万元。其中：中央</w:t>
      </w:r>
      <w:r w:rsidR="004505FE">
        <w:rPr>
          <w:rFonts w:ascii="Times New Roman" w:eastAsia="仿宋_GB2312" w:hAnsi="Times New Roman" w:cs="Times New Roman" w:hint="eastAsia"/>
          <w:sz w:val="32"/>
          <w:szCs w:val="32"/>
        </w:rPr>
        <w:t>直达资金</w:t>
      </w:r>
      <w:r w:rsidR="00EB2325">
        <w:rPr>
          <w:rFonts w:ascii="Times New Roman" w:eastAsia="仿宋_GB2312" w:hAnsi="Times New Roman" w:cs="Times New Roman"/>
          <w:sz w:val="32"/>
          <w:szCs w:val="32"/>
        </w:rPr>
        <w:t>109058.74</w:t>
      </w:r>
      <w:r>
        <w:rPr>
          <w:rFonts w:ascii="Times New Roman" w:eastAsia="仿宋_GB2312" w:hAnsi="Times New Roman" w:cs="Times New Roman"/>
          <w:sz w:val="32"/>
          <w:szCs w:val="32"/>
        </w:rPr>
        <w:t>万元，省级</w:t>
      </w:r>
      <w:r w:rsidR="00EB2325">
        <w:rPr>
          <w:rFonts w:ascii="Times New Roman" w:eastAsia="仿宋_GB2312" w:hAnsi="Times New Roman" w:cs="Times New Roman" w:hint="eastAsia"/>
          <w:sz w:val="32"/>
          <w:szCs w:val="32"/>
        </w:rPr>
        <w:t>直达</w:t>
      </w:r>
      <w:r w:rsidR="00EB2325">
        <w:rPr>
          <w:rFonts w:ascii="Times New Roman" w:eastAsia="仿宋_GB2312" w:hAnsi="Times New Roman" w:cs="Times New Roman"/>
          <w:sz w:val="32"/>
          <w:szCs w:val="32"/>
        </w:rPr>
        <w:t>资金</w:t>
      </w:r>
      <w:r w:rsidR="00EB2325">
        <w:rPr>
          <w:rFonts w:ascii="Times New Roman" w:eastAsia="仿宋_GB2312" w:hAnsi="Times New Roman" w:cs="Times New Roman"/>
          <w:sz w:val="32"/>
          <w:szCs w:val="32"/>
        </w:rPr>
        <w:t>20544.84</w:t>
      </w:r>
      <w:r>
        <w:rPr>
          <w:rFonts w:ascii="Times New Roman" w:eastAsia="仿宋_GB2312" w:hAnsi="Times New Roman" w:cs="Times New Roman"/>
          <w:sz w:val="32"/>
          <w:szCs w:val="32"/>
        </w:rPr>
        <w:t>万元。我</w:t>
      </w:r>
      <w:r w:rsidR="00EB2325">
        <w:rPr>
          <w:rFonts w:ascii="Times New Roman" w:eastAsia="仿宋_GB2312" w:hAnsi="Times New Roman" w:cs="Times New Roman" w:hint="eastAsia"/>
          <w:sz w:val="32"/>
          <w:szCs w:val="32"/>
        </w:rPr>
        <w:t>县</w:t>
      </w:r>
      <w:r w:rsidR="00EB2325">
        <w:rPr>
          <w:rFonts w:ascii="仿宋_GB2312" w:eastAsia="仿宋_GB2312" w:hint="eastAsia"/>
          <w:sz w:val="32"/>
          <w:szCs w:val="32"/>
        </w:rPr>
        <w:t>严格按照直达资金预算管理要求，指标已全部分配下达</w:t>
      </w:r>
      <w:r w:rsidR="00EB2325">
        <w:rPr>
          <w:rFonts w:ascii="仿宋_GB2312" w:eastAsia="仿宋_GB2312"/>
          <w:sz w:val="32"/>
          <w:szCs w:val="32"/>
        </w:rPr>
        <w:t>到</w:t>
      </w:r>
      <w:r w:rsidR="00EB2325">
        <w:rPr>
          <w:rFonts w:ascii="仿宋_GB2312" w:eastAsia="仿宋_GB2312" w:hint="eastAsia"/>
          <w:sz w:val="32"/>
          <w:szCs w:val="32"/>
        </w:rPr>
        <w:t>预算</w:t>
      </w:r>
      <w:r w:rsidR="00EB2325">
        <w:rPr>
          <w:rFonts w:ascii="仿宋_GB2312" w:eastAsia="仿宋_GB2312"/>
          <w:sz w:val="32"/>
          <w:szCs w:val="32"/>
        </w:rPr>
        <w:t>单位</w:t>
      </w:r>
      <w:r w:rsidR="00EB2325">
        <w:rPr>
          <w:rFonts w:ascii="Times New Roman" w:eastAsia="仿宋_GB2312" w:hAnsi="Times New Roman" w:cs="Times New Roman"/>
          <w:sz w:val="32"/>
          <w:szCs w:val="32"/>
        </w:rPr>
        <w:t>。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止</w:t>
      </w:r>
      <w:proofErr w:type="gramEnd"/>
      <w:r w:rsidR="00C54A3C">
        <w:rPr>
          <w:rFonts w:ascii="Times New Roman" w:eastAsia="仿宋_GB2312" w:hAnsi="Times New Roman" w:cs="Times New Roman" w:hint="eastAsia"/>
          <w:sz w:val="32"/>
          <w:szCs w:val="32"/>
        </w:rPr>
        <w:t>2021</w:t>
      </w:r>
      <w:r w:rsidR="00C54A3C">
        <w:rPr>
          <w:rFonts w:ascii="Times New Roman" w:eastAsia="仿宋_GB2312" w:hAnsi="Times New Roman" w:cs="Times New Roman" w:hint="eastAsia"/>
          <w:sz w:val="32"/>
          <w:szCs w:val="32"/>
        </w:rPr>
        <w:t>年底</w:t>
      </w:r>
      <w:r>
        <w:rPr>
          <w:rFonts w:ascii="Times New Roman" w:eastAsia="仿宋_GB2312" w:hAnsi="Times New Roman" w:cs="Times New Roman"/>
          <w:sz w:val="32"/>
          <w:szCs w:val="32"/>
        </w:rPr>
        <w:t>，我</w:t>
      </w:r>
      <w:r w:rsidR="00EB2325">
        <w:rPr>
          <w:rFonts w:ascii="Times New Roman" w:eastAsia="仿宋_GB2312" w:hAnsi="Times New Roman" w:cs="Times New Roman" w:hint="eastAsia"/>
          <w:sz w:val="32"/>
          <w:szCs w:val="32"/>
        </w:rPr>
        <w:t>县</w:t>
      </w:r>
      <w:r>
        <w:rPr>
          <w:rFonts w:ascii="Times New Roman" w:eastAsia="仿宋_GB2312" w:hAnsi="Times New Roman" w:cs="Times New Roman"/>
          <w:sz w:val="32"/>
          <w:szCs w:val="32"/>
        </w:rPr>
        <w:t>直达资金共支出</w:t>
      </w:r>
      <w:r w:rsidR="00EB2325">
        <w:rPr>
          <w:rFonts w:ascii="Times New Roman" w:eastAsia="仿宋_GB2312" w:hAnsi="Times New Roman" w:cs="Times New Roman"/>
          <w:sz w:val="32"/>
          <w:szCs w:val="32"/>
        </w:rPr>
        <w:t>1</w:t>
      </w:r>
      <w:r w:rsidR="00C54A3C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EB2325">
        <w:rPr>
          <w:rFonts w:ascii="Times New Roman" w:eastAsia="仿宋_GB2312" w:hAnsi="Times New Roman" w:cs="Times New Roman"/>
          <w:sz w:val="32"/>
          <w:szCs w:val="32"/>
        </w:rPr>
        <w:t>6226.31</w:t>
      </w:r>
      <w:r>
        <w:rPr>
          <w:rFonts w:ascii="Times New Roman" w:eastAsia="仿宋_GB2312" w:hAnsi="Times New Roman" w:cs="Times New Roman"/>
          <w:sz w:val="32"/>
          <w:szCs w:val="32"/>
        </w:rPr>
        <w:t>万元，支出占比</w:t>
      </w:r>
      <w:r w:rsidR="00C54A3C">
        <w:rPr>
          <w:rFonts w:ascii="Times New Roman" w:eastAsia="仿宋_GB2312" w:hAnsi="Times New Roman" w:cs="Times New Roman"/>
          <w:sz w:val="32"/>
          <w:szCs w:val="32"/>
        </w:rPr>
        <w:t>97.4</w:t>
      </w:r>
      <w:r>
        <w:rPr>
          <w:rFonts w:ascii="Times New Roman" w:eastAsia="仿宋_GB2312" w:hAnsi="Times New Roman" w:cs="Times New Roman"/>
          <w:sz w:val="32"/>
          <w:szCs w:val="32"/>
        </w:rPr>
        <w:t>%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7B27B6" w:rsidRDefault="00EB2325">
      <w:pPr>
        <w:numPr>
          <w:ilvl w:val="0"/>
          <w:numId w:val="1"/>
        </w:numPr>
        <w:ind w:firstLineChars="200" w:firstLine="640"/>
        <w:rPr>
          <w:rFonts w:ascii="黑体" w:eastAsia="黑体" w:hAnsi="Times New Roman" w:cs="Times New Roman"/>
          <w:bCs/>
          <w:sz w:val="32"/>
          <w:szCs w:val="32"/>
        </w:rPr>
      </w:pPr>
      <w:r>
        <w:rPr>
          <w:rFonts w:ascii="黑体" w:eastAsia="黑体" w:hAnsi="Times New Roman" w:cs="Times New Roman" w:hint="eastAsia"/>
          <w:bCs/>
          <w:sz w:val="32"/>
          <w:szCs w:val="32"/>
        </w:rPr>
        <w:t>直达资金</w:t>
      </w:r>
      <w:r>
        <w:rPr>
          <w:rFonts w:ascii="黑体" w:eastAsia="黑体" w:hAnsi="Times New Roman" w:cs="Times New Roman"/>
          <w:bCs/>
          <w:sz w:val="32"/>
          <w:szCs w:val="32"/>
        </w:rPr>
        <w:t>成效</w:t>
      </w:r>
    </w:p>
    <w:p w:rsidR="007B27B6" w:rsidRDefault="00EB2325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新增财政资金下达后，我县积极安排项目落实，现已落实项目5</w:t>
      </w:r>
      <w:r>
        <w:rPr>
          <w:rFonts w:ascii="仿宋_GB2312" w:eastAsia="仿宋_GB2312" w:hAnsi="仿宋_GB2312" w:cs="仿宋_GB2312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个，拨付资金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 w:rsidR="00C54A3C"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6226.31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万元，主要以县级基本财力保障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机制奖补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资金、城乡居民基本医疗保险补助、城乡居民基本养老保险补助、困难群众救助补助经费、基本公共卫生服务补助资金、城乡义务教育补助经费、就业补助资金、学生资助补助经费、农田建设补助资金、城镇居民保障性安居工程资金、普惠金融发展资金等社会事业项目为主</w:t>
      </w:r>
      <w:r w:rsidR="006275E2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4505FE" w:rsidRDefault="004505FE" w:rsidP="004505FE">
      <w:pPr>
        <w:spacing w:line="58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三、直达</w:t>
      </w:r>
      <w:r w:rsidR="00EB2325">
        <w:rPr>
          <w:rFonts w:ascii="黑体" w:eastAsia="黑体" w:hAnsi="黑体" w:cs="黑体" w:hint="eastAsia"/>
          <w:sz w:val="32"/>
          <w:szCs w:val="32"/>
        </w:rPr>
        <w:t>资金</w:t>
      </w:r>
      <w:r>
        <w:rPr>
          <w:rFonts w:ascii="黑体" w:eastAsia="黑体" w:hAnsi="黑体" w:cs="黑体" w:hint="eastAsia"/>
          <w:sz w:val="32"/>
          <w:szCs w:val="32"/>
        </w:rPr>
        <w:t>机制建立情况</w:t>
      </w:r>
    </w:p>
    <w:p w:rsidR="00EB2325" w:rsidRDefault="004505FE" w:rsidP="00EB2325">
      <w:pPr>
        <w:ind w:firstLineChars="200" w:firstLine="643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color w:val="333333"/>
          <w:sz w:val="32"/>
          <w:szCs w:val="32"/>
          <w:shd w:val="clear" w:color="auto" w:fill="FFFFFF"/>
        </w:rPr>
        <w:t>一是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从资金分配、项目管理、资金监督、技术保障等方面设立了工作专班，明确责任到人，保障此项工作能够扎实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lastRenderedPageBreak/>
        <w:t>快速推进。</w:t>
      </w:r>
    </w:p>
    <w:p w:rsidR="00EB2325" w:rsidRDefault="004505FE" w:rsidP="00EB2325">
      <w:pPr>
        <w:ind w:firstLineChars="200" w:firstLine="643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color w:val="333333"/>
          <w:sz w:val="32"/>
          <w:szCs w:val="32"/>
          <w:shd w:val="clear" w:color="auto" w:fill="FFFFFF"/>
        </w:rPr>
        <w:t>二是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建立了台</w:t>
      </w:r>
      <w:proofErr w:type="gramStart"/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账管理</w:t>
      </w:r>
      <w:proofErr w:type="gramEnd"/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制度，及时将财政直达资金进行分配。直达资金预算指标</w:t>
      </w:r>
      <w:r w:rsidR="00EB2325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单独下达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、</w:t>
      </w:r>
      <w:r w:rsidR="00EB2325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标示</w:t>
      </w:r>
      <w:r w:rsidR="00EB2325"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  <w:t>科学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全程监测，确保数据真实、账目清晰、流向明确，转移支付单独标识，单独下达，全部纳入财政直达监控系统全程监测。</w:t>
      </w:r>
    </w:p>
    <w:p w:rsidR="00EB2325" w:rsidRDefault="004505FE" w:rsidP="00EB2325">
      <w:pPr>
        <w:ind w:firstLineChars="200" w:firstLine="643"/>
        <w:rPr>
          <w:rFonts w:ascii="黑体" w:eastAsia="黑体" w:hAnsi="Times New Roman" w:cs="Times New Roman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333333"/>
          <w:sz w:val="32"/>
          <w:szCs w:val="32"/>
          <w:shd w:val="clear" w:color="auto" w:fill="FFFFFF"/>
        </w:rPr>
        <w:t>三是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充分利用“一卡通”等直达方式将资金拨付到最终收款人，做到资金直达市场主体和人民群众，直接惠企利民，确保资金精准使用。</w:t>
      </w:r>
    </w:p>
    <w:sectPr w:rsidR="00EB23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ospace">
    <w:altName w:val="Times New Roman"/>
    <w:charset w:val="00"/>
    <w:family w:val="auto"/>
    <w:pitch w:val="default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12B8491"/>
    <w:multiLevelType w:val="singleLevel"/>
    <w:tmpl w:val="912B849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6BBC4CD4"/>
    <w:multiLevelType w:val="singleLevel"/>
    <w:tmpl w:val="058ADF6A"/>
    <w:lvl w:ilvl="0">
      <w:start w:val="1"/>
      <w:numFmt w:val="chineseCounting"/>
      <w:suff w:val="nothing"/>
      <w:lvlText w:val="%1、"/>
      <w:lvlJc w:val="left"/>
      <w:rPr>
        <w:rFonts w:hint="eastAsia"/>
        <w:lang w:val="en-U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01A"/>
    <w:rsid w:val="000020A8"/>
    <w:rsid w:val="000C6C5B"/>
    <w:rsid w:val="001812A8"/>
    <w:rsid w:val="001D52CD"/>
    <w:rsid w:val="003C12CB"/>
    <w:rsid w:val="003E723D"/>
    <w:rsid w:val="004505FE"/>
    <w:rsid w:val="00486488"/>
    <w:rsid w:val="004B44EB"/>
    <w:rsid w:val="006275E2"/>
    <w:rsid w:val="007B27B6"/>
    <w:rsid w:val="00A62E92"/>
    <w:rsid w:val="00A8601A"/>
    <w:rsid w:val="00A94D10"/>
    <w:rsid w:val="00C501F9"/>
    <w:rsid w:val="00C54A3C"/>
    <w:rsid w:val="00D83003"/>
    <w:rsid w:val="00E815B3"/>
    <w:rsid w:val="00EB2325"/>
    <w:rsid w:val="02672220"/>
    <w:rsid w:val="04A501CB"/>
    <w:rsid w:val="08103E3B"/>
    <w:rsid w:val="089B410B"/>
    <w:rsid w:val="0DB51B63"/>
    <w:rsid w:val="0DFB4983"/>
    <w:rsid w:val="14DE7414"/>
    <w:rsid w:val="1B2F498D"/>
    <w:rsid w:val="1D4C269A"/>
    <w:rsid w:val="1D875CC5"/>
    <w:rsid w:val="1F356A85"/>
    <w:rsid w:val="26FC52B1"/>
    <w:rsid w:val="27AB2762"/>
    <w:rsid w:val="2A683DE6"/>
    <w:rsid w:val="2E7A53B6"/>
    <w:rsid w:val="2EED667C"/>
    <w:rsid w:val="30430B2F"/>
    <w:rsid w:val="361C157A"/>
    <w:rsid w:val="368914AB"/>
    <w:rsid w:val="3C820658"/>
    <w:rsid w:val="3D2267B8"/>
    <w:rsid w:val="425C3261"/>
    <w:rsid w:val="4357056A"/>
    <w:rsid w:val="46F57662"/>
    <w:rsid w:val="4B371F2E"/>
    <w:rsid w:val="4FA86133"/>
    <w:rsid w:val="51B27C24"/>
    <w:rsid w:val="5396477A"/>
    <w:rsid w:val="53A252AC"/>
    <w:rsid w:val="55037997"/>
    <w:rsid w:val="55391CA9"/>
    <w:rsid w:val="561831EB"/>
    <w:rsid w:val="68A93F8B"/>
    <w:rsid w:val="6ED73897"/>
    <w:rsid w:val="74D449C1"/>
    <w:rsid w:val="7BCB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FAA9343-CF40-4139-89AF-919AA0587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Code" w:qFormat="1"/>
    <w:lsdException w:name="HTML Definition" w:qFormat="1"/>
    <w:lsdException w:name="HTML Keyboard" w:qFormat="1"/>
    <w:lsdException w:name="HTML Sample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qFormat/>
    <w:rPr>
      <w:b/>
    </w:rPr>
  </w:style>
  <w:style w:type="character" w:styleId="a6">
    <w:name w:val="FollowedHyperlink"/>
    <w:basedOn w:val="a0"/>
    <w:qFormat/>
    <w:rPr>
      <w:color w:val="004C7E"/>
      <w:u w:val="none"/>
    </w:rPr>
  </w:style>
  <w:style w:type="character" w:styleId="HTML">
    <w:name w:val="HTML Definition"/>
    <w:basedOn w:val="a0"/>
    <w:qFormat/>
    <w:rPr>
      <w:i/>
    </w:rPr>
  </w:style>
  <w:style w:type="character" w:styleId="a7">
    <w:name w:val="Hyperlink"/>
    <w:basedOn w:val="a0"/>
    <w:qFormat/>
    <w:rPr>
      <w:color w:val="004C7E"/>
      <w:u w:val="none"/>
    </w:rPr>
  </w:style>
  <w:style w:type="character" w:styleId="HTML0">
    <w:name w:val="HTML Code"/>
    <w:basedOn w:val="a0"/>
    <w:qFormat/>
    <w:rPr>
      <w:rFonts w:ascii="monospace" w:eastAsia="monospace" w:hAnsi="monospace" w:cs="monospace" w:hint="default"/>
      <w:sz w:val="21"/>
      <w:szCs w:val="21"/>
    </w:rPr>
  </w:style>
  <w:style w:type="character" w:styleId="HTML1">
    <w:name w:val="HTML Keyboard"/>
    <w:basedOn w:val="a0"/>
    <w:qFormat/>
    <w:rPr>
      <w:rFonts w:ascii="monospace" w:eastAsia="monospace" w:hAnsi="monospace" w:cs="monospace" w:hint="default"/>
      <w:sz w:val="21"/>
      <w:szCs w:val="21"/>
    </w:rPr>
  </w:style>
  <w:style w:type="character" w:styleId="HTML2">
    <w:name w:val="HTML Sample"/>
    <w:basedOn w:val="a0"/>
    <w:qFormat/>
    <w:rPr>
      <w:rFonts w:ascii="monospace" w:eastAsia="monospace" w:hAnsi="monospace" w:cs="monospace"/>
      <w:sz w:val="21"/>
      <w:szCs w:val="21"/>
    </w:rPr>
  </w:style>
  <w:style w:type="character" w:customStyle="1" w:styleId="codemirror-nonmatchingbracket">
    <w:name w:val="codemirror-nonmatchingbracket"/>
    <w:basedOn w:val="a0"/>
    <w:qFormat/>
    <w:rPr>
      <w:color w:val="FF2222"/>
    </w:rPr>
  </w:style>
  <w:style w:type="character" w:customStyle="1" w:styleId="ep">
    <w:name w:val="ep"/>
    <w:basedOn w:val="a0"/>
    <w:qFormat/>
    <w:rPr>
      <w:color w:val="36A75D"/>
    </w:rPr>
  </w:style>
  <w:style w:type="character" w:customStyle="1" w:styleId="codemirror-matchingbracket">
    <w:name w:val="codemirror-matchingbracket"/>
    <w:basedOn w:val="a0"/>
    <w:qFormat/>
    <w:rPr>
      <w:color w:val="00FF00"/>
    </w:rPr>
  </w:style>
  <w:style w:type="character" w:customStyle="1" w:styleId="codemirror-selectedtext">
    <w:name w:val="codemirror-selectedtext"/>
    <w:basedOn w:val="a0"/>
    <w:qFormat/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99</Words>
  <Characters>567</Characters>
  <Application>Microsoft Office Word</Application>
  <DocSecurity>0</DocSecurity>
  <Lines>4</Lines>
  <Paragraphs>1</Paragraphs>
  <ScaleCrop>false</ScaleCrop>
  <Company>China</Company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Raiyn</cp:lastModifiedBy>
  <cp:revision>16</cp:revision>
  <dcterms:created xsi:type="dcterms:W3CDTF">2014-10-29T12:08:00Z</dcterms:created>
  <dcterms:modified xsi:type="dcterms:W3CDTF">2022-11-10T07:44:00Z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