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5"/>
          <w:rFonts w:hint="default"/>
        </w:rPr>
      </w:pPr>
    </w:p>
    <w:p>
      <w:pPr>
        <w:pStyle w:val="2"/>
      </w:pPr>
    </w:p>
    <w:p>
      <w:pPr>
        <w:adjustRightInd w:val="0"/>
        <w:snapToGrid w:val="0"/>
        <w:jc w:val="center"/>
        <w:outlineLvl w:val="0"/>
        <w:rPr>
          <w:rFonts w:eastAsia="方正小标宋_GBK"/>
          <w:bCs/>
          <w:kern w:val="21"/>
          <w:sz w:val="72"/>
          <w:szCs w:val="72"/>
        </w:rPr>
      </w:pPr>
      <w:r>
        <w:rPr>
          <w:rFonts w:eastAsia="方正小标宋_GBK"/>
          <w:bCs/>
          <w:kern w:val="21"/>
          <w:sz w:val="72"/>
          <w:szCs w:val="72"/>
        </w:rPr>
        <w:t>建设项目环境影响报告表</w:t>
      </w:r>
    </w:p>
    <w:p>
      <w:pPr>
        <w:adjustRightInd w:val="0"/>
        <w:snapToGrid w:val="0"/>
        <w:spacing w:before="249" w:beforeLines="80"/>
        <w:jc w:val="center"/>
        <w:rPr>
          <w:rFonts w:eastAsia="楷体_GB2312"/>
          <w:bCs/>
          <w:sz w:val="48"/>
          <w:szCs w:val="48"/>
        </w:rPr>
      </w:pPr>
      <w:r>
        <w:rPr>
          <w:rFonts w:eastAsia="楷体_GB2312"/>
          <w:bCs/>
          <w:sz w:val="48"/>
          <w:szCs w:val="48"/>
        </w:rPr>
        <w:t>（</w:t>
      </w:r>
      <w:r>
        <w:rPr>
          <w:rFonts w:hint="eastAsia" w:eastAsia="楷体_GB2312"/>
          <w:bCs/>
          <w:sz w:val="48"/>
          <w:szCs w:val="48"/>
          <w:lang w:eastAsia="zh-CN"/>
        </w:rPr>
        <w:t>污染影响类</w:t>
      </w:r>
      <w:r>
        <w:rPr>
          <w:rFonts w:eastAsia="楷体_GB2312"/>
          <w:bCs/>
          <w:sz w:val="48"/>
          <w:szCs w:val="48"/>
        </w:rPr>
        <w:t>）</w:t>
      </w:r>
    </w:p>
    <w:p>
      <w:pPr>
        <w:jc w:val="center"/>
        <w:rPr>
          <w:b/>
          <w:bCs/>
          <w:sz w:val="32"/>
        </w:rPr>
      </w:pPr>
    </w:p>
    <w:p>
      <w:pPr>
        <w:jc w:val="center"/>
        <w:rPr>
          <w:b/>
          <w:bCs/>
          <w:sz w:val="32"/>
        </w:rPr>
      </w:pPr>
    </w:p>
    <w:p>
      <w:pPr>
        <w:jc w:val="center"/>
        <w:rPr>
          <w:b/>
          <w:bCs/>
          <w:sz w:val="32"/>
        </w:rPr>
      </w:pPr>
    </w:p>
    <w:p>
      <w:pPr>
        <w:jc w:val="center"/>
        <w:rPr>
          <w:b/>
          <w:bCs/>
          <w:sz w:val="32"/>
        </w:rPr>
      </w:pPr>
    </w:p>
    <w:p>
      <w:pPr>
        <w:ind w:left="1807" w:hanging="1807" w:hangingChars="500"/>
        <w:jc w:val="left"/>
        <w:rPr>
          <w:rFonts w:eastAsia="仿宋"/>
          <w:b/>
          <w:sz w:val="36"/>
          <w:szCs w:val="36"/>
          <w:u w:val="single"/>
        </w:rPr>
      </w:pPr>
      <w:r>
        <w:rPr>
          <w:rFonts w:eastAsia="仿宋"/>
          <w:b/>
          <w:bCs/>
          <w:sz w:val="36"/>
          <w:szCs w:val="36"/>
        </w:rPr>
        <w:t>项目名称：</w:t>
      </w:r>
      <w:r>
        <w:rPr>
          <w:rFonts w:hint="eastAsia" w:eastAsia="仿宋"/>
          <w:b/>
          <w:bCs/>
          <w:sz w:val="36"/>
          <w:szCs w:val="36"/>
          <w:u w:val="single"/>
        </w:rPr>
        <w:t xml:space="preserve">   新野县军诚木材加工厂板材贴面项目</w:t>
      </w:r>
      <w:r>
        <w:rPr>
          <w:rFonts w:eastAsia="仿宋"/>
          <w:b/>
          <w:bCs/>
          <w:sz w:val="36"/>
          <w:szCs w:val="36"/>
          <w:u w:val="single"/>
        </w:rPr>
        <w:t xml:space="preserve">     </w:t>
      </w:r>
      <w:r>
        <w:rPr>
          <w:rFonts w:eastAsia="仿宋"/>
          <w:b/>
          <w:bCs/>
          <w:sz w:val="36"/>
          <w:szCs w:val="36"/>
        </w:rPr>
        <w:t xml:space="preserve">  </w:t>
      </w:r>
    </w:p>
    <w:p>
      <w:pPr>
        <w:ind w:left="3050" w:hanging="3050" w:hangingChars="844"/>
        <w:rPr>
          <w:rFonts w:eastAsia="仿宋"/>
          <w:b/>
          <w:bCs/>
          <w:sz w:val="36"/>
          <w:szCs w:val="36"/>
          <w:u w:val="single"/>
        </w:rPr>
      </w:pPr>
      <w:r>
        <w:rPr>
          <w:rFonts w:eastAsia="仿宋"/>
          <w:b/>
          <w:bCs/>
          <w:sz w:val="36"/>
          <w:szCs w:val="36"/>
        </w:rPr>
        <w:t>建设单位（盖章）：</w:t>
      </w:r>
      <w:r>
        <w:rPr>
          <w:rFonts w:eastAsia="仿宋"/>
          <w:bCs/>
          <w:sz w:val="36"/>
          <w:szCs w:val="36"/>
          <w:u w:val="single"/>
        </w:rPr>
        <w:t xml:space="preserve">    </w:t>
      </w:r>
      <w:r>
        <w:rPr>
          <w:rFonts w:hint="eastAsia" w:eastAsia="仿宋"/>
          <w:b/>
          <w:bCs/>
          <w:sz w:val="36"/>
          <w:szCs w:val="36"/>
          <w:u w:val="single"/>
        </w:rPr>
        <w:t>新野县军诚木材加工厂</w:t>
      </w:r>
      <w:r>
        <w:rPr>
          <w:rFonts w:eastAsia="仿宋"/>
          <w:bCs/>
          <w:sz w:val="36"/>
          <w:szCs w:val="36"/>
          <w:u w:val="single"/>
        </w:rPr>
        <w:t xml:space="preserve">     </w:t>
      </w:r>
      <w:r>
        <w:rPr>
          <w:rFonts w:hint="eastAsia" w:eastAsia="仿宋"/>
          <w:bCs/>
          <w:sz w:val="36"/>
          <w:szCs w:val="36"/>
          <w:u w:val="single"/>
        </w:rPr>
        <w:t xml:space="preserve"> </w:t>
      </w:r>
      <w:r>
        <w:rPr>
          <w:rFonts w:eastAsia="仿宋"/>
          <w:b/>
          <w:bCs/>
          <w:sz w:val="36"/>
          <w:szCs w:val="36"/>
          <w:u w:val="single"/>
        </w:rPr>
        <w:t xml:space="preserve"> </w:t>
      </w:r>
      <w:r>
        <w:rPr>
          <w:rFonts w:hint="eastAsia" w:eastAsia="仿宋"/>
          <w:b/>
          <w:bCs/>
          <w:sz w:val="36"/>
          <w:szCs w:val="36"/>
          <w:u w:val="single"/>
        </w:rPr>
        <w:t xml:space="preserve">  </w:t>
      </w:r>
      <w:r>
        <w:rPr>
          <w:rFonts w:eastAsia="仿宋"/>
          <w:b/>
          <w:bCs/>
          <w:sz w:val="36"/>
          <w:szCs w:val="36"/>
          <w:u w:val="single"/>
        </w:rPr>
        <w:t xml:space="preserve">      </w:t>
      </w:r>
    </w:p>
    <w:p>
      <w:pPr>
        <w:ind w:left="3050" w:hanging="3050" w:hangingChars="844"/>
        <w:rPr>
          <w:rFonts w:eastAsia="仿宋"/>
          <w:bCs/>
          <w:sz w:val="36"/>
          <w:szCs w:val="36"/>
          <w:u w:val="single"/>
        </w:rPr>
      </w:pPr>
      <w:r>
        <w:rPr>
          <w:rFonts w:eastAsia="仿宋"/>
          <w:b/>
          <w:bCs/>
          <w:sz w:val="36"/>
          <w:szCs w:val="36"/>
        </w:rPr>
        <w:t>编制日期：</w:t>
      </w:r>
      <w:r>
        <w:rPr>
          <w:rFonts w:eastAsia="仿宋"/>
          <w:bCs/>
          <w:sz w:val="36"/>
          <w:szCs w:val="36"/>
          <w:u w:val="single"/>
        </w:rPr>
        <w:t xml:space="preserve">            </w:t>
      </w:r>
      <w:r>
        <w:rPr>
          <w:rFonts w:eastAsia="仿宋"/>
          <w:b/>
          <w:bCs/>
          <w:sz w:val="36"/>
          <w:szCs w:val="36"/>
          <w:u w:val="single"/>
        </w:rPr>
        <w:t>二〇二一年</w:t>
      </w:r>
      <w:r>
        <w:rPr>
          <w:rFonts w:hint="eastAsia" w:eastAsia="仿宋"/>
          <w:b/>
          <w:bCs/>
          <w:sz w:val="36"/>
          <w:szCs w:val="36"/>
          <w:u w:val="single"/>
          <w:lang w:eastAsia="zh-CN"/>
        </w:rPr>
        <w:t>六</w:t>
      </w:r>
      <w:bookmarkStart w:id="4" w:name="_GoBack"/>
      <w:bookmarkEnd w:id="4"/>
      <w:r>
        <w:rPr>
          <w:rFonts w:eastAsia="仿宋"/>
          <w:b/>
          <w:bCs/>
          <w:sz w:val="36"/>
          <w:szCs w:val="36"/>
          <w:u w:val="single"/>
        </w:rPr>
        <w:t>月</w:t>
      </w:r>
      <w:r>
        <w:rPr>
          <w:rFonts w:eastAsia="仿宋"/>
          <w:bCs/>
          <w:sz w:val="36"/>
          <w:szCs w:val="36"/>
          <w:u w:val="single"/>
        </w:rPr>
        <w:t xml:space="preserve">             </w:t>
      </w:r>
    </w:p>
    <w:p>
      <w:pPr>
        <w:jc w:val="center"/>
        <w:rPr>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ind w:firstLine="720" w:firstLineChars="200"/>
        <w:jc w:val="center"/>
        <w:rPr>
          <w:rFonts w:eastAsia="楷体_GB2312"/>
          <w:sz w:val="36"/>
          <w:szCs w:val="36"/>
        </w:rPr>
      </w:pPr>
    </w:p>
    <w:p>
      <w:pPr>
        <w:ind w:firstLine="720" w:firstLineChars="200"/>
        <w:jc w:val="center"/>
        <w:rPr>
          <w:rFonts w:eastAsiaTheme="minorEastAsia"/>
          <w:b/>
          <w:bCs/>
          <w:sz w:val="32"/>
          <w:szCs w:val="32"/>
        </w:rPr>
        <w:sectPr>
          <w:footerReference r:id="rId3" w:type="default"/>
          <w:pgSz w:w="11906" w:h="16838"/>
          <w:pgMar w:top="1701" w:right="1588" w:bottom="1701" w:left="1588" w:header="851" w:footer="1134" w:gutter="0"/>
          <w:pgNumType w:fmt="numberInDash" w:start="1"/>
          <w:cols w:space="720" w:num="1"/>
          <w:docGrid w:type="lines" w:linePitch="312" w:charSpace="0"/>
        </w:sectPr>
      </w:pPr>
      <w:r>
        <w:rPr>
          <w:rFonts w:eastAsia="楷体_GB2312"/>
          <w:sz w:val="36"/>
          <w:szCs w:val="36"/>
        </w:rPr>
        <w:t>中华人民共和国生态环境部制</w:t>
      </w:r>
    </w:p>
    <w:p>
      <w:pPr>
        <w:numPr>
          <w:ilvl w:val="0"/>
          <w:numId w:val="1"/>
        </w:numPr>
        <w:jc w:val="center"/>
        <w:outlineLvl w:val="0"/>
        <w:rPr>
          <w:rFonts w:eastAsia="黑体"/>
          <w:snapToGrid w:val="0"/>
          <w:kern w:val="21"/>
          <w:sz w:val="30"/>
          <w:szCs w:val="30"/>
        </w:rPr>
      </w:pPr>
      <w:r>
        <w:rPr>
          <w:rFonts w:eastAsia="黑体"/>
          <w:snapToGrid w:val="0"/>
          <w:kern w:val="21"/>
          <w:sz w:val="30"/>
          <w:szCs w:val="30"/>
        </w:rPr>
        <w:t>建设项目基本情况</w:t>
      </w:r>
    </w:p>
    <w:tbl>
      <w:tblPr>
        <w:tblStyle w:val="30"/>
        <w:tblW w:w="53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99"/>
        <w:gridCol w:w="2526"/>
        <w:gridCol w:w="2231"/>
        <w:gridCol w:w="3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建设项目名称</w:t>
            </w:r>
          </w:p>
        </w:tc>
        <w:tc>
          <w:tcPr>
            <w:tcW w:w="4208" w:type="pct"/>
            <w:gridSpan w:val="3"/>
            <w:tcBorders>
              <w:tl2br w:val="nil"/>
              <w:tr2bl w:val="nil"/>
            </w:tcBorders>
            <w:vAlign w:val="center"/>
          </w:tcPr>
          <w:p>
            <w:pPr>
              <w:adjustRightInd w:val="0"/>
              <w:snapToGrid w:val="0"/>
              <w:jc w:val="center"/>
              <w:rPr>
                <w:rFonts w:eastAsiaTheme="minorEastAsia"/>
                <w:kern w:val="21"/>
                <w:sz w:val="24"/>
                <w:szCs w:val="24"/>
              </w:rPr>
            </w:pPr>
            <w:r>
              <w:rPr>
                <w:rFonts w:hint="eastAsia"/>
                <w:kern w:val="21"/>
                <w:sz w:val="24"/>
                <w:szCs w:val="24"/>
              </w:rPr>
              <w:t>新野县军诚木材加工厂板材贴面项目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项目代码</w:t>
            </w:r>
          </w:p>
        </w:tc>
        <w:tc>
          <w:tcPr>
            <w:tcW w:w="4208" w:type="pct"/>
            <w:gridSpan w:val="3"/>
            <w:tcBorders>
              <w:tl2br w:val="nil"/>
              <w:tr2bl w:val="nil"/>
            </w:tcBorders>
            <w:vAlign w:val="center"/>
          </w:tcPr>
          <w:p>
            <w:pPr>
              <w:adjustRightInd w:val="0"/>
              <w:snapToGrid w:val="0"/>
              <w:jc w:val="center"/>
              <w:rPr>
                <w:kern w:val="21"/>
                <w:sz w:val="24"/>
                <w:szCs w:val="24"/>
              </w:rPr>
            </w:pPr>
            <w:r>
              <w:rPr>
                <w:kern w:val="21"/>
                <w:sz w:val="24"/>
                <w:szCs w:val="24"/>
              </w:rPr>
              <w:t>2104-411329-04-01-937769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建设单位</w:t>
            </w:r>
          </w:p>
          <w:p>
            <w:pPr>
              <w:adjustRightInd w:val="0"/>
              <w:snapToGrid w:val="0"/>
              <w:jc w:val="center"/>
              <w:rPr>
                <w:sz w:val="24"/>
                <w:szCs w:val="24"/>
              </w:rPr>
            </w:pPr>
            <w:r>
              <w:rPr>
                <w:sz w:val="24"/>
                <w:szCs w:val="24"/>
              </w:rPr>
              <w:t>联系人</w:t>
            </w:r>
          </w:p>
        </w:tc>
        <w:tc>
          <w:tcPr>
            <w:tcW w:w="1335" w:type="pct"/>
            <w:tcBorders>
              <w:tl2br w:val="nil"/>
              <w:tr2bl w:val="nil"/>
            </w:tcBorders>
            <w:vAlign w:val="center"/>
          </w:tcPr>
          <w:p>
            <w:pPr>
              <w:adjustRightInd w:val="0"/>
              <w:snapToGrid w:val="0"/>
              <w:spacing w:line="400" w:lineRule="exact"/>
              <w:jc w:val="center"/>
              <w:rPr>
                <w:rFonts w:eastAsia="Calibri"/>
                <w:kern w:val="21"/>
                <w:sz w:val="24"/>
                <w:szCs w:val="24"/>
              </w:rPr>
            </w:pPr>
            <w:r>
              <w:rPr>
                <w:rFonts w:hint="eastAsia"/>
                <w:kern w:val="0"/>
                <w:sz w:val="24"/>
                <w:szCs w:val="24"/>
              </w:rPr>
              <w:t>刘会成</w:t>
            </w:r>
          </w:p>
        </w:tc>
        <w:tc>
          <w:tcPr>
            <w:tcW w:w="1179" w:type="pct"/>
            <w:tcBorders>
              <w:tl2br w:val="nil"/>
              <w:tr2bl w:val="nil"/>
            </w:tcBorders>
            <w:vAlign w:val="center"/>
          </w:tcPr>
          <w:p>
            <w:pPr>
              <w:adjustRightInd w:val="0"/>
              <w:snapToGrid w:val="0"/>
              <w:spacing w:line="400" w:lineRule="exact"/>
              <w:jc w:val="center"/>
              <w:rPr>
                <w:kern w:val="21"/>
                <w:sz w:val="24"/>
                <w:szCs w:val="24"/>
              </w:rPr>
            </w:pPr>
            <w:r>
              <w:rPr>
                <w:kern w:val="21"/>
                <w:sz w:val="24"/>
                <w:szCs w:val="24"/>
              </w:rPr>
              <w:t>联系方式</w:t>
            </w:r>
          </w:p>
        </w:tc>
        <w:tc>
          <w:tcPr>
            <w:tcW w:w="1694" w:type="pct"/>
            <w:tcBorders>
              <w:tl2br w:val="nil"/>
              <w:tr2bl w:val="nil"/>
            </w:tcBorders>
            <w:vAlign w:val="center"/>
          </w:tcPr>
          <w:p>
            <w:pPr>
              <w:adjustRightInd w:val="0"/>
              <w:snapToGrid w:val="0"/>
              <w:spacing w:line="400" w:lineRule="exact"/>
              <w:jc w:val="center"/>
              <w:rPr>
                <w:kern w:val="21"/>
                <w:sz w:val="24"/>
                <w:szCs w:val="24"/>
              </w:rPr>
            </w:pPr>
            <w:r>
              <w:rPr>
                <w:rFonts w:hint="eastAsia"/>
                <w:kern w:val="21"/>
                <w:sz w:val="24"/>
                <w:szCs w:val="24"/>
              </w:rPr>
              <w:t>16692006555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建设地点</w:t>
            </w:r>
          </w:p>
        </w:tc>
        <w:tc>
          <w:tcPr>
            <w:tcW w:w="4208" w:type="pct"/>
            <w:gridSpan w:val="3"/>
            <w:tcBorders>
              <w:tl2br w:val="nil"/>
              <w:tr2bl w:val="nil"/>
            </w:tcBorders>
            <w:vAlign w:val="center"/>
          </w:tcPr>
          <w:p>
            <w:pPr>
              <w:adjustRightInd w:val="0"/>
              <w:snapToGrid w:val="0"/>
              <w:jc w:val="center"/>
              <w:rPr>
                <w:kern w:val="21"/>
                <w:sz w:val="24"/>
                <w:szCs w:val="24"/>
              </w:rPr>
            </w:pPr>
            <w:r>
              <w:rPr>
                <w:rFonts w:hint="eastAsia"/>
                <w:kern w:val="21"/>
                <w:sz w:val="24"/>
                <w:szCs w:val="24"/>
              </w:rPr>
              <w:t>南阳</w:t>
            </w:r>
            <w:r>
              <w:rPr>
                <w:rFonts w:hint="eastAsia"/>
                <w:sz w:val="24"/>
                <w:szCs w:val="24"/>
              </w:rPr>
              <w:t>市新野县上港乡香桥村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地理坐标</w:t>
            </w:r>
          </w:p>
        </w:tc>
        <w:tc>
          <w:tcPr>
            <w:tcW w:w="4208" w:type="pct"/>
            <w:gridSpan w:val="3"/>
            <w:tcBorders>
              <w:tl2br w:val="nil"/>
              <w:tr2bl w:val="nil"/>
            </w:tcBorders>
            <w:vAlign w:val="center"/>
          </w:tcPr>
          <w:p>
            <w:pPr>
              <w:adjustRightInd w:val="0"/>
              <w:snapToGrid w:val="0"/>
              <w:spacing w:line="400" w:lineRule="exact"/>
              <w:jc w:val="center"/>
              <w:rPr>
                <w:rFonts w:eastAsiaTheme="minorEastAsia"/>
                <w:sz w:val="24"/>
                <w:szCs w:val="24"/>
              </w:rPr>
            </w:pPr>
            <w:r>
              <w:rPr>
                <w:rFonts w:hint="eastAsia" w:eastAsiaTheme="minorEastAsia"/>
                <w:sz w:val="24"/>
                <w:szCs w:val="24"/>
              </w:rPr>
              <w:t>（</w:t>
            </w:r>
            <w:r>
              <w:rPr>
                <w:rFonts w:hint="eastAsia" w:eastAsiaTheme="minorEastAsia"/>
                <w:sz w:val="24"/>
                <w:szCs w:val="24"/>
                <w:u w:val="single"/>
              </w:rPr>
              <w:t>112</w:t>
            </w:r>
            <w:r>
              <w:rPr>
                <w:rFonts w:hint="eastAsia" w:eastAsiaTheme="minorEastAsia"/>
                <w:sz w:val="24"/>
                <w:szCs w:val="24"/>
              </w:rPr>
              <w:t>度</w:t>
            </w:r>
            <w:r>
              <w:rPr>
                <w:rFonts w:hint="eastAsia" w:eastAsiaTheme="minorEastAsia"/>
                <w:sz w:val="24"/>
                <w:szCs w:val="24"/>
                <w:u w:val="single"/>
              </w:rPr>
              <w:t>19</w:t>
            </w:r>
            <w:r>
              <w:rPr>
                <w:rFonts w:hint="eastAsia" w:eastAsiaTheme="minorEastAsia"/>
                <w:sz w:val="24"/>
                <w:szCs w:val="24"/>
              </w:rPr>
              <w:t>分</w:t>
            </w:r>
            <w:r>
              <w:rPr>
                <w:rFonts w:hint="eastAsia" w:eastAsiaTheme="minorEastAsia"/>
                <w:sz w:val="24"/>
                <w:szCs w:val="24"/>
                <w:u w:val="single"/>
              </w:rPr>
              <w:t>51.67</w:t>
            </w:r>
            <w:r>
              <w:rPr>
                <w:rFonts w:hint="eastAsia" w:eastAsiaTheme="minorEastAsia"/>
                <w:sz w:val="24"/>
                <w:szCs w:val="24"/>
              </w:rPr>
              <w:t>秒，</w:t>
            </w:r>
            <w:r>
              <w:rPr>
                <w:rFonts w:hint="eastAsia" w:eastAsiaTheme="minorEastAsia"/>
                <w:sz w:val="24"/>
                <w:szCs w:val="24"/>
                <w:u w:val="single"/>
              </w:rPr>
              <w:t>32</w:t>
            </w:r>
            <w:r>
              <w:rPr>
                <w:rFonts w:hint="eastAsia" w:eastAsiaTheme="minorEastAsia"/>
                <w:sz w:val="24"/>
                <w:szCs w:val="24"/>
              </w:rPr>
              <w:t>度</w:t>
            </w:r>
            <w:r>
              <w:rPr>
                <w:rFonts w:hint="eastAsia" w:eastAsiaTheme="minorEastAsia"/>
                <w:sz w:val="24"/>
                <w:szCs w:val="24"/>
                <w:u w:val="single"/>
              </w:rPr>
              <w:t>30</w:t>
            </w:r>
            <w:r>
              <w:rPr>
                <w:rFonts w:hint="eastAsia" w:eastAsiaTheme="minorEastAsia"/>
                <w:sz w:val="24"/>
                <w:szCs w:val="24"/>
              </w:rPr>
              <w:t>分</w:t>
            </w:r>
            <w:r>
              <w:rPr>
                <w:rFonts w:hint="eastAsia" w:eastAsiaTheme="minorEastAsia"/>
                <w:sz w:val="24"/>
                <w:szCs w:val="24"/>
                <w:u w:val="single"/>
              </w:rPr>
              <w:t>36.97</w:t>
            </w:r>
            <w:r>
              <w:rPr>
                <w:rFonts w:hint="eastAsia" w:eastAsiaTheme="minorEastAsia"/>
                <w:sz w:val="24"/>
                <w:szCs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国民经济</w:t>
            </w:r>
          </w:p>
          <w:p>
            <w:pPr>
              <w:adjustRightInd w:val="0"/>
              <w:snapToGrid w:val="0"/>
              <w:jc w:val="center"/>
              <w:rPr>
                <w:sz w:val="24"/>
                <w:szCs w:val="24"/>
              </w:rPr>
            </w:pPr>
            <w:r>
              <w:rPr>
                <w:sz w:val="24"/>
                <w:szCs w:val="24"/>
              </w:rPr>
              <w:t>行业类别</w:t>
            </w:r>
          </w:p>
        </w:tc>
        <w:tc>
          <w:tcPr>
            <w:tcW w:w="1335" w:type="pct"/>
            <w:tcBorders>
              <w:tl2br w:val="nil"/>
              <w:tr2bl w:val="nil"/>
            </w:tcBorders>
            <w:vAlign w:val="center"/>
          </w:tcPr>
          <w:p>
            <w:pPr>
              <w:adjustRightInd w:val="0"/>
              <w:snapToGrid w:val="0"/>
              <w:rPr>
                <w:kern w:val="21"/>
                <w:sz w:val="24"/>
                <w:szCs w:val="24"/>
              </w:rPr>
            </w:pPr>
            <w:r>
              <w:rPr>
                <w:rFonts w:hint="eastAsia"/>
                <w:sz w:val="24"/>
                <w:szCs w:val="24"/>
              </w:rPr>
              <w:t>C2029其他人造板制造</w:t>
            </w:r>
          </w:p>
        </w:tc>
        <w:tc>
          <w:tcPr>
            <w:tcW w:w="1179" w:type="pct"/>
            <w:tcBorders>
              <w:tl2br w:val="nil"/>
              <w:tr2bl w:val="nil"/>
            </w:tcBorders>
            <w:vAlign w:val="center"/>
          </w:tcPr>
          <w:p>
            <w:pPr>
              <w:adjustRightInd w:val="0"/>
              <w:snapToGrid w:val="0"/>
              <w:jc w:val="center"/>
              <w:rPr>
                <w:sz w:val="24"/>
                <w:szCs w:val="24"/>
              </w:rPr>
            </w:pPr>
            <w:bookmarkStart w:id="0" w:name="_Hlk49843745"/>
            <w:r>
              <w:rPr>
                <w:sz w:val="24"/>
                <w:szCs w:val="24"/>
              </w:rPr>
              <w:t>建设项目行业类别</w:t>
            </w:r>
            <w:bookmarkEnd w:id="0"/>
          </w:p>
        </w:tc>
        <w:tc>
          <w:tcPr>
            <w:tcW w:w="1694" w:type="pct"/>
            <w:tcBorders>
              <w:tl2br w:val="nil"/>
              <w:tr2bl w:val="nil"/>
            </w:tcBorders>
            <w:vAlign w:val="center"/>
          </w:tcPr>
          <w:p>
            <w:pPr>
              <w:adjustRightInd w:val="0"/>
              <w:snapToGrid w:val="0"/>
              <w:rPr>
                <w:sz w:val="24"/>
                <w:szCs w:val="24"/>
              </w:rPr>
            </w:pPr>
            <w:r>
              <w:rPr>
                <w:rFonts w:hint="eastAsia"/>
                <w:sz w:val="24"/>
                <w:szCs w:val="24"/>
              </w:rPr>
              <w:t>十七、木材加工和木、竹、藤、棕、草制品业中34、人造板制造202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建设性质</w:t>
            </w:r>
          </w:p>
        </w:tc>
        <w:tc>
          <w:tcPr>
            <w:tcW w:w="1335" w:type="pct"/>
            <w:tcBorders>
              <w:tl2br w:val="nil"/>
              <w:tr2bl w:val="nil"/>
            </w:tcBorders>
            <w:vAlign w:val="center"/>
          </w:tcPr>
          <w:p>
            <w:pPr>
              <w:adjustRightInd w:val="0"/>
              <w:snapToGrid w:val="0"/>
              <w:jc w:val="left"/>
              <w:rPr>
                <w:kern w:val="21"/>
                <w:sz w:val="24"/>
                <w:szCs w:val="24"/>
              </w:rPr>
            </w:pPr>
            <w:r>
              <w:rPr>
                <w:kern w:val="21"/>
                <w:sz w:val="24"/>
                <w:szCs w:val="24"/>
              </w:rPr>
              <w:sym w:font="Wingdings 2" w:char="0052"/>
            </w:r>
            <w:r>
              <w:rPr>
                <w:kern w:val="21"/>
                <w:sz w:val="24"/>
                <w:szCs w:val="24"/>
              </w:rPr>
              <w:t>新建（迁建）</w:t>
            </w:r>
          </w:p>
          <w:p>
            <w:pPr>
              <w:adjustRightInd w:val="0"/>
              <w:snapToGrid w:val="0"/>
              <w:jc w:val="left"/>
              <w:rPr>
                <w:kern w:val="21"/>
                <w:sz w:val="24"/>
                <w:szCs w:val="24"/>
              </w:rPr>
            </w:pPr>
            <w:r>
              <w:rPr>
                <w:kern w:val="21"/>
                <w:sz w:val="24"/>
                <w:szCs w:val="24"/>
              </w:rPr>
              <w:sym w:font="Wingdings 2" w:char="00A3"/>
            </w:r>
            <w:r>
              <w:rPr>
                <w:kern w:val="21"/>
                <w:sz w:val="24"/>
                <w:szCs w:val="24"/>
              </w:rPr>
              <w:t>改建</w:t>
            </w:r>
          </w:p>
          <w:p>
            <w:pPr>
              <w:adjustRightInd w:val="0"/>
              <w:snapToGrid w:val="0"/>
              <w:jc w:val="left"/>
              <w:rPr>
                <w:kern w:val="21"/>
                <w:sz w:val="24"/>
                <w:szCs w:val="24"/>
              </w:rPr>
            </w:pPr>
            <w:r>
              <w:rPr>
                <w:kern w:val="21"/>
                <w:sz w:val="24"/>
                <w:szCs w:val="24"/>
              </w:rPr>
              <w:sym w:font="Wingdings 2" w:char="00A3"/>
            </w:r>
            <w:r>
              <w:rPr>
                <w:kern w:val="21"/>
                <w:sz w:val="24"/>
                <w:szCs w:val="24"/>
              </w:rPr>
              <w:t>扩建</w:t>
            </w:r>
          </w:p>
          <w:p>
            <w:pPr>
              <w:adjustRightInd w:val="0"/>
              <w:snapToGrid w:val="0"/>
              <w:jc w:val="left"/>
              <w:rPr>
                <w:kern w:val="21"/>
                <w:sz w:val="24"/>
                <w:szCs w:val="24"/>
              </w:rPr>
            </w:pPr>
            <w:r>
              <w:rPr>
                <w:kern w:val="21"/>
                <w:sz w:val="24"/>
                <w:szCs w:val="24"/>
              </w:rPr>
              <w:sym w:font="Wingdings 2" w:char="00A3"/>
            </w:r>
            <w:r>
              <w:rPr>
                <w:kern w:val="21"/>
                <w:sz w:val="24"/>
                <w:szCs w:val="24"/>
              </w:rPr>
              <w:t>技术改造</w:t>
            </w:r>
          </w:p>
        </w:tc>
        <w:tc>
          <w:tcPr>
            <w:tcW w:w="1179" w:type="pct"/>
            <w:tcBorders>
              <w:tl2br w:val="nil"/>
              <w:tr2bl w:val="nil"/>
            </w:tcBorders>
            <w:vAlign w:val="center"/>
          </w:tcPr>
          <w:p>
            <w:pPr>
              <w:adjustRightInd w:val="0"/>
              <w:snapToGrid w:val="0"/>
              <w:jc w:val="center"/>
              <w:rPr>
                <w:sz w:val="24"/>
                <w:szCs w:val="24"/>
              </w:rPr>
            </w:pPr>
            <w:r>
              <w:rPr>
                <w:sz w:val="24"/>
                <w:szCs w:val="24"/>
              </w:rPr>
              <w:t>建设项目</w:t>
            </w:r>
          </w:p>
          <w:p>
            <w:pPr>
              <w:adjustRightInd w:val="0"/>
              <w:snapToGrid w:val="0"/>
              <w:jc w:val="center"/>
              <w:rPr>
                <w:sz w:val="24"/>
                <w:szCs w:val="24"/>
              </w:rPr>
            </w:pPr>
            <w:r>
              <w:rPr>
                <w:sz w:val="24"/>
                <w:szCs w:val="24"/>
              </w:rPr>
              <w:t>申报情形</w:t>
            </w:r>
          </w:p>
        </w:tc>
        <w:tc>
          <w:tcPr>
            <w:tcW w:w="1694" w:type="pct"/>
            <w:tcBorders>
              <w:tl2br w:val="nil"/>
              <w:tr2bl w:val="nil"/>
            </w:tcBorders>
            <w:vAlign w:val="center"/>
          </w:tcPr>
          <w:p>
            <w:pPr>
              <w:adjustRightInd w:val="0"/>
              <w:snapToGrid w:val="0"/>
              <w:jc w:val="left"/>
              <w:rPr>
                <w:kern w:val="21"/>
                <w:sz w:val="24"/>
                <w:szCs w:val="24"/>
              </w:rPr>
            </w:pPr>
            <w:r>
              <w:rPr>
                <w:kern w:val="21"/>
                <w:sz w:val="24"/>
                <w:szCs w:val="24"/>
              </w:rPr>
              <w:sym w:font="Wingdings 2" w:char="0052"/>
            </w:r>
            <w:r>
              <w:rPr>
                <w:kern w:val="21"/>
                <w:sz w:val="24"/>
                <w:szCs w:val="24"/>
              </w:rPr>
              <w:t>首次申报项目</w:t>
            </w:r>
          </w:p>
          <w:p>
            <w:pPr>
              <w:adjustRightInd w:val="0"/>
              <w:snapToGrid w:val="0"/>
              <w:jc w:val="left"/>
              <w:rPr>
                <w:kern w:val="21"/>
                <w:sz w:val="24"/>
                <w:szCs w:val="24"/>
              </w:rPr>
            </w:pPr>
            <w:r>
              <w:rPr>
                <w:kern w:val="21"/>
                <w:sz w:val="24"/>
                <w:szCs w:val="24"/>
              </w:rPr>
              <w:sym w:font="Wingdings 2" w:char="00A3"/>
            </w:r>
            <w:r>
              <w:rPr>
                <w:kern w:val="21"/>
                <w:sz w:val="24"/>
                <w:szCs w:val="24"/>
              </w:rPr>
              <w:t>不予批准后再次申报项目</w:t>
            </w:r>
          </w:p>
          <w:p>
            <w:pPr>
              <w:adjustRightInd w:val="0"/>
              <w:snapToGrid w:val="0"/>
              <w:jc w:val="left"/>
              <w:rPr>
                <w:kern w:val="21"/>
                <w:sz w:val="24"/>
                <w:szCs w:val="24"/>
              </w:rPr>
            </w:pPr>
            <w:r>
              <w:rPr>
                <w:kern w:val="21"/>
                <w:sz w:val="24"/>
                <w:szCs w:val="24"/>
              </w:rPr>
              <w:sym w:font="Wingdings 2" w:char="00A3"/>
            </w:r>
            <w:r>
              <w:rPr>
                <w:kern w:val="21"/>
                <w:sz w:val="24"/>
                <w:szCs w:val="24"/>
              </w:rPr>
              <w:t>超五年重新审核项目</w:t>
            </w:r>
          </w:p>
          <w:p>
            <w:pPr>
              <w:adjustRightInd w:val="0"/>
              <w:snapToGrid w:val="0"/>
              <w:jc w:val="left"/>
              <w:rPr>
                <w:kern w:val="21"/>
                <w:sz w:val="24"/>
                <w:szCs w:val="24"/>
              </w:rPr>
            </w:pPr>
            <w:r>
              <w:rPr>
                <w:kern w:val="21"/>
                <w:sz w:val="24"/>
                <w:szCs w:val="24"/>
              </w:rPr>
              <w:sym w:font="Wingdings 2" w:char="00A3"/>
            </w:r>
            <w:r>
              <w:rPr>
                <w:kern w:val="21"/>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项目审批（核准/备案）部门（选填）</w:t>
            </w:r>
          </w:p>
        </w:tc>
        <w:tc>
          <w:tcPr>
            <w:tcW w:w="1335" w:type="pct"/>
            <w:tcBorders>
              <w:tl2br w:val="nil"/>
              <w:tr2bl w:val="nil"/>
            </w:tcBorders>
            <w:vAlign w:val="center"/>
          </w:tcPr>
          <w:p>
            <w:pPr>
              <w:adjustRightInd w:val="0"/>
              <w:snapToGrid w:val="0"/>
              <w:rPr>
                <w:kern w:val="21"/>
                <w:sz w:val="24"/>
                <w:szCs w:val="24"/>
              </w:rPr>
            </w:pPr>
            <w:r>
              <w:rPr>
                <w:rFonts w:hint="eastAsia"/>
                <w:sz w:val="24"/>
                <w:szCs w:val="24"/>
              </w:rPr>
              <w:t>新野县发展和改革委员会</w:t>
            </w:r>
          </w:p>
        </w:tc>
        <w:tc>
          <w:tcPr>
            <w:tcW w:w="1179" w:type="pct"/>
            <w:tcBorders>
              <w:tl2br w:val="nil"/>
              <w:tr2bl w:val="nil"/>
            </w:tcBorders>
            <w:vAlign w:val="center"/>
          </w:tcPr>
          <w:p>
            <w:pPr>
              <w:adjustRightInd w:val="0"/>
              <w:snapToGrid w:val="0"/>
              <w:jc w:val="center"/>
              <w:rPr>
                <w:sz w:val="24"/>
                <w:szCs w:val="24"/>
              </w:rPr>
            </w:pPr>
            <w:r>
              <w:rPr>
                <w:sz w:val="24"/>
                <w:szCs w:val="24"/>
              </w:rPr>
              <w:t>项目审批（核准/</w:t>
            </w:r>
          </w:p>
          <w:p>
            <w:pPr>
              <w:adjustRightInd w:val="0"/>
              <w:snapToGrid w:val="0"/>
              <w:jc w:val="center"/>
              <w:rPr>
                <w:sz w:val="24"/>
                <w:szCs w:val="24"/>
              </w:rPr>
            </w:pPr>
            <w:r>
              <w:rPr>
                <w:sz w:val="24"/>
                <w:szCs w:val="24"/>
              </w:rPr>
              <w:t>备案）文号（选填）</w:t>
            </w:r>
          </w:p>
        </w:tc>
        <w:tc>
          <w:tcPr>
            <w:tcW w:w="1694" w:type="pct"/>
            <w:tcBorders>
              <w:tl2br w:val="nil"/>
              <w:tr2bl w:val="nil"/>
            </w:tcBorders>
            <w:vAlign w:val="center"/>
          </w:tcPr>
          <w:p>
            <w:pPr>
              <w:adjustRightInd w:val="0"/>
              <w:snapToGrid w:val="0"/>
              <w:jc w:val="center"/>
              <w:rPr>
                <w:kern w:val="21"/>
                <w:sz w:val="24"/>
                <w:szCs w:val="24"/>
              </w:rPr>
            </w:pP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总投资（万元）</w:t>
            </w:r>
          </w:p>
        </w:tc>
        <w:tc>
          <w:tcPr>
            <w:tcW w:w="1335" w:type="pct"/>
            <w:tcBorders>
              <w:tl2br w:val="nil"/>
              <w:tr2bl w:val="nil"/>
            </w:tcBorders>
            <w:vAlign w:val="center"/>
          </w:tcPr>
          <w:p>
            <w:pPr>
              <w:adjustRightInd w:val="0"/>
              <w:snapToGrid w:val="0"/>
              <w:jc w:val="center"/>
              <w:rPr>
                <w:kern w:val="21"/>
                <w:sz w:val="24"/>
                <w:szCs w:val="24"/>
              </w:rPr>
            </w:pPr>
            <w:r>
              <w:rPr>
                <w:rFonts w:hint="eastAsia"/>
                <w:sz w:val="24"/>
                <w:szCs w:val="24"/>
              </w:rPr>
              <w:t>30</w:t>
            </w:r>
          </w:p>
        </w:tc>
        <w:tc>
          <w:tcPr>
            <w:tcW w:w="1179"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环保投资（万元）</w:t>
            </w:r>
          </w:p>
        </w:tc>
        <w:tc>
          <w:tcPr>
            <w:tcW w:w="1694" w:type="pct"/>
            <w:tcBorders>
              <w:tl2br w:val="nil"/>
              <w:tr2bl w:val="nil"/>
            </w:tcBorders>
            <w:vAlign w:val="center"/>
          </w:tcPr>
          <w:p>
            <w:pPr>
              <w:adjustRightInd w:val="0"/>
              <w:snapToGrid w:val="0"/>
              <w:jc w:val="center"/>
              <w:rPr>
                <w:kern w:val="21"/>
                <w:sz w:val="24"/>
                <w:szCs w:val="24"/>
              </w:rPr>
            </w:pPr>
            <w:r>
              <w:rPr>
                <w:rFonts w:hint="eastAsia"/>
                <w:kern w:val="21"/>
                <w:sz w:val="24"/>
                <w:szCs w:val="24"/>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环保投资占比（%）</w:t>
            </w:r>
          </w:p>
        </w:tc>
        <w:tc>
          <w:tcPr>
            <w:tcW w:w="1335" w:type="pct"/>
            <w:tcBorders>
              <w:tl2br w:val="nil"/>
              <w:tr2bl w:val="nil"/>
            </w:tcBorders>
            <w:vAlign w:val="center"/>
          </w:tcPr>
          <w:p>
            <w:pPr>
              <w:adjustRightInd w:val="0"/>
              <w:snapToGrid w:val="0"/>
              <w:jc w:val="center"/>
              <w:rPr>
                <w:sz w:val="24"/>
                <w:szCs w:val="24"/>
              </w:rPr>
            </w:pPr>
            <w:r>
              <w:rPr>
                <w:rFonts w:hint="eastAsia"/>
                <w:sz w:val="24"/>
                <w:szCs w:val="24"/>
              </w:rPr>
              <w:t>38.3</w:t>
            </w:r>
          </w:p>
        </w:tc>
        <w:tc>
          <w:tcPr>
            <w:tcW w:w="1179"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施工工期</w:t>
            </w:r>
          </w:p>
        </w:tc>
        <w:tc>
          <w:tcPr>
            <w:tcW w:w="1694" w:type="pct"/>
            <w:tcBorders>
              <w:tl2br w:val="nil"/>
              <w:tr2bl w:val="nil"/>
            </w:tcBorders>
            <w:vAlign w:val="center"/>
          </w:tcPr>
          <w:p>
            <w:pPr>
              <w:adjustRightInd w:val="0"/>
              <w:snapToGrid w:val="0"/>
              <w:jc w:val="center"/>
              <w:rPr>
                <w:sz w:val="24"/>
                <w:szCs w:val="24"/>
              </w:rPr>
            </w:pPr>
            <w:r>
              <w:rPr>
                <w:rFonts w:hint="eastAsia"/>
                <w:sz w:val="24"/>
                <w:szCs w:val="24"/>
              </w:rPr>
              <w:t>2021年6月-2021年7月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792" w:type="pct"/>
            <w:tcBorders>
              <w:tl2br w:val="nil"/>
              <w:tr2bl w:val="nil"/>
            </w:tcBorders>
            <w:tcMar>
              <w:top w:w="16" w:type="dxa"/>
              <w:left w:w="16" w:type="dxa"/>
              <w:right w:w="16" w:type="dxa"/>
            </w:tcMar>
            <w:vAlign w:val="center"/>
          </w:tcPr>
          <w:p>
            <w:pPr>
              <w:adjustRightInd w:val="0"/>
              <w:snapToGrid w:val="0"/>
              <w:jc w:val="center"/>
              <w:rPr>
                <w:kern w:val="21"/>
                <w:sz w:val="24"/>
                <w:szCs w:val="24"/>
              </w:rPr>
            </w:pPr>
            <w:r>
              <w:rPr>
                <w:kern w:val="21"/>
                <w:sz w:val="24"/>
                <w:szCs w:val="24"/>
              </w:rPr>
              <w:t>是否开工建设</w:t>
            </w:r>
          </w:p>
        </w:tc>
        <w:tc>
          <w:tcPr>
            <w:tcW w:w="1335" w:type="pct"/>
            <w:tcBorders>
              <w:tl2br w:val="nil"/>
              <w:tr2bl w:val="nil"/>
            </w:tcBorders>
            <w:vAlign w:val="center"/>
          </w:tcPr>
          <w:p>
            <w:pPr>
              <w:adjustRightInd w:val="0"/>
              <w:snapToGrid w:val="0"/>
              <w:rPr>
                <w:kern w:val="21"/>
                <w:sz w:val="24"/>
                <w:szCs w:val="24"/>
              </w:rPr>
            </w:pPr>
            <w:r>
              <w:rPr>
                <w:kern w:val="21"/>
                <w:sz w:val="24"/>
                <w:szCs w:val="24"/>
              </w:rPr>
              <w:sym w:font="Wingdings 2" w:char="0052"/>
            </w:r>
            <w:r>
              <w:rPr>
                <w:kern w:val="21"/>
                <w:sz w:val="24"/>
                <w:szCs w:val="24"/>
              </w:rPr>
              <w:t>否</w:t>
            </w:r>
          </w:p>
          <w:p>
            <w:pPr>
              <w:adjustRightInd w:val="0"/>
              <w:snapToGrid w:val="0"/>
              <w:rPr>
                <w:rFonts w:eastAsia="Calibri"/>
                <w:kern w:val="21"/>
                <w:sz w:val="24"/>
                <w:szCs w:val="24"/>
              </w:rPr>
            </w:pPr>
            <w:r>
              <w:rPr>
                <w:kern w:val="21"/>
                <w:sz w:val="24"/>
                <w:szCs w:val="24"/>
              </w:rPr>
              <w:sym w:font="Wingdings 2" w:char="00A3"/>
            </w:r>
            <w:r>
              <w:rPr>
                <w:kern w:val="21"/>
                <w:sz w:val="24"/>
                <w:szCs w:val="24"/>
              </w:rPr>
              <w:t>是：</w:t>
            </w:r>
            <w:r>
              <w:rPr>
                <w:kern w:val="21"/>
                <w:sz w:val="24"/>
                <w:szCs w:val="24"/>
                <w:u w:val="single"/>
              </w:rPr>
              <w:t xml:space="preserve">          </w:t>
            </w:r>
          </w:p>
        </w:tc>
        <w:tc>
          <w:tcPr>
            <w:tcW w:w="1179" w:type="pct"/>
            <w:tcBorders>
              <w:tl2br w:val="nil"/>
              <w:tr2bl w:val="nil"/>
            </w:tcBorders>
            <w:tcMar>
              <w:top w:w="16" w:type="dxa"/>
              <w:left w:w="16" w:type="dxa"/>
              <w:right w:w="16" w:type="dxa"/>
            </w:tcMar>
            <w:vAlign w:val="center"/>
          </w:tcPr>
          <w:p>
            <w:pPr>
              <w:adjustRightInd w:val="0"/>
              <w:snapToGrid w:val="0"/>
              <w:jc w:val="center"/>
              <w:rPr>
                <w:sz w:val="24"/>
                <w:szCs w:val="24"/>
              </w:rPr>
            </w:pPr>
            <w:r>
              <w:rPr>
                <w:sz w:val="24"/>
                <w:szCs w:val="24"/>
              </w:rPr>
              <w:t>用地（用海）</w:t>
            </w:r>
          </w:p>
          <w:p>
            <w:pPr>
              <w:adjustRightInd w:val="0"/>
              <w:snapToGrid w:val="0"/>
              <w:jc w:val="center"/>
              <w:rPr>
                <w:sz w:val="24"/>
                <w:szCs w:val="24"/>
              </w:rPr>
            </w:pPr>
            <w:r>
              <w:rPr>
                <w:sz w:val="24"/>
                <w:szCs w:val="24"/>
              </w:rPr>
              <w:t>面积（m</w:t>
            </w:r>
            <w:r>
              <w:rPr>
                <w:sz w:val="24"/>
                <w:szCs w:val="24"/>
                <w:vertAlign w:val="superscript"/>
              </w:rPr>
              <w:t>2</w:t>
            </w:r>
            <w:r>
              <w:rPr>
                <w:sz w:val="24"/>
                <w:szCs w:val="24"/>
              </w:rPr>
              <w:t>）</w:t>
            </w:r>
          </w:p>
        </w:tc>
        <w:tc>
          <w:tcPr>
            <w:tcW w:w="1694" w:type="pct"/>
            <w:tcBorders>
              <w:tl2br w:val="nil"/>
              <w:tr2bl w:val="nil"/>
            </w:tcBorders>
            <w:vAlign w:val="center"/>
          </w:tcPr>
          <w:p>
            <w:pPr>
              <w:adjustRightInd w:val="0"/>
              <w:snapToGrid w:val="0"/>
              <w:jc w:val="center"/>
              <w:rPr>
                <w:sz w:val="24"/>
                <w:szCs w:val="24"/>
              </w:rPr>
            </w:pPr>
            <w:r>
              <w:rPr>
                <w:rFonts w:hint="eastAsia"/>
                <w:sz w:val="24"/>
                <w:szCs w:val="24"/>
              </w:rPr>
              <w:t>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pct"/>
            <w:tcBorders>
              <w:tl2br w:val="nil"/>
              <w:tr2bl w:val="nil"/>
            </w:tcBorders>
            <w:vAlign w:val="center"/>
          </w:tcPr>
          <w:p>
            <w:pPr>
              <w:adjustRightInd w:val="0"/>
              <w:snapToGrid w:val="0"/>
              <w:jc w:val="center"/>
              <w:rPr>
                <w:kern w:val="21"/>
                <w:sz w:val="24"/>
                <w:szCs w:val="24"/>
              </w:rPr>
            </w:pPr>
            <w:r>
              <w:rPr>
                <w:kern w:val="21"/>
                <w:sz w:val="24"/>
                <w:szCs w:val="24"/>
              </w:rPr>
              <w:t>专项评价设置情况</w:t>
            </w:r>
          </w:p>
        </w:tc>
        <w:tc>
          <w:tcPr>
            <w:tcW w:w="4208" w:type="pct"/>
            <w:gridSpan w:val="3"/>
            <w:tcBorders>
              <w:tl2br w:val="nil"/>
              <w:tr2bl w:val="nil"/>
            </w:tcBorders>
            <w:vAlign w:val="center"/>
          </w:tcPr>
          <w:p>
            <w:pPr>
              <w:autoSpaceDE w:val="0"/>
              <w:autoSpaceDN w:val="0"/>
              <w:adjustRightInd w:val="0"/>
              <w:snapToGrid w:val="0"/>
              <w:jc w:val="center"/>
              <w:rPr>
                <w:kern w:val="21"/>
                <w:sz w:val="24"/>
                <w:szCs w:val="24"/>
              </w:rPr>
            </w:pPr>
            <w:r>
              <w:rPr>
                <w:kern w:val="21"/>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92" w:type="pct"/>
            <w:tcBorders>
              <w:tl2br w:val="nil"/>
              <w:tr2bl w:val="nil"/>
            </w:tcBorders>
            <w:vAlign w:val="center"/>
          </w:tcPr>
          <w:p>
            <w:pPr>
              <w:autoSpaceDE w:val="0"/>
              <w:autoSpaceDN w:val="0"/>
              <w:adjustRightInd w:val="0"/>
              <w:snapToGrid w:val="0"/>
              <w:jc w:val="center"/>
              <w:rPr>
                <w:kern w:val="21"/>
                <w:sz w:val="24"/>
                <w:szCs w:val="24"/>
              </w:rPr>
            </w:pPr>
            <w:r>
              <w:rPr>
                <w:kern w:val="21"/>
                <w:sz w:val="24"/>
                <w:szCs w:val="24"/>
              </w:rPr>
              <w:t>规划情况</w:t>
            </w:r>
          </w:p>
        </w:tc>
        <w:tc>
          <w:tcPr>
            <w:tcW w:w="4208" w:type="pct"/>
            <w:gridSpan w:val="3"/>
            <w:tcBorders>
              <w:tl2br w:val="nil"/>
              <w:tr2bl w:val="nil"/>
            </w:tcBorders>
            <w:vAlign w:val="center"/>
          </w:tcPr>
          <w:p>
            <w:pPr>
              <w:autoSpaceDE w:val="0"/>
              <w:autoSpaceDN w:val="0"/>
              <w:adjustRightInd w:val="0"/>
              <w:snapToGrid w:val="0"/>
              <w:jc w:val="center"/>
              <w:rPr>
                <w:kern w:val="21"/>
                <w:sz w:val="24"/>
                <w:szCs w:val="24"/>
              </w:rPr>
            </w:pPr>
            <w:r>
              <w:rPr>
                <w:kern w:val="21"/>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pct"/>
            <w:tcBorders>
              <w:tl2br w:val="nil"/>
              <w:tr2bl w:val="nil"/>
            </w:tcBorders>
            <w:vAlign w:val="center"/>
          </w:tcPr>
          <w:p>
            <w:pPr>
              <w:adjustRightInd w:val="0"/>
              <w:snapToGrid w:val="0"/>
              <w:jc w:val="center"/>
              <w:rPr>
                <w:kern w:val="21"/>
                <w:sz w:val="24"/>
                <w:szCs w:val="24"/>
              </w:rPr>
            </w:pPr>
            <w:r>
              <w:rPr>
                <w:kern w:val="21"/>
                <w:sz w:val="24"/>
                <w:szCs w:val="24"/>
              </w:rPr>
              <w:t>规划环境影响评价情况</w:t>
            </w:r>
          </w:p>
        </w:tc>
        <w:tc>
          <w:tcPr>
            <w:tcW w:w="4208" w:type="pct"/>
            <w:gridSpan w:val="3"/>
            <w:tcBorders>
              <w:tl2br w:val="nil"/>
              <w:tr2bl w:val="nil"/>
            </w:tcBorders>
            <w:vAlign w:val="center"/>
          </w:tcPr>
          <w:p>
            <w:pPr>
              <w:autoSpaceDE w:val="0"/>
              <w:autoSpaceDN w:val="0"/>
              <w:adjustRightInd w:val="0"/>
              <w:snapToGrid w:val="0"/>
              <w:jc w:val="center"/>
              <w:rPr>
                <w:kern w:val="21"/>
                <w:sz w:val="24"/>
                <w:szCs w:val="24"/>
              </w:rPr>
            </w:pPr>
            <w:r>
              <w:rPr>
                <w:rFonts w:hint="eastAsia"/>
                <w:kern w:val="21"/>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92" w:type="pct"/>
            <w:tcBorders>
              <w:tl2br w:val="nil"/>
              <w:tr2bl w:val="nil"/>
            </w:tcBorders>
            <w:vAlign w:val="center"/>
          </w:tcPr>
          <w:p>
            <w:pPr>
              <w:adjustRightInd w:val="0"/>
              <w:snapToGrid w:val="0"/>
              <w:jc w:val="center"/>
              <w:rPr>
                <w:kern w:val="21"/>
                <w:sz w:val="24"/>
                <w:szCs w:val="24"/>
              </w:rPr>
            </w:pPr>
            <w:r>
              <w:rPr>
                <w:kern w:val="21"/>
                <w:sz w:val="24"/>
                <w:szCs w:val="24"/>
              </w:rPr>
              <w:t>规划及规划环境影响评价符合性分析</w:t>
            </w:r>
          </w:p>
        </w:tc>
        <w:tc>
          <w:tcPr>
            <w:tcW w:w="4208" w:type="pct"/>
            <w:gridSpan w:val="3"/>
            <w:tcBorders>
              <w:tl2br w:val="nil"/>
              <w:tr2bl w:val="nil"/>
            </w:tcBorders>
            <w:vAlign w:val="center"/>
          </w:tcPr>
          <w:p>
            <w:pPr>
              <w:autoSpaceDE w:val="0"/>
              <w:autoSpaceDN w:val="0"/>
              <w:adjustRightInd w:val="0"/>
              <w:snapToGrid w:val="0"/>
              <w:jc w:val="center"/>
              <w:rPr>
                <w:kern w:val="21"/>
                <w:sz w:val="24"/>
                <w:szCs w:val="24"/>
              </w:rPr>
            </w:pPr>
            <w:r>
              <w:rPr>
                <w:rFonts w:hint="eastAsia"/>
                <w:kern w:val="21"/>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pct"/>
            <w:tcBorders>
              <w:tl2br w:val="nil"/>
              <w:tr2bl w:val="nil"/>
            </w:tcBorders>
            <w:vAlign w:val="center"/>
          </w:tcPr>
          <w:p>
            <w:pPr>
              <w:adjustRightInd w:val="0"/>
              <w:snapToGrid w:val="0"/>
              <w:spacing w:line="400" w:lineRule="exact"/>
              <w:jc w:val="center"/>
              <w:rPr>
                <w:kern w:val="21"/>
                <w:sz w:val="24"/>
                <w:szCs w:val="24"/>
              </w:rPr>
            </w:pPr>
            <w:r>
              <w:rPr>
                <w:kern w:val="21"/>
                <w:sz w:val="24"/>
                <w:szCs w:val="24"/>
              </w:rPr>
              <w:t>其他符合性分析</w:t>
            </w:r>
          </w:p>
        </w:tc>
        <w:tc>
          <w:tcPr>
            <w:tcW w:w="4208" w:type="pct"/>
            <w:gridSpan w:val="3"/>
            <w:tcBorders>
              <w:tl2br w:val="nil"/>
              <w:tr2bl w:val="nil"/>
            </w:tcBorders>
            <w:vAlign w:val="center"/>
          </w:tcPr>
          <w:p>
            <w:pPr>
              <w:tabs>
                <w:tab w:val="left" w:pos="1081"/>
              </w:tabs>
              <w:adjustRightInd w:val="0"/>
              <w:snapToGrid w:val="0"/>
              <w:spacing w:line="360" w:lineRule="auto"/>
              <w:ind w:firstLine="482" w:firstLineChars="200"/>
              <w:rPr>
                <w:rFonts w:eastAsiaTheme="minorEastAsia"/>
                <w:b/>
                <w:sz w:val="24"/>
                <w:szCs w:val="24"/>
              </w:rPr>
            </w:pPr>
            <w:r>
              <w:rPr>
                <w:rFonts w:eastAsiaTheme="minorEastAsia"/>
                <w:b/>
                <w:sz w:val="24"/>
                <w:szCs w:val="24"/>
              </w:rPr>
              <w:t>1、产业政策符合性</w:t>
            </w:r>
          </w:p>
          <w:p>
            <w:pPr>
              <w:pStyle w:val="10"/>
              <w:widowControl/>
              <w:adjustRightInd w:val="0"/>
              <w:snapToGrid w:val="0"/>
              <w:spacing w:line="360" w:lineRule="auto"/>
              <w:ind w:firstLine="480"/>
              <w:jc w:val="left"/>
              <w:rPr>
                <w:sz w:val="24"/>
              </w:rPr>
            </w:pPr>
            <w:r>
              <w:rPr>
                <w:rFonts w:hint="eastAsia"/>
                <w:sz w:val="24"/>
              </w:rPr>
              <w:t>经比对《产业结构调整指导目录（2019年本）》（中华人民共和国国家发展和改革委员会令 第29号），本项目不在目录中的鼓励类、限制类和淘汰类之列，属于允许类范畴；且项目生产工艺及设备不属于《河南省部分工业行业淘汰落后生产工艺装备和产品目录（2019 年本）》中的限制类和淘汰类；项目已取得新野县发展和改革委员会出具的备案证明（项目代码：</w:t>
            </w:r>
            <w:r>
              <w:rPr>
                <w:sz w:val="24"/>
              </w:rPr>
              <w:t>2104-411329-04-01-937769</w:t>
            </w:r>
            <w:r>
              <w:rPr>
                <w:rFonts w:hint="eastAsia"/>
                <w:sz w:val="24"/>
              </w:rPr>
              <w:t>，见附件），因此项目建设符合国家当前产业政策的要求。</w:t>
            </w:r>
          </w:p>
          <w:p>
            <w:pPr>
              <w:pStyle w:val="10"/>
              <w:widowControl/>
              <w:adjustRightInd w:val="0"/>
              <w:snapToGrid w:val="0"/>
              <w:spacing w:line="360" w:lineRule="auto"/>
              <w:ind w:firstLine="482"/>
              <w:jc w:val="left"/>
              <w:rPr>
                <w:b/>
                <w:sz w:val="24"/>
              </w:rPr>
            </w:pPr>
            <w:r>
              <w:rPr>
                <w:rFonts w:hint="eastAsia"/>
                <w:b/>
                <w:sz w:val="24"/>
              </w:rPr>
              <w:t>2、项目建设与相关规划的符合性</w:t>
            </w:r>
          </w:p>
          <w:p>
            <w:pPr>
              <w:pStyle w:val="10"/>
              <w:widowControl/>
              <w:adjustRightInd w:val="0"/>
              <w:snapToGrid w:val="0"/>
              <w:spacing w:line="360" w:lineRule="auto"/>
              <w:ind w:firstLine="482"/>
              <w:jc w:val="left"/>
              <w:rPr>
                <w:b/>
                <w:sz w:val="24"/>
              </w:rPr>
            </w:pPr>
            <w:r>
              <w:rPr>
                <w:rFonts w:hint="eastAsia"/>
                <w:b/>
                <w:sz w:val="24"/>
              </w:rPr>
              <w:t>2.1项目建设与新野县城乡总体规划（2016-2035年）的相符性</w:t>
            </w:r>
          </w:p>
          <w:p>
            <w:pPr>
              <w:pStyle w:val="10"/>
              <w:widowControl/>
              <w:adjustRightInd w:val="0"/>
              <w:snapToGrid w:val="0"/>
              <w:spacing w:line="360" w:lineRule="auto"/>
              <w:ind w:firstLine="480"/>
              <w:jc w:val="left"/>
              <w:rPr>
                <w:sz w:val="24"/>
              </w:rPr>
            </w:pPr>
            <w:r>
              <w:rPr>
                <w:rFonts w:hint="eastAsia"/>
                <w:sz w:val="24"/>
              </w:rPr>
              <w:t>2.1.1新野县城乡总体规划内容</w:t>
            </w:r>
          </w:p>
          <w:p>
            <w:pPr>
              <w:tabs>
                <w:tab w:val="left" w:pos="1081"/>
              </w:tabs>
              <w:adjustRightInd w:val="0"/>
              <w:snapToGrid w:val="0"/>
              <w:spacing w:line="360" w:lineRule="auto"/>
              <w:ind w:firstLine="480" w:firstLineChars="200"/>
              <w:rPr>
                <w:rFonts w:hAnsi="宋体"/>
                <w:sz w:val="24"/>
              </w:rPr>
            </w:pPr>
            <w:r>
              <w:rPr>
                <w:rFonts w:hint="eastAsia" w:hAnsi="宋体"/>
                <w:sz w:val="24"/>
              </w:rPr>
              <w:t>（1）城市性质及规模</w:t>
            </w:r>
          </w:p>
          <w:p>
            <w:pPr>
              <w:tabs>
                <w:tab w:val="left" w:pos="1081"/>
              </w:tabs>
              <w:adjustRightInd w:val="0"/>
              <w:snapToGrid w:val="0"/>
              <w:spacing w:line="360" w:lineRule="auto"/>
              <w:ind w:firstLine="480" w:firstLineChars="200"/>
              <w:rPr>
                <w:rFonts w:hAnsi="宋体"/>
                <w:sz w:val="24"/>
              </w:rPr>
            </w:pPr>
            <w:r>
              <w:rPr>
                <w:rFonts w:hint="eastAsia" w:hAnsi="宋体"/>
                <w:sz w:val="24"/>
              </w:rPr>
              <w:t>根据《新野县城市总体规划（2016-2035）》，新野县城内以纺织、轻工、食品为主，交通运输及商业旅游并举的绿色中心城市。新野县城规划区包括城关镇、城郊乡、上港乡的部分行政辖区，总面积161.3km</w:t>
            </w:r>
            <w:r>
              <w:rPr>
                <w:rFonts w:hint="eastAsia" w:hAnsi="宋体"/>
                <w:sz w:val="24"/>
                <w:vertAlign w:val="superscript"/>
              </w:rPr>
              <w:t>2</w:t>
            </w:r>
            <w:r>
              <w:rPr>
                <w:rFonts w:hint="eastAsia" w:hAnsi="宋体"/>
                <w:sz w:val="24"/>
              </w:rPr>
              <w:t>。</w:t>
            </w:r>
          </w:p>
          <w:p>
            <w:pPr>
              <w:tabs>
                <w:tab w:val="left" w:pos="1081"/>
              </w:tabs>
              <w:adjustRightInd w:val="0"/>
              <w:snapToGrid w:val="0"/>
              <w:spacing w:line="360" w:lineRule="auto"/>
              <w:ind w:firstLine="480" w:firstLineChars="200"/>
              <w:rPr>
                <w:rFonts w:hAnsi="宋体"/>
                <w:sz w:val="24"/>
              </w:rPr>
            </w:pPr>
            <w:r>
              <w:rPr>
                <w:rFonts w:hint="eastAsia" w:hAnsi="宋体"/>
                <w:sz w:val="24"/>
              </w:rPr>
              <w:t>（2）城市发展用地规划</w:t>
            </w:r>
          </w:p>
          <w:p>
            <w:pPr>
              <w:tabs>
                <w:tab w:val="left" w:pos="1081"/>
              </w:tabs>
              <w:adjustRightInd w:val="0"/>
              <w:snapToGrid w:val="0"/>
              <w:spacing w:line="360" w:lineRule="auto"/>
              <w:ind w:firstLine="480" w:firstLineChars="200"/>
              <w:rPr>
                <w:rFonts w:hAnsi="宋体"/>
                <w:sz w:val="24"/>
              </w:rPr>
            </w:pPr>
            <w:r>
              <w:rPr>
                <w:rFonts w:hint="eastAsia" w:hAnsi="宋体"/>
                <w:sz w:val="24"/>
              </w:rPr>
              <w:t>新野县城建设用地的总体布局是南北两侧发展工业，中间发展生活居住、产、生活用地平行向东发展。工业用地布局分为三个部分，西北部以现有工业保留改造为主，东南部以一类、二类工业为主，东北部以一类工业为主，仓储用地结合工业区布置，居住用地布局采用小区形式结合工业区及组团中心布局。</w:t>
            </w:r>
          </w:p>
          <w:p>
            <w:pPr>
              <w:tabs>
                <w:tab w:val="left" w:pos="1081"/>
              </w:tabs>
              <w:adjustRightInd w:val="0"/>
              <w:snapToGrid w:val="0"/>
              <w:spacing w:line="360" w:lineRule="auto"/>
              <w:ind w:firstLine="480" w:firstLineChars="200"/>
              <w:rPr>
                <w:rFonts w:hAnsi="宋体"/>
                <w:sz w:val="24"/>
              </w:rPr>
            </w:pPr>
            <w:r>
              <w:rPr>
                <w:rFonts w:hint="eastAsia" w:hAnsi="宋体"/>
                <w:sz w:val="24"/>
              </w:rPr>
              <w:t>（3）新野县域经济区划</w:t>
            </w:r>
          </w:p>
          <w:p>
            <w:pPr>
              <w:tabs>
                <w:tab w:val="left" w:pos="1081"/>
              </w:tabs>
              <w:adjustRightInd w:val="0"/>
              <w:snapToGrid w:val="0"/>
              <w:spacing w:line="360" w:lineRule="auto"/>
              <w:ind w:firstLine="480" w:firstLineChars="200"/>
              <w:rPr>
                <w:rFonts w:hAnsi="宋体"/>
                <w:sz w:val="24"/>
              </w:rPr>
            </w:pPr>
            <w:r>
              <w:rPr>
                <w:rFonts w:hint="eastAsia" w:hAnsi="宋体"/>
                <w:sz w:val="24"/>
              </w:rPr>
              <w:t>根据规划可知，新野县域经济区划可概括为“两带三区”，两带即“新南产业集聚带”和“新襄产业集聚带”；三区指“北部肉牛养殖加工特色产业片区”、“中部纺织轻工特色产业片区”、“东部粮棉产业片区”。</w:t>
            </w:r>
          </w:p>
          <w:p>
            <w:pPr>
              <w:tabs>
                <w:tab w:val="left" w:pos="1081"/>
              </w:tabs>
              <w:adjustRightInd w:val="0"/>
              <w:snapToGrid w:val="0"/>
              <w:spacing w:line="360" w:lineRule="auto"/>
              <w:ind w:firstLine="480" w:firstLineChars="200"/>
              <w:rPr>
                <w:rFonts w:hAnsi="宋体"/>
                <w:sz w:val="24"/>
              </w:rPr>
            </w:pPr>
            <w:r>
              <w:rPr>
                <w:rFonts w:hint="eastAsia" w:hAnsi="宋体"/>
                <w:sz w:val="24"/>
              </w:rPr>
              <w:t>北部肉牛养殖加工特色产业片区：主导产业为肉牛养殖业，与其他县协调、分工明确、资源共享、优化产业链，大力发展屠宰及精加工产业链，探索肉牛产业可持续发展，全方位巩固科尔沁企业的龙头地位。</w:t>
            </w:r>
          </w:p>
          <w:p>
            <w:pPr>
              <w:tabs>
                <w:tab w:val="left" w:pos="1081"/>
              </w:tabs>
              <w:adjustRightInd w:val="0"/>
              <w:snapToGrid w:val="0"/>
              <w:spacing w:line="360" w:lineRule="auto"/>
              <w:ind w:firstLine="480" w:firstLineChars="200"/>
              <w:rPr>
                <w:rFonts w:hAnsi="宋体"/>
                <w:sz w:val="24"/>
              </w:rPr>
            </w:pPr>
            <w:r>
              <w:rPr>
                <w:rFonts w:hint="eastAsia" w:hAnsi="宋体"/>
                <w:sz w:val="24"/>
              </w:rPr>
              <w:t>中部纺织轻工特色产业片区：以县城为中心，大力发展纺织、电子、食品加工等轻工业发展，并带动物流发展。</w:t>
            </w:r>
          </w:p>
          <w:p>
            <w:pPr>
              <w:tabs>
                <w:tab w:val="left" w:pos="1081"/>
              </w:tabs>
              <w:adjustRightInd w:val="0"/>
              <w:snapToGrid w:val="0"/>
              <w:spacing w:line="360" w:lineRule="auto"/>
              <w:ind w:firstLine="480" w:firstLineChars="200"/>
              <w:rPr>
                <w:rFonts w:hAnsi="宋体"/>
                <w:sz w:val="24"/>
              </w:rPr>
            </w:pPr>
            <w:r>
              <w:rPr>
                <w:rFonts w:hint="eastAsia" w:hAnsi="宋体"/>
                <w:sz w:val="24"/>
              </w:rPr>
              <w:t>东部粮棉产业片区：包括施庵镇、溧河铺镇、前高庙乡、王庄镇、五星镇和新甸铺镇，该片区是全县传统的粮棉种植基地，主要经济作物有棉花、蔬菜、花生、芝麻（包括油菜），粮食作物有小麦、豆类和玉米等。依托该片区的传统优势，继续夯实农业基础，经济基础较好的城镇可拓展产业链，发展农副产品深加工，并为县城棉纺业和中部蔬菜区提供原材料。</w:t>
            </w:r>
          </w:p>
          <w:p>
            <w:pPr>
              <w:tabs>
                <w:tab w:val="left" w:pos="1081"/>
              </w:tabs>
              <w:adjustRightInd w:val="0"/>
              <w:snapToGrid w:val="0"/>
              <w:spacing w:line="360" w:lineRule="auto"/>
              <w:ind w:firstLine="480" w:firstLineChars="200"/>
              <w:rPr>
                <w:rFonts w:hAnsi="宋体"/>
                <w:sz w:val="24"/>
              </w:rPr>
            </w:pPr>
            <w:r>
              <w:rPr>
                <w:rFonts w:hint="eastAsia" w:hAnsi="宋体"/>
                <w:sz w:val="24"/>
              </w:rPr>
              <w:t>新南产业集聚带：主要依托103省道北段，在其两侧区域发展形成与南阳城区产业对接的产业集聚带。</w:t>
            </w:r>
          </w:p>
          <w:p>
            <w:pPr>
              <w:tabs>
                <w:tab w:val="left" w:pos="1081"/>
              </w:tabs>
              <w:adjustRightInd w:val="0"/>
              <w:snapToGrid w:val="0"/>
              <w:spacing w:line="360" w:lineRule="auto"/>
              <w:ind w:firstLine="480" w:firstLineChars="200"/>
              <w:rPr>
                <w:rFonts w:hAnsi="宋体"/>
                <w:sz w:val="24"/>
              </w:rPr>
            </w:pPr>
            <w:r>
              <w:rPr>
                <w:rFonts w:hint="eastAsia" w:hAnsi="宋体"/>
                <w:sz w:val="24"/>
              </w:rPr>
              <w:t>新襄产业集聚带：主要依托103省道南段，在其两侧区域结合新野纺织产业与襄阳汽车产业，发展汽车配件加工等相关产业。</w:t>
            </w:r>
          </w:p>
          <w:p>
            <w:pPr>
              <w:tabs>
                <w:tab w:val="left" w:pos="1081"/>
              </w:tabs>
              <w:adjustRightInd w:val="0"/>
              <w:snapToGrid w:val="0"/>
              <w:spacing w:line="360" w:lineRule="auto"/>
              <w:ind w:firstLine="480" w:firstLineChars="200"/>
              <w:rPr>
                <w:rFonts w:hAnsi="宋体"/>
                <w:sz w:val="24"/>
              </w:rPr>
            </w:pPr>
            <w:r>
              <w:rPr>
                <w:rFonts w:hint="eastAsia" w:hAnsi="宋体"/>
                <w:sz w:val="24"/>
              </w:rPr>
              <w:t>新南产业集聚带和新襄产业集聚带应以城镇工业区开发为先导，待城镇工业区开发完成后再开发其他沿线区域</w:t>
            </w:r>
          </w:p>
          <w:p>
            <w:pPr>
              <w:tabs>
                <w:tab w:val="left" w:pos="1081"/>
              </w:tabs>
              <w:adjustRightInd w:val="0"/>
              <w:snapToGrid w:val="0"/>
              <w:spacing w:line="360" w:lineRule="auto"/>
              <w:ind w:firstLine="480" w:firstLineChars="200"/>
              <w:rPr>
                <w:kern w:val="0"/>
                <w:sz w:val="24"/>
              </w:rPr>
            </w:pPr>
            <w:r>
              <w:rPr>
                <w:rFonts w:hint="eastAsia"/>
                <w:kern w:val="0"/>
                <w:sz w:val="24"/>
              </w:rPr>
              <w:t>2.1.2项目建设与新野县城乡总体规划的相符性分析</w:t>
            </w:r>
          </w:p>
          <w:p>
            <w:pPr>
              <w:tabs>
                <w:tab w:val="left" w:pos="1081"/>
              </w:tabs>
              <w:adjustRightInd w:val="0"/>
              <w:snapToGrid w:val="0"/>
              <w:spacing w:line="360" w:lineRule="auto"/>
              <w:ind w:firstLine="480" w:firstLineChars="200"/>
              <w:rPr>
                <w:sz w:val="24"/>
              </w:rPr>
            </w:pPr>
            <w:r>
              <w:rPr>
                <w:rFonts w:hint="eastAsia"/>
                <w:sz w:val="24"/>
              </w:rPr>
              <w:t>本项目位于新野县上港乡香桥村，项目选址位于新野县城市总体规划范围内。根据新野县自然资源局上港自然资源所及新野县上港乡人民政府关于项目出具的土地及规划证明（见附件），项目占地性质为建设用地，符合新野县上港乡土地利用总体规划及总体规划要求。</w:t>
            </w:r>
          </w:p>
          <w:p>
            <w:pPr>
              <w:pStyle w:val="10"/>
              <w:widowControl/>
              <w:adjustRightInd w:val="0"/>
              <w:snapToGrid w:val="0"/>
              <w:spacing w:line="360" w:lineRule="auto"/>
              <w:ind w:firstLine="482"/>
              <w:jc w:val="left"/>
              <w:rPr>
                <w:b/>
                <w:sz w:val="24"/>
              </w:rPr>
            </w:pPr>
            <w:r>
              <w:rPr>
                <w:rFonts w:hint="eastAsia"/>
                <w:b/>
                <w:sz w:val="24"/>
              </w:rPr>
              <w:t>2.2项目建设与新野县集中式饮用水源保护区规划的相符性</w:t>
            </w:r>
          </w:p>
          <w:p>
            <w:pPr>
              <w:pStyle w:val="10"/>
              <w:widowControl/>
              <w:adjustRightInd w:val="0"/>
              <w:snapToGrid w:val="0"/>
              <w:spacing w:line="360" w:lineRule="auto"/>
              <w:ind w:firstLine="480"/>
              <w:jc w:val="left"/>
              <w:rPr>
                <w:sz w:val="24"/>
              </w:rPr>
            </w:pPr>
            <w:r>
              <w:rPr>
                <w:rFonts w:hint="eastAsia"/>
                <w:sz w:val="24"/>
              </w:rPr>
              <w:t>2.2.1新野县一水厂地下水井群饮用水源保护区</w:t>
            </w:r>
          </w:p>
          <w:p>
            <w:pPr>
              <w:tabs>
                <w:tab w:val="left" w:pos="1081"/>
              </w:tabs>
              <w:adjustRightInd w:val="0"/>
              <w:snapToGrid w:val="0"/>
              <w:spacing w:line="360" w:lineRule="auto"/>
              <w:ind w:firstLine="480" w:firstLineChars="200"/>
              <w:rPr>
                <w:color w:val="FF0000"/>
                <w:sz w:val="24"/>
              </w:rPr>
            </w:pPr>
            <w:r>
              <w:rPr>
                <w:rFonts w:hint="eastAsia"/>
                <w:sz w:val="24"/>
              </w:rPr>
              <w:t>根据《河南省人民政府办公厅关于印发河南省县级集中式饮用水水源保护区划的通知》（豫政办[2013]107号）文件</w:t>
            </w:r>
            <w:r>
              <w:rPr>
                <w:rFonts w:hint="eastAsia"/>
                <w:color w:val="000000" w:themeColor="text1"/>
                <w:sz w:val="24"/>
                <w14:textFill>
                  <w14:solidFill>
                    <w14:schemeClr w14:val="tx1"/>
                  </w14:solidFill>
                </w14:textFill>
              </w:rPr>
              <w:t>及《河南省人民政府关于划定调整取消部分集中式饮用水水源保护区的通知》（豫政文[2019]162号），新野县一水厂地下水井群饮用水水源保护区划分如下：</w:t>
            </w:r>
          </w:p>
          <w:p>
            <w:pPr>
              <w:tabs>
                <w:tab w:val="left" w:pos="1081"/>
              </w:tabs>
              <w:adjustRightInd w:val="0"/>
              <w:snapToGrid w:val="0"/>
              <w:spacing w:line="360" w:lineRule="auto"/>
              <w:ind w:firstLine="480" w:firstLineChars="200"/>
              <w:rPr>
                <w:sz w:val="24"/>
              </w:rPr>
            </w:pPr>
            <w:r>
              <w:rPr>
                <w:rFonts w:hint="eastAsia" w:ascii="宋体" w:hAnsi="宋体"/>
                <w:sz w:val="24"/>
              </w:rPr>
              <w:t>①</w:t>
            </w:r>
            <w:r>
              <w:rPr>
                <w:rFonts w:hint="eastAsia"/>
                <w:sz w:val="24"/>
              </w:rPr>
              <w:t>一级保护区划分</w:t>
            </w:r>
          </w:p>
          <w:p>
            <w:pPr>
              <w:tabs>
                <w:tab w:val="left" w:pos="1081"/>
              </w:tabs>
              <w:adjustRightInd w:val="0"/>
              <w:snapToGrid w:val="0"/>
              <w:spacing w:line="360" w:lineRule="auto"/>
              <w:ind w:firstLine="480" w:firstLineChars="200"/>
              <w:rPr>
                <w:sz w:val="24"/>
              </w:rPr>
            </w:pPr>
            <w:r>
              <w:rPr>
                <w:rFonts w:hint="eastAsia"/>
                <w:sz w:val="24"/>
              </w:rPr>
              <w:t>以地下水取水井为中心，30m为半径所圈定的范围为一级保护区。具体范围见下表。</w:t>
            </w:r>
          </w:p>
          <w:p>
            <w:pPr>
              <w:tabs>
                <w:tab w:val="left" w:pos="1081"/>
              </w:tabs>
              <w:adjustRightInd w:val="0"/>
              <w:snapToGrid w:val="0"/>
              <w:spacing w:line="360" w:lineRule="auto"/>
              <w:jc w:val="center"/>
              <w:rPr>
                <w:b/>
                <w:sz w:val="24"/>
              </w:rPr>
            </w:pPr>
            <w:r>
              <w:rPr>
                <w:rFonts w:hint="eastAsia"/>
                <w:b/>
                <w:sz w:val="24"/>
              </w:rPr>
              <w:t>表1-1       新野县饮用水水源地保护区范围</w:t>
            </w:r>
          </w:p>
          <w:tbl>
            <w:tblPr>
              <w:tblStyle w:val="30"/>
              <w:tblW w:w="7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559"/>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38"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水源地保护区名称</w:t>
                  </w: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取水井编号</w:t>
                  </w:r>
                </w:p>
              </w:tc>
              <w:tc>
                <w:tcPr>
                  <w:tcW w:w="4731"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一级保护区定界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8" w:type="dxa"/>
                  <w:vMerge w:val="restart"/>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新野县一水井地下水井群饮用水水源保护区</w:t>
                  </w: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一水井1#井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以取水井为中心，北至自来水公司北院墙外民房，东至自来水公司居民楼，南侧30m，西至自来水公司四院墙外民房的矩形范围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一水井2#井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以取水井为中心，北至商品街，东至商品街南侧民房，南至水井南侧民房，西侧30m的矩形范围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一水井3#井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以取水井为中心，西至西环路，东至养殖场，南至水井所在民房，北至区间路北侧民房的矩形范围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一水井4#井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以取水井为中心，北至纺织路，东至水井东侧住宅楼，南侧水井南侧住宅楼，西至区间路的矩形范围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一水井5#井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以取水井为中心，北至商品街，东至商品街南侧民房，南至幼儿园，西至西环路的矩形范围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一水井6#井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以取水井为中心，北至金隆小区住宅楼，东至金隆小区车棚，南至金隆小区临纺织路住宅楼，西至金隆小区院墙西侧民房的矩形范围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一水井8#井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以取水井为中心，30m为半径所固定的圆形范围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一水井9#井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以取水井为中心，北至化肥厂家属院住宅楼，东侧30m，南侧30m，西至化肥厂家属院住宅楼的矩形范围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38" w:type="dxa"/>
                  <w:vMerge w:val="continue"/>
                  <w:shd w:val="clear" w:color="auto" w:fill="auto"/>
                  <w:vAlign w:val="center"/>
                </w:tcPr>
                <w:p>
                  <w:pPr>
                    <w:widowControl/>
                    <w:autoSpaceDE w:val="0"/>
                    <w:autoSpaceDN w:val="0"/>
                    <w:adjustRightInd w:val="0"/>
                    <w:spacing w:line="360" w:lineRule="exact"/>
                    <w:jc w:val="center"/>
                    <w:rPr>
                      <w:rFonts w:hAnsi="宋体"/>
                      <w:kern w:val="0"/>
                    </w:rPr>
                  </w:pPr>
                </w:p>
              </w:tc>
              <w:tc>
                <w:tcPr>
                  <w:tcW w:w="1559" w:type="dxa"/>
                  <w:shd w:val="clear" w:color="auto" w:fill="auto"/>
                  <w:vAlign w:val="center"/>
                </w:tcPr>
                <w:p>
                  <w:pPr>
                    <w:widowControl/>
                    <w:autoSpaceDE w:val="0"/>
                    <w:autoSpaceDN w:val="0"/>
                    <w:adjustRightInd w:val="0"/>
                    <w:spacing w:line="360" w:lineRule="exact"/>
                    <w:jc w:val="center"/>
                    <w:rPr>
                      <w:rFonts w:hAnsi="宋体"/>
                      <w:kern w:val="0"/>
                    </w:rPr>
                  </w:pPr>
                  <w:r>
                    <w:rPr>
                      <w:rFonts w:hint="eastAsia" w:hAnsi="宋体"/>
                      <w:kern w:val="0"/>
                    </w:rPr>
                    <w:t>一水井10#井</w:t>
                  </w:r>
                </w:p>
              </w:tc>
              <w:tc>
                <w:tcPr>
                  <w:tcW w:w="4731" w:type="dxa"/>
                  <w:shd w:val="clear" w:color="auto" w:fill="auto"/>
                  <w:vAlign w:val="center"/>
                </w:tcPr>
                <w:p>
                  <w:pPr>
                    <w:widowControl/>
                    <w:autoSpaceDE w:val="0"/>
                    <w:autoSpaceDN w:val="0"/>
                    <w:adjustRightInd w:val="0"/>
                    <w:spacing w:line="360" w:lineRule="exact"/>
                    <w:jc w:val="left"/>
                    <w:rPr>
                      <w:rFonts w:hAnsi="宋体"/>
                      <w:kern w:val="0"/>
                    </w:rPr>
                  </w:pPr>
                  <w:r>
                    <w:rPr>
                      <w:rFonts w:hint="eastAsia" w:hAnsi="宋体"/>
                      <w:kern w:val="0"/>
                    </w:rPr>
                    <w:t>以取水井为中心，北至大桥路，南至化肥厂南侧厂房，西至化肥厂院墙西侧民房，东至化肥厂车棚的矩形范围</w:t>
                  </w:r>
                </w:p>
              </w:tc>
            </w:tr>
          </w:tbl>
          <w:p>
            <w:pPr>
              <w:tabs>
                <w:tab w:val="left" w:pos="1081"/>
              </w:tabs>
              <w:adjustRightInd w:val="0"/>
              <w:snapToGrid w:val="0"/>
              <w:spacing w:line="360" w:lineRule="auto"/>
              <w:ind w:firstLine="480" w:firstLineChars="200"/>
              <w:rPr>
                <w:sz w:val="24"/>
              </w:rPr>
            </w:pPr>
            <w:r>
              <w:rPr>
                <w:rFonts w:hint="eastAsia"/>
                <w:sz w:val="24"/>
              </w:rPr>
              <w:t>②二级保护区划分</w:t>
            </w:r>
          </w:p>
          <w:p>
            <w:pPr>
              <w:tabs>
                <w:tab w:val="left" w:pos="1081"/>
              </w:tabs>
              <w:adjustRightInd w:val="0"/>
              <w:snapToGrid w:val="0"/>
              <w:spacing w:line="360" w:lineRule="auto"/>
              <w:ind w:firstLine="480" w:firstLineChars="200"/>
              <w:rPr>
                <w:sz w:val="24"/>
              </w:rPr>
            </w:pPr>
            <w:r>
              <w:rPr>
                <w:rFonts w:hint="eastAsia"/>
                <w:sz w:val="24"/>
              </w:rPr>
              <w:t>不设二级保护区</w:t>
            </w:r>
          </w:p>
          <w:p>
            <w:pPr>
              <w:tabs>
                <w:tab w:val="left" w:pos="1081"/>
              </w:tabs>
              <w:adjustRightInd w:val="0"/>
              <w:snapToGrid w:val="0"/>
              <w:spacing w:line="360" w:lineRule="auto"/>
              <w:ind w:firstLine="480" w:firstLineChars="200"/>
              <w:rPr>
                <w:sz w:val="24"/>
              </w:rPr>
            </w:pPr>
            <w:r>
              <w:rPr>
                <w:rFonts w:hint="eastAsia"/>
                <w:sz w:val="24"/>
              </w:rPr>
              <w:t>③准保护区</w:t>
            </w:r>
          </w:p>
          <w:p>
            <w:pPr>
              <w:tabs>
                <w:tab w:val="left" w:pos="1081"/>
              </w:tabs>
              <w:adjustRightInd w:val="0"/>
              <w:snapToGrid w:val="0"/>
              <w:spacing w:line="360" w:lineRule="auto"/>
              <w:ind w:firstLine="480" w:firstLineChars="200"/>
              <w:rPr>
                <w:sz w:val="24"/>
              </w:rPr>
            </w:pPr>
            <w:r>
              <w:rPr>
                <w:rFonts w:hint="eastAsia"/>
                <w:sz w:val="24"/>
              </w:rPr>
              <w:t>不设准保护区</w:t>
            </w:r>
          </w:p>
          <w:p>
            <w:pPr>
              <w:tabs>
                <w:tab w:val="left" w:pos="1081"/>
              </w:tabs>
              <w:adjustRightInd w:val="0"/>
              <w:snapToGrid w:val="0"/>
              <w:spacing w:line="360" w:lineRule="auto"/>
              <w:ind w:firstLine="480" w:firstLineChars="200"/>
              <w:rPr>
                <w:sz w:val="24"/>
              </w:rPr>
            </w:pPr>
            <w:r>
              <w:rPr>
                <w:rFonts w:hint="eastAsia"/>
                <w:sz w:val="24"/>
              </w:rPr>
              <w:t>2.2.2</w:t>
            </w:r>
            <w:r>
              <w:rPr>
                <w:sz w:val="24"/>
              </w:rPr>
              <w:t>新野县新甸铺镇自来水公司地下水井群（共2眼井）</w:t>
            </w:r>
          </w:p>
          <w:p>
            <w:pPr>
              <w:tabs>
                <w:tab w:val="left" w:pos="1081"/>
              </w:tabs>
              <w:adjustRightInd w:val="0"/>
              <w:snapToGrid w:val="0"/>
              <w:spacing w:line="360" w:lineRule="auto"/>
              <w:ind w:firstLine="480" w:firstLineChars="200"/>
              <w:rPr>
                <w:sz w:val="24"/>
              </w:rPr>
            </w:pPr>
            <w:r>
              <w:rPr>
                <w:sz w:val="24"/>
              </w:rPr>
              <w:t>一级保护区范围：自来水公司院内区域（1号取水井），2号取水井外围30米的区域。</w:t>
            </w:r>
          </w:p>
          <w:p>
            <w:pPr>
              <w:adjustRightInd w:val="0"/>
              <w:snapToGrid w:val="0"/>
              <w:spacing w:line="360" w:lineRule="auto"/>
              <w:ind w:firstLine="480" w:firstLineChars="200"/>
              <w:rPr>
                <w:sz w:val="24"/>
              </w:rPr>
            </w:pPr>
            <w:r>
              <w:rPr>
                <w:rFonts w:hint="eastAsia"/>
                <w:sz w:val="24"/>
              </w:rPr>
              <w:t>2.2.3</w:t>
            </w:r>
            <w:r>
              <w:rPr>
                <w:rFonts w:hint="eastAsia"/>
                <w:bCs/>
                <w:color w:val="000000"/>
                <w:sz w:val="24"/>
              </w:rPr>
              <w:t>项目建设与</w:t>
            </w:r>
            <w:r>
              <w:rPr>
                <w:rFonts w:hint="eastAsia"/>
                <w:sz w:val="24"/>
              </w:rPr>
              <w:t>新野县集中式饮用水源保护区规划的相符性分析</w:t>
            </w:r>
          </w:p>
          <w:p>
            <w:pPr>
              <w:adjustRightInd w:val="0"/>
              <w:snapToGrid w:val="0"/>
              <w:spacing w:line="360" w:lineRule="auto"/>
              <w:ind w:firstLine="480" w:firstLineChars="200"/>
              <w:rPr>
                <w:sz w:val="24"/>
              </w:rPr>
            </w:pPr>
            <w:r>
              <w:rPr>
                <w:rFonts w:hint="eastAsia"/>
                <w:color w:val="000000" w:themeColor="text1"/>
                <w:sz w:val="24"/>
                <w14:textFill>
                  <w14:solidFill>
                    <w14:schemeClr w14:val="tx1"/>
                  </w14:solidFill>
                </w14:textFill>
              </w:rPr>
              <w:t>本项目位于新野县上港乡香桥村，东北距新野县一水厂地下水井群饮用水源一级保护区边界最近直线距离约3.5km；西南距新甸铺镇自来水公司地下水井群饮用水源保护区最近直线距离约10.3km，</w:t>
            </w:r>
            <w:r>
              <w:rPr>
                <w:rFonts w:hint="eastAsia"/>
                <w:sz w:val="24"/>
              </w:rPr>
              <w:t xml:space="preserve">项目选址不在新野县饮用水水源保护区范围内，因此项目建设不会对饮用水源保护区水质产生不良影响。 </w:t>
            </w:r>
          </w:p>
          <w:p>
            <w:pPr>
              <w:pStyle w:val="60"/>
              <w:snapToGrid w:val="0"/>
              <w:ind w:firstLine="482" w:firstLineChars="200"/>
              <w:rPr>
                <w:rFonts w:ascii="Times New Roman" w:eastAsiaTheme="minorEastAsia"/>
                <w:b/>
                <w:szCs w:val="24"/>
              </w:rPr>
            </w:pPr>
            <w:r>
              <w:rPr>
                <w:rFonts w:hint="eastAsia" w:ascii="Times New Roman" w:eastAsiaTheme="minorEastAsia"/>
                <w:b/>
                <w:szCs w:val="24"/>
              </w:rPr>
              <w:t>3、项目建设与相关政策的符合性</w:t>
            </w:r>
          </w:p>
          <w:p>
            <w:pPr>
              <w:pStyle w:val="60"/>
              <w:snapToGrid w:val="0"/>
              <w:ind w:firstLine="482" w:firstLineChars="200"/>
              <w:rPr>
                <w:rFonts w:ascii="Times New Roman" w:eastAsiaTheme="minorEastAsia"/>
                <w:b/>
                <w:szCs w:val="24"/>
              </w:rPr>
            </w:pPr>
            <w:r>
              <w:rPr>
                <w:rFonts w:hint="eastAsia" w:ascii="Times New Roman" w:eastAsiaTheme="minorEastAsia"/>
                <w:b/>
                <w:szCs w:val="24"/>
              </w:rPr>
              <w:t>3.1</w:t>
            </w:r>
            <w:r>
              <w:rPr>
                <w:rFonts w:ascii="Times New Roman" w:eastAsiaTheme="minorEastAsia"/>
                <w:b/>
                <w:szCs w:val="24"/>
              </w:rPr>
              <w:t>项目建设与</w:t>
            </w:r>
            <w:r>
              <w:rPr>
                <w:rFonts w:hint="eastAsia" w:ascii="Times New Roman" w:eastAsiaTheme="minorEastAsia"/>
                <w:b/>
                <w:szCs w:val="24"/>
              </w:rPr>
              <w:t>《南阳市2020年大气、水、土壤污染防治攻坚战实施方案》（宛环攻坚办[2020]21号）</w:t>
            </w:r>
            <w:r>
              <w:rPr>
                <w:rFonts w:ascii="Times New Roman" w:eastAsiaTheme="minorEastAsia"/>
                <w:b/>
                <w:szCs w:val="24"/>
              </w:rPr>
              <w:t>的相符性</w:t>
            </w:r>
          </w:p>
          <w:p>
            <w:pPr>
              <w:adjustRightInd w:val="0"/>
              <w:snapToGrid w:val="0"/>
              <w:spacing w:line="360" w:lineRule="auto"/>
              <w:ind w:firstLine="480" w:firstLineChars="200"/>
              <w:textAlignment w:val="baseline"/>
              <w:rPr>
                <w:sz w:val="24"/>
                <w:szCs w:val="24"/>
              </w:rPr>
            </w:pPr>
            <w:r>
              <w:rPr>
                <w:color w:val="000000" w:themeColor="text1"/>
                <w:sz w:val="24"/>
                <w14:textFill>
                  <w14:solidFill>
                    <w14:schemeClr w14:val="tx1"/>
                  </w14:solidFill>
                </w14:textFill>
              </w:rPr>
              <w:t>本项目建设与南阳市</w:t>
            </w:r>
            <w:r>
              <w:rPr>
                <w:rFonts w:hint="eastAsia"/>
                <w:color w:val="000000" w:themeColor="text1"/>
                <w:sz w:val="24"/>
                <w14:textFill>
                  <w14:solidFill>
                    <w14:schemeClr w14:val="tx1"/>
                  </w14:solidFill>
                </w14:textFill>
              </w:rPr>
              <w:t>2020年大气、水、土壤污染防治攻坚战实施方案</w:t>
            </w:r>
            <w:r>
              <w:rPr>
                <w:color w:val="000000" w:themeColor="text1"/>
                <w:sz w:val="24"/>
                <w14:textFill>
                  <w14:solidFill>
                    <w14:schemeClr w14:val="tx1"/>
                  </w14:solidFill>
                </w14:textFill>
              </w:rPr>
              <w:t>的相符性分析见下表。</w:t>
            </w:r>
          </w:p>
          <w:p>
            <w:pPr>
              <w:adjustRightInd w:val="0"/>
              <w:snapToGrid w:val="0"/>
              <w:spacing w:line="36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 xml:space="preserve">1-2 </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项目建设与</w:t>
            </w:r>
            <w:r>
              <w:rPr>
                <w:rFonts w:hint="eastAsia"/>
                <w:b/>
                <w:bCs/>
                <w:color w:val="000000" w:themeColor="text1"/>
                <w:sz w:val="24"/>
                <w14:textFill>
                  <w14:solidFill>
                    <w14:schemeClr w14:val="tx1"/>
                  </w14:solidFill>
                </w14:textFill>
              </w:rPr>
              <w:t>宛环攻坚办[2020]21号</w:t>
            </w:r>
            <w:r>
              <w:rPr>
                <w:b/>
                <w:bCs/>
                <w:color w:val="000000" w:themeColor="text1"/>
                <w:sz w:val="24"/>
                <w14:textFill>
                  <w14:solidFill>
                    <w14:schemeClr w14:val="tx1"/>
                  </w14:solidFill>
                </w14:textFill>
              </w:rPr>
              <w:t>的</w:t>
            </w:r>
            <w:r>
              <w:rPr>
                <w:b/>
                <w:color w:val="000000" w:themeColor="text1"/>
                <w:sz w:val="24"/>
                <w14:textFill>
                  <w14:solidFill>
                    <w14:schemeClr w14:val="tx1"/>
                  </w14:solidFill>
                </w14:textFill>
              </w:rPr>
              <w:t>相符性分析表</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048"/>
              <w:gridCol w:w="3653"/>
              <w:gridCol w:w="2106"/>
              <w:gridCol w:w="9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7"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分类</w:t>
                  </w:r>
                </w:p>
              </w:tc>
              <w:tc>
                <w:tcPr>
                  <w:tcW w:w="39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实施方案内容</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本项目</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相符性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 w:hRule="atLeast"/>
                <w:jc w:val="center"/>
              </w:trPr>
              <w:tc>
                <w:tcPr>
                  <w:tcW w:w="773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（一）实施重点工业企业污染治理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2.提升工业炉窑大气污染综合治理水平</w:t>
                  </w:r>
                </w:p>
              </w:tc>
              <w:tc>
                <w:tcPr>
                  <w:tcW w:w="39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 月底前完成辖区工业炉窑摸底排查，建立台账。5月1日起，严格按照新出台的《河南省工业炉窑大气污染物排放标准》 和时间节点要求，完成提标改造任务。2020年底前， 完成工业炉窑生产工艺过程及相关物料储存、 输送等无组织排放治理。</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本项目生产过程中不涉及工业炉窑。</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bCs/>
                      <w:color w:val="000000"/>
                      <w:kern w:val="0"/>
                      <w:szCs w:val="21"/>
                    </w:rPr>
                  </w:pPr>
                  <w:r>
                    <w:rPr>
                      <w:rFonts w:hint="eastAsia"/>
                      <w:bCs/>
                      <w:color w:val="000000"/>
                      <w:kern w:val="0"/>
                      <w:szCs w:val="21"/>
                    </w:rPr>
                    <w:t>5.强化锅炉污染治理</w:t>
                  </w:r>
                </w:p>
              </w:tc>
              <w:tc>
                <w:tcPr>
                  <w:tcW w:w="39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bCs/>
                      <w:color w:val="000000"/>
                      <w:kern w:val="0"/>
                      <w:szCs w:val="21"/>
                    </w:rPr>
                  </w:pPr>
                  <w:r>
                    <w:rPr>
                      <w:rFonts w:hint="eastAsia"/>
                      <w:bCs/>
                      <w:color w:val="000000"/>
                      <w:kern w:val="0"/>
                      <w:szCs w:val="21"/>
                    </w:rPr>
                    <w:t>4月底前对辖区所有锅炉进行摸底排查，建立台账，5月底前所有35蒸吨/时及以下燃煤锅炉全部拆除或进行清洁能源改造，清除燃煤，实施拆除的应拆除烟囱或物理切断烟道，不具备复产条件。9月底前，辖区4蒸吨/时及以上燃气锅炉及燃气直燃机完成低氮改造，改造后在基准氧含量3.5%的条件下，烟尘、二氧化硫、氮氧化物排放浓度分别不高于5、10、50毫克/立方米（新建燃气锅炉氮氧化物排放浓度不高于30毫克/立方米）。</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rPr>
                  </w:pPr>
                  <w:r>
                    <w:rPr>
                      <w:rFonts w:hint="eastAsia"/>
                      <w:color w:val="000000"/>
                    </w:rPr>
                    <w:t>本项目</w:t>
                  </w:r>
                  <w:r>
                    <w:rPr>
                      <w:bCs/>
                      <w:color w:val="000000"/>
                    </w:rPr>
                    <w:t>设置</w:t>
                  </w:r>
                  <w:r>
                    <w:rPr>
                      <w:rFonts w:hint="eastAsia"/>
                      <w:bCs/>
                      <w:color w:val="000000"/>
                    </w:rPr>
                    <w:t>1台导热油炉为热压工序供热，采用液化石油气作为燃料，导热油炉燃烧机加装低氮燃烧器，燃烧废气经1根8m高排气筒排放，各</w:t>
                  </w:r>
                  <w:r>
                    <w:rPr>
                      <w:rFonts w:hint="eastAsia"/>
                      <w:color w:val="000000"/>
                    </w:rPr>
                    <w:t>污染物产生浓度可以满足《锅炉大气污染物排放标准》（DB41/2089-2021）中燃气锅炉限值。</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color w:val="000000"/>
                      <w:kern w:val="0"/>
                      <w:szCs w:val="21"/>
                    </w:rPr>
                  </w:pPr>
                  <w:r>
                    <w:rPr>
                      <w:rFonts w:hint="eastAsia"/>
                      <w:bCs/>
                      <w:color w:val="000000"/>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11.全面提升扬尘污染治理水平</w:t>
                  </w:r>
                </w:p>
              </w:tc>
              <w:tc>
                <w:tcPr>
                  <w:tcW w:w="39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月5日前对全市建筑、市政、拆迁、道路、水利等各类建设工地进行摸底排查，建立各类扬尘污染源动态台账。各类建设工地严格开复工验收制度，严格执行“六个百分之百”等扬尘污染防治措施，落实施工现场“三员”管理、在线视频监测监控联网、扬尘防治预算制度；长距离的市政、公路、水利等线性工程，实行分段施工、精细化管理； 拆迁工程全面落实“五步工作法”，分区拆迁作业；暂时不能开工的建设用地裸露地面必须覆盖或植绿，覆盖采用防尘布；施工建筑墙体外挂防尘布，门窗未安装前防尘布不得拆除；城市规划区内工地禁止现场搅拌砂浆、禁止现场搅拌混凝土；渣土车未覆盖、未冲洗严禁上路。对达不到要求的工地全部停工整改， 建立问题清单，4月25日前所有问题整改到位，对拒不整改或整改不到位的，列入建筑市场主体“黑名单”。5月1日起， 市污染防治攻坚办对整治情况持续进行督导检查。</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本项目利用现有厂房进行生产</w:t>
                  </w:r>
                  <w:r>
                    <w:rPr>
                      <w:color w:val="000000" w:themeColor="text1"/>
                      <w:szCs w:val="21"/>
                      <w14:textFill>
                        <w14:solidFill>
                          <w14:schemeClr w14:val="tx1"/>
                        </w14:solidFill>
                      </w14:textFill>
                    </w:rPr>
                    <w:t>，不新增构筑物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施工期主要进行生产设备、设施的安装调试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无扬尘产生</w:t>
                  </w:r>
                  <w:r>
                    <w:rPr>
                      <w:rFonts w:hint="eastAsia"/>
                      <w:color w:val="000000" w:themeColor="text1"/>
                      <w:szCs w:val="21"/>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11.强化城市道路扬尘管控</w:t>
                  </w:r>
                </w:p>
              </w:tc>
              <w:tc>
                <w:tcPr>
                  <w:tcW w:w="39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大力推进道路清扫保洁精细化作业， 推行“以克论净”的作业模式，4月底前建立主次干道、背街小巷、 城乡结合部、 人行道、道牙以上区域和广场、游园责任清单， 明确责任单位， 责任到人。 每月组织开展一次城市清洁行动。主干道（中心城区主次干道） 机械化清扫率达到100%，路面达到“双10”标准；主要道路每日“三洒一冲”（中心城区每日“三洒一冲一洗”），城乡结合部、背街小巷道路两侧裸露地面实施硬化、 绿化，清扫保洁做到“五净五无”。中心城区及各县市区建成区平均降尘量不得高于9吨/月·平方公里。市城市管理局负责中心城区督查考评，开展日巡查、 周通报、月排名并在媒体上进行公布。 5月1日起， 市污染防治攻坚办对道路清扫保洁情况持续进行督导检查。</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项目厂区运输道路硬化，定期洒水降尘；原料运输过程车辆采用篷布</w:t>
                  </w:r>
                  <w:r>
                    <w:rPr>
                      <w:color w:val="000000" w:themeColor="text1"/>
                      <w14:textFill>
                        <w14:solidFill>
                          <w14:schemeClr w14:val="tx1"/>
                        </w14:solidFill>
                      </w14:textFill>
                    </w:rPr>
                    <w:t>苫盖抑尘措施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厂区原料均入库存放</w:t>
                  </w:r>
                  <w:r>
                    <w:rPr>
                      <w:rFonts w:hint="eastAsia"/>
                      <w:color w:val="000000" w:themeColor="text1"/>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16.加强废气治理</w:t>
                  </w:r>
                </w:p>
              </w:tc>
              <w:tc>
                <w:tcPr>
                  <w:tcW w:w="39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月底前对重点行业VOCs企业进行摸底排查，建立工作台账，按照河南省挥发性有机物污染控制技术指南和新发布的河南省印刷、工业涂装挥发性有机物排放标准要求制定整治方案，加强督导检查，按照标准实施时间，完成提标治理；全市13台煤气发生炉封闭酚水系统，产生的废气收集处理，其他区域采用直接水洗冷却方式的，封闭造气循环水集输、储存、处理系统，收集的废气送至三废炉处理，吹风气、弛放气应全部收集利用。对加油站、储油库、油罐车油气回收装置加强监管，至少组织一次对辖区内所有汽油储油库、20%以上的汽油加油站和油罐车进行监督性检测。</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本项目属于人造板制造，热压工序会产生有机废气，</w:t>
                  </w:r>
                  <w:r>
                    <w:rPr>
                      <w:rFonts w:hint="eastAsia"/>
                      <w:color w:val="000000" w:themeColor="text1"/>
                      <w:kern w:val="0"/>
                      <w:szCs w:val="21"/>
                      <w14:textFill>
                        <w14:solidFill>
                          <w14:schemeClr w14:val="tx1"/>
                        </w14:solidFill>
                      </w14:textFill>
                    </w:rPr>
                    <w:t>有机废气经集气罩收集后通过管道引至1套UV光氧催化+低温等离子处理装置处理后可以实现达标排放。</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相符</w:t>
                  </w:r>
                </w:p>
              </w:tc>
            </w:tr>
          </w:tbl>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综上，本</w:t>
            </w:r>
            <w:r>
              <w:rPr>
                <w:rFonts w:hint="eastAsia"/>
                <w:color w:val="000000" w:themeColor="text1"/>
                <w:sz w:val="24"/>
                <w:szCs w:val="22"/>
                <w14:textFill>
                  <w14:solidFill>
                    <w14:schemeClr w14:val="tx1"/>
                  </w14:solidFill>
                </w14:textFill>
              </w:rPr>
              <w:t>项目</w:t>
            </w:r>
            <w:r>
              <w:rPr>
                <w:color w:val="000000" w:themeColor="text1"/>
                <w:sz w:val="24"/>
                <w:szCs w:val="22"/>
                <w14:textFill>
                  <w14:solidFill>
                    <w14:schemeClr w14:val="tx1"/>
                  </w14:solidFill>
                </w14:textFill>
              </w:rPr>
              <w:t>的建设能够满足</w:t>
            </w:r>
            <w:r>
              <w:rPr>
                <w:rFonts w:hint="eastAsia"/>
                <w:color w:val="000000" w:themeColor="text1"/>
                <w:sz w:val="24"/>
                <w:szCs w:val="22"/>
                <w14:textFill>
                  <w14:solidFill>
                    <w14:schemeClr w14:val="tx1"/>
                  </w14:solidFill>
                </w14:textFill>
              </w:rPr>
              <w:t>《南阳市2020年大气、水、土壤污染防治攻坚战实施方案》（宛环攻坚办[2020]21号）的</w:t>
            </w:r>
            <w:r>
              <w:rPr>
                <w:color w:val="000000" w:themeColor="text1"/>
                <w:sz w:val="24"/>
                <w:szCs w:val="22"/>
                <w14:textFill>
                  <w14:solidFill>
                    <w14:schemeClr w14:val="tx1"/>
                  </w14:solidFill>
                </w14:textFill>
              </w:rPr>
              <w:t>相关要求。</w:t>
            </w:r>
          </w:p>
          <w:p>
            <w:pPr>
              <w:spacing w:line="360" w:lineRule="auto"/>
              <w:ind w:firstLine="482" w:firstLineChars="200"/>
              <w:rPr>
                <w:sz w:val="24"/>
              </w:rPr>
            </w:pPr>
            <w:r>
              <w:rPr>
                <w:rFonts w:hint="eastAsia"/>
                <w:b/>
                <w:sz w:val="24"/>
              </w:rPr>
              <w:t>3.2</w:t>
            </w:r>
            <w:r>
              <w:rPr>
                <w:b/>
                <w:sz w:val="24"/>
              </w:rPr>
              <w:t>项目与《南阳市污染防治攻坚战三年行动方案（2018</w:t>
            </w:r>
            <w:r>
              <w:rPr>
                <w:rFonts w:hint="eastAsia"/>
                <w:b/>
                <w:sz w:val="24"/>
              </w:rPr>
              <w:t>-</w:t>
            </w:r>
            <w:r>
              <w:rPr>
                <w:b/>
                <w:sz w:val="24"/>
              </w:rPr>
              <w:t>2020年）》的相符性</w:t>
            </w:r>
          </w:p>
          <w:p>
            <w:pPr>
              <w:spacing w:line="360" w:lineRule="auto"/>
              <w:ind w:firstLine="480" w:firstLineChars="200"/>
              <w:rPr>
                <w:snapToGrid w:val="0"/>
                <w:kern w:val="0"/>
                <w:sz w:val="24"/>
              </w:rPr>
            </w:pPr>
            <w:r>
              <w:rPr>
                <w:bCs/>
                <w:sz w:val="24"/>
              </w:rPr>
              <w:t>南阳市人民政府于2018年12月11日下发了《关于印发南阳市污染防治攻坚战三年行动方案（2018-2020年）的通知》，该通知按照《河南省污染防治攻坚战三年行动计划(2018</w:t>
            </w:r>
            <w:r>
              <w:rPr>
                <w:rFonts w:hint="eastAsia"/>
                <w:bCs/>
                <w:sz w:val="24"/>
              </w:rPr>
              <w:t>-</w:t>
            </w:r>
            <w:r>
              <w:rPr>
                <w:bCs/>
                <w:sz w:val="24"/>
              </w:rPr>
              <w:t>2020年)》（豫政办[2018]30号）和《中共南阳市委南阳市人民政府关于全面加强生态环境保护坚决打好污染防治攻坚战的实施意见》相关要求，制定了 2018年度、2019年度和2020年度各年全市大气、河流和土壤污染防治攻坚目标和总体要求，确保2020年全市主要污染物排放总量大幅减少，生态环境质量总体改善。该方案提出了“坚决打赢蓝天保卫战”、“全面打好碧水保卫战”、“扎实推进净土保卫战”和“加快推进生态体系建设”及“保障措施”。比对分析上述，本项目与行动方案的相符性见下表</w:t>
            </w:r>
            <w:r>
              <w:rPr>
                <w:rFonts w:hint="eastAsia"/>
                <w:bCs/>
                <w:sz w:val="24"/>
              </w:rPr>
              <w:t>。</w:t>
            </w:r>
          </w:p>
          <w:p>
            <w:pPr>
              <w:spacing w:line="360" w:lineRule="auto"/>
              <w:jc w:val="center"/>
              <w:rPr>
                <w:b/>
                <w:color w:val="000000" w:themeColor="text1"/>
                <w:sz w:val="24"/>
                <w:szCs w:val="22"/>
                <w14:textFill>
                  <w14:solidFill>
                    <w14:schemeClr w14:val="tx1"/>
                  </w14:solidFill>
                </w14:textFill>
              </w:rPr>
            </w:pPr>
            <w:r>
              <w:rPr>
                <w:b/>
                <w:color w:val="000000" w:themeColor="text1"/>
                <w:sz w:val="24"/>
                <w:szCs w:val="22"/>
                <w14:textFill>
                  <w14:solidFill>
                    <w14:schemeClr w14:val="tx1"/>
                  </w14:solidFill>
                </w14:textFill>
              </w:rPr>
              <w:t>表</w:t>
            </w:r>
            <w:r>
              <w:rPr>
                <w:rFonts w:hint="eastAsia"/>
                <w:b/>
                <w:color w:val="000000" w:themeColor="text1"/>
                <w:sz w:val="24"/>
                <w:szCs w:val="22"/>
                <w14:textFill>
                  <w14:solidFill>
                    <w14:schemeClr w14:val="tx1"/>
                  </w14:solidFill>
                </w14:textFill>
              </w:rPr>
              <w:t xml:space="preserve">1-3      </w:t>
            </w:r>
            <w:r>
              <w:rPr>
                <w:b/>
                <w:color w:val="000000" w:themeColor="text1"/>
                <w:sz w:val="24"/>
                <w:szCs w:val="22"/>
                <w14:textFill>
                  <w14:solidFill>
                    <w14:schemeClr w14:val="tx1"/>
                  </w14:solidFill>
                </w14:textFill>
              </w:rPr>
              <w:t>项目建设与三年行动方案的相符性</w:t>
            </w:r>
            <w:r>
              <w:rPr>
                <w:b/>
                <w:sz w:val="24"/>
              </w:rPr>
              <w:t>分析表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275"/>
              <w:gridCol w:w="241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093"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方案要求</w:t>
                  </w:r>
                </w:p>
              </w:tc>
              <w:tc>
                <w:tcPr>
                  <w:tcW w:w="3275"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具体内容</w:t>
                  </w:r>
                </w:p>
              </w:tc>
              <w:tc>
                <w:tcPr>
                  <w:tcW w:w="2410"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本项目建设情况</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93" w:type="dxa"/>
                  <w:vMerge w:val="restart"/>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坚决打赢蓝天保卫战</w:t>
                  </w: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优化能源结构，削减煤炭消费总量；扩大天然气利用规模和供应保障能力；统筹协调“煤改电”、“煤改气”建设用地。</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本项目生产过程中</w:t>
                  </w:r>
                  <w:r>
                    <w:rPr>
                      <w:rFonts w:hint="eastAsia"/>
                      <w:bCs/>
                      <w:color w:val="000000" w:themeColor="text1"/>
                      <w:kern w:val="0"/>
                      <w:szCs w:val="21"/>
                      <w14:textFill>
                        <w14:solidFill>
                          <w14:schemeClr w14:val="tx1"/>
                        </w14:solidFill>
                      </w14:textFill>
                    </w:rPr>
                    <w:t>不使用燃料</w:t>
                  </w:r>
                  <w:r>
                    <w:rPr>
                      <w:bCs/>
                      <w:color w:val="000000" w:themeColor="text1"/>
                      <w:kern w:val="0"/>
                      <w:szCs w:val="21"/>
                      <w14:textFill>
                        <w14:solidFill>
                          <w14:schemeClr w14:val="tx1"/>
                        </w14:solidFill>
                      </w14:textFill>
                    </w:rPr>
                    <w:t>。</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093" w:type="dxa"/>
                  <w:vMerge w:val="continue"/>
                  <w:vAlign w:val="center"/>
                </w:tcPr>
                <w:p>
                  <w:pPr>
                    <w:snapToGrid w:val="0"/>
                    <w:spacing w:line="340" w:lineRule="exact"/>
                    <w:rPr>
                      <w:bCs/>
                      <w:color w:val="000000" w:themeColor="text1"/>
                      <w:kern w:val="0"/>
                      <w:szCs w:val="21"/>
                      <w14:textFill>
                        <w14:solidFill>
                          <w14:schemeClr w14:val="tx1"/>
                        </w14:solidFill>
                      </w14:textFill>
                    </w:rPr>
                  </w:pP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严格环境准入。原则上禁止钢铁、电解铝、水泥、玻璃、传统煤化工</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甲醇、合成氨</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、焦化等行业新建、扩建单纯新增产能以及耐火材料、陶瓷等行业新建、扩建以煤炭为燃料的项目和企业</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对钢铁、水泥、电解铝、玻璃等行业不再实施省内产能置换。</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本项目属于</w:t>
                  </w:r>
                  <w:r>
                    <w:rPr>
                      <w:rFonts w:hint="eastAsia"/>
                      <w:bCs/>
                      <w:color w:val="000000" w:themeColor="text1"/>
                      <w:kern w:val="0"/>
                      <w:szCs w:val="21"/>
                      <w14:textFill>
                        <w14:solidFill>
                          <w14:schemeClr w14:val="tx1"/>
                        </w14:solidFill>
                      </w14:textFill>
                    </w:rPr>
                    <w:t>人造板制造项目</w:t>
                  </w:r>
                  <w:r>
                    <w:rPr>
                      <w:bCs/>
                      <w:color w:val="000000" w:themeColor="text1"/>
                      <w:kern w:val="0"/>
                      <w:szCs w:val="21"/>
                      <w14:textFill>
                        <w14:solidFill>
                          <w14:schemeClr w14:val="tx1"/>
                        </w14:solidFill>
                      </w14:textFill>
                    </w:rPr>
                    <w:t>，不属于禁止建设行业。</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093" w:type="dxa"/>
                  <w:vMerge w:val="continue"/>
                  <w:vAlign w:val="center"/>
                </w:tcPr>
                <w:p>
                  <w:pPr>
                    <w:snapToGrid w:val="0"/>
                    <w:spacing w:line="340" w:lineRule="exact"/>
                    <w:rPr>
                      <w:bCs/>
                      <w:color w:val="000000" w:themeColor="text1"/>
                      <w:kern w:val="0"/>
                      <w:szCs w:val="21"/>
                      <w14:textFill>
                        <w14:solidFill>
                          <w14:schemeClr w14:val="tx1"/>
                        </w14:solidFill>
                      </w14:textFill>
                    </w:rPr>
                  </w:pP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控“两高”</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高耗能、高污染</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行业产能。原则上全省禁止新增钢铁、化、电解铝、铸造、水泥和玻璃等产能；新建、改建、扩建涉及大宗物料运输的建设项目，原则上不得利用公路运输。</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本项目不属于高耗能、高 污染行业，不属于禁止新增产能行业，不涉及到大宗物料运输。</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093" w:type="dxa"/>
                  <w:vMerge w:val="continue"/>
                  <w:vAlign w:val="center"/>
                </w:tcPr>
                <w:p>
                  <w:pPr>
                    <w:snapToGrid w:val="0"/>
                    <w:spacing w:line="340" w:lineRule="exact"/>
                    <w:rPr>
                      <w:bCs/>
                      <w:color w:val="000000" w:themeColor="text1"/>
                      <w:kern w:val="0"/>
                      <w:szCs w:val="21"/>
                      <w14:textFill>
                        <w14:solidFill>
                          <w14:schemeClr w14:val="tx1"/>
                        </w14:solidFill>
                      </w14:textFill>
                    </w:rPr>
                  </w:pP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严格施工扬尘污染管控。做到工地周边围挡、物料堆放覆盖、土方开挖湿法作业、路面硬化、出入车辆清洗、渣土车辆密闭运输“六个百分之百”</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禁止施工工地现场搅拌混凝土、现场配置砂浆等。</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w:t>
                  </w:r>
                  <w:r>
                    <w:rPr>
                      <w:rFonts w:hint="eastAsia"/>
                      <w:bCs/>
                      <w:color w:val="000000" w:themeColor="text1"/>
                      <w:kern w:val="0"/>
                      <w:szCs w:val="21"/>
                      <w14:textFill>
                        <w14:solidFill>
                          <w14:schemeClr w14:val="tx1"/>
                        </w14:solidFill>
                      </w14:textFill>
                    </w:rPr>
                    <w:t>利用现有厂房生产，</w:t>
                  </w:r>
                  <w:r>
                    <w:rPr>
                      <w:bCs/>
                      <w:color w:val="000000" w:themeColor="text1"/>
                      <w:kern w:val="0"/>
                      <w:szCs w:val="21"/>
                      <w14:textFill>
                        <w14:solidFill>
                          <w14:schemeClr w14:val="tx1"/>
                        </w14:solidFill>
                      </w14:textFill>
                    </w:rPr>
                    <w:t>不涉及土建工程。</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1093"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全面打好碧水保卫战</w:t>
                  </w: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坚持污染减排和生态扩容两手发力，重点打好城黑臭水体治理、饮用水源地保护、全域清洁河流、农业农村污染治理四个标志性攻坚战役，统筹推进各项水污染防治工作。</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项目区雨水经厂区雨水收集系统收集后排入东侧165m的白河；营运期无生产废水，职工生活污水经化粪池处理后用于周围农田施肥，资源化利用不外排，</w:t>
                  </w:r>
                  <w:r>
                    <w:rPr>
                      <w:bCs/>
                      <w:color w:val="000000" w:themeColor="text1"/>
                      <w:kern w:val="0"/>
                      <w:szCs w:val="21"/>
                      <w14:textFill>
                        <w14:solidFill>
                          <w14:schemeClr w14:val="tx1"/>
                        </w14:solidFill>
                      </w14:textFill>
                    </w:rPr>
                    <w:t>项目建设不会对地表水体造成影响。</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trPr>
              <w:tc>
                <w:tcPr>
                  <w:tcW w:w="1093"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扎实推进净土保卫战</w:t>
                  </w: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面落实清洁土壤行动计划，夯实土壤污染防治基，实施农用地分类管理和建设用地准入管理</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确保我市粮食和人居环境安全。</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本项目用地</w:t>
                  </w:r>
                  <w:r>
                    <w:rPr>
                      <w:rFonts w:hint="eastAsia"/>
                      <w:bCs/>
                      <w:color w:val="000000" w:themeColor="text1"/>
                      <w:kern w:val="0"/>
                      <w:szCs w:val="21"/>
                      <w14:textFill>
                        <w14:solidFill>
                          <w14:schemeClr w14:val="tx1"/>
                        </w14:solidFill>
                      </w14:textFill>
                    </w:rPr>
                    <w:t>属于建设</w:t>
                  </w:r>
                  <w:r>
                    <w:rPr>
                      <w:bCs/>
                      <w:color w:val="000000" w:themeColor="text1"/>
                      <w:kern w:val="0"/>
                      <w:szCs w:val="21"/>
                      <w14:textFill>
                        <w14:solidFill>
                          <w14:schemeClr w14:val="tx1"/>
                        </w14:solidFill>
                      </w14:textFill>
                    </w:rPr>
                    <w:t>用地，符合用地准入管理。</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093"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加快推进生态体系建设</w:t>
                  </w:r>
                </w:p>
              </w:tc>
              <w:tc>
                <w:tcPr>
                  <w:tcW w:w="3275"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加强规划引导和红线控制；推进生态保护与修复；开国土绿化行动；提升农田生态化水平；打造生态宜城市</w:t>
                  </w:r>
                </w:p>
              </w:tc>
              <w:tc>
                <w:tcPr>
                  <w:tcW w:w="2410" w:type="dxa"/>
                  <w:vAlign w:val="center"/>
                </w:tcPr>
                <w:p>
                  <w:pPr>
                    <w:snapToGrid w:val="0"/>
                    <w:spacing w:line="3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本项目选址不涉及自然保护区、饮用水源保护区及其他敏感区域，符合红线控制要求。</w:t>
                  </w:r>
                </w:p>
              </w:tc>
              <w:tc>
                <w:tcPr>
                  <w:tcW w:w="959" w:type="dxa"/>
                  <w:vAlign w:val="center"/>
                </w:tcPr>
                <w:p>
                  <w:pPr>
                    <w:snapToGrid w:val="0"/>
                    <w:spacing w:line="34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相符</w:t>
                  </w:r>
                </w:p>
              </w:tc>
            </w:tr>
          </w:tbl>
          <w:p>
            <w:pPr>
              <w:tabs>
                <w:tab w:val="left" w:pos="1081"/>
              </w:tabs>
              <w:adjustRightInd w:val="0"/>
              <w:snapToGrid w:val="0"/>
              <w:spacing w:line="360" w:lineRule="auto"/>
              <w:ind w:firstLine="480" w:firstLineChars="200"/>
              <w:rPr>
                <w:sz w:val="24"/>
              </w:rPr>
            </w:pPr>
            <w:r>
              <w:rPr>
                <w:rFonts w:hint="eastAsia"/>
                <w:sz w:val="24"/>
              </w:rPr>
              <w:t>由</w:t>
            </w:r>
            <w:r>
              <w:rPr>
                <w:sz w:val="24"/>
              </w:rPr>
              <w:t>上表分析可知，本项目建设符合《南阳市污染防治攻坚战三年行动方案（2018-202年）的通知》中相关要求。</w:t>
            </w:r>
          </w:p>
          <w:p>
            <w:pPr>
              <w:pStyle w:val="60"/>
              <w:snapToGrid w:val="0"/>
              <w:ind w:firstLine="482" w:firstLineChars="200"/>
              <w:rPr>
                <w:rFonts w:ascii="Times New Roman" w:eastAsiaTheme="minorEastAsia"/>
                <w:b/>
                <w:szCs w:val="24"/>
              </w:rPr>
            </w:pPr>
            <w:r>
              <w:rPr>
                <w:rFonts w:hint="eastAsia" w:ascii="Times New Roman" w:eastAsiaTheme="minorEastAsia"/>
                <w:b/>
                <w:szCs w:val="24"/>
              </w:rPr>
              <w:t>3.3项目建设与《河南省2019年工业企业无组织排放治理方案》的相符性</w:t>
            </w:r>
          </w:p>
          <w:p>
            <w:pPr>
              <w:tabs>
                <w:tab w:val="left" w:pos="1081"/>
              </w:tabs>
              <w:adjustRightInd w:val="0"/>
              <w:snapToGrid w:val="0"/>
              <w:spacing w:line="360" w:lineRule="auto"/>
              <w:ind w:firstLine="480" w:firstLineChars="200"/>
              <w:rPr>
                <w:sz w:val="24"/>
                <w:szCs w:val="24"/>
              </w:rPr>
            </w:pPr>
            <w:r>
              <w:rPr>
                <w:sz w:val="24"/>
              </w:rPr>
              <w:t>本项目建设与</w:t>
            </w:r>
            <w:r>
              <w:rPr>
                <w:rFonts w:hint="eastAsia"/>
                <w:sz w:val="24"/>
              </w:rPr>
              <w:t>河南省2019年工业企业无组织排放治理方案中有关要求的相符性分析见下表。</w:t>
            </w:r>
          </w:p>
          <w:p>
            <w:pPr>
              <w:adjustRightInd w:val="0"/>
              <w:snapToGrid w:val="0"/>
              <w:spacing w:line="360" w:lineRule="auto"/>
              <w:jc w:val="center"/>
              <w:rPr>
                <w:b/>
                <w:sz w:val="24"/>
              </w:rPr>
            </w:pPr>
            <w:r>
              <w:rPr>
                <w:rFonts w:hint="eastAsia"/>
                <w:b/>
                <w:bCs/>
                <w:sz w:val="24"/>
              </w:rPr>
              <w:t>表1-4  项目建设与</w:t>
            </w:r>
            <w:r>
              <w:rPr>
                <w:rFonts w:hint="eastAsia"/>
                <w:b/>
                <w:sz w:val="24"/>
              </w:rPr>
              <w:t>河南省2019年工业企业无组织排放治理方案内容的相符性分析表</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518"/>
              <w:gridCol w:w="2410"/>
              <w:gridCol w:w="95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4365" w:type="dxa"/>
                  <w:gridSpan w:val="2"/>
                  <w:tcBorders>
                    <w:top w:val="single" w:color="auto" w:sz="6" w:space="0"/>
                    <w:left w:val="single" w:color="auto" w:sz="6" w:space="0"/>
                    <w:bottom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方案内容</w:t>
                  </w:r>
                </w:p>
              </w:tc>
              <w:tc>
                <w:tcPr>
                  <w:tcW w:w="2410" w:type="dxa"/>
                  <w:tcBorders>
                    <w:top w:val="single" w:color="auto" w:sz="6" w:space="0"/>
                    <w:bottom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本项目建设情况</w:t>
                  </w:r>
                </w:p>
              </w:tc>
              <w:tc>
                <w:tcPr>
                  <w:tcW w:w="956" w:type="dxa"/>
                  <w:tcBorders>
                    <w:top w:val="single" w:color="auto" w:sz="6" w:space="0"/>
                    <w:bottom w:val="single" w:color="auto" w:sz="6" w:space="0"/>
                    <w:right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相符性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7731" w:type="dxa"/>
                  <w:gridSpan w:val="4"/>
                  <w:tcBorders>
                    <w:top w:val="single" w:color="auto" w:sz="6" w:space="0"/>
                    <w:left w:val="single" w:color="auto" w:sz="6" w:space="0"/>
                    <w:right w:val="single" w:color="auto" w:sz="6" w:space="0"/>
                  </w:tcBorders>
                  <w:shd w:val="clear" w:color="auto" w:fill="auto"/>
                  <w:vAlign w:val="center"/>
                </w:tcPr>
                <w:p>
                  <w:pPr>
                    <w:widowControl/>
                    <w:snapToGrid w:val="0"/>
                    <w:spacing w:line="300" w:lineRule="exact"/>
                    <w:rPr>
                      <w:bCs/>
                      <w:szCs w:val="21"/>
                    </w:rPr>
                  </w:pPr>
                  <w:r>
                    <w:rPr>
                      <w:rFonts w:hint="eastAsia"/>
                      <w:bCs/>
                      <w:szCs w:val="21"/>
                    </w:rPr>
                    <w:t>十六、其他行业无组织排放治理标准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27" w:hRule="atLeast"/>
                <w:jc w:val="center"/>
              </w:trPr>
              <w:tc>
                <w:tcPr>
                  <w:tcW w:w="847" w:type="dxa"/>
                  <w:tcBorders>
                    <w:top w:val="single" w:color="auto" w:sz="6" w:space="0"/>
                    <w:left w:val="single" w:color="auto" w:sz="6" w:space="0"/>
                    <w:bottom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（一）</w:t>
                  </w:r>
                </w:p>
                <w:p>
                  <w:pPr>
                    <w:widowControl/>
                    <w:snapToGrid w:val="0"/>
                    <w:spacing w:line="300" w:lineRule="exact"/>
                    <w:jc w:val="center"/>
                    <w:rPr>
                      <w:bCs/>
                      <w:szCs w:val="21"/>
                    </w:rPr>
                  </w:pPr>
                  <w:r>
                    <w:rPr>
                      <w:rFonts w:hint="eastAsia"/>
                      <w:bCs/>
                      <w:szCs w:val="21"/>
                    </w:rPr>
                    <w:t>料场密闭治理</w:t>
                  </w:r>
                </w:p>
                <w:p>
                  <w:pPr>
                    <w:snapToGrid w:val="0"/>
                    <w:spacing w:line="300" w:lineRule="exact"/>
                    <w:jc w:val="center"/>
                    <w:rPr>
                      <w:bCs/>
                      <w:szCs w:val="21"/>
                    </w:rPr>
                  </w:pPr>
                </w:p>
              </w:tc>
              <w:tc>
                <w:tcPr>
                  <w:tcW w:w="3518" w:type="dxa"/>
                  <w:shd w:val="clear" w:color="auto" w:fill="auto"/>
                  <w:vAlign w:val="center"/>
                </w:tcPr>
                <w:p>
                  <w:pPr>
                    <w:widowControl/>
                    <w:snapToGrid w:val="0"/>
                    <w:spacing w:line="300" w:lineRule="exact"/>
                    <w:rPr>
                      <w:bCs/>
                      <w:szCs w:val="21"/>
                    </w:rPr>
                  </w:pPr>
                  <w:r>
                    <w:rPr>
                      <w:bCs/>
                      <w:szCs w:val="21"/>
                    </w:rPr>
                    <w:t>1.所有物料（包括原辅料、半成品、成品）进库存放，厂界内无露天堆放物料。料场安装喷干雾抑尘设施；2.密闭料场必须覆盖所有堆场料区（堆放区、工作区和主通道区）；3.车间、料库四面密闭，通道口安装卷帘门、推拉门等封闭性良好且便于开关的硬质门，在无车辆出入时将门关闭，保证空气合理流动不产生湍流；4.所有地面完成硬化，并保证除物料堆放区域外没有明显积尘；5.每个下料口设置独立集气罩，配套的除尘设施不与其他工序混用；6.厂房车间各生产工序须功能区化，各功能区安装固定的喷干雾抑尘装置；7.厂区出口应安装车辆冲洗装置，保证出场车辆车轮车身干净、运行不起尘。</w:t>
                  </w:r>
                </w:p>
              </w:tc>
              <w:tc>
                <w:tcPr>
                  <w:tcW w:w="2410" w:type="dxa"/>
                  <w:tcBorders>
                    <w:bottom w:val="single" w:color="auto" w:sz="6" w:space="0"/>
                  </w:tcBorders>
                  <w:shd w:val="clear" w:color="auto" w:fill="auto"/>
                  <w:vAlign w:val="center"/>
                </w:tcPr>
                <w:p>
                  <w:pPr>
                    <w:snapToGrid w:val="0"/>
                    <w:spacing w:line="300" w:lineRule="exact"/>
                    <w:rPr>
                      <w:bCs/>
                      <w:szCs w:val="21"/>
                    </w:rPr>
                  </w:pPr>
                  <w:r>
                    <w:rPr>
                      <w:rFonts w:hint="eastAsia"/>
                      <w:bCs/>
                      <w:szCs w:val="21"/>
                    </w:rPr>
                    <w:t>项目原料储存于封闭原料库内；项目原料区、分拣区、卸车通道均设置于密闭原料库内；项目原料库通道口安装有卷帘门，封闭性良好；项目原料库地面全部硬化，料库地面定期打扫，没有积尘；项目原料主要为密度板及三聚氰胺纸，卸料过程基本无扬尘产生；项目单独设置有原料库，生产车间内包括生产区、成品区，功能区划明确。</w:t>
                  </w:r>
                </w:p>
              </w:tc>
              <w:tc>
                <w:tcPr>
                  <w:tcW w:w="956" w:type="dxa"/>
                  <w:tcBorders>
                    <w:right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847" w:type="dxa"/>
                  <w:tcBorders>
                    <w:top w:val="single" w:color="auto" w:sz="6" w:space="0"/>
                    <w:left w:val="single" w:color="auto" w:sz="6" w:space="0"/>
                    <w:bottom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（二）</w:t>
                  </w:r>
                </w:p>
                <w:p>
                  <w:pPr>
                    <w:widowControl/>
                    <w:snapToGrid w:val="0"/>
                    <w:spacing w:line="300" w:lineRule="exact"/>
                    <w:jc w:val="center"/>
                    <w:rPr>
                      <w:bCs/>
                      <w:szCs w:val="21"/>
                    </w:rPr>
                  </w:pPr>
                  <w:r>
                    <w:rPr>
                      <w:rFonts w:hint="eastAsia"/>
                      <w:bCs/>
                      <w:szCs w:val="21"/>
                    </w:rPr>
                    <w:t>物料输送环节治理</w:t>
                  </w:r>
                </w:p>
                <w:p>
                  <w:pPr>
                    <w:snapToGrid w:val="0"/>
                    <w:spacing w:line="300" w:lineRule="exact"/>
                    <w:jc w:val="center"/>
                    <w:rPr>
                      <w:bCs/>
                      <w:szCs w:val="21"/>
                    </w:rPr>
                  </w:pPr>
                </w:p>
              </w:tc>
              <w:tc>
                <w:tcPr>
                  <w:tcW w:w="3518" w:type="dxa"/>
                  <w:shd w:val="clear" w:color="auto" w:fill="auto"/>
                  <w:vAlign w:val="center"/>
                </w:tcPr>
                <w:p>
                  <w:pPr>
                    <w:widowControl/>
                    <w:snapToGrid w:val="0"/>
                    <w:spacing w:line="300" w:lineRule="exact"/>
                    <w:rPr>
                      <w:bCs/>
                      <w:szCs w:val="21"/>
                    </w:rPr>
                  </w:pPr>
                  <w:r>
                    <w:rPr>
                      <w:bCs/>
                      <w:szCs w:val="21"/>
                    </w:rPr>
                    <w:t>1.散状物料采用封闭式输送方式</w:t>
                  </w:r>
                  <w:r>
                    <w:rPr>
                      <w:rFonts w:hint="eastAsia"/>
                      <w:bCs/>
                      <w:szCs w:val="21"/>
                    </w:rPr>
                    <w:t>，</w:t>
                  </w:r>
                  <w:r>
                    <w:rPr>
                      <w:bCs/>
                      <w:szCs w:val="21"/>
                    </w:rPr>
                    <w:t>皮带输送机受料点、卸料点应设置密闭罩，并配备除尘设施；2.皮带输送机或物料提升机需在密闭廊道内运行，并在所有落料位置设置集尘装置及配备除尘系统；3.运输车辆装载高度最高点不得超过车辆槽帮上沿40厘米，两侧边缘应当低于槽帮上缘10厘米，车斗应采用苫布覆盖，苫布边缘至少要遮住槽帮上沿以下15厘米，禁止厂内露天转运散状物料；4.除尘器卸灰不直接卸落到地面，卸灰区封闭。除尘灰采用气力输送、罐车等密闭方式运输；采用非密闭方式运输的，车辆应苫盖，装卸车时应采取加湿等措施抑尘。</w:t>
                  </w:r>
                </w:p>
              </w:tc>
              <w:tc>
                <w:tcPr>
                  <w:tcW w:w="2410" w:type="dxa"/>
                  <w:tcBorders>
                    <w:top w:val="single" w:color="auto" w:sz="6" w:space="0"/>
                    <w:bottom w:val="single" w:color="auto" w:sz="6" w:space="0"/>
                  </w:tcBorders>
                  <w:shd w:val="clear" w:color="auto" w:fill="auto"/>
                  <w:vAlign w:val="center"/>
                </w:tcPr>
                <w:p>
                  <w:pPr>
                    <w:snapToGrid w:val="0"/>
                    <w:spacing w:line="300" w:lineRule="exact"/>
                    <w:rPr>
                      <w:bCs/>
                      <w:szCs w:val="21"/>
                    </w:rPr>
                  </w:pPr>
                  <w:r>
                    <w:rPr>
                      <w:rFonts w:hint="eastAsia"/>
                      <w:bCs/>
                      <w:szCs w:val="21"/>
                    </w:rPr>
                    <w:t xml:space="preserve">本项目原料为密度板及三聚氰胺纸，卸料过程基本无扬尘产生；项目生产过程无粉尘产生。 </w:t>
                  </w:r>
                </w:p>
              </w:tc>
              <w:tc>
                <w:tcPr>
                  <w:tcW w:w="956" w:type="dxa"/>
                  <w:tcBorders>
                    <w:right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847" w:type="dxa"/>
                  <w:tcBorders>
                    <w:top w:val="single" w:color="auto" w:sz="6" w:space="0"/>
                    <w:left w:val="single" w:color="auto" w:sz="6" w:space="0"/>
                    <w:bottom w:val="single" w:color="auto" w:sz="6" w:space="0"/>
                  </w:tcBorders>
                  <w:shd w:val="clear" w:color="auto" w:fill="auto"/>
                  <w:vAlign w:val="center"/>
                </w:tcPr>
                <w:p>
                  <w:pPr>
                    <w:widowControl/>
                    <w:snapToGrid w:val="0"/>
                    <w:spacing w:line="300" w:lineRule="exact"/>
                    <w:rPr>
                      <w:bCs/>
                      <w:szCs w:val="21"/>
                    </w:rPr>
                  </w:pPr>
                  <w:r>
                    <w:rPr>
                      <w:rFonts w:hint="eastAsia"/>
                      <w:bCs/>
                      <w:szCs w:val="21"/>
                    </w:rPr>
                    <w:t>（三）</w:t>
                  </w:r>
                </w:p>
                <w:p>
                  <w:pPr>
                    <w:widowControl/>
                    <w:snapToGrid w:val="0"/>
                    <w:spacing w:line="300" w:lineRule="exact"/>
                    <w:rPr>
                      <w:bCs/>
                      <w:szCs w:val="21"/>
                    </w:rPr>
                  </w:pPr>
                  <w:r>
                    <w:rPr>
                      <w:rFonts w:hint="eastAsia"/>
                      <w:bCs/>
                      <w:szCs w:val="21"/>
                    </w:rPr>
                    <w:t>生产环节治理</w:t>
                  </w:r>
                </w:p>
              </w:tc>
              <w:tc>
                <w:tcPr>
                  <w:tcW w:w="3518" w:type="dxa"/>
                  <w:shd w:val="clear" w:color="auto" w:fill="auto"/>
                  <w:vAlign w:val="center"/>
                </w:tcPr>
                <w:p>
                  <w:pPr>
                    <w:widowControl/>
                    <w:snapToGrid w:val="0"/>
                    <w:spacing w:line="300" w:lineRule="exact"/>
                    <w:rPr>
                      <w:bCs/>
                      <w:szCs w:val="21"/>
                    </w:rPr>
                  </w:pPr>
                  <w:r>
                    <w:rPr>
                      <w:rFonts w:hint="eastAsia"/>
                      <w:bCs/>
                      <w:szCs w:val="21"/>
                    </w:rPr>
                    <w:t>1.物料上料、破碎、筛分、混料等生产过程中的产尘点应在封闭的厂房内进行二次封闭，并安装集气设施和除尘设施；2.在生产过程中的产生VOC</w:t>
                  </w:r>
                  <w:r>
                    <w:rPr>
                      <w:rFonts w:hint="eastAsia"/>
                      <w:bCs/>
                      <w:szCs w:val="21"/>
                      <w:vertAlign w:val="subscript"/>
                    </w:rPr>
                    <w:t>S</w:t>
                  </w:r>
                  <w:r>
                    <w:rPr>
                      <w:rFonts w:hint="eastAsia"/>
                      <w:bCs/>
                      <w:szCs w:val="21"/>
                    </w:rPr>
                    <w:t>的工序应在封闭的厂房内进行二次封闭，并安装集气设施和VOC</w:t>
                  </w:r>
                  <w:r>
                    <w:rPr>
                      <w:rFonts w:hint="eastAsia"/>
                      <w:bCs/>
                      <w:szCs w:val="21"/>
                      <w:vertAlign w:val="subscript"/>
                    </w:rPr>
                    <w:t>S</w:t>
                  </w:r>
                  <w:r>
                    <w:rPr>
                      <w:rFonts w:hint="eastAsia"/>
                      <w:bCs/>
                      <w:szCs w:val="21"/>
                    </w:rPr>
                    <w:t>处理设施；3.其他方面：禁止生产车间内散放原料，需采用全封闭式/地下料仓，并配备完备的废气收集和处理系统，生产环节必须在密闭良好的车间内运行。</w:t>
                  </w:r>
                </w:p>
              </w:tc>
              <w:tc>
                <w:tcPr>
                  <w:tcW w:w="2410" w:type="dxa"/>
                  <w:tcBorders>
                    <w:top w:val="single" w:color="auto" w:sz="6" w:space="0"/>
                    <w:bottom w:val="single" w:color="auto" w:sz="6" w:space="0"/>
                  </w:tcBorders>
                  <w:shd w:val="clear" w:color="auto" w:fill="auto"/>
                  <w:vAlign w:val="center"/>
                </w:tcPr>
                <w:p>
                  <w:pPr>
                    <w:snapToGrid w:val="0"/>
                    <w:spacing w:line="300" w:lineRule="exact"/>
                    <w:rPr>
                      <w:bCs/>
                      <w:szCs w:val="21"/>
                    </w:rPr>
                  </w:pPr>
                  <w:r>
                    <w:rPr>
                      <w:rFonts w:hint="eastAsia"/>
                      <w:bCs/>
                      <w:szCs w:val="21"/>
                    </w:rPr>
                    <w:t>本项目生产过热压工序会产生有机废气，有机废气经集气罩收集后通过管道引至1套UV光氧催化+低温等离子处理装置处理后可以实现达标排放；项目设置有单独原料库，车间内不散放原料；项目生产车间内密闭性良好。</w:t>
                  </w:r>
                </w:p>
              </w:tc>
              <w:tc>
                <w:tcPr>
                  <w:tcW w:w="956" w:type="dxa"/>
                  <w:tcBorders>
                    <w:right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847" w:type="dxa"/>
                  <w:tcBorders>
                    <w:top w:val="single" w:color="auto" w:sz="6" w:space="0"/>
                    <w:left w:val="single" w:color="auto" w:sz="6" w:space="0"/>
                    <w:bottom w:val="single" w:color="auto" w:sz="6" w:space="0"/>
                  </w:tcBorders>
                  <w:shd w:val="clear" w:color="auto" w:fill="auto"/>
                  <w:vAlign w:val="center"/>
                </w:tcPr>
                <w:p>
                  <w:pPr>
                    <w:widowControl/>
                    <w:snapToGrid w:val="0"/>
                    <w:spacing w:line="300" w:lineRule="exact"/>
                    <w:jc w:val="center"/>
                    <w:rPr>
                      <w:bCs/>
                      <w:szCs w:val="21"/>
                    </w:rPr>
                  </w:pPr>
                  <w:r>
                    <w:rPr>
                      <w:bCs/>
                      <w:szCs w:val="21"/>
                    </w:rPr>
                    <w:t>（四）</w:t>
                  </w:r>
                </w:p>
                <w:p>
                  <w:pPr>
                    <w:widowControl/>
                    <w:snapToGrid w:val="0"/>
                    <w:spacing w:line="300" w:lineRule="exact"/>
                    <w:jc w:val="center"/>
                    <w:rPr>
                      <w:bCs/>
                      <w:szCs w:val="21"/>
                    </w:rPr>
                  </w:pPr>
                  <w:r>
                    <w:rPr>
                      <w:bCs/>
                      <w:szCs w:val="21"/>
                    </w:rPr>
                    <w:t>厂区</w:t>
                  </w:r>
                  <w:r>
                    <w:rPr>
                      <w:rFonts w:hint="eastAsia"/>
                      <w:bCs/>
                      <w:szCs w:val="21"/>
                    </w:rPr>
                    <w:t>、</w:t>
                  </w:r>
                  <w:r>
                    <w:rPr>
                      <w:bCs/>
                      <w:szCs w:val="21"/>
                    </w:rPr>
                    <w:t>车辆治理</w:t>
                  </w:r>
                </w:p>
              </w:tc>
              <w:tc>
                <w:tcPr>
                  <w:tcW w:w="3518" w:type="dxa"/>
                  <w:shd w:val="clear" w:color="auto" w:fill="auto"/>
                  <w:vAlign w:val="center"/>
                </w:tcPr>
                <w:p>
                  <w:pPr>
                    <w:widowControl/>
                    <w:snapToGrid w:val="0"/>
                    <w:spacing w:line="300" w:lineRule="exact"/>
                    <w:rPr>
                      <w:bCs/>
                      <w:szCs w:val="21"/>
                    </w:rPr>
                  </w:pPr>
                  <w:r>
                    <w:rPr>
                      <w:bCs/>
                      <w:szCs w:val="21"/>
                    </w:rPr>
                    <w:t>1.厂区道路硬化</w:t>
                  </w:r>
                  <w:r>
                    <w:rPr>
                      <w:rFonts w:hint="eastAsia"/>
                      <w:bCs/>
                      <w:szCs w:val="21"/>
                    </w:rPr>
                    <w:t>，</w:t>
                  </w:r>
                  <w:r>
                    <w:rPr>
                      <w:bCs/>
                      <w:szCs w:val="21"/>
                    </w:rPr>
                    <w:t>平整无破损，无积尘，厂区无裸露空地，闲置裸露空地绿化</w:t>
                  </w:r>
                  <w:r>
                    <w:rPr>
                      <w:rFonts w:hint="eastAsia"/>
                      <w:bCs/>
                      <w:szCs w:val="21"/>
                    </w:rPr>
                    <w:t>；</w:t>
                  </w:r>
                  <w:r>
                    <w:rPr>
                      <w:bCs/>
                      <w:szCs w:val="21"/>
                    </w:rPr>
                    <w:t>2.对厂区道路定期洒水清扫</w:t>
                  </w:r>
                  <w:r>
                    <w:rPr>
                      <w:rFonts w:hint="eastAsia"/>
                      <w:bCs/>
                      <w:szCs w:val="21"/>
                    </w:rPr>
                    <w:t>；3.</w:t>
                  </w:r>
                  <w:r>
                    <w:rPr>
                      <w:bCs/>
                      <w:szCs w:val="21"/>
                    </w:rPr>
                    <w:t>企业出厂口处配备高压清洗装置对所有车辆车轮、底盘进行冲洗</w:t>
                  </w:r>
                  <w:r>
                    <w:rPr>
                      <w:rFonts w:hint="eastAsia"/>
                      <w:bCs/>
                      <w:szCs w:val="21"/>
                    </w:rPr>
                    <w:t>，</w:t>
                  </w:r>
                  <w:r>
                    <w:rPr>
                      <w:bCs/>
                      <w:szCs w:val="21"/>
                    </w:rPr>
                    <w:t>严禁带 泥上路</w:t>
                  </w:r>
                  <w:r>
                    <w:rPr>
                      <w:rFonts w:hint="eastAsia"/>
                      <w:bCs/>
                      <w:szCs w:val="21"/>
                    </w:rPr>
                    <w:t>。</w:t>
                  </w:r>
                  <w:r>
                    <w:rPr>
                      <w:bCs/>
                      <w:szCs w:val="21"/>
                    </w:rPr>
                    <w:t>洗车平台四周应设置洗车废水收集防治设施。</w:t>
                  </w:r>
                </w:p>
              </w:tc>
              <w:tc>
                <w:tcPr>
                  <w:tcW w:w="2410" w:type="dxa"/>
                  <w:tcBorders>
                    <w:top w:val="single" w:color="auto" w:sz="6" w:space="0"/>
                    <w:bottom w:val="single" w:color="auto" w:sz="6" w:space="0"/>
                  </w:tcBorders>
                  <w:shd w:val="clear" w:color="auto" w:fill="auto"/>
                  <w:vAlign w:val="center"/>
                </w:tcPr>
                <w:p>
                  <w:pPr>
                    <w:snapToGrid w:val="0"/>
                    <w:spacing w:line="300" w:lineRule="exact"/>
                    <w:rPr>
                      <w:bCs/>
                      <w:szCs w:val="21"/>
                    </w:rPr>
                  </w:pPr>
                  <w:r>
                    <w:rPr>
                      <w:rFonts w:hint="eastAsia"/>
                      <w:bCs/>
                      <w:szCs w:val="21"/>
                    </w:rPr>
                    <w:t>项目厂区道路全部硬化，平整无破损、无积尘；并对厂区道路定期洒水清扫。</w:t>
                  </w:r>
                </w:p>
              </w:tc>
              <w:tc>
                <w:tcPr>
                  <w:tcW w:w="956" w:type="dxa"/>
                  <w:tcBorders>
                    <w:right w:val="single" w:color="auto" w:sz="6" w:space="0"/>
                  </w:tcBorders>
                  <w:shd w:val="clear" w:color="auto" w:fill="auto"/>
                  <w:vAlign w:val="center"/>
                </w:tcPr>
                <w:p>
                  <w:pPr>
                    <w:widowControl/>
                    <w:snapToGrid w:val="0"/>
                    <w:spacing w:line="300" w:lineRule="exact"/>
                    <w:jc w:val="center"/>
                    <w:rPr>
                      <w:bCs/>
                      <w:szCs w:val="21"/>
                    </w:rPr>
                  </w:pPr>
                  <w:r>
                    <w:rPr>
                      <w:rFonts w:hint="eastAsia"/>
                      <w:bCs/>
                      <w:szCs w:val="21"/>
                    </w:rPr>
                    <w:t>相符</w:t>
                  </w:r>
                </w:p>
              </w:tc>
            </w:tr>
          </w:tbl>
          <w:p>
            <w:pPr>
              <w:adjustRightInd w:val="0"/>
              <w:snapToGrid w:val="0"/>
              <w:spacing w:line="360" w:lineRule="auto"/>
              <w:ind w:firstLine="480" w:firstLineChars="200"/>
              <w:rPr>
                <w:bCs/>
                <w:kern w:val="0"/>
                <w:sz w:val="24"/>
              </w:rPr>
            </w:pPr>
            <w:r>
              <w:rPr>
                <w:rFonts w:hint="eastAsia"/>
                <w:bCs/>
                <w:kern w:val="0"/>
                <w:sz w:val="24"/>
              </w:rPr>
              <w:t>由上表分析可知，本项目建设符合与《河南省2019年工业企业无组织排放治理方案》相关要求。</w:t>
            </w:r>
          </w:p>
          <w:p>
            <w:pPr>
              <w:tabs>
                <w:tab w:val="left" w:pos="1081"/>
              </w:tabs>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4、项目建设与</w:t>
            </w:r>
            <w:r>
              <w:rPr>
                <w:rFonts w:eastAsiaTheme="minorEastAsia"/>
                <w:b/>
                <w:sz w:val="24"/>
                <w:szCs w:val="24"/>
              </w:rPr>
              <w:t>“三线一单”的相符性</w:t>
            </w:r>
          </w:p>
          <w:p>
            <w:pPr>
              <w:tabs>
                <w:tab w:val="left" w:pos="1081"/>
              </w:tabs>
              <w:adjustRightInd w:val="0"/>
              <w:snapToGrid w:val="0"/>
              <w:spacing w:line="360" w:lineRule="auto"/>
              <w:ind w:firstLine="480" w:firstLineChars="200"/>
              <w:rPr>
                <w:sz w:val="24"/>
                <w:szCs w:val="24"/>
              </w:rPr>
            </w:pPr>
            <w:r>
              <w:rPr>
                <w:rFonts w:hint="eastAsia"/>
                <w:sz w:val="24"/>
                <w:szCs w:val="24"/>
              </w:rPr>
              <w:t>为深入贯彻《中共中央国务院关于全面加强生态环境保护坚决打好污染防治攻坚战的意见》，加快推进生态文明建设，河南省人民政府发布了《关于实施“三线一单”生态环境分区管控的意见》（豫政[2020]37号），意见主要内容如下：</w:t>
            </w:r>
          </w:p>
          <w:p>
            <w:pPr>
              <w:tabs>
                <w:tab w:val="left" w:pos="1081"/>
              </w:tabs>
              <w:adjustRightInd w:val="0"/>
              <w:snapToGrid w:val="0"/>
              <w:spacing w:line="360" w:lineRule="auto"/>
              <w:ind w:firstLine="480" w:firstLineChars="200"/>
              <w:rPr>
                <w:sz w:val="24"/>
                <w:szCs w:val="24"/>
              </w:rPr>
            </w:pPr>
            <w:r>
              <w:rPr>
                <w:rFonts w:hint="eastAsia"/>
                <w:sz w:val="24"/>
                <w:szCs w:val="24"/>
              </w:rPr>
              <w:t>（一）划分生态环境管控单元。按照生态保护红线、环境质量底线、资源利用上线等相关要求，划定全省优先保护单元、重点管控单元和一般管控单元三类生态环境管控单元，并实施分类管控。为确保政策协同，划定的各类生态环境管控单元的数量、面积和地域分布依照国土空间规划明确的空间格局、约束性指标等调整确定。</w:t>
            </w:r>
          </w:p>
          <w:p>
            <w:pPr>
              <w:tabs>
                <w:tab w:val="left" w:pos="1081"/>
              </w:tabs>
              <w:adjustRightInd w:val="0"/>
              <w:snapToGrid w:val="0"/>
              <w:spacing w:line="360" w:lineRule="auto"/>
              <w:ind w:firstLine="480" w:firstLineChars="200"/>
              <w:rPr>
                <w:sz w:val="24"/>
                <w:szCs w:val="24"/>
              </w:rPr>
            </w:pPr>
            <w:r>
              <w:rPr>
                <w:rFonts w:hint="eastAsia"/>
                <w:sz w:val="24"/>
                <w:szCs w:val="24"/>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pPr>
              <w:tabs>
                <w:tab w:val="left" w:pos="1081"/>
              </w:tabs>
              <w:adjustRightInd w:val="0"/>
              <w:snapToGrid w:val="0"/>
              <w:spacing w:line="360" w:lineRule="auto"/>
              <w:ind w:firstLine="480" w:firstLineChars="200"/>
              <w:rPr>
                <w:sz w:val="24"/>
                <w:szCs w:val="24"/>
              </w:rPr>
            </w:pPr>
            <w:r>
              <w:rPr>
                <w:rFonts w:hint="eastAsia"/>
                <w:sz w:val="24"/>
                <w:szCs w:val="24"/>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pPr>
              <w:tabs>
                <w:tab w:val="left" w:pos="1081"/>
              </w:tabs>
              <w:adjustRightInd w:val="0"/>
              <w:snapToGrid w:val="0"/>
              <w:spacing w:line="360" w:lineRule="auto"/>
              <w:ind w:firstLine="480" w:firstLineChars="200"/>
              <w:rPr>
                <w:sz w:val="24"/>
                <w:szCs w:val="24"/>
              </w:rPr>
            </w:pPr>
            <w:r>
              <w:rPr>
                <w:rFonts w:hint="eastAsia"/>
                <w:sz w:val="24"/>
                <w:szCs w:val="24"/>
              </w:rPr>
              <w:t>——一般管控单元。指除优先保护单元、重点管控单元以外的其他区域。主要落实生态环境保护的基本要求，生态环境状况得到保持或优化。</w:t>
            </w:r>
          </w:p>
          <w:p>
            <w:pPr>
              <w:tabs>
                <w:tab w:val="left" w:pos="1081"/>
              </w:tabs>
              <w:adjustRightInd w:val="0"/>
              <w:snapToGrid w:val="0"/>
              <w:spacing w:line="360" w:lineRule="auto"/>
              <w:ind w:firstLine="480" w:firstLineChars="200"/>
              <w:rPr>
                <w:sz w:val="24"/>
                <w:szCs w:val="24"/>
              </w:rPr>
            </w:pPr>
            <w:r>
              <w:rPr>
                <w:rFonts w:hint="eastAsia"/>
                <w:sz w:val="24"/>
                <w:szCs w:val="24"/>
              </w:rPr>
              <w:t>（二）制定生态环境准入清单。基于生态环境管控单元，</w:t>
            </w:r>
          </w:p>
          <w:p>
            <w:pPr>
              <w:tabs>
                <w:tab w:val="left" w:pos="1081"/>
              </w:tabs>
              <w:adjustRightInd w:val="0"/>
              <w:snapToGrid w:val="0"/>
              <w:spacing w:line="360" w:lineRule="auto"/>
              <w:ind w:firstLine="480" w:firstLineChars="200"/>
              <w:rPr>
                <w:sz w:val="24"/>
                <w:szCs w:val="24"/>
              </w:rPr>
            </w:pPr>
            <w:r>
              <w:rPr>
                <w:rFonts w:hint="eastAsia"/>
                <w:sz w:val="24"/>
                <w:szCs w:val="24"/>
              </w:rPr>
              <w:t>统筹考虑生态保护红线、环境质量底线、资源利用上线等要求，从优化空间布局、管控污染物排放、防控生态环境风险、提高资源利用效率等方面提出管控要求，分类制定生态环境准入清单。</w:t>
            </w:r>
          </w:p>
          <w:p>
            <w:pPr>
              <w:tabs>
                <w:tab w:val="left" w:pos="1081"/>
              </w:tabs>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本项目建设与南阳市新野县环境管控单元生态环境准入清单的相符性分析见表1-</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w:t>
            </w:r>
          </w:p>
        </w:tc>
      </w:tr>
    </w:tbl>
    <w:p>
      <w:pPr>
        <w:pStyle w:val="2"/>
        <w:ind w:left="0" w:leftChars="0" w:firstLine="0"/>
        <w:sectPr>
          <w:footerReference r:id="rId4" w:type="default"/>
          <w:pgSz w:w="11906" w:h="16838"/>
          <w:pgMar w:top="1440" w:right="1531" w:bottom="1440" w:left="1531" w:header="851" w:footer="992" w:gutter="0"/>
          <w:pgNumType w:start="1"/>
          <w:cols w:space="425" w:num="1"/>
          <w:docGrid w:type="lines" w:linePitch="312" w:charSpace="0"/>
        </w:sectPr>
      </w:pPr>
    </w:p>
    <w:p>
      <w:pPr>
        <w:pStyle w:val="2"/>
        <w:ind w:left="0" w:leftChars="0" w:firstLine="0"/>
        <w:jc w:val="center"/>
        <w:rPr>
          <w:b/>
          <w:sz w:val="24"/>
          <w:szCs w:val="24"/>
        </w:rPr>
      </w:pPr>
      <w:r>
        <w:rPr>
          <w:b/>
          <w:sz w:val="24"/>
          <w:szCs w:val="24"/>
        </w:rPr>
        <w:t>表</w:t>
      </w:r>
      <w:r>
        <w:rPr>
          <w:rFonts w:hint="eastAsia"/>
          <w:b/>
          <w:sz w:val="24"/>
          <w:szCs w:val="24"/>
        </w:rPr>
        <w:t>1-5         项目与南阳市新野县环境管控单元生态环境准入清单（节选）的相符性分析一览表</w:t>
      </w:r>
    </w:p>
    <w:tbl>
      <w:tblPr>
        <w:tblStyle w:val="31"/>
        <w:tblW w:w="14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741"/>
        <w:gridCol w:w="426"/>
        <w:gridCol w:w="426"/>
        <w:gridCol w:w="426"/>
        <w:gridCol w:w="828"/>
        <w:gridCol w:w="694"/>
        <w:gridCol w:w="818"/>
        <w:gridCol w:w="1250"/>
        <w:gridCol w:w="464"/>
        <w:gridCol w:w="3969"/>
        <w:gridCol w:w="2694"/>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dxa"/>
            <w:vMerge w:val="restart"/>
            <w:vAlign w:val="center"/>
          </w:tcPr>
          <w:p>
            <w:pPr>
              <w:jc w:val="center"/>
            </w:pPr>
            <w:r>
              <w:rPr>
                <w:rFonts w:hint="eastAsia"/>
              </w:rPr>
              <w:t>环境管控单元编码</w:t>
            </w:r>
          </w:p>
        </w:tc>
        <w:tc>
          <w:tcPr>
            <w:tcW w:w="741" w:type="dxa"/>
            <w:vMerge w:val="restart"/>
            <w:vAlign w:val="center"/>
          </w:tcPr>
          <w:p>
            <w:pPr>
              <w:jc w:val="center"/>
            </w:pPr>
            <w:r>
              <w:rPr>
                <w:rFonts w:hint="eastAsia"/>
              </w:rPr>
              <w:t>环境管控单元名称</w:t>
            </w:r>
          </w:p>
        </w:tc>
        <w:tc>
          <w:tcPr>
            <w:tcW w:w="2106" w:type="dxa"/>
            <w:gridSpan w:val="4"/>
            <w:vAlign w:val="center"/>
          </w:tcPr>
          <w:p>
            <w:pPr>
              <w:jc w:val="center"/>
            </w:pPr>
            <w:r>
              <w:rPr>
                <w:rFonts w:hint="eastAsia"/>
              </w:rPr>
              <w:t>行政区划</w:t>
            </w:r>
          </w:p>
        </w:tc>
        <w:tc>
          <w:tcPr>
            <w:tcW w:w="694" w:type="dxa"/>
            <w:vMerge w:val="restart"/>
            <w:vAlign w:val="center"/>
          </w:tcPr>
          <w:p>
            <w:pPr>
              <w:jc w:val="center"/>
            </w:pPr>
            <w:r>
              <w:rPr>
                <w:rFonts w:hint="eastAsia"/>
              </w:rPr>
              <w:t>管控单元分类</w:t>
            </w:r>
          </w:p>
        </w:tc>
        <w:tc>
          <w:tcPr>
            <w:tcW w:w="818" w:type="dxa"/>
            <w:vMerge w:val="restart"/>
            <w:vAlign w:val="center"/>
          </w:tcPr>
          <w:p>
            <w:pPr>
              <w:jc w:val="center"/>
            </w:pPr>
            <w:r>
              <w:rPr>
                <w:rFonts w:hint="eastAsia"/>
              </w:rPr>
              <w:t>环境要素类别</w:t>
            </w:r>
          </w:p>
        </w:tc>
        <w:tc>
          <w:tcPr>
            <w:tcW w:w="1250" w:type="dxa"/>
            <w:vMerge w:val="restart"/>
            <w:vAlign w:val="center"/>
          </w:tcPr>
          <w:p>
            <w:pPr>
              <w:jc w:val="center"/>
            </w:pPr>
            <w:r>
              <w:rPr>
                <w:rFonts w:hint="eastAsia"/>
              </w:rPr>
              <w:t>现状与问题</w:t>
            </w:r>
          </w:p>
        </w:tc>
        <w:tc>
          <w:tcPr>
            <w:tcW w:w="4433" w:type="dxa"/>
            <w:gridSpan w:val="2"/>
            <w:vMerge w:val="restart"/>
            <w:vAlign w:val="center"/>
          </w:tcPr>
          <w:p>
            <w:pPr>
              <w:jc w:val="center"/>
            </w:pPr>
            <w:r>
              <w:rPr>
                <w:rFonts w:hint="eastAsia"/>
              </w:rPr>
              <w:t>管控要求</w:t>
            </w:r>
          </w:p>
        </w:tc>
        <w:tc>
          <w:tcPr>
            <w:tcW w:w="2694" w:type="dxa"/>
            <w:vMerge w:val="restart"/>
            <w:vAlign w:val="center"/>
          </w:tcPr>
          <w:p>
            <w:pPr>
              <w:jc w:val="center"/>
            </w:pPr>
            <w:r>
              <w:rPr>
                <w:rFonts w:hint="eastAsia"/>
              </w:rPr>
              <w:t>本项目情况</w:t>
            </w:r>
          </w:p>
        </w:tc>
        <w:tc>
          <w:tcPr>
            <w:tcW w:w="723" w:type="dxa"/>
            <w:vMerge w:val="restart"/>
            <w:vAlign w:val="center"/>
          </w:tcPr>
          <w:p>
            <w:pPr>
              <w:jc w:val="center"/>
            </w:pPr>
            <w:r>
              <w:rPr>
                <w:rFonts w:hint="eastAsia"/>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dxa"/>
            <w:vMerge w:val="continue"/>
            <w:vAlign w:val="center"/>
          </w:tcPr>
          <w:p>
            <w:pPr>
              <w:jc w:val="center"/>
            </w:pPr>
          </w:p>
        </w:tc>
        <w:tc>
          <w:tcPr>
            <w:tcW w:w="741" w:type="dxa"/>
            <w:vMerge w:val="continue"/>
            <w:vAlign w:val="center"/>
          </w:tcPr>
          <w:p>
            <w:pPr>
              <w:jc w:val="center"/>
            </w:pPr>
          </w:p>
        </w:tc>
        <w:tc>
          <w:tcPr>
            <w:tcW w:w="426" w:type="dxa"/>
            <w:vAlign w:val="center"/>
          </w:tcPr>
          <w:p>
            <w:pPr>
              <w:jc w:val="center"/>
            </w:pPr>
            <w:r>
              <w:rPr>
                <w:rFonts w:hint="eastAsia"/>
              </w:rPr>
              <w:t>省</w:t>
            </w:r>
          </w:p>
        </w:tc>
        <w:tc>
          <w:tcPr>
            <w:tcW w:w="426" w:type="dxa"/>
            <w:vAlign w:val="center"/>
          </w:tcPr>
          <w:p>
            <w:pPr>
              <w:jc w:val="center"/>
            </w:pPr>
            <w:r>
              <w:rPr>
                <w:rFonts w:hint="eastAsia"/>
              </w:rPr>
              <w:t>市</w:t>
            </w:r>
          </w:p>
        </w:tc>
        <w:tc>
          <w:tcPr>
            <w:tcW w:w="426" w:type="dxa"/>
            <w:vAlign w:val="center"/>
          </w:tcPr>
          <w:p>
            <w:pPr>
              <w:jc w:val="center"/>
            </w:pPr>
            <w:r>
              <w:rPr>
                <w:rFonts w:hint="eastAsia"/>
              </w:rPr>
              <w:t>区县</w:t>
            </w:r>
          </w:p>
        </w:tc>
        <w:tc>
          <w:tcPr>
            <w:tcW w:w="828" w:type="dxa"/>
            <w:vAlign w:val="center"/>
          </w:tcPr>
          <w:p>
            <w:pPr>
              <w:jc w:val="center"/>
            </w:pPr>
            <w:r>
              <w:rPr>
                <w:rFonts w:hint="eastAsia"/>
              </w:rPr>
              <w:t>乡镇</w:t>
            </w:r>
          </w:p>
        </w:tc>
        <w:tc>
          <w:tcPr>
            <w:tcW w:w="694" w:type="dxa"/>
            <w:vMerge w:val="continue"/>
            <w:vAlign w:val="center"/>
          </w:tcPr>
          <w:p>
            <w:pPr>
              <w:jc w:val="center"/>
            </w:pPr>
          </w:p>
        </w:tc>
        <w:tc>
          <w:tcPr>
            <w:tcW w:w="818" w:type="dxa"/>
            <w:vMerge w:val="continue"/>
            <w:vAlign w:val="center"/>
          </w:tcPr>
          <w:p>
            <w:pPr>
              <w:jc w:val="center"/>
            </w:pPr>
          </w:p>
        </w:tc>
        <w:tc>
          <w:tcPr>
            <w:tcW w:w="1250" w:type="dxa"/>
            <w:vMerge w:val="continue"/>
            <w:vAlign w:val="center"/>
          </w:tcPr>
          <w:p>
            <w:pPr>
              <w:jc w:val="center"/>
            </w:pPr>
          </w:p>
        </w:tc>
        <w:tc>
          <w:tcPr>
            <w:tcW w:w="4433" w:type="dxa"/>
            <w:gridSpan w:val="2"/>
            <w:vMerge w:val="continue"/>
            <w:vAlign w:val="center"/>
          </w:tcPr>
          <w:p>
            <w:pPr>
              <w:jc w:val="center"/>
            </w:pPr>
          </w:p>
        </w:tc>
        <w:tc>
          <w:tcPr>
            <w:tcW w:w="2694" w:type="dxa"/>
            <w:vMerge w:val="continue"/>
          </w:tcPr>
          <w:p>
            <w:pPr>
              <w:jc w:val="center"/>
            </w:pPr>
          </w:p>
        </w:tc>
        <w:tc>
          <w:tcPr>
            <w:tcW w:w="723" w:type="dxa"/>
            <w:vMerge w:val="continue"/>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dxa"/>
            <w:vMerge w:val="restart"/>
            <w:vAlign w:val="center"/>
          </w:tcPr>
          <w:p>
            <w:pPr>
              <w:jc w:val="center"/>
            </w:pPr>
            <w:r>
              <w:t>ZH4113</w:t>
            </w:r>
          </w:p>
          <w:p>
            <w:pPr>
              <w:jc w:val="center"/>
            </w:pPr>
            <w:r>
              <w:t>292000</w:t>
            </w:r>
            <w:r>
              <w:rPr>
                <w:rFonts w:hint="eastAsia"/>
              </w:rPr>
              <w:t>2</w:t>
            </w:r>
          </w:p>
        </w:tc>
        <w:tc>
          <w:tcPr>
            <w:tcW w:w="741" w:type="dxa"/>
            <w:vMerge w:val="restart"/>
            <w:vAlign w:val="center"/>
          </w:tcPr>
          <w:p>
            <w:pPr>
              <w:jc w:val="center"/>
            </w:pPr>
            <w:r>
              <w:rPr>
                <w:rFonts w:hint="eastAsia"/>
              </w:rPr>
              <w:t>新野县城镇重点单元</w:t>
            </w:r>
          </w:p>
        </w:tc>
        <w:tc>
          <w:tcPr>
            <w:tcW w:w="426" w:type="dxa"/>
            <w:vMerge w:val="restart"/>
            <w:vAlign w:val="center"/>
          </w:tcPr>
          <w:p>
            <w:pPr>
              <w:jc w:val="center"/>
            </w:pPr>
            <w:r>
              <w:rPr>
                <w:rFonts w:hint="eastAsia"/>
              </w:rPr>
              <w:t>河南省</w:t>
            </w:r>
          </w:p>
        </w:tc>
        <w:tc>
          <w:tcPr>
            <w:tcW w:w="426" w:type="dxa"/>
            <w:vMerge w:val="restart"/>
            <w:vAlign w:val="center"/>
          </w:tcPr>
          <w:p>
            <w:pPr>
              <w:jc w:val="center"/>
            </w:pPr>
            <w:r>
              <w:rPr>
                <w:rFonts w:hint="eastAsia"/>
              </w:rPr>
              <w:t>南阳市</w:t>
            </w:r>
          </w:p>
        </w:tc>
        <w:tc>
          <w:tcPr>
            <w:tcW w:w="426" w:type="dxa"/>
            <w:vMerge w:val="restart"/>
            <w:vAlign w:val="center"/>
          </w:tcPr>
          <w:p>
            <w:pPr>
              <w:jc w:val="center"/>
            </w:pPr>
            <w:r>
              <w:rPr>
                <w:rFonts w:hint="eastAsia"/>
              </w:rPr>
              <w:t>新野县</w:t>
            </w:r>
          </w:p>
        </w:tc>
        <w:tc>
          <w:tcPr>
            <w:tcW w:w="828" w:type="dxa"/>
            <w:vMerge w:val="restart"/>
            <w:vAlign w:val="center"/>
          </w:tcPr>
          <w:p>
            <w:pPr>
              <w:jc w:val="center"/>
            </w:pPr>
            <w:r>
              <w:rPr>
                <w:rFonts w:hint="eastAsia"/>
              </w:rPr>
              <w:t>汉城街道、上港乡、汉华街道</w:t>
            </w:r>
          </w:p>
        </w:tc>
        <w:tc>
          <w:tcPr>
            <w:tcW w:w="694" w:type="dxa"/>
            <w:vMerge w:val="restart"/>
            <w:vAlign w:val="center"/>
          </w:tcPr>
          <w:p>
            <w:pPr>
              <w:jc w:val="center"/>
            </w:pPr>
            <w:r>
              <w:rPr>
                <w:rFonts w:hint="eastAsia"/>
              </w:rPr>
              <w:t>重点管控单元2</w:t>
            </w:r>
          </w:p>
        </w:tc>
        <w:tc>
          <w:tcPr>
            <w:tcW w:w="818" w:type="dxa"/>
            <w:vMerge w:val="restart"/>
            <w:vAlign w:val="center"/>
          </w:tcPr>
          <w:p>
            <w:pPr>
              <w:jc w:val="center"/>
            </w:pPr>
            <w:r>
              <w:rPr>
                <w:rFonts w:hint="eastAsia"/>
              </w:rPr>
              <w:t>大气受体敏感区、弱扩散区，水环境农业污染重点管控区</w:t>
            </w:r>
          </w:p>
        </w:tc>
        <w:tc>
          <w:tcPr>
            <w:tcW w:w="1250" w:type="dxa"/>
            <w:vMerge w:val="restart"/>
            <w:vAlign w:val="center"/>
          </w:tcPr>
          <w:p>
            <w:pPr>
              <w:jc w:val="center"/>
            </w:pPr>
            <w:r>
              <w:rPr>
                <w:rFonts w:hint="eastAsia"/>
              </w:rPr>
              <w:t>单元特点：属于新野县城镇建成区，南阳市新野县大气排放的主要行业为纺织、服装加工业，以居住用地为主，机动车保有量持续快速增长，颗粒物、烟尘、二氧化硫、氮氧化物的排放对大气环境产生较大影响。</w:t>
            </w:r>
          </w:p>
        </w:tc>
        <w:tc>
          <w:tcPr>
            <w:tcW w:w="464" w:type="dxa"/>
            <w:vAlign w:val="center"/>
          </w:tcPr>
          <w:p>
            <w:pPr>
              <w:jc w:val="center"/>
            </w:pPr>
            <w:r>
              <w:rPr>
                <w:rFonts w:hint="eastAsia"/>
              </w:rPr>
              <w:t>空间布局约束</w:t>
            </w:r>
          </w:p>
        </w:tc>
        <w:tc>
          <w:tcPr>
            <w:tcW w:w="3969" w:type="dxa"/>
          </w:tcPr>
          <w:p>
            <w:r>
              <w:rPr>
                <w:rFonts w:hint="eastAsia"/>
              </w:rPr>
              <w:t>1、在居民住宅区等人口密集区域和医院、学校、幼儿园、养老院等其他需要特殊保护的区域及其周边，不得新建、改建和扩建石化、焦化、化学及发酵制药、油漆、塑料、橡胶、造纸、饲料等易产生恶臭气体的生产项目或者从事其他产生恶臭气体的生产经营活动。</w:t>
            </w:r>
          </w:p>
          <w:p>
            <w:r>
              <w:rPr>
                <w:rFonts w:hint="eastAsia"/>
              </w:rPr>
              <w:t>2、推进城市建成区重污染企业搬迁改造，加快城市建成区内重污染企业分类完成就地改造、退城入园或关闭退出。</w:t>
            </w:r>
          </w:p>
          <w:p>
            <w:r>
              <w:rPr>
                <w:rFonts w:hint="eastAsia"/>
              </w:rPr>
              <w:t>3、在禁养区内禁止建设畜禽养殖场、养殖小区。</w:t>
            </w:r>
          </w:p>
          <w:p>
            <w:r>
              <w:rPr>
                <w:rFonts w:hint="eastAsia"/>
              </w:rPr>
              <w:t>4、原则上不再新增非电行业耗煤项目，确因产业发展和民生需要新上耗煤项目的，要全面落实煤炭消费减量替代。</w:t>
            </w:r>
          </w:p>
          <w:p>
            <w:r>
              <w:rPr>
                <w:rFonts w:hint="eastAsia"/>
              </w:rPr>
              <w:t>5、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w:t>
            </w:r>
          </w:p>
        </w:tc>
        <w:tc>
          <w:tcPr>
            <w:tcW w:w="2694" w:type="dxa"/>
            <w:vAlign w:val="center"/>
          </w:tcPr>
          <w:p>
            <w:r>
              <w:rPr>
                <w:rFonts w:hint="eastAsia"/>
              </w:rPr>
              <w:t>本项目位于新野县上港乡香桥村，主要进行贴面板的生产，为人造板制造，属于木材加工和木制品业，不属于管控要求中禁止的石化、焦化、化学及发酵制药、油漆、塑料、橡胶、造纸、饲料等易产生恶臭气体的生产项目；</w:t>
            </w:r>
          </w:p>
          <w:p>
            <w:r>
              <w:rPr>
                <w:rFonts w:hint="eastAsia"/>
              </w:rPr>
              <w:t>本项目营运期热压废气经集气罩收集后通过管道引至1套UV光氧催化+低温等离子处理装置处理后可实现都达标排放；液化气石油气加装低氮燃烧器，燃烧废气经1根8m高排气筒排放，各污染物可实现达标排放；营运期废水主要为生活污水，生活污水经化粪池处理后用于周围农田施肥不外排，因此本项目不属于重污染企业；</w:t>
            </w:r>
          </w:p>
          <w:p>
            <w:r>
              <w:rPr>
                <w:rFonts w:hint="eastAsia"/>
              </w:rPr>
              <w:t>本项目生产设备模温机（导热油炉）采用液化石油气作为燃料；其余设备全部用电，不涉及燃煤。</w:t>
            </w:r>
          </w:p>
        </w:tc>
        <w:tc>
          <w:tcPr>
            <w:tcW w:w="723" w:type="dxa"/>
            <w:vAlign w:val="center"/>
          </w:tcPr>
          <w:p>
            <w:pPr>
              <w:jc w:val="center"/>
            </w:pPr>
            <w:r>
              <w:rPr>
                <w:rFonts w:hint="eastAsia"/>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 w:type="dxa"/>
            <w:vMerge w:val="continue"/>
          </w:tcPr>
          <w:p>
            <w:pPr>
              <w:jc w:val="center"/>
            </w:pPr>
          </w:p>
        </w:tc>
        <w:tc>
          <w:tcPr>
            <w:tcW w:w="741" w:type="dxa"/>
            <w:vMerge w:val="continue"/>
          </w:tcPr>
          <w:p>
            <w:pPr>
              <w:jc w:val="center"/>
            </w:pPr>
          </w:p>
        </w:tc>
        <w:tc>
          <w:tcPr>
            <w:tcW w:w="426" w:type="dxa"/>
            <w:vMerge w:val="continue"/>
          </w:tcPr>
          <w:p>
            <w:pPr>
              <w:jc w:val="center"/>
            </w:pPr>
          </w:p>
        </w:tc>
        <w:tc>
          <w:tcPr>
            <w:tcW w:w="426" w:type="dxa"/>
            <w:vMerge w:val="continue"/>
          </w:tcPr>
          <w:p>
            <w:pPr>
              <w:jc w:val="center"/>
            </w:pPr>
          </w:p>
        </w:tc>
        <w:tc>
          <w:tcPr>
            <w:tcW w:w="426" w:type="dxa"/>
            <w:vMerge w:val="continue"/>
          </w:tcPr>
          <w:p>
            <w:pPr>
              <w:jc w:val="center"/>
            </w:pPr>
          </w:p>
        </w:tc>
        <w:tc>
          <w:tcPr>
            <w:tcW w:w="828" w:type="dxa"/>
            <w:vMerge w:val="continue"/>
          </w:tcPr>
          <w:p>
            <w:pPr>
              <w:jc w:val="center"/>
            </w:pPr>
          </w:p>
        </w:tc>
        <w:tc>
          <w:tcPr>
            <w:tcW w:w="694" w:type="dxa"/>
            <w:vMerge w:val="continue"/>
          </w:tcPr>
          <w:p>
            <w:pPr>
              <w:jc w:val="center"/>
            </w:pPr>
          </w:p>
        </w:tc>
        <w:tc>
          <w:tcPr>
            <w:tcW w:w="818" w:type="dxa"/>
            <w:vMerge w:val="continue"/>
          </w:tcPr>
          <w:p>
            <w:pPr>
              <w:jc w:val="center"/>
            </w:pPr>
          </w:p>
        </w:tc>
        <w:tc>
          <w:tcPr>
            <w:tcW w:w="1250" w:type="dxa"/>
            <w:vMerge w:val="continue"/>
          </w:tcPr>
          <w:p>
            <w:pPr>
              <w:jc w:val="center"/>
            </w:pPr>
          </w:p>
        </w:tc>
        <w:tc>
          <w:tcPr>
            <w:tcW w:w="464" w:type="dxa"/>
            <w:vAlign w:val="center"/>
          </w:tcPr>
          <w:p>
            <w:pPr>
              <w:jc w:val="center"/>
            </w:pPr>
            <w:r>
              <w:rPr>
                <w:rFonts w:hint="eastAsia"/>
              </w:rPr>
              <w:t>污染物排放管控</w:t>
            </w:r>
          </w:p>
        </w:tc>
        <w:tc>
          <w:tcPr>
            <w:tcW w:w="3969" w:type="dxa"/>
          </w:tcPr>
          <w:p>
            <w:r>
              <w:rPr>
                <w:rFonts w:hint="eastAsia"/>
              </w:rPr>
              <w:t>1、重点行业二氧化硫、氮氧化物、颗粒物、VOCs 全面执行大气污染物特别排放限值。</w:t>
            </w:r>
          </w:p>
          <w:p>
            <w:r>
              <w:rPr>
                <w:rFonts w:hint="eastAsia"/>
              </w:rPr>
              <w:t>2、推进城中村、老旧城区和城乡结合部污水处理配套管网建设和雨污分流系统改造，实现污水全收集、全处理。</w:t>
            </w:r>
          </w:p>
          <w:p>
            <w:r>
              <w:rPr>
                <w:rFonts w:hint="eastAsia"/>
              </w:rPr>
              <w:t>3、优化调整货物运输结构，逐步淘汰国三及以下排放标准柴油货车，持续开展车辆更新工作。</w:t>
            </w:r>
          </w:p>
          <w:p>
            <w:r>
              <w:rPr>
                <w:rFonts w:hint="eastAsia"/>
              </w:rPr>
              <w:t>4、禁止未经达标处理的城镇污水或者其他污染物进入农业农村。</w:t>
            </w:r>
          </w:p>
          <w:p>
            <w:r>
              <w:rPr>
                <w:rFonts w:hint="eastAsia"/>
              </w:rPr>
              <w:t>5、禁止含重金属废水进入城市生活污水处理厂。涉重行业企业排放口重金属污染物应达到国家污染物排放标准限值要求。严禁涉重金属废气排放行业企业废气中重金属污染物超标排放。</w:t>
            </w:r>
          </w:p>
          <w:p>
            <w:r>
              <w:rPr>
                <w:rFonts w:hint="eastAsia"/>
              </w:rPr>
              <w:t>6、所有新建、改建、扩建耗煤项目一律实施煤炭减量或等量替代，电力行业新增耗煤项目要实行等量替代；除热电联产项目以外，不再核准“十三五”期间新投产的燃煤发电项目。</w:t>
            </w:r>
          </w:p>
        </w:tc>
        <w:tc>
          <w:tcPr>
            <w:tcW w:w="2694" w:type="dxa"/>
            <w:vAlign w:val="center"/>
          </w:tcPr>
          <w:p>
            <w:r>
              <w:rPr>
                <w:rFonts w:hint="eastAsia"/>
              </w:rPr>
              <w:t>本项目主要进行贴面板的生产，为人造板制造，属于木材加工和木制品业；不属于</w:t>
            </w:r>
            <w:r>
              <w:t>涉高VOCs排放的石化、化工、包装印刷、工业涂装等重点行业</w:t>
            </w:r>
            <w:r>
              <w:rPr>
                <w:rFonts w:hint="eastAsia"/>
              </w:rPr>
              <w:t>，不属于</w:t>
            </w:r>
            <w:r>
              <w:t>火电、钢铁、石化、化工、有色（不含氧化铝）、水泥</w:t>
            </w:r>
            <w:r>
              <w:rPr>
                <w:rFonts w:hint="eastAsia"/>
              </w:rPr>
              <w:t>等重点</w:t>
            </w:r>
            <w:r>
              <w:t>行业</w:t>
            </w:r>
            <w:r>
              <w:rPr>
                <w:rFonts w:hint="eastAsia"/>
              </w:rPr>
              <w:t>，不需要执行</w:t>
            </w:r>
            <w:r>
              <w:t>二氧化硫、氮氧化物、颗粒物、VOCs全面执行大气污染物特别排放限值</w:t>
            </w:r>
            <w:r>
              <w:rPr>
                <w:rFonts w:hint="eastAsia"/>
              </w:rPr>
              <w:t>；本项目厂区采用雨污分流排水系统；雨水经厂区雨水总排口依地势排入白河；生活污水经化粪池处理用于周围农田施肥，不外排；本项目废水主要为生活污水，不涉及重金属废水；本项目生产设备模温机（导热油炉）采用液化石油气作为燃料；其余设备全部用电，不涉及燃煤。</w:t>
            </w:r>
          </w:p>
        </w:tc>
        <w:tc>
          <w:tcPr>
            <w:tcW w:w="723" w:type="dxa"/>
            <w:vAlign w:val="center"/>
          </w:tcPr>
          <w:p>
            <w:pPr>
              <w:jc w:val="center"/>
            </w:pPr>
            <w:r>
              <w:rPr>
                <w:rFonts w:hint="eastAsia"/>
              </w:rPr>
              <w:t>相符</w:t>
            </w:r>
          </w:p>
        </w:tc>
      </w:tr>
    </w:tbl>
    <w:p>
      <w:pPr>
        <w:sectPr>
          <w:pgSz w:w="16838" w:h="11906" w:orient="landscape"/>
          <w:pgMar w:top="1531" w:right="1440" w:bottom="1531" w:left="1440" w:header="851" w:footer="992" w:gutter="0"/>
          <w:cols w:space="425" w:num="1"/>
          <w:docGrid w:type="lines" w:linePitch="312" w:charSpace="0"/>
        </w:sectPr>
      </w:pPr>
    </w:p>
    <w:p>
      <w:pPr>
        <w:numPr>
          <w:ilvl w:val="0"/>
          <w:numId w:val="1"/>
        </w:numPr>
        <w:jc w:val="center"/>
        <w:outlineLvl w:val="0"/>
        <w:rPr>
          <w:rFonts w:eastAsia="黑体"/>
          <w:snapToGrid w:val="0"/>
          <w:kern w:val="21"/>
          <w:sz w:val="30"/>
          <w:szCs w:val="30"/>
        </w:rPr>
      </w:pPr>
      <w:r>
        <w:rPr>
          <w:rFonts w:eastAsia="黑体"/>
          <w:snapToGrid w:val="0"/>
          <w:kern w:val="21"/>
          <w:sz w:val="30"/>
          <w:szCs w:val="30"/>
        </w:rPr>
        <w:t>建设项目工程分析</w:t>
      </w:r>
    </w:p>
    <w:tbl>
      <w:tblPr>
        <w:tblStyle w:val="30"/>
        <w:tblW w:w="94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5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06" w:type="dxa"/>
            <w:tcBorders>
              <w:tl2br w:val="nil"/>
              <w:tr2bl w:val="nil"/>
            </w:tcBorders>
            <w:vAlign w:val="center"/>
          </w:tcPr>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kern w:val="21"/>
                <w:szCs w:val="24"/>
              </w:rPr>
              <w:t>建设内容</w:t>
            </w:r>
          </w:p>
        </w:tc>
        <w:tc>
          <w:tcPr>
            <w:tcW w:w="8555" w:type="dxa"/>
            <w:tcBorders>
              <w:tl2br w:val="nil"/>
              <w:tr2bl w:val="nil"/>
            </w:tcBorders>
            <w:vAlign w:val="center"/>
          </w:tcPr>
          <w:p>
            <w:pPr>
              <w:tabs>
                <w:tab w:val="left" w:pos="1081"/>
              </w:tabs>
              <w:adjustRightInd w:val="0"/>
              <w:snapToGrid w:val="0"/>
              <w:spacing w:line="360" w:lineRule="auto"/>
              <w:ind w:firstLine="482" w:firstLineChars="200"/>
              <w:jc w:val="left"/>
              <w:rPr>
                <w:rFonts w:eastAsiaTheme="minorEastAsia"/>
                <w:b/>
                <w:sz w:val="24"/>
                <w:szCs w:val="24"/>
              </w:rPr>
            </w:pPr>
            <w:r>
              <w:rPr>
                <w:rFonts w:eastAsiaTheme="minorEastAsia"/>
                <w:b/>
                <w:sz w:val="24"/>
                <w:szCs w:val="24"/>
              </w:rPr>
              <w:t>1</w:t>
            </w:r>
            <w:r>
              <w:rPr>
                <w:rFonts w:hint="eastAsia" w:eastAsiaTheme="minorEastAsia"/>
                <w:b/>
                <w:sz w:val="24"/>
                <w:szCs w:val="24"/>
              </w:rPr>
              <w:t>、</w:t>
            </w:r>
            <w:r>
              <w:rPr>
                <w:rFonts w:eastAsiaTheme="minorEastAsia"/>
                <w:b/>
                <w:sz w:val="24"/>
                <w:szCs w:val="24"/>
              </w:rPr>
              <w:t>项目</w:t>
            </w:r>
            <w:r>
              <w:rPr>
                <w:rFonts w:hint="eastAsia" w:eastAsiaTheme="minorEastAsia"/>
                <w:b/>
                <w:sz w:val="24"/>
                <w:szCs w:val="24"/>
              </w:rPr>
              <w:t>由来</w:t>
            </w:r>
          </w:p>
          <w:p>
            <w:pPr>
              <w:tabs>
                <w:tab w:val="left" w:pos="1081"/>
              </w:tabs>
              <w:adjustRightInd w:val="0"/>
              <w:snapToGrid w:val="0"/>
              <w:spacing w:line="360" w:lineRule="auto"/>
              <w:ind w:firstLine="480" w:firstLineChars="200"/>
              <w:rPr>
                <w:sz w:val="24"/>
              </w:rPr>
            </w:pPr>
            <w:r>
              <w:rPr>
                <w:rFonts w:hint="eastAsia"/>
                <w:sz w:val="24"/>
              </w:rPr>
              <w:t>随着城市化建设步伐的加快，家具和建材市场迅猛发展，经济效益相当可观，市场前景十分广阔。为满足市场需求，</w:t>
            </w:r>
            <w:r>
              <w:rPr>
                <w:rFonts w:hint="eastAsia"/>
                <w:color w:val="000000"/>
                <w:sz w:val="24"/>
              </w:rPr>
              <w:t>新野县军诚木材加工厂拟投资30万元利用现有生产厂房建筑面积990m</w:t>
            </w:r>
            <w:r>
              <w:rPr>
                <w:rFonts w:hint="eastAsia"/>
                <w:color w:val="000000"/>
                <w:sz w:val="24"/>
                <w:vertAlign w:val="superscript"/>
              </w:rPr>
              <w:t>2</w:t>
            </w:r>
            <w:r>
              <w:rPr>
                <w:rFonts w:hint="eastAsia"/>
                <w:color w:val="000000"/>
                <w:sz w:val="24"/>
              </w:rPr>
              <w:t>，以外购的密度板、三聚氰胺纸等为主要原材料，购置热压机、模温机等主要生产设备，建设1条贴面板生产线，建成投产后可达年产贴面板材6万张的生产规模</w:t>
            </w:r>
            <w:r>
              <w:rPr>
                <w:bCs/>
                <w:sz w:val="24"/>
              </w:rPr>
              <w:t>。</w:t>
            </w:r>
            <w:r>
              <w:rPr>
                <w:rFonts w:hint="eastAsia"/>
                <w:bCs/>
                <w:sz w:val="24"/>
              </w:rPr>
              <w:t xml:space="preserve">  </w:t>
            </w:r>
          </w:p>
          <w:p>
            <w:pPr>
              <w:tabs>
                <w:tab w:val="left" w:pos="1081"/>
              </w:tabs>
              <w:adjustRightInd w:val="0"/>
              <w:snapToGrid w:val="0"/>
              <w:spacing w:line="360" w:lineRule="auto"/>
              <w:ind w:firstLine="480" w:firstLineChars="200"/>
              <w:rPr>
                <w:rFonts w:hAnsi="宋体"/>
                <w:sz w:val="24"/>
              </w:rPr>
            </w:pPr>
            <w:r>
              <w:rPr>
                <w:rFonts w:hint="eastAsia" w:hAnsi="宋体"/>
                <w:sz w:val="24"/>
              </w:rPr>
              <w:t>根据</w:t>
            </w:r>
            <w:r>
              <w:rPr>
                <w:rFonts w:hAnsi="宋体"/>
                <w:sz w:val="24"/>
              </w:rPr>
              <w:t>《中华人民共和国环境影响评价法》和国务院令第</w:t>
            </w:r>
            <w:r>
              <w:rPr>
                <w:rFonts w:hint="eastAsia"/>
                <w:sz w:val="24"/>
              </w:rPr>
              <w:t>682</w:t>
            </w:r>
            <w:r>
              <w:rPr>
                <w:rFonts w:hAnsi="宋体"/>
                <w:sz w:val="24"/>
              </w:rPr>
              <w:t>号《建设项目环境保护管理条例》有关规定，该项目需进行环境影响评价工作</w:t>
            </w:r>
            <w:r>
              <w:rPr>
                <w:rFonts w:hint="eastAsia" w:hAnsi="宋体"/>
                <w:sz w:val="24"/>
              </w:rPr>
              <w:t>。受</w:t>
            </w:r>
            <w:r>
              <w:rPr>
                <w:rFonts w:hint="eastAsia" w:hAnsi="宋体"/>
                <w:bCs/>
                <w:sz w:val="24"/>
              </w:rPr>
              <w:t>新野县军诚木材加工厂</w:t>
            </w:r>
            <w:r>
              <w:rPr>
                <w:rFonts w:hint="eastAsia" w:hAnsi="宋体"/>
                <w:sz w:val="24"/>
              </w:rPr>
              <w:t>的委托，我公司承担了该项目的环境影响评价工作。经比对《建设项目环境影响评价分类管理名录（2021年版）》（中华人民共和国生态环境部令 第16号），本项目属于“十七、木材加工和木、竹、藤、棕、草制品业”中“34、人造板制造”中“其他”类别，应编制环境影响报告表。</w:t>
            </w:r>
            <w:r>
              <w:rPr>
                <w:rFonts w:hint="eastAsia" w:hAnsi="宋体" w:cs="宋体"/>
                <w:sz w:val="24"/>
              </w:rPr>
              <w:t>评价单位在现场踏勘、资料收集、充分类比分析等工作的基础上，遵循环评有关规定和评价技术导则要求，本着客观、公正、科学、规范的要求，编制完成了本项目环境影响报告表。</w:t>
            </w:r>
          </w:p>
          <w:p>
            <w:pPr>
              <w:tabs>
                <w:tab w:val="left" w:pos="1081"/>
              </w:tabs>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2、项目地理位置</w:t>
            </w:r>
          </w:p>
          <w:p>
            <w:pPr>
              <w:tabs>
                <w:tab w:val="left" w:pos="1081"/>
              </w:tabs>
              <w:adjustRightInd w:val="0"/>
              <w:snapToGrid w:val="0"/>
              <w:spacing w:line="360" w:lineRule="auto"/>
              <w:ind w:firstLine="480" w:firstLineChars="200"/>
              <w:rPr>
                <w:sz w:val="24"/>
                <w:szCs w:val="24"/>
              </w:rPr>
            </w:pPr>
            <w:r>
              <w:rPr>
                <w:rFonts w:hint="eastAsia"/>
                <w:color w:val="auto"/>
                <w:sz w:val="24"/>
                <w:szCs w:val="24"/>
              </w:rPr>
              <w:t>本项目位于新野县上港乡香桥村，占地面积1100m</w:t>
            </w:r>
            <w:r>
              <w:rPr>
                <w:rFonts w:hint="eastAsia"/>
                <w:color w:val="auto"/>
                <w:sz w:val="24"/>
                <w:szCs w:val="24"/>
                <w:vertAlign w:val="superscript"/>
              </w:rPr>
              <w:t>2</w:t>
            </w:r>
            <w:r>
              <w:rPr>
                <w:rFonts w:hint="eastAsia"/>
                <w:color w:val="auto"/>
                <w:sz w:val="24"/>
                <w:szCs w:val="24"/>
              </w:rPr>
              <w:t>，利用现有生产厂房建筑面积990m</w:t>
            </w:r>
            <w:r>
              <w:rPr>
                <w:rFonts w:hint="eastAsia"/>
                <w:color w:val="auto"/>
                <w:sz w:val="24"/>
                <w:szCs w:val="24"/>
                <w:vertAlign w:val="superscript"/>
              </w:rPr>
              <w:t>2</w:t>
            </w:r>
            <w:r>
              <w:rPr>
                <w:rFonts w:hint="eastAsia"/>
                <w:color w:val="auto"/>
                <w:sz w:val="24"/>
                <w:szCs w:val="24"/>
              </w:rPr>
              <w:t>。经现场调查，项目东侧、北侧、西侧、南侧为区间道路；</w:t>
            </w:r>
            <w:r>
              <w:rPr>
                <w:rFonts w:hint="eastAsia"/>
                <w:sz w:val="24"/>
                <w:szCs w:val="24"/>
              </w:rPr>
              <w:t>北距乔庄为118m；距离项目最近的地表水体为东侧165m的白河。项目周围交通及环境敏感点分布情况见图2-1。</w:t>
            </w: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sz w:val="24"/>
                <w:szCs w:val="24"/>
              </w:rPr>
            </w:pPr>
          </w:p>
          <w:p>
            <w:pPr>
              <w:pStyle w:val="2"/>
            </w:pP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sz w:val="24"/>
                <w:szCs w:val="24"/>
              </w:rPr>
            </w:pPr>
          </w:p>
          <w:p>
            <w:pPr>
              <w:tabs>
                <w:tab w:val="left" w:pos="1081"/>
              </w:tabs>
              <w:adjustRightInd w:val="0"/>
              <w:snapToGrid w:val="0"/>
              <w:spacing w:line="360" w:lineRule="auto"/>
              <w:ind w:firstLine="482" w:firstLineChars="200"/>
              <w:jc w:val="left"/>
              <w:rPr>
                <w:rFonts w:eastAsiaTheme="minorEastAsia"/>
                <w:b/>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mc:AlternateContent>
                <mc:Choice Requires="wpc">
                  <w:drawing>
                    <wp:inline distT="0" distB="0" distL="0" distR="0">
                      <wp:extent cx="5253355" cy="4450715"/>
                      <wp:effectExtent l="0" t="1905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任意多边形 8"/>
                              <wps:cNvSpPr/>
                              <wps:spPr>
                                <a:xfrm>
                                  <a:off x="1130060" y="4"/>
                                  <a:ext cx="612389" cy="4277726"/>
                                </a:xfrm>
                                <a:custGeom>
                                  <a:avLst/>
                                  <a:gdLst>
                                    <a:gd name="connsiteX0" fmla="*/ 0 w 586596"/>
                                    <a:gd name="connsiteY0" fmla="*/ 3726611 h 3726611"/>
                                    <a:gd name="connsiteX1" fmla="*/ 586596 w 586596"/>
                                    <a:gd name="connsiteY1" fmla="*/ 0 h 3726611"/>
                                  </a:gdLst>
                                  <a:ahLst/>
                                  <a:cxnLst>
                                    <a:cxn ang="0">
                                      <a:pos x="connsiteX0" y="connsiteY0"/>
                                    </a:cxn>
                                    <a:cxn ang="0">
                                      <a:pos x="connsiteX1" y="connsiteY1"/>
                                    </a:cxn>
                                  </a:cxnLst>
                                  <a:rect l="l" t="t" r="r" b="b"/>
                                  <a:pathLst>
                                    <a:path w="586596" h="3726611">
                                      <a:moveTo>
                                        <a:pt x="0" y="3726611"/>
                                      </a:moveTo>
                                      <a:lnTo>
                                        <a:pt x="586596" y="0"/>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8" name="任意多边形 258"/>
                              <wps:cNvSpPr/>
                              <wps:spPr>
                                <a:xfrm>
                                  <a:off x="595209" y="1190312"/>
                                  <a:ext cx="4080313" cy="129334"/>
                                </a:xfrm>
                                <a:custGeom>
                                  <a:avLst/>
                                  <a:gdLst>
                                    <a:gd name="connsiteX0" fmla="*/ 0 w 5141343"/>
                                    <a:gd name="connsiteY0" fmla="*/ 181154 h 181154"/>
                                    <a:gd name="connsiteX1" fmla="*/ 5141343 w 5141343"/>
                                    <a:gd name="connsiteY1" fmla="*/ 0 h 181154"/>
                                  </a:gdLst>
                                  <a:ahLst/>
                                  <a:cxnLst>
                                    <a:cxn ang="0">
                                      <a:pos x="connsiteX0" y="connsiteY0"/>
                                    </a:cxn>
                                    <a:cxn ang="0">
                                      <a:pos x="connsiteX1" y="connsiteY1"/>
                                    </a:cxn>
                                  </a:cxnLst>
                                  <a:rect l="l" t="t" r="r" b="b"/>
                                  <a:pathLst>
                                    <a:path w="5141343" h="181154">
                                      <a:moveTo>
                                        <a:pt x="0" y="181154"/>
                                      </a:moveTo>
                                      <a:lnTo>
                                        <a:pt x="5141343" y="0"/>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任意多边形 259"/>
                              <wps:cNvSpPr/>
                              <wps:spPr>
                                <a:xfrm>
                                  <a:off x="3364610" y="9"/>
                                  <a:ext cx="335654" cy="4278216"/>
                                </a:xfrm>
                                <a:custGeom>
                                  <a:avLst/>
                                  <a:gdLst>
                                    <a:gd name="connsiteX0" fmla="*/ 0 w 336430"/>
                                    <a:gd name="connsiteY0" fmla="*/ 0 h 3743864"/>
                                    <a:gd name="connsiteX1" fmla="*/ 215660 w 336430"/>
                                    <a:gd name="connsiteY1" fmla="*/ 1155940 h 3743864"/>
                                    <a:gd name="connsiteX2" fmla="*/ 258792 w 336430"/>
                                    <a:gd name="connsiteY2" fmla="*/ 2320506 h 3743864"/>
                                    <a:gd name="connsiteX3" fmla="*/ 336430 w 336430"/>
                                    <a:gd name="connsiteY3" fmla="*/ 3743864 h 3743864"/>
                                  </a:gdLst>
                                  <a:ahLst/>
                                  <a:cxnLst>
                                    <a:cxn ang="0">
                                      <a:pos x="connsiteX0" y="connsiteY0"/>
                                    </a:cxn>
                                    <a:cxn ang="0">
                                      <a:pos x="connsiteX1" y="connsiteY1"/>
                                    </a:cxn>
                                    <a:cxn ang="0">
                                      <a:pos x="connsiteX2" y="connsiteY2"/>
                                    </a:cxn>
                                    <a:cxn ang="0">
                                      <a:pos x="connsiteX3" y="connsiteY3"/>
                                    </a:cxn>
                                  </a:cxnLst>
                                  <a:rect l="l" t="t" r="r" b="b"/>
                                  <a:pathLst>
                                    <a:path w="336430" h="3743864">
                                      <a:moveTo>
                                        <a:pt x="0" y="0"/>
                                      </a:moveTo>
                                      <a:cubicBezTo>
                                        <a:pt x="86264" y="384594"/>
                                        <a:pt x="172528" y="769189"/>
                                        <a:pt x="215660" y="1155940"/>
                                      </a:cubicBezTo>
                                      <a:cubicBezTo>
                                        <a:pt x="258792" y="1542691"/>
                                        <a:pt x="238664" y="1889185"/>
                                        <a:pt x="258792" y="2320506"/>
                                      </a:cubicBezTo>
                                      <a:cubicBezTo>
                                        <a:pt x="278920" y="2751827"/>
                                        <a:pt x="307675" y="3247845"/>
                                        <a:pt x="336430" y="3743864"/>
                                      </a:cubicBezTo>
                                    </a:path>
                                  </a:pathLst>
                                </a:cu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3" name="任意多边形 263"/>
                              <wps:cNvSpPr/>
                              <wps:spPr>
                                <a:xfrm>
                                  <a:off x="1414732" y="9530"/>
                                  <a:ext cx="1345721" cy="1164566"/>
                                </a:xfrm>
                                <a:custGeom>
                                  <a:avLst/>
                                  <a:gdLst>
                                    <a:gd name="connsiteX0" fmla="*/ 181155 w 1345721"/>
                                    <a:gd name="connsiteY0" fmla="*/ 0 h 1164566"/>
                                    <a:gd name="connsiteX1" fmla="*/ 0 w 1345721"/>
                                    <a:gd name="connsiteY1" fmla="*/ 1164566 h 1164566"/>
                                    <a:gd name="connsiteX2" fmla="*/ 1311215 w 1345721"/>
                                    <a:gd name="connsiteY2" fmla="*/ 1130060 h 1164566"/>
                                    <a:gd name="connsiteX3" fmla="*/ 1345721 w 1345721"/>
                                    <a:gd name="connsiteY3" fmla="*/ 8626 h 1164566"/>
                                    <a:gd name="connsiteX4" fmla="*/ 181155 w 1345721"/>
                                    <a:gd name="connsiteY4" fmla="*/ 0 h 1164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5721" h="1164566">
                                      <a:moveTo>
                                        <a:pt x="181155" y="0"/>
                                      </a:moveTo>
                                      <a:lnTo>
                                        <a:pt x="0" y="1164566"/>
                                      </a:lnTo>
                                      <a:lnTo>
                                        <a:pt x="1311215" y="1130060"/>
                                      </a:lnTo>
                                      <a:lnTo>
                                        <a:pt x="1345721" y="8626"/>
                                      </a:lnTo>
                                      <a:lnTo>
                                        <a:pt x="181155"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6" name="矩形 266"/>
                              <wps:cNvSpPr/>
                              <wps:spPr>
                                <a:xfrm>
                                  <a:off x="1503149" y="1857091"/>
                                  <a:ext cx="497671" cy="317872"/>
                                </a:xfrm>
                                <a:prstGeom prst="rect">
                                  <a:avLst/>
                                </a:prstGeom>
                                <a:solidFill>
                                  <a:srgbClr val="808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矩形 271"/>
                              <wps:cNvSpPr/>
                              <wps:spPr>
                                <a:xfrm>
                                  <a:off x="1332147" y="1328101"/>
                                  <a:ext cx="1333382"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4" name="任意多边形 274"/>
                              <wps:cNvSpPr/>
                              <wps:spPr>
                                <a:xfrm>
                                  <a:off x="983387" y="1621766"/>
                                  <a:ext cx="1716657" cy="2665066"/>
                                </a:xfrm>
                                <a:custGeom>
                                  <a:avLst/>
                                  <a:gdLst>
                                    <a:gd name="connsiteX0" fmla="*/ 0 w 1716657"/>
                                    <a:gd name="connsiteY0" fmla="*/ 2717321 h 2717321"/>
                                    <a:gd name="connsiteX1" fmla="*/ 353683 w 1716657"/>
                                    <a:gd name="connsiteY1" fmla="*/ 0 h 2717321"/>
                                    <a:gd name="connsiteX2" fmla="*/ 690113 w 1716657"/>
                                    <a:gd name="connsiteY2" fmla="*/ 8627 h 2717321"/>
                                    <a:gd name="connsiteX3" fmla="*/ 1673525 w 1716657"/>
                                    <a:gd name="connsiteY3" fmla="*/ 8627 h 2717321"/>
                                    <a:gd name="connsiteX4" fmla="*/ 1716657 w 1716657"/>
                                    <a:gd name="connsiteY4" fmla="*/ 2717321 h 2717321"/>
                                    <a:gd name="connsiteX5" fmla="*/ 0 w 1716657"/>
                                    <a:gd name="connsiteY5" fmla="*/ 2717321 h 2717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16657" h="2717321">
                                      <a:moveTo>
                                        <a:pt x="0" y="2717321"/>
                                      </a:moveTo>
                                      <a:lnTo>
                                        <a:pt x="353683" y="0"/>
                                      </a:lnTo>
                                      <a:lnTo>
                                        <a:pt x="690113" y="8627"/>
                                      </a:lnTo>
                                      <a:lnTo>
                                        <a:pt x="1673525" y="8627"/>
                                      </a:lnTo>
                                      <a:lnTo>
                                        <a:pt x="1716657" y="2717321"/>
                                      </a:lnTo>
                                      <a:lnTo>
                                        <a:pt x="0" y="2717321"/>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5" name="直接连接符 275"/>
                              <wps:cNvCnPr/>
                              <wps:spPr>
                                <a:xfrm>
                                  <a:off x="1483632" y="1817517"/>
                                  <a:ext cx="56349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2047127" y="1825931"/>
                                  <a:ext cx="2" cy="3977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矩形 277"/>
                              <wps:cNvSpPr/>
                              <wps:spPr>
                                <a:xfrm>
                                  <a:off x="1871932" y="370936"/>
                                  <a:ext cx="698740" cy="483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乔庄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8" name="矩形 278"/>
                              <wps:cNvSpPr/>
                              <wps:spPr>
                                <a:xfrm>
                                  <a:off x="1871929" y="3181872"/>
                                  <a:ext cx="698740" cy="483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香乔村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9" name="矩形 279"/>
                              <wps:cNvSpPr/>
                              <wps:spPr>
                                <a:xfrm>
                                  <a:off x="1784350" y="1334770"/>
                                  <a:ext cx="767080"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临街商铺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0" name="直接箭头连接符 280"/>
                              <wps:cNvCnPr>
                                <a:stCxn id="266" idx="0"/>
                              </wps:cNvCnPr>
                              <wps:spPr>
                                <a:xfrm flipH="1" flipV="1">
                                  <a:off x="1742449" y="1164437"/>
                                  <a:ext cx="9536" cy="692654"/>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2" name="矩形 282"/>
                              <wps:cNvSpPr/>
                              <wps:spPr>
                                <a:xfrm>
                                  <a:off x="1414702" y="1328125"/>
                                  <a:ext cx="595322" cy="2504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118m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4" name="矩形 284"/>
                              <wps:cNvSpPr/>
                              <wps:spPr>
                                <a:xfrm>
                                  <a:off x="655480" y="997427"/>
                                  <a:ext cx="828136" cy="4069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S103省道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5" name="矩形 285"/>
                              <wps:cNvSpPr/>
                              <wps:spPr>
                                <a:xfrm>
                                  <a:off x="3364608" y="1971024"/>
                                  <a:ext cx="828136" cy="4069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白河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6" name="直接箭头连接符 286"/>
                              <wps:cNvCnPr/>
                              <wps:spPr>
                                <a:xfrm>
                                  <a:off x="3709011" y="2377668"/>
                                  <a:ext cx="0" cy="38246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7" name="直接箭头连接符 287"/>
                              <wps:cNvCnPr/>
                              <wps:spPr>
                                <a:xfrm flipV="1">
                                  <a:off x="4494136" y="198362"/>
                                  <a:ext cx="0" cy="457245"/>
                                </a:xfrm>
                                <a:prstGeom prst="straightConnector1">
                                  <a:avLst/>
                                </a:prstGeom>
                                <a:ln w="571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8" name="矩形 288"/>
                              <wps:cNvSpPr/>
                              <wps:spPr>
                                <a:xfrm>
                                  <a:off x="4351051" y="255532"/>
                                  <a:ext cx="612624" cy="4830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stheme="minorHAnsi"/>
                                        <w:b/>
                                        <w:color w:val="000000" w:themeColor="text1"/>
                                        <w:sz w:val="44"/>
                                        <w:szCs w:val="44"/>
                                        <w14:textFill>
                                          <w14:solidFill>
                                            <w14:schemeClr w14:val="tx1"/>
                                          </w14:solidFill>
                                        </w14:textFill>
                                      </w:rPr>
                                    </w:pPr>
                                    <w:r>
                                      <w:rPr>
                                        <w:rFonts w:asciiTheme="minorHAnsi" w:hAnsiTheme="minorHAnsi" w:cstheme="minorHAnsi"/>
                                        <w:b/>
                                        <w:color w:val="000000" w:themeColor="text1"/>
                                        <w:sz w:val="44"/>
                                        <w:szCs w:val="44"/>
                                        <w14:textFill>
                                          <w14:solidFill>
                                            <w14:schemeClr w14:val="tx1"/>
                                          </w14:solidFill>
                                        </w14:textFill>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 name="直接箭头连接符 289"/>
                              <wps:cNvCnPr/>
                              <wps:spPr>
                                <a:xfrm flipV="1">
                                  <a:off x="1964383" y="2009331"/>
                                  <a:ext cx="1636067" cy="233"/>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0" name="矩形 290"/>
                              <wps:cNvSpPr/>
                              <wps:spPr>
                                <a:xfrm>
                                  <a:off x="3665924" y="909923"/>
                                  <a:ext cx="828136" cy="4069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S103省道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1" name="矩形 291"/>
                              <wps:cNvSpPr/>
                              <wps:spPr>
                                <a:xfrm>
                                  <a:off x="2768913" y="1726941"/>
                                  <a:ext cx="595695" cy="3913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165m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2"/>
                              <wps:cNvCnPr/>
                              <wps:spPr>
                                <a:xfrm flipV="1">
                                  <a:off x="1767113" y="2055481"/>
                                  <a:ext cx="46" cy="25263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9" name="矩形 69"/>
                              <wps:cNvSpPr/>
                              <wps:spPr>
                                <a:xfrm>
                                  <a:off x="1562206" y="2224150"/>
                                  <a:ext cx="515274" cy="4953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矩形 283"/>
                              <wps:cNvSpPr/>
                              <wps:spPr>
                                <a:xfrm>
                                  <a:off x="1003314" y="2780944"/>
                                  <a:ext cx="595322" cy="55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区间</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道路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直接连接符 70"/>
                              <wps:cNvCnPr/>
                              <wps:spPr>
                                <a:xfrm>
                                  <a:off x="1414732" y="2223676"/>
                                  <a:ext cx="6308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矩形 71"/>
                              <wps:cNvSpPr/>
                              <wps:spPr>
                                <a:xfrm>
                                  <a:off x="1921250" y="1746165"/>
                                  <a:ext cx="569756" cy="5105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区间</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道路</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50.45pt;width:413.65pt;" coordsize="5253355,4450715" editas="canvas" o:gfxdata="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">
                      <o:lock v:ext="edit" aspectratio="f"/>
                      <v:shape id="_x0000_s1026" o:spid="_x0000_s1026" style="position:absolute;left:0;top:0;height:4450715;width:5253355;" filled="f" stroked="f" coordsize="21600,21600" o:gfxdata="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AL3D13XAAAABQEAAA8AAAAAAAAAAQAgAAAAIgAAAGRycy9k&#10;b3ducmV2LnhtbFBLAQIUABQAAAAIAIdO4kDl/yqhCAwAAEleAAAOAAAAAAAAAAEAIAAAACYBAABk&#10;cnMvZTJvRG9jLnhtbFBLBQYAAAAABgAGAFkBAACgDwAAAAA=&#10;">
                        <v:fill on="f" focussize="0,0"/>
                        <v:stroke on="f"/>
                        <v:imagedata o:title=""/>
                        <o:lock v:ext="edit" aspectratio="t"/>
                      </v:shape>
                      <v:shape id="_x0000_s1026" o:spid="_x0000_s1026" o:spt="100" style="position:absolute;left:1130060;top:4;height:4277726;width:612389;v-text-anchor:middle;" filled="f" stroked="t" coordsize="586596,3726611" o:gfxdata="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ArJS961QAAAAUB&#10;AAAPAAAAAAAAAAEAIAAAACIAAABkcnMvZG93bnJldi54bWxQSwECFAAUAAAACACHTuJA98Aw4jsD&#10;AAD2BgAADgAAAAAAAAABACAAAAAkAQAAZHJzL2Uyb0RvYy54bWxQSwUGAAAAAAYABgBZAQAA0QYA&#10;AAAA&#10;" path="m0,3726611l586596,0e">
                        <v:path o:connectlocs="0,4277726;612389,0" o:connectangles="0,0"/>
                        <v:fill on="f" focussize="0,0"/>
                        <v:stroke weight="2.25pt" color="#000000 [3213]" miterlimit="8" joinstyle="miter"/>
                        <v:imagedata o:title=""/>
                        <o:lock v:ext="edit" aspectratio="f"/>
                      </v:shape>
                      <v:shape id="_x0000_s1026" o:spid="_x0000_s1026" o:spt="100" style="position:absolute;left:595209;top:1190312;height:129334;width:4080313;v-text-anchor:middle;" filled="f" stroked="t" coordsize="5141343,181154" o:gfxdata="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IFE&#10;5NDXAAAABQEAAA8AAAAAAAAAAQAgAAAAIgAAAGRycy9kb3ducmV2LnhtbFBLAQIUABQAAAAIAIdO&#10;4kAXY/wNQQMAAP8GAAAOAAAAAAAAAAEAIAAAACYBAABkcnMvZTJvRG9jLnhtbFBLBQYAAAAABgAG&#10;AFkBAADZBgAAAAA=&#10;" path="m0,181154l5141343,0e">
                        <v:path o:connectlocs="0,129334;4080313,0" o:connectangles="0,0"/>
                        <v:fill on="f" focussize="0,0"/>
                        <v:stroke weight="3pt" color="#000000 [3213]" miterlimit="8" joinstyle="miter"/>
                        <v:imagedata o:title=""/>
                        <o:lock v:ext="edit" aspectratio="f"/>
                      </v:shape>
                      <v:shape id="_x0000_s1026" o:spid="_x0000_s1026" o:spt="100" style="position:absolute;left:3364610;top:9;height:4278216;width:335654;v-text-anchor:middle;" filled="f" stroked="t" coordsize="336430,3743864" o:gfxdata="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eZJwotQAAAAFAQAA&#10;DwAAAAAAAAABACAAAAAiAAAAZHJzL2Rvd25yZXYueG1sUEsBAhQAFAAAAAgAh07iQA1RuEDlAwAA&#10;dwkAAA4AAAAAAAAAAQAgAAAAIwEAAGRycy9lMm9Eb2MueG1sUEsFBgAAAAAGAAYAWQEAAHoHAAAA&#10;AA==&#10;" path="m0,0c86264,384594,172528,769189,215660,1155940c258792,1542691,238664,1889185,258792,2320506c278920,2751827,307675,3247845,336430,3743864e">
                        <v:path o:connectlocs="0,0;215162,1320924;258195,2651705;335654,4278216" o:connectangles="0,0,0,0"/>
                        <v:fill on="f" focussize="0,0"/>
                        <v:stroke weight="4.5pt" color="#00B0F0 [3204]" miterlimit="8" joinstyle="miter"/>
                        <v:imagedata o:title=""/>
                        <o:lock v:ext="edit" aspectratio="f"/>
                      </v:shape>
                      <v:shape id="_x0000_s1026" o:spid="_x0000_s1026" o:spt="100" style="position:absolute;left:1414732;top:9530;height:1164566;width:1345721;v-text-anchor:middle;" filled="f" stroked="t" coordsize="1345721,1164566" o:gfxdata="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Kb9kfHVAAAABQEAAA8A&#10;AAAAAAAAAQAgAAAAIgAAAGRycy9kb3ducmV2LnhtbFBLAQIUABQAAAAIAIdO4kAB8XPYqQMAAHwJ&#10;AAAOAAAAAAAAAAEAIAAAACQBAABkcnMvZTJvRG9jLnhtbFBLBQYAAAAABgAGAFkBAAA/BwAAAAA=&#10;" path="m181155,0l0,1164566,1311215,1130060,1345721,8626,181155,0xe">
                        <v:path o:connectlocs="181155,0;0,1164566;1311215,1130060;1345721,8626;181155,0" o:connectangles="0,0,0,0,0"/>
                        <v:fill on="f" focussize="0,0"/>
                        <v:stroke weight="1pt" color="#000000 [3213]" miterlimit="8" joinstyle="miter"/>
                        <v:imagedata o:title=""/>
                        <o:lock v:ext="edit" aspectratio="f"/>
                      </v:shape>
                      <v:rect id="_x0000_s1026" o:spid="_x0000_s1026" o:spt="1" style="position:absolute;left:1503149;top:1857091;height:317872;width:497671;v-text-anchor:middle;" fillcolor="#808000" filled="t" stroked="t" coordsize="21600,21600" o:gfxdata="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nzG4XWAAAABQEAAA8AAAAAAAAAAQAgAAAAIgAA&#10;AGRycy9kb3ducmV2LnhtbFBLAQIUABQAAAAIAIdO4kC34b+mfAIAAAIFAAAOAAAAAAAAAAEAIAAA&#10;ACUBAABkcnMvZTJvRG9jLnhtbFBLBQYAAAAABgAGAFkBAAATBgAAAAA=&#10;">
                        <v:fill on="t" focussize="0,0"/>
                        <v:stroke color="#000000 [3213]" miterlimit="8" joinstyle="miter"/>
                        <v:imagedata o:title=""/>
                        <o:lock v:ext="edit" aspectratio="f"/>
                      </v:rect>
                      <v:rect id="_x0000_s1026" o:spid="_x0000_s1026" o:spt="1" style="position:absolute;left:1332147;top:1328101;height:276225;width:1333382;v-text-anchor:middle;" filled="f" stroked="t" coordsize="21600,21600" o:gfxdata="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tQLFL1gAAAAUBAAAPAAAAAAAAAAEAIAAAACIAAABkcnMvZG93&#10;bnJldi54bWxQSwECFAAUAAAACACHTuJAImJUGnQCAADbBAAADgAAAAAAAAABACAAAAAlAQAAZHJz&#10;L2Uyb0RvYy54bWxQSwUGAAAAAAYABgBZAQAACwYAAAAA&#10;">
                        <v:fill on="f" focussize="0,0"/>
                        <v:stroke weight="1pt" color="#000000 [3213]" miterlimit="8" joinstyle="miter"/>
                        <v:imagedata o:title=""/>
                        <o:lock v:ext="edit" aspectratio="f"/>
                      </v:rect>
                      <v:shape id="_x0000_s1026" o:spid="_x0000_s1026" o:spt="100" style="position:absolute;left:983387;top:1621766;height:2665066;width:1716657;v-text-anchor:middle;" filled="f" stroked="t" coordsize="1716657,2717321" o:gfxdata="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AbsrOvVAAAABQEAAA8AAAAAAAAAAQAgAAAAIgAAAGRycy9kb3du&#10;cmV2LnhtbFBLAQIUABQAAAAIAIdO4kBn6664ygMAAE8KAAAOAAAAAAAAAAEAIAAAACQBAABkcnMv&#10;ZTJvRG9jLnhtbFBLBQYAAAAABgAGAFkBAABgBwAAAAA=&#10;" path="m0,2717321l353683,0,690113,8627,1673525,8627,1716657,2717321,0,2717321xe">
                        <v:path o:connectlocs="0,2665066;353683,0;690113,8461;1673525,8461;1716657,2665066;0,2665066" o:connectangles="0,0,0,0,0,0"/>
                        <v:fill on="f" focussize="0,0"/>
                        <v:stroke weight="1pt" color="#000000 [3213]" miterlimit="8" joinstyle="miter"/>
                        <v:imagedata o:title=""/>
                        <o:lock v:ext="edit" aspectratio="f"/>
                      </v:shape>
                      <v:line id="_x0000_s1026" o:spid="_x0000_s1026" o:spt="20" style="position:absolute;left:1483632;top:1817517;height:0;width:563497;" filled="f" stroked="t" coordsize="21600,21600" o:gfxdata="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FoBgdYAAAAFAQAADwAAAAAAAAABACAAAAAiAAAAZHJzL2Rvd25yZXYueG1sUEsBAhQA&#10;FAAAAAgAh07iQIoFk270AQAAwQMAAA4AAAAAAAAAAQAgAAAAJQEAAGRycy9lMm9Eb2MueG1sUEsF&#10;BgAAAAAGAAYAWQEAAIsFAAAAAA==&#10;">
                        <v:fill on="f" focussize="0,0"/>
                        <v:stroke weight="1.5pt" color="#000000 [3213]" miterlimit="8" joinstyle="miter"/>
                        <v:imagedata o:title=""/>
                        <o:lock v:ext="edit" aspectratio="f"/>
                      </v:line>
                      <v:line id="_x0000_s1026" o:spid="_x0000_s1026" o:spt="20" style="position:absolute;left:2047127;top:1825931;height:397745;width:2;" filled="f" stroked="t" coordsize="21600,21600" o:gfxdata="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WgGB1gAAAAUBAAAPAAAAAAAAAAEAIAAAACIAAABkcnMvZG93bnJldi54bWxQSwECFAAU&#10;AAAACACHTuJAyKqsIPMBAADBAwAADgAAAAAAAAABACAAAAAlAQAAZHJzL2Uyb0RvYy54bWxQSwUG&#10;AAAAAAYABgBZAQAAigUAAAAA&#10;">
                        <v:fill on="f" focussize="0,0"/>
                        <v:stroke weight="1.5pt" color="#000000 [3213]" miterlimit="8" joinstyle="miter"/>
                        <v:imagedata o:title=""/>
                        <o:lock v:ext="edit" aspectratio="f"/>
                      </v:line>
                      <v:rect id="_x0000_s1026" o:spid="_x0000_s1026" o:spt="1" style="position:absolute;left:1871932;top:370936;height:483079;width:698740;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UGoU1QAAAAUBAAAPAAAAAAAAAAEAIAAAACIAAABkcnMvZG93bnJldi54bWxQ&#10;SwECFAAUAAAACACHTuJAw5ADgGwCAAC7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乔庄</w:t>
                              </w:r>
                            </w:p>
                          </w:txbxContent>
                        </v:textbox>
                      </v:rect>
                      <v:rect id="_x0000_s1026" o:spid="_x0000_s1026" o:spt="1" style="position:absolute;left:1871929;top:3181872;height:483079;width:698740;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UGoU1QAAAAUBAAAPAAAAAAAAAAEAIAAAACIAAABkcnMvZG93bnJldi54bWxQ&#10;SwECFAAUAAAACACHTuJA9cLsT2wCAAC8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香乔村</w:t>
                              </w:r>
                            </w:p>
                          </w:txbxContent>
                        </v:textbox>
                      </v:rect>
                      <v:rect id="_x0000_s1026" o:spid="_x0000_s1026" o:spt="1" style="position:absolute;left:1784350;top:1334770;height:328295;width:767080;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UGoU1QAAAAUBAAAPAAAAAAAAAAEAIAAAACIAAABkcnMvZG93bnJldi54bWxQ&#10;SwECFAAUAAAACACHTuJACP14AmwCAAC8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临街商铺</w:t>
                              </w:r>
                            </w:p>
                          </w:txbxContent>
                        </v:textbox>
                      </v:rect>
                      <v:shape id="_x0000_s1026" o:spid="_x0000_s1026" o:spt="32" type="#_x0000_t32" style="position:absolute;left:1742449;top:1164437;flip:x y;height:692654;width:9536;" filled="f" stroked="t" coordsize="21600,21600" o:gfxdata="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UzrkjWAAAABQEAAA8AAAAAAAAAAQAgAAAAIgAA&#10;AGRycy9kb3ducmV2LnhtbFBLAQIUABQAAAAIAIdO4kBP4DqNQwIAAG8EAAAOAAAAAAAAAAEAIAAA&#10;ACUBAABkcnMvZTJvRG9jLnhtbFBLBQYAAAAABgAGAFkBAADaBQAAAAA=&#10;">
                        <v:fill on="f" focussize="0,0"/>
                        <v:stroke weight="0.5pt" color="#000000 [3213]" miterlimit="8" joinstyle="miter" startarrow="block" endarrow="block"/>
                        <v:imagedata o:title=""/>
                        <o:lock v:ext="edit" aspectratio="f"/>
                      </v:shape>
                      <v:rect id="_x0000_s1026" o:spid="_x0000_s1026" o:spt="1" style="position:absolute;left:1414702;top:1328125;height:250497;width:595322;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UGoU1QAAAAUBAAAPAAAAAAAAAAEAIAAAACIAAABkcnMvZG93bnJldi54bWxQ&#10;SwECFAAUAAAACACHTuJArRL9+mwCAAC8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118m</w:t>
                              </w:r>
                            </w:p>
                          </w:txbxContent>
                        </v:textbox>
                      </v:rect>
                      <v:rect id="_x0000_s1026" o:spid="_x0000_s1026" o:spt="1" style="position:absolute;left:655480;top:997427;height:406919;width:828136;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UGoU1QAAAAUBAAAPAAAAAAAAAAEAIAAAACIAAABkcnMvZG93bnJldi54bWxQ&#10;SwECFAAUAAAACACHTuJAkkins2wCAAC6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S103省道</w:t>
                              </w:r>
                            </w:p>
                          </w:txbxContent>
                        </v:textbox>
                      </v:rect>
                      <v:rect id="_x0000_s1026" o:spid="_x0000_s1026" o:spt="1" style="position:absolute;left:3364608;top:1971024;height:406919;width:828136;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5QahTVAAAABQEAAA8AAAAAAAAAAQAgAAAAIgAAAGRycy9kb3ducmV2Lnht&#10;bFBLAQIUABQAAAAIAIdO4kAKmy19bgIAALwEAAAOAAAAAAAAAAEAIAAAACQBAABkcnMvZTJvRG9j&#10;LnhtbFBLBQYAAAAABgAGAFkBAAAEBg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白河</w:t>
                              </w:r>
                            </w:p>
                          </w:txbxContent>
                        </v:textbox>
                      </v:rect>
                      <v:shape id="_x0000_s1026" o:spid="_x0000_s1026" o:spt="32" type="#_x0000_t32" style="position:absolute;left:3709011;top:2377668;height:382466;width:0;" filled="f" stroked="t" coordsize="21600,21600" o:gfxdata="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nOLK/UAAAABQEAAA8AAAAAAAAAAQAgAAAAIgAAAGRycy9kb3ducmV2LnhtbFBLAQIUABQAAAAI&#10;AIdO4kCuOY3fKgIAACwEAAAOAAAAAAAAAAEAIAAAACMBAABkcnMvZTJvRG9jLnhtbFBLBQYAAAAA&#10;BgAGAFkBAAC/BQAAAAA=&#10;">
                        <v:fill on="f" focussize="0,0"/>
                        <v:stroke weight="0.5pt" color="#000000 [3213]" miterlimit="8" joinstyle="miter" endarrow="block"/>
                        <v:imagedata o:title=""/>
                        <o:lock v:ext="edit" aspectratio="f"/>
                      </v:shape>
                      <v:shape id="_x0000_s1026" o:spid="_x0000_s1026" o:spt="32" type="#_x0000_t32" style="position:absolute;left:4494136;top:198362;flip:y;height:457245;width:0;" filled="f" stroked="t" coordsize="21600,21600" o:gfxdata="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PQT0HTAAAABQEAAA8AAAAAAAAAAQAgAAAAIgAAAGRycy9kb3ducmV2LnhtbFBLAQIU&#10;ABQAAAAIAIdO4kAAMDOlMQIAADYEAAAOAAAAAAAAAAEAIAAAACIBAABkcnMvZTJvRG9jLnhtbFBL&#10;BQYAAAAABgAGAFkBAADFBQAAAAA=&#10;">
                        <v:fill on="f" focussize="0,0"/>
                        <v:stroke weight="4.5pt" color="#000000 [3213]" miterlimit="8" joinstyle="miter" endarrow="block"/>
                        <v:imagedata o:title=""/>
                        <o:lock v:ext="edit" aspectratio="f"/>
                      </v:shape>
                      <v:rect id="_x0000_s1026" o:spid="_x0000_s1026" o:spt="1" style="position:absolute;left:4351051;top:255532;height:483043;width:612624;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lBqFNUAAAAFAQAADwAAAAAAAAABACAAAAAiAAAAZHJzL2Rvd25yZXYueG1s&#10;UEsBAhQAFAAAAAgAh07iQCU3cYZtAgAAuwQAAA4AAAAAAAAAAQAgAAAAJAEAAGRycy9lMm9Eb2Mu&#10;eG1sUEsFBgAAAAAGAAYAWQEAAAMGAAAAAA==&#10;">
                        <v:fill on="f" focussize="0,0"/>
                        <v:stroke on="f" weight="1pt" miterlimit="8" joinstyle="miter"/>
                        <v:imagedata o:title=""/>
                        <o:lock v:ext="edit" aspectratio="f"/>
                        <v:textbox>
                          <w:txbxContent>
                            <w:p>
                              <w:pPr>
                                <w:jc w:val="center"/>
                                <w:rPr>
                                  <w:rFonts w:asciiTheme="minorHAnsi" w:hAnsiTheme="minorHAnsi" w:cstheme="minorHAnsi"/>
                                  <w:b/>
                                  <w:color w:val="000000" w:themeColor="text1"/>
                                  <w:sz w:val="44"/>
                                  <w:szCs w:val="44"/>
                                  <w14:textFill>
                                    <w14:solidFill>
                                      <w14:schemeClr w14:val="tx1"/>
                                    </w14:solidFill>
                                  </w14:textFill>
                                </w:rPr>
                              </w:pPr>
                              <w:r>
                                <w:rPr>
                                  <w:rFonts w:asciiTheme="minorHAnsi" w:hAnsiTheme="minorHAnsi" w:cstheme="minorHAnsi"/>
                                  <w:b/>
                                  <w:color w:val="000000" w:themeColor="text1"/>
                                  <w:sz w:val="44"/>
                                  <w:szCs w:val="44"/>
                                  <w14:textFill>
                                    <w14:solidFill>
                                      <w14:schemeClr w14:val="tx1"/>
                                    </w14:solidFill>
                                  </w14:textFill>
                                </w:rPr>
                                <w:t>N</w:t>
                              </w:r>
                            </w:p>
                          </w:txbxContent>
                        </v:textbox>
                      </v:rect>
                      <v:shape id="_x0000_s1026" o:spid="_x0000_s1026" o:spt="32" type="#_x0000_t32" style="position:absolute;left:1964383;top:2009331;flip:y;height:233;width:1636067;" filled="f" stroked="t" coordsize="21600,21600" o:gfxdata="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G7RczUAAAABQEAAA8AAAAAAAAAAQAgAAAAIgAAAGRycy9kb3ducmV2LnhtbFBLAQIUABQA&#10;AAAIAIdO4kAZSdv9LQIAAD0EAAAOAAAAAAAAAAEAIAAAACMBAABkcnMvZTJvRG9jLnhtbFBLBQYA&#10;AAAABgAGAFkBAADCBQAAAAA=&#10;">
                        <v:fill on="f" focussize="0,0"/>
                        <v:stroke weight="0.5pt" color="#000000 [3213]" miterlimit="8" joinstyle="miter" startarrow="block" endarrow="block"/>
                        <v:imagedata o:title=""/>
                        <o:lock v:ext="edit" aspectratio="f"/>
                      </v:shape>
                      <v:rect id="_x0000_s1026" o:spid="_x0000_s1026" o:spt="1" style="position:absolute;left:3665924;top:909923;height:406919;width:828136;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5QahTVAAAABQEAAA8AAAAAAAAAAQAgAAAAIgAAAGRycy9kb3ducmV2Lnht&#10;bFBLAQIUABQAAAAIAIdO4kCmKuXYbgIAALsEAAAOAAAAAAAAAAEAIAAAACQBAABkcnMvZTJvRG9j&#10;LnhtbFBLBQYAAAAABgAGAFkBAAAEBg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S103省道</w:t>
                              </w:r>
                            </w:p>
                          </w:txbxContent>
                        </v:textbox>
                      </v:rect>
                      <v:rect id="_x0000_s1026" o:spid="_x0000_s1026" o:spt="1" style="position:absolute;left:2768913;top:1726941;height:391371;width:595695;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5QahTVAAAABQEAAA8AAAAAAAAAAQAgAAAAIgAAAGRycy9kb3ducmV2Lnht&#10;bFBLAQIUABQAAAAIAIdO4kDOJn+6bgIAALwEAAAOAAAAAAAAAAEAIAAAACQBAABkcnMvZTJvRG9j&#10;LnhtbFBLBQYAAAAABgAGAFkBAAAEBg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165m</w:t>
                              </w:r>
                            </w:p>
                          </w:txbxContent>
                        </v:textbox>
                      </v:rect>
                      <v:shape id="_x0000_s1026" o:spid="_x0000_s1026" o:spt="32" type="#_x0000_t32" style="position:absolute;left:1767113;top:2055481;flip:y;height:252634;width:46;" filled="f" stroked="t" coordsize="21600,21600" o:gfxdata="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8q9bTWAAAABQEAAA8AAAAAAAAAAQAgAAAAIgAAAGRycy9kb3ducmV2LnhtbFBLAQIU&#10;ABQAAAAIAIdO4kChJoVrLgIAADMEAAAOAAAAAAAAAAEAIAAAACUBAABkcnMvZTJvRG9jLnhtbFBL&#10;BQYAAAAABgAGAFkBAADFBQAAAAA=&#10;">
                        <v:fill on="f" focussize="0,0"/>
                        <v:stroke weight="0.5pt" color="#000000 [3213]" miterlimit="8" joinstyle="miter" endarrow="block"/>
                        <v:imagedata o:title=""/>
                        <o:lock v:ext="edit" aspectratio="f"/>
                      </v:shape>
                      <v:rect id="_x0000_s1026" o:spid="_x0000_s1026" o:spt="1" style="position:absolute;left:1562206;top:2224150;height:495323;width:515274;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5QahTVAAAABQEAAA8AAAAAAAAAAQAgAAAAIgAAAGRycy9kb3ducmV2Lnht&#10;bFBLAQIUABQAAAAIAIdO4kDrceJUbgIAALoEAAAOAAAAAAAAAAEAIAAAACQBAABkcnMvZTJvRG9j&#10;LnhtbFBLBQYAAAAABgAGAFkBAAAEBg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位置</w:t>
                              </w:r>
                            </w:p>
                          </w:txbxContent>
                        </v:textbox>
                      </v:rect>
                      <v:rect id="_x0000_s1026" o:spid="_x0000_s1026" o:spt="1" style="position:absolute;left:1003314;top:2780944;height:552715;width:595322;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5QahTVAAAABQEAAA8AAAAAAAAAAQAgAAAAIgAAAGRycy9kb3ducmV2Lnht&#10;bFBLAQIUABQAAAAIAIdO4kDnHWmQbgIAALwEAAAOAAAAAAAAAAEAIAAAACQBAABkcnMvZTJvRG9j&#10;LnhtbFBLBQYAAAAABgAGAFkBAAAEBg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区间</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道路</w:t>
                              </w:r>
                            </w:p>
                          </w:txbxContent>
                        </v:textbox>
                      </v:rect>
                      <v:line id="_x0000_s1026" o:spid="_x0000_s1026" o:spt="20" style="position:absolute;left:1414732;top:2223676;height:0;width:630833;" filled="f" stroked="t" coordsize="21600,21600" o:gfxdata="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WgGB1gAAAAUBAAAPAAAAAAAAAAEAIAAAACIAAABkcnMvZG93bnJldi54bWxQSwECFAAU&#10;AAAACACHTuJAacmTzPMBAAC/AwAADgAAAAAAAAABACAAAAAlAQAAZHJzL2Uyb0RvYy54bWxQSwUG&#10;AAAAAAYABgBZAQAAigUAAAAA&#10;">
                        <v:fill on="f" focussize="0,0"/>
                        <v:stroke weight="1.5pt" color="#000000 [3213]" miterlimit="8" joinstyle="miter"/>
                        <v:imagedata o:title=""/>
                        <o:lock v:ext="edit" aspectratio="f"/>
                      </v:line>
                      <v:rect id="_x0000_s1026" o:spid="_x0000_s1026" o:spt="1" style="position:absolute;left:1921250;top:1746165;height:510563;width:569756;v-text-anchor:middle;" filled="f" stroked="f" coordsize="21600,21600" o:gfxdata="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UGoU1QAAAAUBAAAPAAAAAAAAAAEAIAAAACIAAABkcnMvZG93bnJldi54bWxQ&#10;SwECFAAUAAAACACHTuJAMjmc/GwCAAC6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区间</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道路</w:t>
                              </w:r>
                            </w:p>
                          </w:txbxContent>
                        </v:textbox>
                      </v:rect>
                      <w10:wrap type="none"/>
                      <w10:anchorlock/>
                    </v:group>
                  </w:pict>
                </mc:Fallback>
              </mc:AlternateContent>
            </w:r>
          </w:p>
          <w:p>
            <w:pPr>
              <w:tabs>
                <w:tab w:val="left" w:pos="1081"/>
              </w:tabs>
              <w:adjustRightInd w:val="0"/>
              <w:snapToGrid w:val="0"/>
              <w:spacing w:line="360" w:lineRule="auto"/>
              <w:ind w:firstLine="482" w:firstLineChars="200"/>
              <w:jc w:val="center"/>
              <w:rPr>
                <w:rFonts w:eastAsiaTheme="minorEastAsia"/>
                <w:b/>
                <w:sz w:val="24"/>
                <w:szCs w:val="24"/>
              </w:rPr>
            </w:pPr>
            <w:r>
              <w:rPr>
                <w:rFonts w:hint="eastAsia" w:eastAsiaTheme="minorEastAsia"/>
                <w:b/>
                <w:sz w:val="24"/>
                <w:szCs w:val="24"/>
              </w:rPr>
              <w:t>图2-1      项目周围环境敏感点分布情况示意图</w:t>
            </w:r>
          </w:p>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3、</w:t>
            </w:r>
            <w:r>
              <w:rPr>
                <w:rFonts w:eastAsiaTheme="minorEastAsia"/>
                <w:b/>
                <w:sz w:val="24"/>
                <w:szCs w:val="24"/>
              </w:rPr>
              <w:t>工程组成及建设内容</w:t>
            </w:r>
          </w:p>
          <w:p>
            <w:pPr>
              <w:tabs>
                <w:tab w:val="left" w:pos="1081"/>
              </w:tabs>
              <w:adjustRightInd w:val="0"/>
              <w:snapToGrid w:val="0"/>
              <w:spacing w:line="360" w:lineRule="auto"/>
              <w:ind w:firstLine="480" w:firstLineChars="200"/>
              <w:rPr>
                <w:sz w:val="24"/>
              </w:rPr>
            </w:pPr>
            <w:r>
              <w:rPr>
                <w:rFonts w:hint="eastAsia"/>
                <w:sz w:val="24"/>
              </w:rPr>
              <w:t>本项目占地面积1100m</w:t>
            </w:r>
            <w:r>
              <w:rPr>
                <w:rFonts w:hint="eastAsia"/>
                <w:sz w:val="24"/>
                <w:vertAlign w:val="superscript"/>
              </w:rPr>
              <w:t>2</w:t>
            </w:r>
            <w:r>
              <w:rPr>
                <w:rFonts w:hint="eastAsia"/>
                <w:sz w:val="24"/>
              </w:rPr>
              <w:t>，利用现有生产厂房建筑面积990m</w:t>
            </w:r>
            <w:r>
              <w:rPr>
                <w:rFonts w:hint="eastAsia"/>
                <w:sz w:val="24"/>
                <w:vertAlign w:val="superscript"/>
              </w:rPr>
              <w:t>2</w:t>
            </w:r>
            <w:r>
              <w:rPr>
                <w:rFonts w:hint="eastAsia"/>
                <w:sz w:val="24"/>
              </w:rPr>
              <w:t>，建设1条贴面板生产线。具体工程组成及建设内容见表2-1。</w:t>
            </w:r>
          </w:p>
          <w:p>
            <w:pPr>
              <w:adjustRightInd w:val="0"/>
              <w:snapToGrid w:val="0"/>
              <w:spacing w:line="360" w:lineRule="auto"/>
              <w:jc w:val="center"/>
              <w:rPr>
                <w:b/>
                <w:bCs/>
                <w:sz w:val="24"/>
              </w:rPr>
            </w:pPr>
            <w:r>
              <w:rPr>
                <w:b/>
                <w:bCs/>
                <w:sz w:val="24"/>
              </w:rPr>
              <w:t>表</w:t>
            </w:r>
            <w:r>
              <w:rPr>
                <w:rFonts w:hint="eastAsia"/>
                <w:b/>
                <w:bCs/>
                <w:sz w:val="24"/>
              </w:rPr>
              <w:t>2-1        工程组成及建设内容</w:t>
            </w:r>
            <w:r>
              <w:rPr>
                <w:b/>
                <w:bCs/>
                <w:sz w:val="24"/>
              </w:rPr>
              <w:t>一览表</w:t>
            </w:r>
          </w:p>
          <w:tbl>
            <w:tblPr>
              <w:tblStyle w:val="30"/>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67"/>
              <w:gridCol w:w="1559"/>
              <w:gridCol w:w="1275"/>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98" w:type="dxa"/>
                  <w:shd w:val="clear" w:color="auto" w:fill="auto"/>
                  <w:vAlign w:val="center"/>
                </w:tcPr>
                <w:p>
                  <w:pPr>
                    <w:adjustRightInd w:val="0"/>
                    <w:spacing w:line="360" w:lineRule="exact"/>
                    <w:jc w:val="center"/>
                    <w:rPr>
                      <w:szCs w:val="21"/>
                    </w:rPr>
                  </w:pPr>
                  <w:r>
                    <w:rPr>
                      <w:rFonts w:hint="eastAsia"/>
                      <w:szCs w:val="21"/>
                    </w:rPr>
                    <w:t>类别</w:t>
                  </w:r>
                </w:p>
              </w:tc>
              <w:tc>
                <w:tcPr>
                  <w:tcW w:w="2126" w:type="dxa"/>
                  <w:gridSpan w:val="2"/>
                  <w:shd w:val="clear" w:color="auto" w:fill="auto"/>
                  <w:vAlign w:val="center"/>
                </w:tcPr>
                <w:p>
                  <w:pPr>
                    <w:adjustRightInd w:val="0"/>
                    <w:spacing w:line="360" w:lineRule="exact"/>
                    <w:jc w:val="center"/>
                    <w:rPr>
                      <w:szCs w:val="21"/>
                    </w:rPr>
                  </w:pPr>
                  <w:r>
                    <w:rPr>
                      <w:rFonts w:hint="eastAsia"/>
                      <w:szCs w:val="21"/>
                    </w:rPr>
                    <w:t>名称</w:t>
                  </w:r>
                </w:p>
              </w:tc>
              <w:tc>
                <w:tcPr>
                  <w:tcW w:w="1275" w:type="dxa"/>
                  <w:shd w:val="clear" w:color="auto" w:fill="auto"/>
                  <w:vAlign w:val="center"/>
                </w:tcPr>
                <w:p>
                  <w:pPr>
                    <w:adjustRightInd w:val="0"/>
                    <w:spacing w:line="360" w:lineRule="exact"/>
                    <w:jc w:val="center"/>
                    <w:rPr>
                      <w:szCs w:val="21"/>
                    </w:rPr>
                  </w:pPr>
                  <w:r>
                    <w:rPr>
                      <w:rFonts w:hint="eastAsia" w:hAnsi="宋体"/>
                      <w:szCs w:val="21"/>
                    </w:rPr>
                    <w:t>建筑面积</w:t>
                  </w:r>
                </w:p>
              </w:tc>
              <w:tc>
                <w:tcPr>
                  <w:tcW w:w="4209" w:type="dxa"/>
                  <w:shd w:val="clear" w:color="auto" w:fill="auto"/>
                  <w:vAlign w:val="center"/>
                </w:tcPr>
                <w:p>
                  <w:pPr>
                    <w:adjustRightInd w:val="0"/>
                    <w:spacing w:line="36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vMerge w:val="restart"/>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主体工程</w:t>
                  </w: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生产车间</w:t>
                  </w:r>
                </w:p>
              </w:tc>
              <w:tc>
                <w:tcPr>
                  <w:tcW w:w="1275" w:type="dxa"/>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495m</w:t>
                  </w:r>
                  <w:r>
                    <w:rPr>
                      <w:rFonts w:hint="eastAsia"/>
                      <w:color w:val="000000" w:themeColor="text1"/>
                      <w:szCs w:val="21"/>
                      <w:vertAlign w:val="superscript"/>
                      <w14:textFill>
                        <w14:solidFill>
                          <w14:schemeClr w14:val="tx1"/>
                        </w14:solidFill>
                      </w14:textFill>
                    </w:rPr>
                    <w:t>2</w:t>
                  </w:r>
                </w:p>
              </w:tc>
              <w:tc>
                <w:tcPr>
                  <w:tcW w:w="4209" w:type="dxa"/>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1F，砖混结构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vMerge w:val="continue"/>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仓库</w:t>
                  </w:r>
                </w:p>
              </w:tc>
              <w:tc>
                <w:tcPr>
                  <w:tcW w:w="1275" w:type="dxa"/>
                  <w:shd w:val="clear" w:color="auto" w:fill="auto"/>
                  <w:vAlign w:val="center"/>
                </w:tcPr>
                <w:p>
                  <w:pPr>
                    <w:adjustRightIn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495m</w:t>
                  </w:r>
                  <w:r>
                    <w:rPr>
                      <w:rFonts w:hint="eastAsia"/>
                      <w:color w:val="000000" w:themeColor="text1"/>
                      <w:szCs w:val="21"/>
                      <w:vertAlign w:val="superscript"/>
                      <w14:textFill>
                        <w14:solidFill>
                          <w14:schemeClr w14:val="tx1"/>
                        </w14:solidFill>
                      </w14:textFill>
                    </w:rPr>
                    <w:t>2</w:t>
                  </w:r>
                </w:p>
              </w:tc>
              <w:tc>
                <w:tcPr>
                  <w:tcW w:w="4209" w:type="dxa"/>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1F，封闭式钢结构，包含原料库、成品库及办公室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辅助工程</w:t>
                  </w: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办公房</w:t>
                  </w:r>
                </w:p>
              </w:tc>
              <w:tc>
                <w:tcPr>
                  <w:tcW w:w="1275" w:type="dxa"/>
                  <w:shd w:val="clear" w:color="auto" w:fill="auto"/>
                  <w:vAlign w:val="center"/>
                </w:tcPr>
                <w:p>
                  <w:pPr>
                    <w:adjustRightIn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10m</w:t>
                  </w:r>
                  <w:r>
                    <w:rPr>
                      <w:rFonts w:hint="eastAsia"/>
                      <w:color w:val="000000" w:themeColor="text1"/>
                      <w:szCs w:val="21"/>
                      <w:vertAlign w:val="superscript"/>
                      <w14:textFill>
                        <w14:solidFill>
                          <w14:schemeClr w14:val="tx1"/>
                        </w14:solidFill>
                      </w14:textFill>
                    </w:rPr>
                    <w:t>2</w:t>
                  </w:r>
                </w:p>
              </w:tc>
              <w:tc>
                <w:tcPr>
                  <w:tcW w:w="4209" w:type="dxa"/>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位于仓库内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vMerge w:val="restart"/>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公用工程</w:t>
                  </w: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供水</w:t>
                  </w:r>
                </w:p>
              </w:tc>
              <w:tc>
                <w:tcPr>
                  <w:tcW w:w="5484"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bCs/>
                    </w:rPr>
                    <w:t>由厂区自备井供给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vMerge w:val="continue"/>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供电</w:t>
                  </w:r>
                </w:p>
              </w:tc>
              <w:tc>
                <w:tcPr>
                  <w:tcW w:w="5484"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bCs/>
                    </w:rPr>
                    <w:t>由新野县上港乡市政供电系统提供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vMerge w:val="continue"/>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排水</w:t>
                  </w:r>
                </w:p>
              </w:tc>
              <w:tc>
                <w:tcPr>
                  <w:tcW w:w="5484"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bCs/>
                    </w:rPr>
                    <w:t>采用雨污分流系统，雨水经厂区雨水收集系统收集后排入东侧165m的白河；营运期无生产废水，职工生活污水经化粪池处理后用于周围农田施肥，资源化利用不外排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8" w:type="dxa"/>
                  <w:vMerge w:val="continue"/>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p>
              </w:tc>
              <w:tc>
                <w:tcPr>
                  <w:tcW w:w="2126"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供热</w:t>
                  </w:r>
                </w:p>
              </w:tc>
              <w:tc>
                <w:tcPr>
                  <w:tcW w:w="5484" w:type="dxa"/>
                  <w:gridSpan w:val="2"/>
                  <w:shd w:val="clear" w:color="auto" w:fill="auto"/>
                  <w:vAlign w:val="center"/>
                </w:tcPr>
                <w:p>
                  <w:pPr>
                    <w:adjustRightInd w:val="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热压工序供热由燃气导热油炉提供，采用罐装液化石油气作为燃料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8" w:type="dxa"/>
                  <w:vMerge w:val="restart"/>
                  <w:shd w:val="clear" w:color="auto" w:fill="auto"/>
                  <w:vAlign w:val="center"/>
                </w:tcPr>
                <w:p>
                  <w:pPr>
                    <w:adjustRightInd w:val="0"/>
                    <w:snapToGrid w:val="0"/>
                    <w:spacing w:line="360" w:lineRule="exact"/>
                    <w:jc w:val="center"/>
                    <w:rPr>
                      <w:rFonts w:hAnsi="宋体"/>
                      <w:szCs w:val="21"/>
                    </w:rPr>
                  </w:pPr>
                  <w:r>
                    <w:rPr>
                      <w:rFonts w:hint="eastAsia" w:hAnsi="宋体"/>
                      <w:szCs w:val="21"/>
                    </w:rPr>
                    <w:t>环保工程</w:t>
                  </w:r>
                </w:p>
              </w:tc>
              <w:tc>
                <w:tcPr>
                  <w:tcW w:w="2126" w:type="dxa"/>
                  <w:gridSpan w:val="2"/>
                  <w:shd w:val="clear" w:color="auto" w:fill="auto"/>
                  <w:vAlign w:val="center"/>
                </w:tcPr>
                <w:p>
                  <w:pPr>
                    <w:adjustRightInd w:val="0"/>
                    <w:snapToGrid w:val="0"/>
                    <w:spacing w:line="360" w:lineRule="exact"/>
                    <w:jc w:val="center"/>
                    <w:rPr>
                      <w:rFonts w:hAnsi="宋体"/>
                      <w:szCs w:val="21"/>
                    </w:rPr>
                  </w:pPr>
                  <w:r>
                    <w:rPr>
                      <w:rFonts w:hint="eastAsia" w:hAnsi="宋体"/>
                      <w:szCs w:val="21"/>
                    </w:rPr>
                    <w:t>废水治理措施</w:t>
                  </w:r>
                </w:p>
              </w:tc>
              <w:tc>
                <w:tcPr>
                  <w:tcW w:w="5484" w:type="dxa"/>
                  <w:gridSpan w:val="2"/>
                  <w:shd w:val="clear" w:color="auto" w:fill="auto"/>
                  <w:vAlign w:val="center"/>
                </w:tcPr>
                <w:p>
                  <w:pPr>
                    <w:adjustRightInd w:val="0"/>
                    <w:snapToGrid w:val="0"/>
                    <w:spacing w:line="360" w:lineRule="exact"/>
                    <w:jc w:val="center"/>
                    <w:rPr>
                      <w:rFonts w:hAnsi="宋体"/>
                      <w:szCs w:val="21"/>
                    </w:rPr>
                  </w:pPr>
                  <w:r>
                    <w:rPr>
                      <w:rFonts w:hint="eastAsia" w:hAnsi="宋体"/>
                      <w:szCs w:val="21"/>
                    </w:rPr>
                    <w:t>职工生活污水经化粪池处理后用于周围农田施肥，资源化利用不外排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2126" w:type="dxa"/>
                  <w:gridSpan w:val="2"/>
                  <w:shd w:val="clear" w:color="auto" w:fill="auto"/>
                  <w:vAlign w:val="center"/>
                </w:tcPr>
                <w:p>
                  <w:pPr>
                    <w:adjustRightInd w:val="0"/>
                    <w:snapToGrid w:val="0"/>
                    <w:spacing w:line="360" w:lineRule="exact"/>
                    <w:jc w:val="center"/>
                    <w:rPr>
                      <w:rFonts w:hAnsi="宋体"/>
                      <w:szCs w:val="21"/>
                    </w:rPr>
                  </w:pPr>
                  <w:r>
                    <w:rPr>
                      <w:rFonts w:hint="eastAsia" w:hAnsi="宋体"/>
                      <w:szCs w:val="21"/>
                    </w:rPr>
                    <w:t>废气治理设施</w:t>
                  </w:r>
                </w:p>
              </w:tc>
              <w:tc>
                <w:tcPr>
                  <w:tcW w:w="5484" w:type="dxa"/>
                  <w:gridSpan w:val="2"/>
                  <w:shd w:val="clear" w:color="auto" w:fill="auto"/>
                  <w:vAlign w:val="center"/>
                </w:tcPr>
                <w:p>
                  <w:pPr>
                    <w:adjustRightInd w:val="0"/>
                    <w:snapToGrid w:val="0"/>
                    <w:spacing w:line="360" w:lineRule="exact"/>
                    <w:jc w:val="center"/>
                    <w:rPr>
                      <w:rFonts w:hAnsi="宋体"/>
                      <w:szCs w:val="21"/>
                    </w:rPr>
                  </w:pPr>
                  <w:r>
                    <w:rPr>
                      <w:rFonts w:hAnsi="宋体"/>
                      <w:szCs w:val="21"/>
                    </w:rPr>
                    <w:t>热压工序</w:t>
                  </w:r>
                  <w:r>
                    <w:rPr>
                      <w:rFonts w:hint="eastAsia" w:hAnsi="宋体"/>
                      <w:szCs w:val="21"/>
                    </w:rPr>
                    <w:t>有机废气经集气罩收集后通过管道引至1套UV光氧催化+低温等离子处理装置处理后经1根15m高排气筒排放，同时车间加强通风换气；模温机（导热油炉）液化石油气燃烧机加装低氮燃烧器，燃烧废气经1根8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2126" w:type="dxa"/>
                  <w:gridSpan w:val="2"/>
                  <w:shd w:val="clear" w:color="auto" w:fill="auto"/>
                  <w:vAlign w:val="center"/>
                </w:tcPr>
                <w:p>
                  <w:pPr>
                    <w:adjustRightInd w:val="0"/>
                    <w:snapToGrid w:val="0"/>
                    <w:spacing w:line="360" w:lineRule="exact"/>
                    <w:jc w:val="center"/>
                    <w:rPr>
                      <w:rFonts w:hAnsi="宋体"/>
                      <w:szCs w:val="21"/>
                    </w:rPr>
                  </w:pPr>
                  <w:r>
                    <w:rPr>
                      <w:rFonts w:hint="eastAsia" w:hAnsi="宋体"/>
                      <w:szCs w:val="21"/>
                    </w:rPr>
                    <w:t>噪声治理措施</w:t>
                  </w:r>
                </w:p>
              </w:tc>
              <w:tc>
                <w:tcPr>
                  <w:tcW w:w="5484" w:type="dxa"/>
                  <w:gridSpan w:val="2"/>
                  <w:shd w:val="clear" w:color="auto" w:fill="auto"/>
                  <w:vAlign w:val="center"/>
                </w:tcPr>
                <w:p>
                  <w:pPr>
                    <w:adjustRightInd w:val="0"/>
                    <w:snapToGrid w:val="0"/>
                    <w:spacing w:line="360" w:lineRule="exact"/>
                    <w:jc w:val="center"/>
                    <w:rPr>
                      <w:rFonts w:hAnsi="宋体"/>
                      <w:szCs w:val="21"/>
                    </w:rPr>
                  </w:pPr>
                  <w:r>
                    <w:rPr>
                      <w:rFonts w:hint="eastAsia" w:cs="宋体"/>
                    </w:rPr>
                    <w:t>合理布局；产噪设备采取基础减振</w:t>
                  </w:r>
                  <w:r>
                    <w:rPr>
                      <w:rFonts w:hint="eastAsia" w:hAnsi="宋体"/>
                      <w:szCs w:val="21"/>
                    </w:rPr>
                    <w:t>、</w:t>
                  </w:r>
                  <w:r>
                    <w:rPr>
                      <w:rFonts w:hAnsi="宋体"/>
                      <w:szCs w:val="21"/>
                    </w:rPr>
                    <w:t>厂房隔声等降噪措施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567" w:type="dxa"/>
                  <w:vMerge w:val="restart"/>
                  <w:shd w:val="clear" w:color="auto" w:fill="auto"/>
                  <w:vAlign w:val="center"/>
                </w:tcPr>
                <w:p>
                  <w:pPr>
                    <w:adjustRightInd w:val="0"/>
                    <w:snapToGrid w:val="0"/>
                    <w:spacing w:line="360" w:lineRule="exact"/>
                    <w:jc w:val="center"/>
                    <w:rPr>
                      <w:rFonts w:hAnsi="宋体"/>
                      <w:szCs w:val="21"/>
                    </w:rPr>
                  </w:pPr>
                  <w:r>
                    <w:rPr>
                      <w:rFonts w:hint="eastAsia" w:hAnsi="宋体"/>
                      <w:szCs w:val="21"/>
                    </w:rPr>
                    <w:t>固废治理措施</w:t>
                  </w:r>
                </w:p>
              </w:tc>
              <w:tc>
                <w:tcPr>
                  <w:tcW w:w="1559" w:type="dxa"/>
                  <w:shd w:val="clear" w:color="auto" w:fill="auto"/>
                  <w:vAlign w:val="center"/>
                </w:tcPr>
                <w:p>
                  <w:pPr>
                    <w:spacing w:line="360" w:lineRule="exact"/>
                    <w:jc w:val="center"/>
                    <w:outlineLvl w:val="1"/>
                    <w:rPr>
                      <w:rFonts w:hAnsi="宋体"/>
                      <w:szCs w:val="21"/>
                    </w:rPr>
                  </w:pPr>
                  <w:r>
                    <w:rPr>
                      <w:rFonts w:hint="eastAsia" w:hAnsi="宋体"/>
                      <w:szCs w:val="21"/>
                    </w:rPr>
                    <w:t xml:space="preserve">生活垃圾 </w:t>
                  </w:r>
                </w:p>
              </w:tc>
              <w:tc>
                <w:tcPr>
                  <w:tcW w:w="5484" w:type="dxa"/>
                  <w:gridSpan w:val="2"/>
                  <w:shd w:val="clear" w:color="auto" w:fill="auto"/>
                  <w:vAlign w:val="center"/>
                </w:tcPr>
                <w:p>
                  <w:pPr>
                    <w:spacing w:line="360" w:lineRule="exact"/>
                    <w:jc w:val="center"/>
                    <w:outlineLvl w:val="1"/>
                    <w:rPr>
                      <w:szCs w:val="21"/>
                    </w:rPr>
                  </w:pPr>
                  <w:r>
                    <w:rPr>
                      <w:rFonts w:hint="eastAsia"/>
                      <w:color w:val="000000"/>
                      <w:szCs w:val="21"/>
                    </w:rPr>
                    <w:t>经垃圾桶分类收集后交由环卫部门</w:t>
                  </w:r>
                  <w:r>
                    <w:rPr>
                      <w:rFonts w:hint="eastAsia" w:hAnsi="宋体"/>
                      <w:color w:val="000000"/>
                      <w:szCs w:val="21"/>
                    </w:rPr>
                    <w:t>运至垃圾中转站处理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567" w:type="dxa"/>
                  <w:vMerge w:val="continue"/>
                  <w:shd w:val="clear" w:color="auto" w:fill="auto"/>
                  <w:vAlign w:val="center"/>
                </w:tcPr>
                <w:p>
                  <w:pPr>
                    <w:adjustRightInd w:val="0"/>
                    <w:snapToGrid w:val="0"/>
                    <w:spacing w:line="360" w:lineRule="exact"/>
                    <w:jc w:val="center"/>
                    <w:rPr>
                      <w:rFonts w:hAnsi="宋体"/>
                      <w:szCs w:val="21"/>
                    </w:rPr>
                  </w:pPr>
                </w:p>
              </w:tc>
              <w:tc>
                <w:tcPr>
                  <w:tcW w:w="1559" w:type="dxa"/>
                  <w:shd w:val="clear" w:color="auto" w:fill="auto"/>
                  <w:vAlign w:val="center"/>
                </w:tcPr>
                <w:p>
                  <w:pPr>
                    <w:adjustRightInd w:val="0"/>
                    <w:snapToGrid w:val="0"/>
                    <w:spacing w:line="360" w:lineRule="exact"/>
                    <w:jc w:val="center"/>
                    <w:rPr>
                      <w:rFonts w:hAnsi="宋体"/>
                      <w:szCs w:val="21"/>
                    </w:rPr>
                  </w:pPr>
                  <w:r>
                    <w:rPr>
                      <w:rFonts w:hint="eastAsia" w:hAnsi="宋体"/>
                      <w:szCs w:val="21"/>
                    </w:rPr>
                    <w:t>化粪池污泥</w:t>
                  </w:r>
                </w:p>
              </w:tc>
              <w:tc>
                <w:tcPr>
                  <w:tcW w:w="5484" w:type="dxa"/>
                  <w:gridSpan w:val="2"/>
                  <w:shd w:val="clear" w:color="auto" w:fill="auto"/>
                  <w:vAlign w:val="center"/>
                </w:tcPr>
                <w:p>
                  <w:pPr>
                    <w:adjustRightInd w:val="0"/>
                    <w:snapToGrid w:val="0"/>
                    <w:spacing w:line="360" w:lineRule="exact"/>
                    <w:jc w:val="center"/>
                    <w:rPr>
                      <w:rFonts w:hAnsi="宋体"/>
                      <w:szCs w:val="21"/>
                    </w:rPr>
                  </w:pPr>
                  <w:r>
                    <w:rPr>
                      <w:rFonts w:hint="eastAsia"/>
                      <w:color w:val="000000"/>
                      <w:szCs w:val="21"/>
                    </w:rPr>
                    <w:t>定期清掏后用于周围农田施肥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567" w:type="dxa"/>
                  <w:vMerge w:val="continue"/>
                  <w:shd w:val="clear" w:color="auto" w:fill="auto"/>
                  <w:vAlign w:val="center"/>
                </w:tcPr>
                <w:p>
                  <w:pPr>
                    <w:adjustRightInd w:val="0"/>
                    <w:snapToGrid w:val="0"/>
                    <w:spacing w:line="360" w:lineRule="exact"/>
                    <w:jc w:val="center"/>
                    <w:rPr>
                      <w:rFonts w:hAnsi="宋体"/>
                      <w:szCs w:val="21"/>
                    </w:rPr>
                  </w:pPr>
                </w:p>
              </w:tc>
              <w:tc>
                <w:tcPr>
                  <w:tcW w:w="1559" w:type="dxa"/>
                  <w:shd w:val="clear" w:color="auto" w:fill="auto"/>
                  <w:vAlign w:val="center"/>
                </w:tcPr>
                <w:p>
                  <w:pPr>
                    <w:spacing w:line="360" w:lineRule="exact"/>
                    <w:jc w:val="center"/>
                    <w:outlineLvl w:val="1"/>
                    <w:rPr>
                      <w:rFonts w:hAnsi="宋体"/>
                      <w:szCs w:val="21"/>
                    </w:rPr>
                  </w:pPr>
                  <w:r>
                    <w:rPr>
                      <w:rFonts w:hAnsi="宋体"/>
                      <w:szCs w:val="21"/>
                    </w:rPr>
                    <w:t>边角料及不合格品</w:t>
                  </w:r>
                </w:p>
              </w:tc>
              <w:tc>
                <w:tcPr>
                  <w:tcW w:w="5484" w:type="dxa"/>
                  <w:gridSpan w:val="2"/>
                  <w:vMerge w:val="restart"/>
                  <w:shd w:val="clear" w:color="auto" w:fill="auto"/>
                  <w:vAlign w:val="center"/>
                </w:tcPr>
                <w:p>
                  <w:pPr>
                    <w:spacing w:line="360" w:lineRule="exact"/>
                    <w:jc w:val="center"/>
                    <w:outlineLvl w:val="1"/>
                    <w:rPr>
                      <w:szCs w:val="21"/>
                    </w:rPr>
                  </w:pPr>
                  <w:r>
                    <w:rPr>
                      <w:rFonts w:hint="eastAsia"/>
                      <w:color w:val="auto"/>
                      <w:szCs w:val="21"/>
                      <w:u w:val="single"/>
                    </w:rPr>
                    <w:t>集中收集于一般固废暂存间（位于车间内，面积10m</w:t>
                  </w:r>
                  <w:r>
                    <w:rPr>
                      <w:rFonts w:hint="eastAsia"/>
                      <w:color w:val="auto"/>
                      <w:szCs w:val="21"/>
                      <w:u w:val="single"/>
                      <w:vertAlign w:val="superscript"/>
                    </w:rPr>
                    <w:t>2</w:t>
                  </w:r>
                  <w:r>
                    <w:rPr>
                      <w:rFonts w:hint="eastAsia"/>
                      <w:color w:val="auto"/>
                      <w:szCs w:val="21"/>
                      <w:u w:val="single"/>
                    </w:rPr>
                    <w:t>），定期外售给废品回收站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567" w:type="dxa"/>
                  <w:vMerge w:val="continue"/>
                  <w:shd w:val="clear" w:color="auto" w:fill="auto"/>
                  <w:vAlign w:val="center"/>
                </w:tcPr>
                <w:p>
                  <w:pPr>
                    <w:adjustRightInd w:val="0"/>
                    <w:snapToGrid w:val="0"/>
                    <w:spacing w:line="360" w:lineRule="exact"/>
                    <w:jc w:val="center"/>
                    <w:rPr>
                      <w:rFonts w:hAnsi="宋体"/>
                      <w:szCs w:val="21"/>
                    </w:rPr>
                  </w:pPr>
                </w:p>
              </w:tc>
              <w:tc>
                <w:tcPr>
                  <w:tcW w:w="1559" w:type="dxa"/>
                  <w:shd w:val="clear" w:color="auto" w:fill="auto"/>
                  <w:vAlign w:val="center"/>
                </w:tcPr>
                <w:p>
                  <w:pPr>
                    <w:spacing w:line="360" w:lineRule="exact"/>
                    <w:jc w:val="center"/>
                    <w:outlineLvl w:val="1"/>
                    <w:rPr>
                      <w:rFonts w:hAnsi="宋体"/>
                      <w:szCs w:val="21"/>
                    </w:rPr>
                  </w:pPr>
                  <w:r>
                    <w:rPr>
                      <w:rFonts w:hint="eastAsia" w:hAnsi="宋体"/>
                      <w:szCs w:val="21"/>
                    </w:rPr>
                    <w:t>废包装材料</w:t>
                  </w:r>
                </w:p>
              </w:tc>
              <w:tc>
                <w:tcPr>
                  <w:tcW w:w="5484" w:type="dxa"/>
                  <w:gridSpan w:val="2"/>
                  <w:vMerge w:val="continue"/>
                  <w:shd w:val="clear" w:color="auto" w:fill="auto"/>
                  <w:vAlign w:val="center"/>
                </w:tcPr>
                <w:p>
                  <w:pPr>
                    <w:spacing w:line="360" w:lineRule="exact"/>
                    <w:jc w:val="center"/>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567" w:type="dxa"/>
                  <w:vMerge w:val="continue"/>
                  <w:shd w:val="clear" w:color="auto" w:fill="auto"/>
                  <w:vAlign w:val="center"/>
                </w:tcPr>
                <w:p>
                  <w:pPr>
                    <w:adjustRightInd w:val="0"/>
                    <w:snapToGrid w:val="0"/>
                    <w:spacing w:line="360" w:lineRule="exact"/>
                    <w:jc w:val="center"/>
                    <w:rPr>
                      <w:rFonts w:hAnsi="宋体"/>
                      <w:szCs w:val="21"/>
                    </w:rPr>
                  </w:pPr>
                </w:p>
              </w:tc>
              <w:tc>
                <w:tcPr>
                  <w:tcW w:w="1559" w:type="dxa"/>
                  <w:shd w:val="clear" w:color="auto" w:fill="auto"/>
                  <w:vAlign w:val="center"/>
                </w:tcPr>
                <w:p>
                  <w:pPr>
                    <w:spacing w:line="320" w:lineRule="exact"/>
                    <w:jc w:val="center"/>
                    <w:outlineLvl w:val="1"/>
                    <w:rPr>
                      <w:rFonts w:hAnsi="宋体"/>
                      <w:szCs w:val="21"/>
                    </w:rPr>
                  </w:pPr>
                  <w:r>
                    <w:rPr>
                      <w:rFonts w:hint="eastAsia" w:hAnsi="宋体"/>
                      <w:szCs w:val="21"/>
                    </w:rPr>
                    <w:t>废液压油</w:t>
                  </w:r>
                </w:p>
              </w:tc>
              <w:tc>
                <w:tcPr>
                  <w:tcW w:w="5484" w:type="dxa"/>
                  <w:gridSpan w:val="2"/>
                  <w:vMerge w:val="restart"/>
                  <w:shd w:val="clear" w:color="auto" w:fill="auto"/>
                  <w:vAlign w:val="center"/>
                </w:tcPr>
                <w:p>
                  <w:pPr>
                    <w:adjustRightInd w:val="0"/>
                    <w:snapToGrid w:val="0"/>
                    <w:spacing w:line="360" w:lineRule="exact"/>
                    <w:jc w:val="center"/>
                    <w:rPr>
                      <w:rFonts w:hAnsi="宋体"/>
                      <w:szCs w:val="21"/>
                    </w:rPr>
                  </w:pPr>
                  <w:r>
                    <w:rPr>
                      <w:rFonts w:hint="eastAsia"/>
                      <w:color w:val="000000" w:themeColor="text1"/>
                      <w:szCs w:val="21"/>
                      <w14:textFill>
                        <w14:solidFill>
                          <w14:schemeClr w14:val="tx1"/>
                        </w14:solidFill>
                      </w14:textFill>
                    </w:rPr>
                    <w:t>分类</w:t>
                  </w:r>
                  <w:r>
                    <w:rPr>
                      <w:color w:val="000000" w:themeColor="text1"/>
                      <w:szCs w:val="21"/>
                      <w14:textFill>
                        <w14:solidFill>
                          <w14:schemeClr w14:val="tx1"/>
                        </w14:solidFill>
                      </w14:textFill>
                    </w:rPr>
                    <w:t>集中收集</w:t>
                  </w:r>
                  <w:r>
                    <w:rPr>
                      <w:rFonts w:hint="eastAsia"/>
                      <w:color w:val="000000" w:themeColor="text1"/>
                      <w:szCs w:val="21"/>
                      <w14:textFill>
                        <w14:solidFill>
                          <w14:schemeClr w14:val="tx1"/>
                        </w14:solidFill>
                      </w14:textFill>
                    </w:rPr>
                    <w:t>于厂区现有危废</w:t>
                  </w:r>
                  <w:r>
                    <w:rPr>
                      <w:color w:val="000000" w:themeColor="text1"/>
                      <w:szCs w:val="21"/>
                      <w14:textFill>
                        <w14:solidFill>
                          <w14:schemeClr w14:val="tx1"/>
                        </w14:solidFill>
                      </w14:textFill>
                    </w:rPr>
                    <w:t>暂存间</w:t>
                  </w:r>
                  <w:r>
                    <w:rPr>
                      <w:rFonts w:hint="eastAsia"/>
                      <w:color w:val="000000" w:themeColor="text1"/>
                      <w:szCs w:val="21"/>
                      <w14:textFill>
                        <w14:solidFill>
                          <w14:schemeClr w14:val="tx1"/>
                        </w14:solidFill>
                      </w14:textFill>
                    </w:rPr>
                    <w:t>（面积10m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，采取四防措施），</w:t>
                  </w:r>
                  <w:r>
                    <w:rPr>
                      <w:color w:val="000000" w:themeColor="text1"/>
                      <w:szCs w:val="21"/>
                      <w14:textFill>
                        <w14:solidFill>
                          <w14:schemeClr w14:val="tx1"/>
                        </w14:solidFill>
                      </w14:textFill>
                    </w:rPr>
                    <w:t>定期交由有危废处理资质的单位进行处置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8" w:type="dxa"/>
                  <w:vMerge w:val="continue"/>
                  <w:shd w:val="clear" w:color="auto" w:fill="auto"/>
                  <w:vAlign w:val="center"/>
                </w:tcPr>
                <w:p>
                  <w:pPr>
                    <w:adjustRightInd w:val="0"/>
                    <w:snapToGrid w:val="0"/>
                    <w:spacing w:line="360" w:lineRule="exact"/>
                    <w:jc w:val="center"/>
                    <w:rPr>
                      <w:rFonts w:hAnsi="宋体"/>
                      <w:szCs w:val="21"/>
                    </w:rPr>
                  </w:pPr>
                </w:p>
              </w:tc>
              <w:tc>
                <w:tcPr>
                  <w:tcW w:w="567" w:type="dxa"/>
                  <w:vMerge w:val="continue"/>
                  <w:shd w:val="clear" w:color="auto" w:fill="auto"/>
                  <w:vAlign w:val="center"/>
                </w:tcPr>
                <w:p>
                  <w:pPr>
                    <w:adjustRightInd w:val="0"/>
                    <w:snapToGrid w:val="0"/>
                    <w:spacing w:line="360" w:lineRule="exact"/>
                    <w:jc w:val="center"/>
                    <w:rPr>
                      <w:rFonts w:hAnsi="宋体"/>
                      <w:szCs w:val="21"/>
                    </w:rPr>
                  </w:pPr>
                </w:p>
              </w:tc>
              <w:tc>
                <w:tcPr>
                  <w:tcW w:w="1559" w:type="dxa"/>
                  <w:shd w:val="clear" w:color="auto" w:fill="auto"/>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废UV灯管</w:t>
                  </w:r>
                </w:p>
              </w:tc>
              <w:tc>
                <w:tcPr>
                  <w:tcW w:w="5484" w:type="dxa"/>
                  <w:gridSpan w:val="2"/>
                  <w:vMerge w:val="continue"/>
                  <w:shd w:val="clear" w:color="auto" w:fill="auto"/>
                  <w:vAlign w:val="center"/>
                </w:tcPr>
                <w:p>
                  <w:pPr>
                    <w:adjustRightInd w:val="0"/>
                    <w:snapToGrid w:val="0"/>
                    <w:spacing w:line="360" w:lineRule="exact"/>
                    <w:jc w:val="center"/>
                    <w:rPr>
                      <w:rFonts w:hAnsi="宋体"/>
                      <w:szCs w:val="21"/>
                    </w:rPr>
                  </w:pPr>
                </w:p>
              </w:tc>
            </w:tr>
          </w:tbl>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4、</w:t>
            </w:r>
            <w:r>
              <w:rPr>
                <w:rFonts w:eastAsiaTheme="minorEastAsia"/>
                <w:b/>
                <w:sz w:val="24"/>
                <w:szCs w:val="24"/>
              </w:rPr>
              <w:t>产品方案</w:t>
            </w:r>
          </w:p>
          <w:p>
            <w:pPr>
              <w:tabs>
                <w:tab w:val="left" w:pos="1081"/>
              </w:tabs>
              <w:adjustRightInd w:val="0"/>
              <w:snapToGrid w:val="0"/>
              <w:spacing w:line="360" w:lineRule="auto"/>
              <w:ind w:firstLine="480" w:firstLineChars="200"/>
              <w:rPr>
                <w:sz w:val="24"/>
              </w:rPr>
            </w:pPr>
            <w:r>
              <w:rPr>
                <w:rFonts w:hint="eastAsia"/>
                <w:sz w:val="24"/>
              </w:rPr>
              <w:t>本项目主要产品为贴面板，具体产品方案见表2-2。</w:t>
            </w:r>
          </w:p>
          <w:p>
            <w:pPr>
              <w:adjustRightInd w:val="0"/>
              <w:snapToGrid w:val="0"/>
              <w:spacing w:line="360" w:lineRule="auto"/>
              <w:jc w:val="center"/>
              <w:rPr>
                <w:b/>
                <w:bCs/>
                <w:sz w:val="24"/>
              </w:rPr>
            </w:pPr>
            <w:r>
              <w:rPr>
                <w:rFonts w:hint="eastAsia"/>
                <w:b/>
                <w:bCs/>
                <w:sz w:val="24"/>
              </w:rPr>
              <w:t>表2-2         产品方案一览表</w:t>
            </w:r>
          </w:p>
          <w:tbl>
            <w:tblPr>
              <w:tblStyle w:val="30"/>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13"/>
              <w:gridCol w:w="2623"/>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83" w:type="dxa"/>
                  <w:vAlign w:val="center"/>
                </w:tcPr>
                <w:p>
                  <w:pPr>
                    <w:adjustRightInd w:val="0"/>
                    <w:spacing w:line="360" w:lineRule="exact"/>
                    <w:jc w:val="center"/>
                    <w:rPr>
                      <w:szCs w:val="21"/>
                    </w:rPr>
                  </w:pPr>
                  <w:r>
                    <w:rPr>
                      <w:szCs w:val="21"/>
                    </w:rPr>
                    <w:t>序号</w:t>
                  </w:r>
                </w:p>
              </w:tc>
              <w:tc>
                <w:tcPr>
                  <w:tcW w:w="1513" w:type="dxa"/>
                  <w:vAlign w:val="center"/>
                </w:tcPr>
                <w:p>
                  <w:pPr>
                    <w:adjustRightInd w:val="0"/>
                    <w:spacing w:line="360" w:lineRule="exact"/>
                    <w:jc w:val="center"/>
                    <w:rPr>
                      <w:szCs w:val="21"/>
                    </w:rPr>
                  </w:pPr>
                  <w:r>
                    <w:rPr>
                      <w:rFonts w:hAnsi="宋体"/>
                      <w:szCs w:val="21"/>
                    </w:rPr>
                    <w:t>产品名称</w:t>
                  </w:r>
                </w:p>
              </w:tc>
              <w:tc>
                <w:tcPr>
                  <w:tcW w:w="2623" w:type="dxa"/>
                  <w:vAlign w:val="center"/>
                </w:tcPr>
                <w:p>
                  <w:pPr>
                    <w:adjustRightInd w:val="0"/>
                    <w:spacing w:line="360" w:lineRule="exact"/>
                    <w:jc w:val="center"/>
                    <w:rPr>
                      <w:szCs w:val="21"/>
                    </w:rPr>
                  </w:pPr>
                  <w:r>
                    <w:rPr>
                      <w:szCs w:val="21"/>
                    </w:rPr>
                    <w:t>产品规格</w:t>
                  </w:r>
                </w:p>
              </w:tc>
              <w:tc>
                <w:tcPr>
                  <w:tcW w:w="1417" w:type="dxa"/>
                  <w:vAlign w:val="center"/>
                </w:tcPr>
                <w:p>
                  <w:pPr>
                    <w:adjustRightInd w:val="0"/>
                    <w:spacing w:line="360" w:lineRule="exact"/>
                    <w:jc w:val="center"/>
                    <w:rPr>
                      <w:szCs w:val="21"/>
                    </w:rPr>
                  </w:pPr>
                  <w:r>
                    <w:rPr>
                      <w:rFonts w:hint="eastAsia" w:hAnsi="宋体"/>
                      <w:szCs w:val="21"/>
                    </w:rPr>
                    <w:t>年</w:t>
                  </w:r>
                  <w:r>
                    <w:rPr>
                      <w:rFonts w:hAnsi="宋体"/>
                      <w:szCs w:val="21"/>
                    </w:rPr>
                    <w:t>产量</w:t>
                  </w:r>
                </w:p>
              </w:tc>
              <w:tc>
                <w:tcPr>
                  <w:tcW w:w="2126" w:type="dxa"/>
                </w:tcPr>
                <w:p>
                  <w:pPr>
                    <w:adjustRightInd w:val="0"/>
                    <w:spacing w:line="360" w:lineRule="exact"/>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3" w:type="dxa"/>
                  <w:vAlign w:val="center"/>
                </w:tcPr>
                <w:p>
                  <w:pPr>
                    <w:adjustRightInd w:val="0"/>
                    <w:spacing w:line="360" w:lineRule="exact"/>
                    <w:jc w:val="center"/>
                    <w:rPr>
                      <w:szCs w:val="21"/>
                    </w:rPr>
                  </w:pPr>
                  <w:r>
                    <w:rPr>
                      <w:rFonts w:hint="eastAsia"/>
                      <w:szCs w:val="21"/>
                    </w:rPr>
                    <w:t>1</w:t>
                  </w:r>
                </w:p>
              </w:tc>
              <w:tc>
                <w:tcPr>
                  <w:tcW w:w="1513" w:type="dxa"/>
                  <w:vAlign w:val="center"/>
                </w:tcPr>
                <w:p>
                  <w:pPr>
                    <w:adjustRightInd w:val="0"/>
                    <w:spacing w:line="360" w:lineRule="exact"/>
                    <w:jc w:val="center"/>
                    <w:rPr>
                      <w:szCs w:val="21"/>
                    </w:rPr>
                  </w:pPr>
                  <w:r>
                    <w:rPr>
                      <w:rFonts w:hint="eastAsia"/>
                      <w:szCs w:val="21"/>
                    </w:rPr>
                    <w:t>贴面板</w:t>
                  </w:r>
                </w:p>
              </w:tc>
              <w:tc>
                <w:tcPr>
                  <w:tcW w:w="2623" w:type="dxa"/>
                  <w:vAlign w:val="center"/>
                </w:tcPr>
                <w:p>
                  <w:pPr>
                    <w:adjustRightInd w:val="0"/>
                    <w:spacing w:line="360" w:lineRule="exact"/>
                    <w:jc w:val="center"/>
                    <w:rPr>
                      <w:szCs w:val="21"/>
                    </w:rPr>
                  </w:pPr>
                  <w:r>
                    <w:rPr>
                      <w:rFonts w:hint="eastAsia"/>
                      <w:szCs w:val="21"/>
                    </w:rPr>
                    <w:t>2.44m×1.22m×18mm</w:t>
                  </w:r>
                </w:p>
              </w:tc>
              <w:tc>
                <w:tcPr>
                  <w:tcW w:w="1417" w:type="dxa"/>
                  <w:vAlign w:val="center"/>
                </w:tcPr>
                <w:p>
                  <w:pPr>
                    <w:adjustRightInd w:val="0"/>
                    <w:spacing w:line="360" w:lineRule="exact"/>
                    <w:jc w:val="center"/>
                    <w:rPr>
                      <w:szCs w:val="21"/>
                    </w:rPr>
                  </w:pPr>
                  <w:r>
                    <w:rPr>
                      <w:rFonts w:hint="eastAsia"/>
                      <w:szCs w:val="21"/>
                    </w:rPr>
                    <w:t>6万张/a</w:t>
                  </w:r>
                </w:p>
              </w:tc>
              <w:tc>
                <w:tcPr>
                  <w:tcW w:w="2126" w:type="dxa"/>
                  <w:vAlign w:val="center"/>
                </w:tcPr>
                <w:p>
                  <w:pPr>
                    <w:adjustRightInd w:val="0"/>
                    <w:spacing w:line="360" w:lineRule="exact"/>
                    <w:jc w:val="center"/>
                    <w:rPr>
                      <w:szCs w:val="21"/>
                    </w:rPr>
                  </w:pPr>
                  <w:r>
                    <w:rPr>
                      <w:rFonts w:hint="eastAsia"/>
                      <w:szCs w:val="21"/>
                    </w:rPr>
                    <w:t>合计约3215m</w:t>
                  </w:r>
                  <w:r>
                    <w:rPr>
                      <w:rFonts w:hint="eastAsia"/>
                      <w:szCs w:val="21"/>
                      <w:vertAlign w:val="superscript"/>
                    </w:rPr>
                    <w:t>3</w:t>
                  </w:r>
                </w:p>
              </w:tc>
            </w:tr>
          </w:tbl>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5、</w:t>
            </w:r>
            <w:r>
              <w:rPr>
                <w:rFonts w:eastAsiaTheme="minorEastAsia"/>
                <w:b/>
                <w:sz w:val="24"/>
                <w:szCs w:val="24"/>
              </w:rPr>
              <w:t>主要生产设备</w:t>
            </w:r>
          </w:p>
          <w:p>
            <w:pPr>
              <w:widowControl/>
              <w:adjustRightInd w:val="0"/>
              <w:snapToGrid w:val="0"/>
              <w:spacing w:line="360" w:lineRule="auto"/>
              <w:ind w:firstLine="472" w:firstLineChars="197"/>
              <w:jc w:val="left"/>
              <w:rPr>
                <w:sz w:val="24"/>
              </w:rPr>
            </w:pPr>
            <w:r>
              <w:rPr>
                <w:rFonts w:hint="eastAsia"/>
                <w:sz w:val="24"/>
              </w:rPr>
              <w:t>本项目主要生产设备见表2-3。</w:t>
            </w:r>
          </w:p>
          <w:p>
            <w:pPr>
              <w:widowControl/>
              <w:adjustRightInd w:val="0"/>
              <w:snapToGrid w:val="0"/>
              <w:spacing w:line="360" w:lineRule="auto"/>
              <w:jc w:val="center"/>
              <w:rPr>
                <w:b/>
                <w:sz w:val="24"/>
              </w:rPr>
            </w:pPr>
            <w:r>
              <w:rPr>
                <w:rFonts w:hint="eastAsia"/>
                <w:b/>
                <w:sz w:val="24"/>
              </w:rPr>
              <w:t>表2-3        主要生产设备一览表</w:t>
            </w:r>
          </w:p>
          <w:tbl>
            <w:tblPr>
              <w:tblStyle w:val="30"/>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45"/>
              <w:gridCol w:w="1701"/>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851" w:type="dxa"/>
                  <w:vAlign w:val="center"/>
                </w:tcPr>
                <w:p>
                  <w:pPr>
                    <w:pStyle w:val="69"/>
                    <w:spacing w:line="360" w:lineRule="exact"/>
                    <w:ind w:firstLine="0" w:firstLineChars="0"/>
                    <w:jc w:val="center"/>
                    <w:rPr>
                      <w:bCs/>
                      <w:szCs w:val="21"/>
                      <w:lang w:eastAsia="zh-CN"/>
                    </w:rPr>
                  </w:pPr>
                  <w:r>
                    <w:rPr>
                      <w:rFonts w:hint="eastAsia"/>
                      <w:bCs/>
                      <w:szCs w:val="21"/>
                      <w:lang w:eastAsia="zh-CN"/>
                    </w:rPr>
                    <w:t>序号</w:t>
                  </w:r>
                </w:p>
              </w:tc>
              <w:tc>
                <w:tcPr>
                  <w:tcW w:w="2245" w:type="dxa"/>
                  <w:vAlign w:val="center"/>
                </w:tcPr>
                <w:p>
                  <w:pPr>
                    <w:pStyle w:val="69"/>
                    <w:spacing w:line="360" w:lineRule="exact"/>
                    <w:ind w:firstLine="0" w:firstLineChars="0"/>
                    <w:jc w:val="center"/>
                    <w:rPr>
                      <w:bCs/>
                      <w:szCs w:val="21"/>
                      <w:lang w:eastAsia="zh-CN"/>
                    </w:rPr>
                  </w:pPr>
                  <w:r>
                    <w:rPr>
                      <w:rFonts w:hint="eastAsia"/>
                      <w:bCs/>
                      <w:szCs w:val="21"/>
                      <w:lang w:eastAsia="zh-CN"/>
                    </w:rPr>
                    <w:t>设备名称</w:t>
                  </w:r>
                </w:p>
              </w:tc>
              <w:tc>
                <w:tcPr>
                  <w:tcW w:w="1701" w:type="dxa"/>
                  <w:vAlign w:val="center"/>
                </w:tcPr>
                <w:p>
                  <w:pPr>
                    <w:pStyle w:val="69"/>
                    <w:spacing w:line="360" w:lineRule="exact"/>
                    <w:ind w:firstLine="0" w:firstLineChars="0"/>
                    <w:jc w:val="center"/>
                    <w:rPr>
                      <w:bCs/>
                      <w:szCs w:val="21"/>
                      <w:lang w:eastAsia="zh-CN"/>
                    </w:rPr>
                  </w:pPr>
                  <w:r>
                    <w:rPr>
                      <w:bCs/>
                      <w:szCs w:val="21"/>
                      <w:lang w:eastAsia="zh-CN"/>
                    </w:rPr>
                    <w:t>数量</w:t>
                  </w:r>
                  <w:r>
                    <w:rPr>
                      <w:rFonts w:hint="eastAsia"/>
                      <w:bCs/>
                      <w:szCs w:val="21"/>
                      <w:lang w:val="en-US" w:eastAsia="zh-CN"/>
                    </w:rPr>
                    <w:t>（台/套）</w:t>
                  </w:r>
                  <w:r>
                    <w:rPr>
                      <w:bCs/>
                      <w:szCs w:val="21"/>
                      <w:lang w:eastAsia="zh-CN"/>
                    </w:rPr>
                    <w:t xml:space="preserve"> </w:t>
                  </w:r>
                </w:p>
              </w:tc>
              <w:tc>
                <w:tcPr>
                  <w:tcW w:w="3487" w:type="dxa"/>
                  <w:tcBorders>
                    <w:left w:val="single" w:color="auto" w:sz="2" w:space="0"/>
                  </w:tcBorders>
                  <w:vAlign w:val="center"/>
                </w:tcPr>
                <w:p>
                  <w:pPr>
                    <w:spacing w:line="360" w:lineRule="exact"/>
                    <w:jc w:val="center"/>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51" w:type="dxa"/>
                  <w:vAlign w:val="center"/>
                </w:tcPr>
                <w:p>
                  <w:pPr>
                    <w:pStyle w:val="69"/>
                    <w:spacing w:line="360" w:lineRule="exact"/>
                    <w:ind w:firstLine="0" w:firstLineChars="0"/>
                    <w:jc w:val="center"/>
                    <w:rPr>
                      <w:bCs/>
                      <w:szCs w:val="21"/>
                      <w:lang w:eastAsia="zh-CN"/>
                    </w:rPr>
                  </w:pPr>
                  <w:r>
                    <w:rPr>
                      <w:rFonts w:hint="eastAsia"/>
                      <w:bCs/>
                      <w:szCs w:val="21"/>
                      <w:lang w:eastAsia="zh-CN"/>
                    </w:rPr>
                    <w:t>1</w:t>
                  </w:r>
                </w:p>
              </w:tc>
              <w:tc>
                <w:tcPr>
                  <w:tcW w:w="2245" w:type="dxa"/>
                  <w:vAlign w:val="center"/>
                </w:tcPr>
                <w:p>
                  <w:pPr>
                    <w:pStyle w:val="69"/>
                    <w:spacing w:line="360" w:lineRule="exact"/>
                    <w:ind w:firstLine="0" w:firstLineChars="0"/>
                    <w:jc w:val="center"/>
                    <w:rPr>
                      <w:bCs/>
                      <w:szCs w:val="21"/>
                      <w:lang w:eastAsia="zh-CN"/>
                    </w:rPr>
                  </w:pPr>
                  <w:r>
                    <w:rPr>
                      <w:rFonts w:hint="eastAsia"/>
                      <w:bCs/>
                      <w:szCs w:val="21"/>
                      <w:lang w:eastAsia="zh-CN"/>
                    </w:rPr>
                    <w:t>热压机</w:t>
                  </w:r>
                </w:p>
              </w:tc>
              <w:tc>
                <w:tcPr>
                  <w:tcW w:w="1701" w:type="dxa"/>
                  <w:vAlign w:val="center"/>
                </w:tcPr>
                <w:p>
                  <w:pPr>
                    <w:spacing w:line="360" w:lineRule="exact"/>
                    <w:jc w:val="center"/>
                    <w:rPr>
                      <w:bCs/>
                      <w:i/>
                      <w:iCs/>
                      <w:szCs w:val="21"/>
                    </w:rPr>
                  </w:pPr>
                  <w:r>
                    <w:rPr>
                      <w:rFonts w:hint="eastAsia"/>
                      <w:bCs/>
                      <w:szCs w:val="21"/>
                    </w:rPr>
                    <w:t>1</w:t>
                  </w:r>
                </w:p>
              </w:tc>
              <w:tc>
                <w:tcPr>
                  <w:tcW w:w="3487" w:type="dxa"/>
                  <w:tcBorders>
                    <w:left w:val="single" w:color="auto" w:sz="2" w:space="0"/>
                  </w:tcBorders>
                  <w:vAlign w:val="center"/>
                </w:tcPr>
                <w:p>
                  <w:pPr>
                    <w:pStyle w:val="69"/>
                    <w:spacing w:line="360" w:lineRule="exact"/>
                    <w:ind w:firstLine="0" w:firstLineChars="0"/>
                    <w:jc w:val="center"/>
                    <w:rPr>
                      <w:bCs/>
                      <w:szCs w:val="21"/>
                      <w:lang w:eastAsia="zh-CN"/>
                    </w:rPr>
                  </w:pPr>
                  <w:r>
                    <w:rPr>
                      <w:rFonts w:hint="eastAsia"/>
                      <w:bCs/>
                      <w:szCs w:val="21"/>
                      <w:lang w:eastAsia="zh-CN"/>
                    </w:rPr>
                    <w:t>用于</w:t>
                  </w:r>
                  <w:r>
                    <w:rPr>
                      <w:bCs/>
                      <w:szCs w:val="21"/>
                      <w:lang w:eastAsia="zh-CN"/>
                    </w:rPr>
                    <w:t>热压工序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851" w:type="dxa"/>
                  <w:vAlign w:val="center"/>
                </w:tcPr>
                <w:p>
                  <w:pPr>
                    <w:pStyle w:val="69"/>
                    <w:spacing w:line="360" w:lineRule="exact"/>
                    <w:ind w:firstLine="0" w:firstLineChars="0"/>
                    <w:jc w:val="center"/>
                    <w:rPr>
                      <w:bCs/>
                      <w:szCs w:val="21"/>
                      <w:lang w:eastAsia="zh-CN"/>
                    </w:rPr>
                  </w:pPr>
                  <w:r>
                    <w:rPr>
                      <w:rFonts w:hint="eastAsia"/>
                      <w:bCs/>
                      <w:szCs w:val="21"/>
                      <w:lang w:eastAsia="zh-CN"/>
                    </w:rPr>
                    <w:t>2</w:t>
                  </w:r>
                </w:p>
              </w:tc>
              <w:tc>
                <w:tcPr>
                  <w:tcW w:w="2245" w:type="dxa"/>
                  <w:vAlign w:val="center"/>
                </w:tcPr>
                <w:p>
                  <w:pPr>
                    <w:pStyle w:val="69"/>
                    <w:spacing w:line="360" w:lineRule="exact"/>
                    <w:ind w:firstLine="0" w:firstLineChars="0"/>
                    <w:jc w:val="center"/>
                    <w:rPr>
                      <w:bCs/>
                      <w:szCs w:val="21"/>
                      <w:lang w:eastAsia="zh-CN"/>
                    </w:rPr>
                  </w:pPr>
                  <w:r>
                    <w:rPr>
                      <w:rFonts w:hint="eastAsia"/>
                      <w:bCs/>
                      <w:szCs w:val="21"/>
                      <w:lang w:eastAsia="zh-CN"/>
                    </w:rPr>
                    <w:t>模温机（导热油炉）</w:t>
                  </w:r>
                </w:p>
              </w:tc>
              <w:tc>
                <w:tcPr>
                  <w:tcW w:w="1701" w:type="dxa"/>
                  <w:vAlign w:val="center"/>
                </w:tcPr>
                <w:p>
                  <w:pPr>
                    <w:spacing w:line="360" w:lineRule="exact"/>
                    <w:jc w:val="center"/>
                    <w:rPr>
                      <w:bCs/>
                      <w:szCs w:val="21"/>
                    </w:rPr>
                  </w:pPr>
                  <w:r>
                    <w:rPr>
                      <w:rFonts w:hint="eastAsia"/>
                      <w:bCs/>
                      <w:szCs w:val="21"/>
                    </w:rPr>
                    <w:t>1</w:t>
                  </w:r>
                </w:p>
              </w:tc>
              <w:tc>
                <w:tcPr>
                  <w:tcW w:w="3487" w:type="dxa"/>
                  <w:tcBorders>
                    <w:left w:val="single" w:color="auto" w:sz="2" w:space="0"/>
                  </w:tcBorders>
                  <w:vAlign w:val="center"/>
                </w:tcPr>
                <w:p>
                  <w:pPr>
                    <w:pStyle w:val="69"/>
                    <w:spacing w:line="360" w:lineRule="exact"/>
                    <w:ind w:firstLine="0" w:firstLineChars="0"/>
                    <w:jc w:val="center"/>
                    <w:rPr>
                      <w:bCs/>
                      <w:szCs w:val="21"/>
                      <w:lang w:eastAsia="zh-CN"/>
                    </w:rPr>
                  </w:pPr>
                  <w:r>
                    <w:rPr>
                      <w:bCs/>
                      <w:szCs w:val="21"/>
                      <w:lang w:eastAsia="zh-CN"/>
                    </w:rPr>
                    <w:t>采用液化石油气作为燃料，用于热压供热，工作温度为120-180℃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3096" w:type="dxa"/>
                  <w:gridSpan w:val="2"/>
                  <w:vAlign w:val="center"/>
                </w:tcPr>
                <w:p>
                  <w:pPr>
                    <w:pStyle w:val="69"/>
                    <w:spacing w:line="360" w:lineRule="exact"/>
                    <w:jc w:val="center"/>
                    <w:rPr>
                      <w:bCs/>
                      <w:szCs w:val="21"/>
                      <w:lang w:eastAsia="zh-CN"/>
                    </w:rPr>
                  </w:pPr>
                  <w:r>
                    <w:rPr>
                      <w:rFonts w:hint="eastAsia"/>
                      <w:bCs/>
                      <w:szCs w:val="21"/>
                      <w:lang w:eastAsia="zh-CN"/>
                    </w:rPr>
                    <w:t>合计</w:t>
                  </w:r>
                </w:p>
              </w:tc>
              <w:tc>
                <w:tcPr>
                  <w:tcW w:w="1701" w:type="dxa"/>
                  <w:vAlign w:val="center"/>
                </w:tcPr>
                <w:p>
                  <w:pPr>
                    <w:spacing w:line="360" w:lineRule="exact"/>
                    <w:jc w:val="center"/>
                    <w:rPr>
                      <w:bCs/>
                      <w:szCs w:val="21"/>
                    </w:rPr>
                  </w:pPr>
                  <w:r>
                    <w:rPr>
                      <w:rFonts w:hint="eastAsia"/>
                      <w:bCs/>
                      <w:szCs w:val="21"/>
                    </w:rPr>
                    <w:t>2</w:t>
                  </w:r>
                </w:p>
              </w:tc>
              <w:tc>
                <w:tcPr>
                  <w:tcW w:w="3487" w:type="dxa"/>
                  <w:tcBorders>
                    <w:left w:val="single" w:color="auto" w:sz="2" w:space="0"/>
                  </w:tcBorders>
                  <w:vAlign w:val="center"/>
                </w:tcPr>
                <w:p>
                  <w:pPr>
                    <w:pStyle w:val="69"/>
                    <w:spacing w:line="360" w:lineRule="exact"/>
                    <w:ind w:firstLine="0" w:firstLineChars="0"/>
                    <w:jc w:val="center"/>
                    <w:rPr>
                      <w:bCs/>
                      <w:szCs w:val="21"/>
                      <w:lang w:eastAsia="zh-CN"/>
                    </w:rPr>
                  </w:pPr>
                  <w:r>
                    <w:rPr>
                      <w:rFonts w:hint="eastAsia"/>
                      <w:bCs/>
                      <w:szCs w:val="21"/>
                      <w:lang w:eastAsia="zh-CN"/>
                    </w:rPr>
                    <w:t>/</w:t>
                  </w:r>
                </w:p>
              </w:tc>
            </w:tr>
          </w:tbl>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6、</w:t>
            </w:r>
            <w:r>
              <w:rPr>
                <w:rFonts w:eastAsiaTheme="minorEastAsia"/>
                <w:b/>
                <w:sz w:val="24"/>
                <w:szCs w:val="24"/>
              </w:rPr>
              <w:t>主要原辅</w:t>
            </w:r>
            <w:r>
              <w:rPr>
                <w:b/>
                <w:sz w:val="24"/>
                <w:szCs w:val="24"/>
              </w:rPr>
              <w:t>材料</w:t>
            </w:r>
            <w:r>
              <w:rPr>
                <w:rFonts w:eastAsiaTheme="minorEastAsia"/>
                <w:b/>
                <w:sz w:val="24"/>
                <w:szCs w:val="24"/>
              </w:rPr>
              <w:t>及能源消耗</w:t>
            </w:r>
          </w:p>
          <w:p>
            <w:pPr>
              <w:pStyle w:val="71"/>
              <w:widowControl/>
              <w:adjustRightInd/>
              <w:ind w:firstLine="480"/>
            </w:pPr>
            <w:r>
              <w:rPr>
                <w:rFonts w:hint="eastAsia"/>
              </w:rPr>
              <w:t>本项目主要原辅材料及能源消耗见表2-4。</w:t>
            </w:r>
          </w:p>
          <w:p>
            <w:pPr>
              <w:adjustRightInd w:val="0"/>
              <w:snapToGrid w:val="0"/>
              <w:spacing w:line="360" w:lineRule="auto"/>
              <w:jc w:val="center"/>
              <w:rPr>
                <w:b/>
                <w:sz w:val="24"/>
              </w:rPr>
            </w:pPr>
          </w:p>
          <w:p>
            <w:pPr>
              <w:adjustRightInd w:val="0"/>
              <w:snapToGrid w:val="0"/>
              <w:spacing w:line="360" w:lineRule="auto"/>
              <w:jc w:val="center"/>
              <w:rPr>
                <w:b/>
                <w:sz w:val="24"/>
              </w:rPr>
            </w:pPr>
          </w:p>
          <w:p>
            <w:pPr>
              <w:adjustRightInd w:val="0"/>
              <w:snapToGrid w:val="0"/>
              <w:spacing w:line="360" w:lineRule="auto"/>
              <w:jc w:val="center"/>
              <w:rPr>
                <w:b/>
                <w:sz w:val="24"/>
              </w:rPr>
            </w:pPr>
            <w:r>
              <w:rPr>
                <w:rFonts w:hint="eastAsia"/>
                <w:b/>
                <w:sz w:val="24"/>
              </w:rPr>
              <w:t>表2-4       主要原辅材料及能源消耗一览表</w:t>
            </w:r>
          </w:p>
          <w:tbl>
            <w:tblPr>
              <w:tblStyle w:val="30"/>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59"/>
              <w:gridCol w:w="1701"/>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370"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类别</w:t>
                  </w:r>
                </w:p>
              </w:tc>
              <w:tc>
                <w:tcPr>
                  <w:tcW w:w="1559"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名称</w:t>
                  </w:r>
                </w:p>
              </w:tc>
              <w:tc>
                <w:tcPr>
                  <w:tcW w:w="1701"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年用量</w:t>
                  </w:r>
                </w:p>
              </w:tc>
              <w:tc>
                <w:tcPr>
                  <w:tcW w:w="360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70" w:type="dxa"/>
                  <w:vMerge w:val="restart"/>
                  <w:shd w:val="clear" w:color="auto" w:fill="auto"/>
                  <w:vAlign w:val="center"/>
                </w:tcPr>
                <w:p>
                  <w:pPr>
                    <w:spacing w:line="360" w:lineRule="exact"/>
                    <w:jc w:val="center"/>
                    <w:rPr>
                      <w:bCs/>
                      <w:szCs w:val="21"/>
                    </w:rPr>
                  </w:pPr>
                  <w:r>
                    <w:rPr>
                      <w:bCs/>
                      <w:szCs w:val="21"/>
                    </w:rPr>
                    <w:t>原辅材料</w:t>
                  </w:r>
                </w:p>
              </w:tc>
              <w:tc>
                <w:tcPr>
                  <w:tcW w:w="1559" w:type="dxa"/>
                  <w:shd w:val="clear" w:color="auto" w:fill="auto"/>
                  <w:vAlign w:val="center"/>
                </w:tcPr>
                <w:p>
                  <w:pPr>
                    <w:spacing w:line="360" w:lineRule="exact"/>
                    <w:jc w:val="center"/>
                    <w:rPr>
                      <w:bCs/>
                      <w:szCs w:val="21"/>
                    </w:rPr>
                  </w:pPr>
                  <w:r>
                    <w:rPr>
                      <w:bCs/>
                      <w:szCs w:val="21"/>
                    </w:rPr>
                    <w:t>密度板</w:t>
                  </w:r>
                </w:p>
              </w:tc>
              <w:tc>
                <w:tcPr>
                  <w:tcW w:w="1701"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6万张/a</w:t>
                  </w:r>
                </w:p>
              </w:tc>
              <w:tc>
                <w:tcPr>
                  <w:tcW w:w="360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370" w:type="dxa"/>
                  <w:vMerge w:val="continue"/>
                  <w:shd w:val="clear" w:color="auto" w:fill="auto"/>
                  <w:vAlign w:val="center"/>
                </w:tcPr>
                <w:p>
                  <w:pPr>
                    <w:spacing w:line="360" w:lineRule="exact"/>
                    <w:jc w:val="center"/>
                    <w:rPr>
                      <w:bCs/>
                      <w:szCs w:val="21"/>
                    </w:rPr>
                  </w:pPr>
                </w:p>
              </w:tc>
              <w:tc>
                <w:tcPr>
                  <w:tcW w:w="1559" w:type="dxa"/>
                  <w:shd w:val="clear" w:color="auto" w:fill="auto"/>
                  <w:vAlign w:val="center"/>
                </w:tcPr>
                <w:p>
                  <w:pPr>
                    <w:spacing w:line="360" w:lineRule="exact"/>
                    <w:jc w:val="center"/>
                    <w:rPr>
                      <w:bCs/>
                      <w:szCs w:val="21"/>
                    </w:rPr>
                  </w:pPr>
                  <w:r>
                    <w:rPr>
                      <w:rFonts w:hint="eastAsia"/>
                      <w:bCs/>
                      <w:szCs w:val="21"/>
                    </w:rPr>
                    <w:t>三聚氰胺纸</w:t>
                  </w:r>
                </w:p>
              </w:tc>
              <w:tc>
                <w:tcPr>
                  <w:tcW w:w="1701"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10万张/a</w:t>
                  </w:r>
                </w:p>
              </w:tc>
              <w:tc>
                <w:tcPr>
                  <w:tcW w:w="360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外购，合计约7t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jc w:val="center"/>
              </w:trPr>
              <w:tc>
                <w:tcPr>
                  <w:tcW w:w="1370" w:type="dxa"/>
                  <w:vMerge w:val="continue"/>
                  <w:shd w:val="clear" w:color="auto" w:fill="auto"/>
                  <w:vAlign w:val="center"/>
                </w:tcPr>
                <w:p>
                  <w:pPr>
                    <w:spacing w:line="360" w:lineRule="exact"/>
                    <w:jc w:val="center"/>
                    <w:rPr>
                      <w:bCs/>
                      <w:szCs w:val="21"/>
                    </w:rPr>
                  </w:pPr>
                </w:p>
              </w:tc>
              <w:tc>
                <w:tcPr>
                  <w:tcW w:w="1559" w:type="dxa"/>
                  <w:shd w:val="clear" w:color="auto" w:fill="auto"/>
                  <w:vAlign w:val="center"/>
                </w:tcPr>
                <w:p>
                  <w:pPr>
                    <w:spacing w:line="360" w:lineRule="exact"/>
                    <w:jc w:val="center"/>
                    <w:rPr>
                      <w:bCs/>
                      <w:szCs w:val="21"/>
                    </w:rPr>
                  </w:pPr>
                  <w:r>
                    <w:rPr>
                      <w:rFonts w:hint="eastAsia"/>
                      <w:bCs/>
                      <w:szCs w:val="21"/>
                    </w:rPr>
                    <w:t>液压油</w:t>
                  </w:r>
                </w:p>
              </w:tc>
              <w:tc>
                <w:tcPr>
                  <w:tcW w:w="1701"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0.2t/a</w:t>
                  </w:r>
                </w:p>
              </w:tc>
              <w:tc>
                <w:tcPr>
                  <w:tcW w:w="360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外购，桶装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70" w:type="dxa"/>
                  <w:vMerge w:val="restart"/>
                  <w:shd w:val="clear" w:color="auto" w:fill="auto"/>
                  <w:vAlign w:val="center"/>
                </w:tcPr>
                <w:p>
                  <w:pPr>
                    <w:spacing w:line="360" w:lineRule="exact"/>
                    <w:jc w:val="center"/>
                    <w:rPr>
                      <w:bCs/>
                      <w:szCs w:val="21"/>
                    </w:rPr>
                  </w:pPr>
                  <w:r>
                    <w:rPr>
                      <w:rFonts w:hint="eastAsia"/>
                      <w:bCs/>
                      <w:szCs w:val="21"/>
                    </w:rPr>
                    <w:t>能源消耗</w:t>
                  </w:r>
                </w:p>
              </w:tc>
              <w:tc>
                <w:tcPr>
                  <w:tcW w:w="1559" w:type="dxa"/>
                  <w:shd w:val="clear" w:color="auto" w:fill="auto"/>
                  <w:vAlign w:val="center"/>
                </w:tcPr>
                <w:p>
                  <w:pPr>
                    <w:spacing w:line="360" w:lineRule="exact"/>
                    <w:jc w:val="center"/>
                    <w:rPr>
                      <w:bCs/>
                      <w:szCs w:val="21"/>
                    </w:rPr>
                  </w:pPr>
                  <w:r>
                    <w:rPr>
                      <w:rFonts w:hint="eastAsia"/>
                      <w:bCs/>
                      <w:szCs w:val="21"/>
                    </w:rPr>
                    <w:t>水</w:t>
                  </w:r>
                </w:p>
              </w:tc>
              <w:tc>
                <w:tcPr>
                  <w:tcW w:w="1701" w:type="dxa"/>
                  <w:shd w:val="clear" w:color="auto" w:fill="auto"/>
                  <w:vAlign w:val="center"/>
                </w:tcPr>
                <w:p>
                  <w:pPr>
                    <w:spacing w:line="360" w:lineRule="exact"/>
                    <w:jc w:val="center"/>
                    <w:rPr>
                      <w:bCs/>
                      <w:szCs w:val="21"/>
                    </w:rPr>
                  </w:pPr>
                  <w:r>
                    <w:rPr>
                      <w:rFonts w:hint="eastAsia"/>
                      <w:bCs/>
                      <w:szCs w:val="21"/>
                    </w:rPr>
                    <w:t>30m</w:t>
                  </w:r>
                  <w:r>
                    <w:rPr>
                      <w:rFonts w:hint="eastAsia"/>
                      <w:bCs/>
                      <w:szCs w:val="21"/>
                      <w:vertAlign w:val="superscript"/>
                    </w:rPr>
                    <w:t>3</w:t>
                  </w:r>
                  <w:r>
                    <w:rPr>
                      <w:rFonts w:hint="eastAsia"/>
                      <w:bCs/>
                      <w:szCs w:val="21"/>
                    </w:rPr>
                    <w:t>/a</w:t>
                  </w:r>
                </w:p>
              </w:tc>
              <w:tc>
                <w:tcPr>
                  <w:tcW w:w="3604" w:type="dxa"/>
                  <w:shd w:val="clear" w:color="auto" w:fill="auto"/>
                  <w:vAlign w:val="center"/>
                </w:tcPr>
                <w:p>
                  <w:pPr>
                    <w:spacing w:line="360" w:lineRule="exact"/>
                    <w:jc w:val="center"/>
                    <w:rPr>
                      <w:bCs/>
                      <w:szCs w:val="21"/>
                    </w:rPr>
                  </w:pPr>
                  <w:r>
                    <w:rPr>
                      <w:rFonts w:hint="eastAsia"/>
                      <w:bCs/>
                      <w:szCs w:val="21"/>
                    </w:rPr>
                    <w:t>由厂区自备井供给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370" w:type="dxa"/>
                  <w:vMerge w:val="continue"/>
                  <w:shd w:val="clear" w:color="auto" w:fill="auto"/>
                  <w:vAlign w:val="center"/>
                </w:tcPr>
                <w:p>
                  <w:pPr>
                    <w:spacing w:line="360" w:lineRule="exact"/>
                    <w:jc w:val="center"/>
                    <w:rPr>
                      <w:bCs/>
                      <w:szCs w:val="21"/>
                    </w:rPr>
                  </w:pPr>
                </w:p>
              </w:tc>
              <w:tc>
                <w:tcPr>
                  <w:tcW w:w="1559" w:type="dxa"/>
                  <w:shd w:val="clear" w:color="auto" w:fill="auto"/>
                  <w:vAlign w:val="center"/>
                </w:tcPr>
                <w:p>
                  <w:pPr>
                    <w:spacing w:line="360" w:lineRule="exact"/>
                    <w:jc w:val="center"/>
                    <w:rPr>
                      <w:bCs/>
                      <w:szCs w:val="21"/>
                    </w:rPr>
                  </w:pPr>
                  <w:r>
                    <w:rPr>
                      <w:rFonts w:hint="eastAsia"/>
                      <w:bCs/>
                      <w:szCs w:val="21"/>
                    </w:rPr>
                    <w:t>电</w:t>
                  </w:r>
                </w:p>
              </w:tc>
              <w:tc>
                <w:tcPr>
                  <w:tcW w:w="1701" w:type="dxa"/>
                  <w:shd w:val="clear" w:color="auto" w:fill="auto"/>
                  <w:vAlign w:val="center"/>
                </w:tcPr>
                <w:p>
                  <w:pPr>
                    <w:spacing w:line="360" w:lineRule="exact"/>
                    <w:jc w:val="center"/>
                    <w:rPr>
                      <w:bCs/>
                      <w:szCs w:val="21"/>
                    </w:rPr>
                  </w:pPr>
                  <w:r>
                    <w:rPr>
                      <w:rFonts w:hint="eastAsia"/>
                      <w:bCs/>
                      <w:szCs w:val="21"/>
                    </w:rPr>
                    <w:t>12万kW</w:t>
                  </w:r>
                  <w:r>
                    <w:rPr>
                      <w:bCs/>
                      <w:szCs w:val="21"/>
                    </w:rPr>
                    <w:t>·</w:t>
                  </w:r>
                  <w:r>
                    <w:rPr>
                      <w:rFonts w:hint="eastAsia"/>
                      <w:bCs/>
                      <w:szCs w:val="21"/>
                    </w:rPr>
                    <w:t>h/a</w:t>
                  </w:r>
                </w:p>
              </w:tc>
              <w:tc>
                <w:tcPr>
                  <w:tcW w:w="3604" w:type="dxa"/>
                  <w:shd w:val="clear" w:color="auto" w:fill="auto"/>
                  <w:vAlign w:val="center"/>
                </w:tcPr>
                <w:p>
                  <w:pPr>
                    <w:spacing w:line="360" w:lineRule="exact"/>
                    <w:jc w:val="center"/>
                    <w:rPr>
                      <w:bCs/>
                      <w:szCs w:val="21"/>
                    </w:rPr>
                  </w:pPr>
                  <w:r>
                    <w:rPr>
                      <w:rFonts w:hint="eastAsia"/>
                      <w:bCs/>
                      <w:szCs w:val="21"/>
                    </w:rPr>
                    <w:t>由新野县上港乡市政供电系统提供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370" w:type="dxa"/>
                  <w:vMerge w:val="continue"/>
                  <w:shd w:val="clear" w:color="auto" w:fill="auto"/>
                  <w:vAlign w:val="center"/>
                </w:tcPr>
                <w:p>
                  <w:pPr>
                    <w:spacing w:line="360" w:lineRule="exact"/>
                    <w:jc w:val="center"/>
                    <w:rPr>
                      <w:bCs/>
                      <w:szCs w:val="21"/>
                    </w:rPr>
                  </w:pPr>
                </w:p>
              </w:tc>
              <w:tc>
                <w:tcPr>
                  <w:tcW w:w="1559" w:type="dxa"/>
                  <w:shd w:val="clear" w:color="auto" w:fill="auto"/>
                  <w:vAlign w:val="center"/>
                </w:tcPr>
                <w:p>
                  <w:pPr>
                    <w:spacing w:line="360" w:lineRule="exact"/>
                    <w:jc w:val="center"/>
                    <w:rPr>
                      <w:bCs/>
                      <w:szCs w:val="21"/>
                    </w:rPr>
                  </w:pPr>
                  <w:r>
                    <w:rPr>
                      <w:rFonts w:hint="eastAsia"/>
                      <w:bCs/>
                      <w:szCs w:val="21"/>
                    </w:rPr>
                    <w:t>液化石油气</w:t>
                  </w:r>
                </w:p>
              </w:tc>
              <w:tc>
                <w:tcPr>
                  <w:tcW w:w="1701" w:type="dxa"/>
                  <w:shd w:val="clear" w:color="auto" w:fill="auto"/>
                  <w:vAlign w:val="center"/>
                </w:tcPr>
                <w:p>
                  <w:pPr>
                    <w:spacing w:line="360" w:lineRule="exact"/>
                    <w:jc w:val="center"/>
                    <w:rPr>
                      <w:bCs/>
                      <w:szCs w:val="21"/>
                    </w:rPr>
                  </w:pPr>
                  <w:r>
                    <w:rPr>
                      <w:rFonts w:hint="eastAsia"/>
                      <w:bCs/>
                      <w:szCs w:val="21"/>
                    </w:rPr>
                    <w:t>20t/a</w:t>
                  </w:r>
                </w:p>
              </w:tc>
              <w:tc>
                <w:tcPr>
                  <w:tcW w:w="3604" w:type="dxa"/>
                  <w:shd w:val="clear" w:color="auto" w:fill="auto"/>
                  <w:vAlign w:val="center"/>
                </w:tcPr>
                <w:p>
                  <w:pPr>
                    <w:spacing w:line="360" w:lineRule="exact"/>
                    <w:jc w:val="center"/>
                    <w:rPr>
                      <w:bCs/>
                      <w:szCs w:val="21"/>
                    </w:rPr>
                  </w:pPr>
                  <w:r>
                    <w:rPr>
                      <w:rFonts w:hint="eastAsia"/>
                      <w:szCs w:val="21"/>
                    </w:rPr>
                    <w:t>外购</w:t>
                  </w:r>
                  <w:r>
                    <w:rPr>
                      <w:rFonts w:hint="eastAsia"/>
                      <w:color w:val="000000"/>
                      <w:kern w:val="0"/>
                      <w:szCs w:val="21"/>
                    </w:rPr>
                    <w:t>，50kg/罐装，厂区最大存储量0.2t</w:t>
                  </w:r>
                </w:p>
              </w:tc>
            </w:tr>
          </w:tbl>
          <w:p>
            <w:pPr>
              <w:tabs>
                <w:tab w:val="left" w:pos="1081"/>
              </w:tabs>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密度板</w:t>
            </w:r>
            <w:r>
              <w:rPr>
                <w:rFonts w:hint="eastAsia" w:eastAsiaTheme="minorEastAsia"/>
                <w:sz w:val="24"/>
                <w:szCs w:val="24"/>
              </w:rPr>
              <w:t>：密度板是以植物术纤维为主要原料，经热磨、铺装、热压成型等工序制成。特点是内部结构均匀，机械加工性能好、易于雕刻及做成各种型面、形状的部件。</w:t>
            </w:r>
          </w:p>
          <w:p>
            <w:pPr>
              <w:tabs>
                <w:tab w:val="left" w:pos="1081"/>
              </w:tabs>
              <w:adjustRightInd w:val="0"/>
              <w:snapToGrid w:val="0"/>
              <w:spacing w:line="360" w:lineRule="auto"/>
              <w:ind w:firstLine="482" w:firstLineChars="200"/>
              <w:rPr>
                <w:rFonts w:eastAsiaTheme="minorEastAsia"/>
                <w:sz w:val="24"/>
                <w:szCs w:val="24"/>
              </w:rPr>
            </w:pPr>
            <w:r>
              <w:rPr>
                <w:rFonts w:hint="eastAsia" w:eastAsiaTheme="minorEastAsia"/>
                <w:b/>
                <w:sz w:val="24"/>
                <w:szCs w:val="24"/>
              </w:rPr>
              <w:t>三聚氰胺纸纸：</w:t>
            </w:r>
            <w:r>
              <w:rPr>
                <w:rFonts w:hint="eastAsia" w:eastAsiaTheme="minorEastAsia"/>
                <w:sz w:val="24"/>
                <w:szCs w:val="24"/>
              </w:rPr>
              <w:t>是一种素色原纸或印刷装饰纸经浸渍三聚氰胺甲醛树脂并干燥到一定程度、具有一定树脂含量和低挥发物含量的胶纸，经热压可相互胶合或与人造板基材胶合。具有耐水、耐热、耐老化、耐电弧、耐化学腐蚀、有良好的绝缘性能、光泽度和机械强度。主要用于密度板，刨花板，胶合板贴面，广泛运用于木材、塑料、涂料、造纸、纺织、皮革、电气、医药等行业。</w:t>
            </w:r>
          </w:p>
          <w:p>
            <w:pPr>
              <w:tabs>
                <w:tab w:val="left" w:pos="1081"/>
              </w:tabs>
              <w:adjustRightInd w:val="0"/>
              <w:snapToGrid w:val="0"/>
              <w:spacing w:line="360" w:lineRule="auto"/>
              <w:ind w:firstLine="480" w:firstLineChars="200"/>
              <w:jc w:val="left"/>
              <w:rPr>
                <w:rFonts w:eastAsiaTheme="minorEastAsia"/>
                <w:sz w:val="24"/>
                <w:szCs w:val="24"/>
              </w:rPr>
            </w:pPr>
            <w:r>
              <w:rPr>
                <w:rFonts w:hint="eastAsia" w:eastAsiaTheme="minorEastAsia"/>
                <w:sz w:val="24"/>
                <w:szCs w:val="24"/>
              </w:rPr>
              <w:t>三聚氰胺树脂胶黏合剂，是一种热固性树脂，是三聚氰胺与甲醛在中性或微碱下缩聚而成的低分子量初聚体，含有少量的游离甲醛，三聚氰胺树脂黏合剂中原料为三 聚氰胺（2，4，6-三氨基-1，3，5-三嗪）和8%的甲醛水溶液，甲醛与三聚氰胺的摩尔比为2~3，第一步生成不同数且的N-羟甲基取代物，然后进一步缩合成线性树脂。 三聚氰胺树脂胶在室温下不固化，一般在130~150℃热固化， 加少量酸催化可提高固化速度，用于浸膜纸浸胶工序。</w:t>
            </w:r>
          </w:p>
          <w:p>
            <w:pPr>
              <w:tabs>
                <w:tab w:val="left" w:pos="1081"/>
              </w:tabs>
              <w:adjustRightInd w:val="0"/>
              <w:snapToGrid w:val="0"/>
              <w:spacing w:line="360" w:lineRule="auto"/>
              <w:ind w:firstLine="480" w:firstLineChars="200"/>
              <w:rPr>
                <w:rFonts w:eastAsiaTheme="minorEastAsia"/>
                <w:sz w:val="24"/>
                <w:szCs w:val="24"/>
              </w:rPr>
            </w:pPr>
            <w:r>
              <w:rPr>
                <w:rFonts w:hint="eastAsia" w:eastAsiaTheme="minorEastAsia"/>
                <w:sz w:val="24"/>
                <w:szCs w:val="24"/>
              </w:rPr>
              <w:t>项目原料三聚氰胺纸为外购的低遊离甲醛三聚氰胺甲醛树脂浸渍纸，重量为70g/张，经查阅相关标准知，三聚氰胺纸且前尚无质量控制标准或者国家标准，而行业标准《饰面用浸渍胶膜纸》（LY/T1143-2006）规定胶膜纸挥发物含量5.0%~9.0%，但并未列明游离甲醛含量，因此本次评价在查阅相关资料文献后，确定本项目三聚氰胺纸中游离甲醛含量为0.4%，其它挥发性有机物含量为2.5%。</w:t>
            </w:r>
          </w:p>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7、水平衡分析</w:t>
            </w:r>
          </w:p>
          <w:p>
            <w:pPr>
              <w:tabs>
                <w:tab w:val="left" w:pos="1081"/>
              </w:tabs>
              <w:adjustRightInd w:val="0"/>
              <w:snapToGrid w:val="0"/>
              <w:spacing w:line="360" w:lineRule="auto"/>
              <w:ind w:firstLine="480" w:firstLineChars="200"/>
              <w:jc w:val="left"/>
              <w:rPr>
                <w:color w:val="000000"/>
                <w:sz w:val="24"/>
              </w:rPr>
            </w:pPr>
            <w:r>
              <w:rPr>
                <w:rFonts w:hint="eastAsia"/>
                <w:color w:val="000000"/>
                <w:sz w:val="24"/>
              </w:rPr>
              <w:t>本项目营运期用水主要为职工生活用水，由厂区自备井供给。</w:t>
            </w:r>
          </w:p>
          <w:p>
            <w:pPr>
              <w:adjustRightInd w:val="0"/>
              <w:snapToGrid w:val="0"/>
              <w:spacing w:line="360" w:lineRule="auto"/>
              <w:ind w:firstLine="480" w:firstLineChars="200"/>
              <w:outlineLvl w:val="1"/>
              <w:rPr>
                <w:sz w:val="24"/>
              </w:rPr>
            </w:pPr>
            <w:r>
              <w:rPr>
                <w:sz w:val="24"/>
              </w:rPr>
              <w:t>本项目</w:t>
            </w:r>
            <w:r>
              <w:rPr>
                <w:rFonts w:hint="eastAsia"/>
                <w:sz w:val="24"/>
              </w:rPr>
              <w:t>劳动</w:t>
            </w:r>
            <w:r>
              <w:rPr>
                <w:sz w:val="24"/>
              </w:rPr>
              <w:t>定员</w:t>
            </w:r>
            <w:r>
              <w:rPr>
                <w:rFonts w:hint="eastAsia"/>
                <w:sz w:val="24"/>
              </w:rPr>
              <w:t>3</w:t>
            </w:r>
            <w:r>
              <w:rPr>
                <w:sz w:val="24"/>
              </w:rPr>
              <w:t>人</w:t>
            </w:r>
            <w:r>
              <w:rPr>
                <w:rFonts w:hint="eastAsia"/>
                <w:sz w:val="24"/>
              </w:rPr>
              <w:t>，均不在厂区食宿，根据</w:t>
            </w:r>
            <w:r>
              <w:rPr>
                <w:sz w:val="24"/>
              </w:rPr>
              <w:t>河南省地方标准《工业及城镇生活用水定额》</w:t>
            </w:r>
            <w:r>
              <w:rPr>
                <w:rFonts w:hint="eastAsia"/>
                <w:sz w:val="24"/>
              </w:rPr>
              <w:t>（</w:t>
            </w:r>
            <w:r>
              <w:rPr>
                <w:sz w:val="24"/>
              </w:rPr>
              <w:t>DB41/T385-2014</w:t>
            </w:r>
            <w:r>
              <w:rPr>
                <w:rFonts w:hint="eastAsia"/>
                <w:sz w:val="24"/>
              </w:rPr>
              <w:t>）</w:t>
            </w:r>
            <w:r>
              <w:rPr>
                <w:rFonts w:hint="eastAsia"/>
                <w:bCs/>
                <w:sz w:val="24"/>
              </w:rPr>
              <w:t>，职工办公</w:t>
            </w:r>
            <w:r>
              <w:rPr>
                <w:bCs/>
                <w:sz w:val="24"/>
              </w:rPr>
              <w:t>用水系数取</w:t>
            </w:r>
            <w:r>
              <w:rPr>
                <w:rFonts w:hint="eastAsia"/>
                <w:bCs/>
                <w:sz w:val="24"/>
              </w:rPr>
              <w:t>5</w:t>
            </w:r>
            <w:r>
              <w:rPr>
                <w:bCs/>
                <w:sz w:val="24"/>
              </w:rPr>
              <w:t>0L/人﹒d，</w:t>
            </w:r>
            <w:r>
              <w:rPr>
                <w:sz w:val="24"/>
              </w:rPr>
              <w:t>则生活用水量为</w:t>
            </w:r>
            <w:r>
              <w:rPr>
                <w:rFonts w:hint="eastAsia"/>
                <w:sz w:val="24"/>
              </w:rPr>
              <w:t>0.15</w:t>
            </w:r>
            <w:r>
              <w:rPr>
                <w:sz w:val="24"/>
              </w:rPr>
              <w:t>m</w:t>
            </w:r>
            <w:r>
              <w:rPr>
                <w:sz w:val="24"/>
                <w:vertAlign w:val="superscript"/>
              </w:rPr>
              <w:t>3</w:t>
            </w:r>
            <w:r>
              <w:rPr>
                <w:sz w:val="24"/>
              </w:rPr>
              <w:t>/d</w:t>
            </w:r>
            <w:r>
              <w:rPr>
                <w:rFonts w:hint="eastAsia"/>
                <w:sz w:val="24"/>
              </w:rPr>
              <w:t>，30m</w:t>
            </w:r>
            <w:r>
              <w:rPr>
                <w:rFonts w:hint="eastAsia"/>
                <w:sz w:val="24"/>
                <w:vertAlign w:val="superscript"/>
              </w:rPr>
              <w:t>3</w:t>
            </w:r>
            <w:r>
              <w:rPr>
                <w:rFonts w:hint="eastAsia"/>
                <w:sz w:val="24"/>
              </w:rPr>
              <w:t>/a，</w:t>
            </w:r>
            <w:r>
              <w:rPr>
                <w:sz w:val="24"/>
              </w:rPr>
              <w:t>生活污水产生系数取0.8，</w:t>
            </w:r>
            <w:r>
              <w:rPr>
                <w:rFonts w:hint="eastAsia"/>
                <w:sz w:val="24"/>
              </w:rPr>
              <w:t>则</w:t>
            </w:r>
            <w:r>
              <w:rPr>
                <w:sz w:val="24"/>
              </w:rPr>
              <w:t>生活污水</w:t>
            </w:r>
            <w:r>
              <w:rPr>
                <w:rFonts w:hint="eastAsia"/>
                <w:sz w:val="24"/>
              </w:rPr>
              <w:t>产生量为0.12m</w:t>
            </w:r>
            <w:r>
              <w:rPr>
                <w:rFonts w:hint="eastAsia"/>
                <w:sz w:val="24"/>
                <w:vertAlign w:val="superscript"/>
              </w:rPr>
              <w:t>3</w:t>
            </w:r>
            <w:r>
              <w:rPr>
                <w:sz w:val="24"/>
              </w:rPr>
              <w:t>/d</w:t>
            </w:r>
            <w:r>
              <w:rPr>
                <w:rFonts w:hint="eastAsia"/>
                <w:sz w:val="24"/>
              </w:rPr>
              <w:t>，24m</w:t>
            </w:r>
            <w:r>
              <w:rPr>
                <w:rFonts w:hint="eastAsia"/>
                <w:sz w:val="24"/>
                <w:vertAlign w:val="superscript"/>
              </w:rPr>
              <w:t>3</w:t>
            </w:r>
            <w:r>
              <w:rPr>
                <w:rFonts w:hint="eastAsia"/>
                <w:sz w:val="24"/>
              </w:rPr>
              <w:t>/d</w:t>
            </w:r>
            <w:r>
              <w:rPr>
                <w:sz w:val="24"/>
              </w:rPr>
              <w:t>。生活污水</w:t>
            </w:r>
            <w:r>
              <w:rPr>
                <w:rFonts w:hint="eastAsia"/>
                <w:sz w:val="24"/>
              </w:rPr>
              <w:t>中</w:t>
            </w:r>
            <w:r>
              <w:rPr>
                <w:sz w:val="24"/>
              </w:rPr>
              <w:t>主要污染物浓度分别</w:t>
            </w:r>
            <w:r>
              <w:rPr>
                <w:rFonts w:hint="eastAsia"/>
                <w:sz w:val="24"/>
              </w:rPr>
              <w:t>为</w:t>
            </w:r>
            <w:r>
              <w:rPr>
                <w:sz w:val="24"/>
              </w:rPr>
              <w:t>COD3</w:t>
            </w:r>
            <w:r>
              <w:rPr>
                <w:rFonts w:hint="eastAsia"/>
                <w:sz w:val="24"/>
              </w:rPr>
              <w:t>5</w:t>
            </w:r>
            <w:r>
              <w:rPr>
                <w:sz w:val="24"/>
              </w:rPr>
              <w:t>0mg/L、</w:t>
            </w:r>
            <w:r>
              <w:rPr>
                <w:rFonts w:hint="eastAsia"/>
                <w:sz w:val="24"/>
              </w:rPr>
              <w:t>SS</w:t>
            </w:r>
            <w:r>
              <w:rPr>
                <w:sz w:val="24"/>
              </w:rPr>
              <w:t>2</w:t>
            </w:r>
            <w:r>
              <w:rPr>
                <w:rFonts w:hint="eastAsia"/>
                <w:sz w:val="24"/>
              </w:rPr>
              <w:t>8</w:t>
            </w:r>
            <w:r>
              <w:rPr>
                <w:sz w:val="24"/>
              </w:rPr>
              <w:t>0mg/L</w:t>
            </w:r>
            <w:r>
              <w:rPr>
                <w:rFonts w:hint="eastAsia"/>
                <w:sz w:val="24"/>
              </w:rPr>
              <w:t>、NH</w:t>
            </w:r>
            <w:r>
              <w:rPr>
                <w:rFonts w:hint="eastAsia"/>
                <w:sz w:val="24"/>
                <w:vertAlign w:val="subscript"/>
              </w:rPr>
              <w:t>3</w:t>
            </w:r>
            <w:r>
              <w:rPr>
                <w:rFonts w:hint="eastAsia"/>
                <w:sz w:val="24"/>
              </w:rPr>
              <w:t>-N30</w:t>
            </w:r>
            <w:r>
              <w:rPr>
                <w:sz w:val="24"/>
              </w:rPr>
              <w:t>mg/L。</w:t>
            </w:r>
          </w:p>
          <w:p>
            <w:pPr>
              <w:tabs>
                <w:tab w:val="left" w:pos="1081"/>
              </w:tabs>
              <w:adjustRightInd w:val="0"/>
              <w:snapToGrid w:val="0"/>
              <w:spacing w:line="360" w:lineRule="auto"/>
              <w:ind w:firstLine="480" w:firstLineChars="200"/>
              <w:jc w:val="left"/>
              <w:rPr>
                <w:color w:val="000000"/>
                <w:sz w:val="24"/>
              </w:rPr>
            </w:pPr>
            <w:r>
              <w:rPr>
                <w:rFonts w:hint="eastAsia"/>
                <w:color w:val="000000"/>
                <w:sz w:val="24"/>
              </w:rPr>
              <w:t>本项目</w:t>
            </w:r>
            <w:r>
              <w:rPr>
                <w:rFonts w:hint="eastAsia" w:eastAsiaTheme="minorEastAsia"/>
                <w:sz w:val="24"/>
                <w:szCs w:val="24"/>
              </w:rPr>
              <w:t>营运</w:t>
            </w:r>
            <w:r>
              <w:rPr>
                <w:rFonts w:hint="eastAsia"/>
                <w:color w:val="000000"/>
                <w:sz w:val="24"/>
              </w:rPr>
              <w:t>期用排水情况见表2-5，水平衡见图2-2。</w:t>
            </w:r>
          </w:p>
          <w:p>
            <w:pPr>
              <w:tabs>
                <w:tab w:val="left" w:pos="1081"/>
              </w:tabs>
              <w:adjustRightInd w:val="0"/>
              <w:snapToGrid w:val="0"/>
              <w:spacing w:line="360" w:lineRule="auto"/>
              <w:jc w:val="center"/>
              <w:rPr>
                <w:b/>
                <w:color w:val="000000"/>
                <w:sz w:val="24"/>
              </w:rPr>
            </w:pPr>
            <w:r>
              <w:rPr>
                <w:rFonts w:hint="eastAsia"/>
                <w:b/>
                <w:color w:val="000000"/>
                <w:sz w:val="24"/>
              </w:rPr>
              <w:t>表2-5        本</w:t>
            </w:r>
            <w:r>
              <w:rPr>
                <w:rFonts w:hint="eastAsia"/>
                <w:b/>
                <w:sz w:val="24"/>
                <w:szCs w:val="24"/>
              </w:rPr>
              <w:t>项目</w:t>
            </w:r>
            <w:r>
              <w:rPr>
                <w:rFonts w:hint="eastAsia"/>
                <w:b/>
                <w:color w:val="000000"/>
                <w:sz w:val="24"/>
              </w:rPr>
              <w:t>营运期用排水情况一览表</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0"/>
              <w:gridCol w:w="950"/>
              <w:gridCol w:w="1343"/>
              <w:gridCol w:w="890"/>
              <w:gridCol w:w="1682"/>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2" w:type="pct"/>
                  <w:vAlign w:val="center"/>
                </w:tcPr>
                <w:p>
                  <w:pPr>
                    <w:spacing w:line="360" w:lineRule="exact"/>
                    <w:jc w:val="center"/>
                    <w:rPr>
                      <w:color w:val="000000"/>
                      <w:szCs w:val="21"/>
                    </w:rPr>
                  </w:pPr>
                  <w:r>
                    <w:rPr>
                      <w:color w:val="000000"/>
                      <w:szCs w:val="21"/>
                    </w:rPr>
                    <w:t>类别</w:t>
                  </w:r>
                </w:p>
              </w:tc>
              <w:tc>
                <w:tcPr>
                  <w:tcW w:w="570" w:type="pct"/>
                  <w:vAlign w:val="center"/>
                </w:tcPr>
                <w:p>
                  <w:pPr>
                    <w:spacing w:line="360" w:lineRule="exact"/>
                    <w:jc w:val="center"/>
                    <w:rPr>
                      <w:color w:val="000000"/>
                      <w:szCs w:val="21"/>
                    </w:rPr>
                  </w:pPr>
                  <w:r>
                    <w:rPr>
                      <w:color w:val="000000"/>
                      <w:szCs w:val="21"/>
                    </w:rPr>
                    <w:t>用水量</w:t>
                  </w:r>
                </w:p>
              </w:tc>
              <w:tc>
                <w:tcPr>
                  <w:tcW w:w="806" w:type="pct"/>
                  <w:vAlign w:val="center"/>
                </w:tcPr>
                <w:p>
                  <w:pPr>
                    <w:spacing w:line="360" w:lineRule="exact"/>
                    <w:jc w:val="center"/>
                    <w:rPr>
                      <w:color w:val="000000"/>
                      <w:szCs w:val="21"/>
                    </w:rPr>
                  </w:pPr>
                  <w:r>
                    <w:rPr>
                      <w:color w:val="000000"/>
                      <w:szCs w:val="21"/>
                    </w:rPr>
                    <w:t>用水来源</w:t>
                  </w:r>
                </w:p>
              </w:tc>
              <w:tc>
                <w:tcPr>
                  <w:tcW w:w="534" w:type="pct"/>
                  <w:vAlign w:val="center"/>
                </w:tcPr>
                <w:p>
                  <w:pPr>
                    <w:spacing w:line="360" w:lineRule="exact"/>
                    <w:jc w:val="center"/>
                    <w:rPr>
                      <w:color w:val="000000"/>
                      <w:szCs w:val="21"/>
                    </w:rPr>
                  </w:pPr>
                  <w:r>
                    <w:rPr>
                      <w:color w:val="000000"/>
                      <w:szCs w:val="21"/>
                    </w:rPr>
                    <w:t>废水量</w:t>
                  </w:r>
                </w:p>
              </w:tc>
              <w:tc>
                <w:tcPr>
                  <w:tcW w:w="1010" w:type="pct"/>
                  <w:vAlign w:val="center"/>
                </w:tcPr>
                <w:p>
                  <w:pPr>
                    <w:spacing w:line="360" w:lineRule="exact"/>
                    <w:jc w:val="center"/>
                    <w:rPr>
                      <w:color w:val="000000"/>
                      <w:szCs w:val="21"/>
                    </w:rPr>
                  </w:pPr>
                  <w:r>
                    <w:rPr>
                      <w:color w:val="000000"/>
                      <w:szCs w:val="21"/>
                    </w:rPr>
                    <w:t>废水排放频次</w:t>
                  </w:r>
                </w:p>
              </w:tc>
              <w:tc>
                <w:tcPr>
                  <w:tcW w:w="1257" w:type="pct"/>
                  <w:vAlign w:val="center"/>
                </w:tcPr>
                <w:p>
                  <w:pPr>
                    <w:spacing w:line="360" w:lineRule="exact"/>
                    <w:jc w:val="center"/>
                    <w:rPr>
                      <w:color w:val="000000"/>
                      <w:szCs w:val="21"/>
                    </w:rPr>
                  </w:pPr>
                  <w:r>
                    <w:rPr>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hRule="atLeast"/>
              </w:trPr>
              <w:tc>
                <w:tcPr>
                  <w:tcW w:w="822" w:type="pct"/>
                  <w:vAlign w:val="center"/>
                </w:tcPr>
                <w:p>
                  <w:pPr>
                    <w:spacing w:line="360" w:lineRule="exact"/>
                    <w:jc w:val="center"/>
                    <w:rPr>
                      <w:color w:val="000000"/>
                      <w:szCs w:val="21"/>
                    </w:rPr>
                  </w:pPr>
                  <w:r>
                    <w:rPr>
                      <w:color w:val="000000"/>
                      <w:szCs w:val="21"/>
                    </w:rPr>
                    <w:t>职工</w:t>
                  </w:r>
                  <w:r>
                    <w:rPr>
                      <w:rFonts w:hint="eastAsia"/>
                      <w:color w:val="000000"/>
                      <w:szCs w:val="21"/>
                    </w:rPr>
                    <w:t>生活</w:t>
                  </w:r>
                </w:p>
              </w:tc>
              <w:tc>
                <w:tcPr>
                  <w:tcW w:w="570" w:type="pct"/>
                  <w:vAlign w:val="center"/>
                </w:tcPr>
                <w:p>
                  <w:pPr>
                    <w:spacing w:line="360" w:lineRule="exact"/>
                    <w:jc w:val="center"/>
                    <w:rPr>
                      <w:color w:val="000000"/>
                      <w:szCs w:val="21"/>
                    </w:rPr>
                  </w:pPr>
                  <w:r>
                    <w:rPr>
                      <w:rFonts w:hint="eastAsia"/>
                      <w:color w:val="000000"/>
                      <w:szCs w:val="21"/>
                    </w:rPr>
                    <w:t>0.15</w:t>
                  </w:r>
                </w:p>
              </w:tc>
              <w:tc>
                <w:tcPr>
                  <w:tcW w:w="806" w:type="pct"/>
                  <w:vAlign w:val="center"/>
                </w:tcPr>
                <w:p>
                  <w:pPr>
                    <w:spacing w:line="360" w:lineRule="exact"/>
                    <w:jc w:val="center"/>
                    <w:rPr>
                      <w:color w:val="000000"/>
                      <w:szCs w:val="21"/>
                    </w:rPr>
                  </w:pPr>
                  <w:r>
                    <w:rPr>
                      <w:color w:val="000000"/>
                      <w:szCs w:val="21"/>
                    </w:rPr>
                    <w:t>新鲜水</w:t>
                  </w:r>
                </w:p>
              </w:tc>
              <w:tc>
                <w:tcPr>
                  <w:tcW w:w="534" w:type="pct"/>
                  <w:vAlign w:val="center"/>
                </w:tcPr>
                <w:p>
                  <w:pPr>
                    <w:spacing w:line="360" w:lineRule="exact"/>
                    <w:jc w:val="center"/>
                    <w:rPr>
                      <w:color w:val="000000"/>
                      <w:szCs w:val="21"/>
                    </w:rPr>
                  </w:pPr>
                  <w:r>
                    <w:rPr>
                      <w:rFonts w:hint="eastAsia"/>
                      <w:color w:val="000000"/>
                      <w:szCs w:val="21"/>
                    </w:rPr>
                    <w:t>0.12</w:t>
                  </w:r>
                </w:p>
              </w:tc>
              <w:tc>
                <w:tcPr>
                  <w:tcW w:w="1010" w:type="pct"/>
                  <w:vAlign w:val="center"/>
                </w:tcPr>
                <w:p>
                  <w:pPr>
                    <w:spacing w:line="360" w:lineRule="exact"/>
                    <w:jc w:val="center"/>
                    <w:rPr>
                      <w:color w:val="000000"/>
                      <w:szCs w:val="21"/>
                    </w:rPr>
                  </w:pPr>
                  <w:r>
                    <w:rPr>
                      <w:rFonts w:hint="eastAsia"/>
                      <w:color w:val="000000"/>
                      <w:szCs w:val="21"/>
                    </w:rPr>
                    <w:t>间断排放</w:t>
                  </w:r>
                </w:p>
              </w:tc>
              <w:tc>
                <w:tcPr>
                  <w:tcW w:w="1257" w:type="pct"/>
                  <w:vAlign w:val="center"/>
                </w:tcPr>
                <w:p>
                  <w:pPr>
                    <w:spacing w:line="360" w:lineRule="exact"/>
                    <w:jc w:val="center"/>
                    <w:rPr>
                      <w:color w:val="000000"/>
                      <w:szCs w:val="21"/>
                    </w:rPr>
                  </w:pPr>
                  <w:r>
                    <w:rPr>
                      <w:color w:val="000000"/>
                      <w:szCs w:val="21"/>
                    </w:rPr>
                    <w:t>经化粪池处理后</w:t>
                  </w:r>
                  <w:r>
                    <w:rPr>
                      <w:rFonts w:hint="eastAsia"/>
                      <w:color w:val="000000"/>
                      <w:szCs w:val="21"/>
                    </w:rPr>
                    <w:t>用于周围农田施肥</w:t>
                  </w:r>
                </w:p>
              </w:tc>
            </w:tr>
          </w:tbl>
          <w:p>
            <w:pPr>
              <w:adjustRightInd w:val="0"/>
              <w:snapToGrid w:val="0"/>
              <w:spacing w:line="360" w:lineRule="auto"/>
              <w:jc w:val="center"/>
              <w:rPr>
                <w:color w:val="000000"/>
                <w:sz w:val="24"/>
              </w:rPr>
            </w:pPr>
            <w:r>
              <w:rPr>
                <w:szCs w:val="24"/>
              </w:rPr>
              <mc:AlternateContent>
                <mc:Choice Requires="wpc">
                  <w:drawing>
                    <wp:inline distT="0" distB="0" distL="0" distR="0">
                      <wp:extent cx="5286375" cy="1076325"/>
                      <wp:effectExtent l="0" t="0" r="0" b="9525"/>
                      <wp:docPr id="173" name="画布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4" name="Rectangle 101"/>
                              <wps:cNvSpPr>
                                <a:spLocks noChangeArrowheads="1"/>
                              </wps:cNvSpPr>
                              <wps:spPr bwMode="auto">
                                <a:xfrm>
                                  <a:off x="551664" y="751106"/>
                                  <a:ext cx="4103755" cy="327672"/>
                                </a:xfrm>
                                <a:prstGeom prst="rect">
                                  <a:avLst/>
                                </a:prstGeom>
                                <a:noFill/>
                                <a:ln>
                                  <a:noFill/>
                                </a:ln>
                                <a:effectLst/>
                              </wps:spPr>
                              <wps:txbx>
                                <w:txbxContent>
                                  <w:p>
                                    <w:pPr>
                                      <w:jc w:val="center"/>
                                      <w:rPr>
                                        <w:b/>
                                        <w:sz w:val="24"/>
                                      </w:rPr>
                                    </w:pPr>
                                    <w:r>
                                      <w:rPr>
                                        <w:b/>
                                        <w:sz w:val="24"/>
                                      </w:rPr>
                                      <w:t>图</w:t>
                                    </w:r>
                                    <w:r>
                                      <w:rPr>
                                        <w:rFonts w:hint="eastAsia"/>
                                        <w:b/>
                                        <w:sz w:val="24"/>
                                      </w:rPr>
                                      <w:t xml:space="preserve">2-2  </w:t>
                                    </w:r>
                                    <w:r>
                                      <w:rPr>
                                        <w:b/>
                                        <w:sz w:val="24"/>
                                      </w:rPr>
                                      <w:t xml:space="preserve"> </w:t>
                                    </w:r>
                                    <w:r>
                                      <w:rPr>
                                        <w:rFonts w:hint="eastAsia"/>
                                        <w:b/>
                                        <w:sz w:val="24"/>
                                      </w:rPr>
                                      <w:t xml:space="preserve"> </w:t>
                                    </w:r>
                                    <w:r>
                                      <w:rPr>
                                        <w:b/>
                                        <w:sz w:val="24"/>
                                      </w:rPr>
                                      <w:t xml:space="preserve"> </w:t>
                                    </w:r>
                                    <w:r>
                                      <w:rPr>
                                        <w:rFonts w:hint="eastAsia"/>
                                        <w:b/>
                                        <w:sz w:val="24"/>
                                      </w:rPr>
                                      <w:t>本</w:t>
                                    </w:r>
                                    <w:r>
                                      <w:rPr>
                                        <w:b/>
                                        <w:sz w:val="24"/>
                                      </w:rPr>
                                      <w:t>项目营运期</w:t>
                                    </w:r>
                                    <w:r>
                                      <w:rPr>
                                        <w:rFonts w:hint="eastAsia"/>
                                        <w:b/>
                                        <w:sz w:val="24"/>
                                      </w:rPr>
                                      <w:t>水</w:t>
                                    </w:r>
                                    <w:r>
                                      <w:rPr>
                                        <w:b/>
                                        <w:sz w:val="24"/>
                                      </w:rPr>
                                      <w:t xml:space="preserve">平衡图  </w:t>
                                    </w:r>
                                    <w:r>
                                      <w:rPr>
                                        <w:rFonts w:hint="eastAsia"/>
                                        <w:b/>
                                        <w:sz w:val="24"/>
                                      </w:rPr>
                                      <w:t xml:space="preserve">   </w:t>
                                    </w:r>
                                    <w:r>
                                      <w:rPr>
                                        <w:b/>
                                        <w:szCs w:val="21"/>
                                      </w:rPr>
                                      <w:t>单位</w:t>
                                    </w:r>
                                    <w:r>
                                      <w:rPr>
                                        <w:szCs w:val="21"/>
                                      </w:rPr>
                                      <w:t>：</w:t>
                                    </w:r>
                                    <w:r>
                                      <w:rPr>
                                        <w:rFonts w:hint="eastAsia"/>
                                        <w:szCs w:val="21"/>
                                      </w:rPr>
                                      <w:t>m</w:t>
                                    </w:r>
                                    <w:r>
                                      <w:rPr>
                                        <w:rFonts w:hint="eastAsia"/>
                                        <w:szCs w:val="21"/>
                                        <w:vertAlign w:val="superscript"/>
                                      </w:rPr>
                                      <w:t>3</w:t>
                                    </w:r>
                                    <w:r>
                                      <w:rPr>
                                        <w:rFonts w:hint="eastAsia"/>
                                        <w:szCs w:val="21"/>
                                      </w:rPr>
                                      <w:t>/d</w:t>
                                    </w:r>
                                  </w:p>
                                </w:txbxContent>
                              </wps:txbx>
                              <wps:bodyPr rot="0" vert="horz" wrap="square" lIns="91440" tIns="45720" rIns="91440" bIns="45720" anchor="t" anchorCtr="0" upright="1">
                                <a:noAutofit/>
                              </wps:bodyPr>
                            </wps:wsp>
                            <wps:wsp>
                              <wps:cNvPr id="145" name="AutoShape 177"/>
                              <wps:cNvCnPr>
                                <a:cxnSpLocks noChangeShapeType="1"/>
                              </wps:cNvCnPr>
                              <wps:spPr bwMode="auto">
                                <a:xfrm>
                                  <a:off x="2169013" y="481781"/>
                                  <a:ext cx="497205" cy="635"/>
                                </a:xfrm>
                                <a:prstGeom prst="straightConnector1">
                                  <a:avLst/>
                                </a:prstGeom>
                                <a:noFill/>
                                <a:ln w="9525">
                                  <a:solidFill>
                                    <a:srgbClr val="000000"/>
                                  </a:solidFill>
                                  <a:round/>
                                  <a:tailEnd type="triangle" w="med" len="med"/>
                                </a:ln>
                                <a:effectLst/>
                              </wps:spPr>
                              <wps:bodyPr/>
                            </wps:wsp>
                            <wps:wsp>
                              <wps:cNvPr id="146" name="Rectangle 178"/>
                              <wps:cNvSpPr>
                                <a:spLocks noChangeArrowheads="1"/>
                              </wps:cNvSpPr>
                              <wps:spPr bwMode="auto">
                                <a:xfrm>
                                  <a:off x="1121263" y="347796"/>
                                  <a:ext cx="1057275" cy="285750"/>
                                </a:xfrm>
                                <a:prstGeom prst="rect">
                                  <a:avLst/>
                                </a:prstGeom>
                                <a:noFill/>
                                <a:ln w="9525" algn="ctr">
                                  <a:solidFill>
                                    <a:srgbClr val="000000"/>
                                  </a:solidFill>
                                  <a:miter lim="800000"/>
                                </a:ln>
                                <a:effectLst/>
                              </wps:spPr>
                              <wps:txbx>
                                <w:txbxContent>
                                  <w:p>
                                    <w:pPr>
                                      <w:jc w:val="center"/>
                                    </w:pPr>
                                    <w:r>
                                      <w:rPr>
                                        <w:rFonts w:hint="eastAsia"/>
                                      </w:rPr>
                                      <w:t>职工生活用水</w:t>
                                    </w:r>
                                  </w:p>
                                </w:txbxContent>
                              </wps:txbx>
                              <wps:bodyPr rot="0" vert="horz" wrap="square" lIns="91440" tIns="45720" rIns="91440" bIns="45720" anchor="t" anchorCtr="0" upright="1">
                                <a:noAutofit/>
                              </wps:bodyPr>
                            </wps:wsp>
                            <wps:wsp>
                              <wps:cNvPr id="147" name="Rectangle 179"/>
                              <wps:cNvSpPr>
                                <a:spLocks noChangeArrowheads="1"/>
                              </wps:cNvSpPr>
                              <wps:spPr bwMode="auto">
                                <a:xfrm>
                                  <a:off x="1575923" y="36011"/>
                                  <a:ext cx="773430" cy="333375"/>
                                </a:xfrm>
                                <a:prstGeom prst="rect">
                                  <a:avLst/>
                                </a:prstGeom>
                                <a:noFill/>
                                <a:ln>
                                  <a:noFill/>
                                </a:ln>
                                <a:effectLst/>
                              </wps:spPr>
                              <wps:txbx>
                                <w:txbxContent>
                                  <w:p>
                                    <w:r>
                                      <w:t>损耗</w:t>
                                    </w:r>
                                    <w:r>
                                      <w:rPr>
                                        <w:rFonts w:hint="eastAsia"/>
                                      </w:rPr>
                                      <w:t>0.03</w:t>
                                    </w:r>
                                  </w:p>
                                </w:txbxContent>
                              </wps:txbx>
                              <wps:bodyPr rot="0" vert="horz" wrap="square" lIns="91440" tIns="45720" rIns="91440" bIns="45720" anchor="t" anchorCtr="0" upright="1">
                                <a:noAutofit/>
                              </wps:bodyPr>
                            </wps:wsp>
                            <wps:wsp>
                              <wps:cNvPr id="148" name="AutoShape 180"/>
                              <wps:cNvCnPr>
                                <a:cxnSpLocks noChangeShapeType="1"/>
                              </wps:cNvCnPr>
                              <wps:spPr bwMode="auto">
                                <a:xfrm flipV="1">
                                  <a:off x="1372088" y="215081"/>
                                  <a:ext cx="297180" cy="132715"/>
                                </a:xfrm>
                                <a:prstGeom prst="curvedConnector3">
                                  <a:avLst>
                                    <a:gd name="adj1" fmla="val 50000"/>
                                  </a:avLst>
                                </a:prstGeom>
                                <a:noFill/>
                                <a:ln w="9525">
                                  <a:solidFill>
                                    <a:srgbClr val="000000"/>
                                  </a:solidFill>
                                  <a:prstDash val="dash"/>
                                  <a:round/>
                                  <a:tailEnd type="triangle" w="med" len="med"/>
                                </a:ln>
                                <a:effectLst/>
                              </wps:spPr>
                              <wps:bodyPr/>
                            </wps:wsp>
                            <wps:wsp>
                              <wps:cNvPr id="149" name="AutoShape 181"/>
                              <wps:cNvCnPr>
                                <a:cxnSpLocks noChangeShapeType="1"/>
                                <a:endCxn id="146" idx="1"/>
                              </wps:cNvCnPr>
                              <wps:spPr bwMode="auto">
                                <a:xfrm>
                                  <a:off x="618343" y="490036"/>
                                  <a:ext cx="502920" cy="635"/>
                                </a:xfrm>
                                <a:prstGeom prst="straightConnector1">
                                  <a:avLst/>
                                </a:prstGeom>
                                <a:noFill/>
                                <a:ln w="9525">
                                  <a:solidFill>
                                    <a:srgbClr val="000000"/>
                                  </a:solidFill>
                                  <a:round/>
                                  <a:tailEnd type="triangle" w="med" len="med"/>
                                </a:ln>
                                <a:effectLst/>
                              </wps:spPr>
                              <wps:bodyPr/>
                            </wps:wsp>
                            <wps:wsp>
                              <wps:cNvPr id="150" name="Rectangle 182"/>
                              <wps:cNvSpPr>
                                <a:spLocks noChangeArrowheads="1"/>
                              </wps:cNvSpPr>
                              <wps:spPr bwMode="auto">
                                <a:xfrm>
                                  <a:off x="2657963" y="347796"/>
                                  <a:ext cx="781050" cy="285750"/>
                                </a:xfrm>
                                <a:prstGeom prst="rect">
                                  <a:avLst/>
                                </a:prstGeom>
                                <a:noFill/>
                                <a:ln w="9525" algn="ctr">
                                  <a:solidFill>
                                    <a:srgbClr val="000000"/>
                                  </a:solidFill>
                                  <a:miter lim="800000"/>
                                </a:ln>
                                <a:effectLst/>
                              </wps:spPr>
                              <wps:txbx>
                                <w:txbxContent>
                                  <w:p>
                                    <w:pPr>
                                      <w:jc w:val="center"/>
                                    </w:pPr>
                                    <w:r>
                                      <w:rPr>
                                        <w:rFonts w:hint="eastAsia"/>
                                      </w:rPr>
                                      <w:t>化粪池</w:t>
                                    </w:r>
                                  </w:p>
                                </w:txbxContent>
                              </wps:txbx>
                              <wps:bodyPr rot="0" vert="horz" wrap="square" lIns="91440" tIns="45720" rIns="91440" bIns="45720" anchor="t" anchorCtr="0" upright="1">
                                <a:noAutofit/>
                              </wps:bodyPr>
                            </wps:wsp>
                            <wps:wsp>
                              <wps:cNvPr id="151" name="AutoShape 183"/>
                              <wps:cNvCnPr>
                                <a:cxnSpLocks noChangeShapeType="1"/>
                              </wps:cNvCnPr>
                              <wps:spPr bwMode="auto">
                                <a:xfrm>
                                  <a:off x="3439013" y="512950"/>
                                  <a:ext cx="497205" cy="635"/>
                                </a:xfrm>
                                <a:prstGeom prst="straightConnector1">
                                  <a:avLst/>
                                </a:prstGeom>
                                <a:noFill/>
                                <a:ln w="9525">
                                  <a:solidFill>
                                    <a:srgbClr val="000000"/>
                                  </a:solidFill>
                                  <a:round/>
                                  <a:tailEnd type="triangle" w="med" len="med"/>
                                </a:ln>
                                <a:effectLst/>
                              </wps:spPr>
                              <wps:bodyPr/>
                            </wps:wsp>
                            <wps:wsp>
                              <wps:cNvPr id="152" name="Rectangle 184"/>
                              <wps:cNvSpPr>
                                <a:spLocks noChangeArrowheads="1"/>
                              </wps:cNvSpPr>
                              <wps:spPr bwMode="auto">
                                <a:xfrm>
                                  <a:off x="3848838" y="345080"/>
                                  <a:ext cx="1009650" cy="333375"/>
                                </a:xfrm>
                                <a:prstGeom prst="rect">
                                  <a:avLst/>
                                </a:prstGeom>
                                <a:noFill/>
                                <a:ln>
                                  <a:noFill/>
                                </a:ln>
                                <a:effectLst/>
                              </wps:spPr>
                              <wps:txbx>
                                <w:txbxContent>
                                  <w:p>
                                    <w:pPr>
                                      <w:jc w:val="center"/>
                                    </w:pPr>
                                    <w:r>
                                      <w:rPr>
                                        <w:rFonts w:hint="eastAsia"/>
                                      </w:rPr>
                                      <w:t>周围农田施肥</w:t>
                                    </w:r>
                                  </w:p>
                                </w:txbxContent>
                              </wps:txbx>
                              <wps:bodyPr rot="0" vert="horz" wrap="square" lIns="91440" tIns="45720" rIns="91440" bIns="45720" anchor="t" anchorCtr="0" upright="1">
                                <a:noAutofit/>
                              </wps:bodyPr>
                            </wps:wsp>
                            <wps:wsp>
                              <wps:cNvPr id="153" name="Rectangle 185"/>
                              <wps:cNvSpPr>
                                <a:spLocks noChangeArrowheads="1"/>
                              </wps:cNvSpPr>
                              <wps:spPr bwMode="auto">
                                <a:xfrm>
                                  <a:off x="419100" y="264613"/>
                                  <a:ext cx="891933" cy="574393"/>
                                </a:xfrm>
                                <a:prstGeom prst="rect">
                                  <a:avLst/>
                                </a:prstGeom>
                                <a:noFill/>
                                <a:ln>
                                  <a:noFill/>
                                </a:ln>
                                <a:effectLst/>
                              </wps:spPr>
                              <wps:txbx>
                                <w:txbxContent>
                                  <w:p>
                                    <w:pPr>
                                      <w:jc w:val="center"/>
                                    </w:pPr>
                                    <w:r>
                                      <w:rPr>
                                        <w:rFonts w:hint="eastAsia"/>
                                      </w:rPr>
                                      <w:t>0.15</w:t>
                                    </w:r>
                                  </w:p>
                                  <w:p>
                                    <w:pPr>
                                      <w:pStyle w:val="2"/>
                                      <w:ind w:left="0" w:leftChars="0" w:firstLine="0"/>
                                      <w:jc w:val="center"/>
                                    </w:pPr>
                                    <w:r>
                                      <w:rPr>
                                        <w:rFonts w:hint="eastAsia"/>
                                      </w:rPr>
                                      <w:t>新鲜水</w:t>
                                    </w:r>
                                  </w:p>
                                </w:txbxContent>
                              </wps:txbx>
                              <wps:bodyPr rot="0" vert="horz" wrap="square" lIns="91440" tIns="45720" rIns="91440" bIns="45720" anchor="t" anchorCtr="0" upright="1">
                                <a:noAutofit/>
                              </wps:bodyPr>
                            </wps:wsp>
                            <wps:wsp>
                              <wps:cNvPr id="154" name="Rectangle 186"/>
                              <wps:cNvSpPr>
                                <a:spLocks noChangeArrowheads="1"/>
                              </wps:cNvSpPr>
                              <wps:spPr bwMode="auto">
                                <a:xfrm>
                                  <a:off x="2191873" y="264611"/>
                                  <a:ext cx="554990" cy="333375"/>
                                </a:xfrm>
                                <a:prstGeom prst="rect">
                                  <a:avLst/>
                                </a:prstGeom>
                                <a:noFill/>
                                <a:ln>
                                  <a:noFill/>
                                </a:ln>
                                <a:effectLst/>
                              </wps:spPr>
                              <wps:txbx>
                                <w:txbxContent>
                                  <w:p>
                                    <w:r>
                                      <w:rPr>
                                        <w:rFonts w:hint="eastAsia"/>
                                      </w:rPr>
                                      <w:t>0.12</w:t>
                                    </w:r>
                                  </w:p>
                                </w:txbxContent>
                              </wps:txbx>
                              <wps:bodyPr rot="0" vert="horz" wrap="square" lIns="91440" tIns="45720" rIns="91440" bIns="45720" anchor="t" anchorCtr="0" upright="1">
                                <a:noAutofit/>
                              </wps:bodyPr>
                            </wps:wsp>
                            <wps:wsp>
                              <wps:cNvPr id="273" name="Rectangle 186"/>
                              <wps:cNvSpPr>
                                <a:spLocks noChangeArrowheads="1"/>
                              </wps:cNvSpPr>
                              <wps:spPr bwMode="auto">
                                <a:xfrm>
                                  <a:off x="3436830" y="293240"/>
                                  <a:ext cx="554990" cy="333375"/>
                                </a:xfrm>
                                <a:prstGeom prst="rect">
                                  <a:avLst/>
                                </a:prstGeom>
                                <a:noFill/>
                                <a:ln>
                                  <a:noFill/>
                                </a:ln>
                                <a:effectLst/>
                              </wps:spPr>
                              <wps:txbx>
                                <w:txbxContent>
                                  <w:p>
                                    <w:r>
                                      <w:rPr>
                                        <w:rFonts w:hint="eastAsia"/>
                                      </w:rPr>
                                      <w:t>0.12</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84.75pt;width:416.25pt;" coordsize="5286375,1076325" editas="canvas"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ZAMDzNYAAAAFAQAADwAAAAAAAAABACAAAAAiAAAAZHJzL2Rvd25yZXYueG1sUEsBAhQA&#10;FAAAAAgAh07iQCfK/sdLBQAA7h4AAA4AAAAAAAAAAQAgAAAAJQEAAGRycy9lMm9Eb2MueG1sUEsF&#10;BgAAAAAGAAYAWQEAAOIIAAAAAA==&#10;">
                      <o:lock v:ext="edit" aspectratio="f"/>
                      <v:shape id="_x0000_s1026" o:spid="_x0000_s1026" style="position:absolute;left:0;top:0;height:1076325;width:5286375;"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GQD&#10;A8zWAAAABQEAAA8AAAAAAAAAAQAgAAAAIgAAAGRycy9kb3ducmV2LnhtbFBLAQIUABQAAAAIAIdO&#10;4kDepaCbCgUAAGceAAAOAAAAAAAAAAEAIAAAACUBAABkcnMvZTJvRG9jLnhtbFBLBQYAAAAABgAG&#10;AFkBAAChCAAAAAA=&#10;">
                        <v:fill on="f" focussize="0,0"/>
                        <v:stroke on="f"/>
                        <v:imagedata o:title=""/>
                        <o:lock v:ext="edit" aspectratio="t"/>
                      </v:shape>
                      <v:rect id="Rectangle 101" o:spid="_x0000_s1026" o:spt="1" style="position:absolute;left:551664;top:751106;height:327672;width:4103755;"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AwPM1gAAAAUBAAAPAAAAAAAA&#10;AAEAIAAAACIAAABkcnMvZG93bnJldi54bWxQSwECFAAUAAAACACHTuJA2p6j8RQCAAAnBAAADgAA&#10;AAAAAAABACAAAAAlAQAAZHJzL2Uyb0RvYy54bWxQSwUGAAAAAAYABgBZAQAAqwUAAAAA&#10;">
                        <v:fill on="f" focussize="0,0"/>
                        <v:stroke on="f"/>
                        <v:imagedata o:title=""/>
                        <o:lock v:ext="edit" aspectratio="f"/>
                        <v:textbox>
                          <w:txbxContent>
                            <w:p>
                              <w:pPr>
                                <w:jc w:val="center"/>
                                <w:rPr>
                                  <w:b/>
                                  <w:sz w:val="24"/>
                                </w:rPr>
                              </w:pPr>
                              <w:r>
                                <w:rPr>
                                  <w:b/>
                                  <w:sz w:val="24"/>
                                </w:rPr>
                                <w:t>图</w:t>
                              </w:r>
                              <w:r>
                                <w:rPr>
                                  <w:rFonts w:hint="eastAsia"/>
                                  <w:b/>
                                  <w:sz w:val="24"/>
                                </w:rPr>
                                <w:t xml:space="preserve">2-2  </w:t>
                              </w:r>
                              <w:r>
                                <w:rPr>
                                  <w:b/>
                                  <w:sz w:val="24"/>
                                </w:rPr>
                                <w:t xml:space="preserve"> </w:t>
                              </w:r>
                              <w:r>
                                <w:rPr>
                                  <w:rFonts w:hint="eastAsia"/>
                                  <w:b/>
                                  <w:sz w:val="24"/>
                                </w:rPr>
                                <w:t xml:space="preserve"> </w:t>
                              </w:r>
                              <w:r>
                                <w:rPr>
                                  <w:b/>
                                  <w:sz w:val="24"/>
                                </w:rPr>
                                <w:t xml:space="preserve"> </w:t>
                              </w:r>
                              <w:r>
                                <w:rPr>
                                  <w:rFonts w:hint="eastAsia"/>
                                  <w:b/>
                                  <w:sz w:val="24"/>
                                </w:rPr>
                                <w:t>本</w:t>
                              </w:r>
                              <w:r>
                                <w:rPr>
                                  <w:b/>
                                  <w:sz w:val="24"/>
                                </w:rPr>
                                <w:t>项目营运期</w:t>
                              </w:r>
                              <w:r>
                                <w:rPr>
                                  <w:rFonts w:hint="eastAsia"/>
                                  <w:b/>
                                  <w:sz w:val="24"/>
                                </w:rPr>
                                <w:t>水</w:t>
                              </w:r>
                              <w:r>
                                <w:rPr>
                                  <w:b/>
                                  <w:sz w:val="24"/>
                                </w:rPr>
                                <w:t xml:space="preserve">平衡图  </w:t>
                              </w:r>
                              <w:r>
                                <w:rPr>
                                  <w:rFonts w:hint="eastAsia"/>
                                  <w:b/>
                                  <w:sz w:val="24"/>
                                </w:rPr>
                                <w:t xml:space="preserve">   </w:t>
                              </w:r>
                              <w:r>
                                <w:rPr>
                                  <w:b/>
                                  <w:szCs w:val="21"/>
                                </w:rPr>
                                <w:t>单位</w:t>
                              </w:r>
                              <w:r>
                                <w:rPr>
                                  <w:szCs w:val="21"/>
                                </w:rPr>
                                <w:t>：</w:t>
                              </w:r>
                              <w:r>
                                <w:rPr>
                                  <w:rFonts w:hint="eastAsia"/>
                                  <w:szCs w:val="21"/>
                                </w:rPr>
                                <w:t>m</w:t>
                              </w:r>
                              <w:r>
                                <w:rPr>
                                  <w:rFonts w:hint="eastAsia"/>
                                  <w:szCs w:val="21"/>
                                  <w:vertAlign w:val="superscript"/>
                                </w:rPr>
                                <w:t>3</w:t>
                              </w:r>
                              <w:r>
                                <w:rPr>
                                  <w:rFonts w:hint="eastAsia"/>
                                  <w:szCs w:val="21"/>
                                </w:rPr>
                                <w:t>/d</w:t>
                              </w:r>
                            </w:p>
                          </w:txbxContent>
                        </v:textbox>
                      </v:rect>
                      <v:shape id="AutoShape 177" o:spid="_x0000_s1026" o:spt="32" type="#_x0000_t32" style="position:absolute;left:2169013;top:481781;height:635;width:497205;" filled="f" stroked="t" coordsize="21600,21600" o:gfxdata="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f5KnXAAAABQEAAA8AAAAAAAAAAQAgAAAAIgAAAGRy&#10;cy9kb3ducmV2LnhtbFBLAQIUABQAAAAIAIdO4kA7B+/ABgIAAP4DAAAOAAAAAAAAAAEAIAAAACYB&#10;AABkcnMvZTJvRG9jLnhtbFBLBQYAAAAABgAGAFkBAACeBQAAAAA=&#10;">
                        <v:fill on="f" focussize="0,0"/>
                        <v:stroke color="#000000" joinstyle="round" endarrow="block"/>
                        <v:imagedata o:title=""/>
                        <o:lock v:ext="edit" aspectratio="f"/>
                      </v:shape>
                      <v:rect id="Rectangle 178" o:spid="_x0000_s1026" o:spt="1" style="position:absolute;left:1121263;top:347796;height:285750;width:1057275;" filled="f" stroked="t" coordsize="21600,21600" o:gfxdata="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hxkL/VAAAABQEAAA8AAAAAAAAAAQAgAAAAIgAA&#10;AGRycy9kb3ducmV2LnhtbFBLAQIUABQAAAAIAIdO4kAzbIEZRAIAAHwEAAAOAAAAAAAAAAEAIAAA&#10;ACQBAABkcnMvZTJvRG9jLnhtbFBLBQYAAAAABgAGAFkBAADaBQAAAAA=&#10;">
                        <v:fill on="f" focussize="0,0"/>
                        <v:stroke color="#000000" miterlimit="8" joinstyle="miter"/>
                        <v:imagedata o:title=""/>
                        <o:lock v:ext="edit" aspectratio="f"/>
                        <v:textbox>
                          <w:txbxContent>
                            <w:p>
                              <w:pPr>
                                <w:jc w:val="center"/>
                              </w:pPr>
                              <w:r>
                                <w:rPr>
                                  <w:rFonts w:hint="eastAsia"/>
                                </w:rPr>
                                <w:t>职工生活用水</w:t>
                              </w:r>
                            </w:p>
                          </w:txbxContent>
                        </v:textbox>
                      </v:rect>
                      <v:rect id="Rectangle 179" o:spid="_x0000_s1026" o:spt="1" style="position:absolute;left:1575923;top:36011;height:333375;width:773430;"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DA8zWAAAABQEAAA8AAAAAAAAA&#10;AQAgAAAAIgAAAGRycy9kb3ducmV2LnhtbFBLAQIUABQAAAAIAIdO4kApOVagEwIAACYEAAAOAAAA&#10;AAAAAAEAIAAAACUBAABkcnMvZTJvRG9jLnhtbFBLBQYAAAAABgAGAFkBAACqBQAAAAA=&#10;">
                        <v:fill on="f" focussize="0,0"/>
                        <v:stroke on="f"/>
                        <v:imagedata o:title=""/>
                        <o:lock v:ext="edit" aspectratio="f"/>
                        <v:textbox>
                          <w:txbxContent>
                            <w:p>
                              <w:r>
                                <w:t>损耗</w:t>
                              </w:r>
                              <w:r>
                                <w:rPr>
                                  <w:rFonts w:hint="eastAsia"/>
                                </w:rPr>
                                <w:t>0.03</w:t>
                              </w:r>
                            </w:p>
                          </w:txbxContent>
                        </v:textbox>
                      </v:rect>
                      <v:shape id="AutoShape 180" o:spid="_x0000_s1026" o:spt="38" type="#_x0000_t38" style="position:absolute;left:1372088;top:215081;flip:y;height:132715;width:297180;" filled="f" stroked="t" coordsize="21600,21600" o:gfxdata="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SkmbrWAAAABQEAAA8AAAAAAAAAAQAgAAAAIgAAAGRycy9kb3ducmV2LnhtbFBLAQIU&#10;ABQAAAAIAIdO4kB2Rz6XLgIAAE4EAAAOAAAAAAAAAAEAIAAAACUBAABkcnMvZTJvRG9jLnhtbFBL&#10;BQYAAAAABgAGAFkBAADFBQAAAAA=&#10;" adj="10800">
                        <v:fill on="f" focussize="0,0"/>
                        <v:stroke color="#000000" joinstyle="round" dashstyle="dash" endarrow="block"/>
                        <v:imagedata o:title=""/>
                        <o:lock v:ext="edit" aspectratio="f"/>
                      </v:shape>
                      <v:shape id="AutoShape 181" o:spid="_x0000_s1026" o:spt="32" type="#_x0000_t32" style="position:absolute;left:618343;top:490036;height:635;width:502920;" filled="f" stroked="t" coordsize="21600,21600" o:gfxdata="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H+Sp1wAAAAUBAAAPAAAAAAAAAAEA&#10;IAAAACIAAABkcnMvZG93bnJldi54bWxQSwECFAAUAAAACACHTuJAqYnS/BACAAAZBAAADgAAAAAA&#10;AAABACAAAAAmAQAAZHJzL2Uyb0RvYy54bWxQSwUGAAAAAAYABgBZAQAAqAUAAAAA&#10;">
                        <v:fill on="f" focussize="0,0"/>
                        <v:stroke color="#000000" joinstyle="round" endarrow="block"/>
                        <v:imagedata o:title=""/>
                        <o:lock v:ext="edit" aspectratio="f"/>
                      </v:shape>
                      <v:rect id="Rectangle 182" o:spid="_x0000_s1026" o:spt="1" style="position:absolute;left:2657963;top:347796;height:285750;width:781050;" filled="f" stroked="t" coordsize="21600,21600" o:gfxdata="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&#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hxkL/VAAAABQEAAA8AAAAAAAAAAQAgAAAAIgAAAGRy&#10;cy9kb3ducmV2LnhtbFBLAQIUABQAAAAIAIdO4kBtU3yPQQIAAHsEAAAOAAAAAAAAAAEAIAAAACQB&#10;AABkcnMvZTJvRG9jLnhtbFBLBQYAAAAABgAGAFkBAADXBQAAAAA=&#10;">
                        <v:fill on="f" focussize="0,0"/>
                        <v:stroke color="#000000" miterlimit="8" joinstyle="miter"/>
                        <v:imagedata o:title=""/>
                        <o:lock v:ext="edit" aspectratio="f"/>
                        <v:textbox>
                          <w:txbxContent>
                            <w:p>
                              <w:pPr>
                                <w:jc w:val="center"/>
                              </w:pPr>
                              <w:r>
                                <w:rPr>
                                  <w:rFonts w:hint="eastAsia"/>
                                </w:rPr>
                                <w:t>化粪池</w:t>
                              </w:r>
                            </w:p>
                          </w:txbxContent>
                        </v:textbox>
                      </v:rect>
                      <v:shape id="AutoShape 183" o:spid="_x0000_s1026" o:spt="32" type="#_x0000_t32" style="position:absolute;left:3439013;top:512950;height:635;width:497205;" filled="f" stroked="t" coordsize="21600,21600" o:gfxdata="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f5KnXAAAABQEAAA8AAAAAAAAAAQAgAAAAIgAAAGRy&#10;cy9kb3ducmV2LnhtbFBLAQIUABQAAAAIAIdO4kBznL/KBgIAAP4DAAAOAAAAAAAAAAEAIAAAACYB&#10;AABkcnMvZTJvRG9jLnhtbFBLBQYAAAAABgAGAFkBAACeBQAAAAA=&#10;">
                        <v:fill on="f" focussize="0,0"/>
                        <v:stroke color="#000000" joinstyle="round" endarrow="block"/>
                        <v:imagedata o:title=""/>
                        <o:lock v:ext="edit" aspectratio="f"/>
                      </v:shape>
                      <v:rect id="Rectangle 184" o:spid="_x0000_s1026" o:spt="1" style="position:absolute;left:3848838;top:345080;height:333375;width:1009650;"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DA8zWAAAABQEAAA8AAAAAAAAA&#10;AQAgAAAAIgAAAGRycy9kb3ducmV2LnhtbFBLAQIUABQAAAAIAIdO4kDbx71/EwIAACgEAAAOAAAA&#10;AAAAAAEAIAAAACUBAABkcnMvZTJvRG9jLnhtbFBLBQYAAAAABgAGAFkBAACqBQAAAAA=&#10;">
                        <v:fill on="f" focussize="0,0"/>
                        <v:stroke on="f"/>
                        <v:imagedata o:title=""/>
                        <o:lock v:ext="edit" aspectratio="f"/>
                        <v:textbox>
                          <w:txbxContent>
                            <w:p>
                              <w:pPr>
                                <w:jc w:val="center"/>
                              </w:pPr>
                              <w:r>
                                <w:rPr>
                                  <w:rFonts w:hint="eastAsia"/>
                                </w:rPr>
                                <w:t>周围农田施肥</w:t>
                              </w:r>
                            </w:p>
                          </w:txbxContent>
                        </v:textbox>
                      </v:rect>
                      <v:rect id="Rectangle 185" o:spid="_x0000_s1026" o:spt="1" style="position:absolute;left:419100;top:264613;height:574393;width:891933;"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AwPM1gAAAAUBAAAPAAAAAAAA&#10;AAEAIAAAACIAAABkcnMvZG93bnJldi54bWxQSwECFAAUAAAACACHTuJACxDvcRQCAAAmBAAADgAA&#10;AAAAAAABACAAAAAlAQAAZHJzL2Uyb0RvYy54bWxQSwUGAAAAAAYABgBZAQAAqwUAAAAA&#10;">
                        <v:fill on="f" focussize="0,0"/>
                        <v:stroke on="f"/>
                        <v:imagedata o:title=""/>
                        <o:lock v:ext="edit" aspectratio="f"/>
                        <v:textbox>
                          <w:txbxContent>
                            <w:p>
                              <w:pPr>
                                <w:jc w:val="center"/>
                              </w:pPr>
                              <w:r>
                                <w:rPr>
                                  <w:rFonts w:hint="eastAsia"/>
                                </w:rPr>
                                <w:t>0.15</w:t>
                              </w:r>
                            </w:p>
                            <w:p>
                              <w:pPr>
                                <w:pStyle w:val="2"/>
                                <w:ind w:left="0" w:leftChars="0" w:firstLine="0"/>
                                <w:jc w:val="center"/>
                              </w:pPr>
                              <w:r>
                                <w:rPr>
                                  <w:rFonts w:hint="eastAsia"/>
                                </w:rPr>
                                <w:t>新鲜水</w:t>
                              </w:r>
                            </w:p>
                          </w:txbxContent>
                        </v:textbox>
                      </v:rect>
                      <v:rect id="Rectangle 186" o:spid="_x0000_s1026" o:spt="1" style="position:absolute;left:2191873;top:264611;height:333375;width:554990;"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AwPM1gAAAAUBAAAPAAAAAAAA&#10;AAEAIAAAACIAAABkcnMvZG93bnJldi54bWxQSwECFAAUAAAACACHTuJAZ1FC5RQCAAAnBAAADgAA&#10;AAAAAAABACAAAAAlAQAAZHJzL2Uyb0RvYy54bWxQSwUGAAAAAAYABgBZAQAAqwUAAAAA&#10;">
                        <v:fill on="f" focussize="0,0"/>
                        <v:stroke on="f"/>
                        <v:imagedata o:title=""/>
                        <o:lock v:ext="edit" aspectratio="f"/>
                        <v:textbox>
                          <w:txbxContent>
                            <w:p>
                              <w:r>
                                <w:rPr>
                                  <w:rFonts w:hint="eastAsia"/>
                                </w:rPr>
                                <w:t>0.12</w:t>
                              </w:r>
                            </w:p>
                          </w:txbxContent>
                        </v:textbox>
                      </v:rect>
                      <v:rect id="Rectangle 186" o:spid="_x0000_s1026" o:spt="1" style="position:absolute;left:3436830;top:293240;height:333375;width:554990;" filled="f" stroked="f" coordsize="21600,21600" o:gfxdata="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DA8zWAAAABQEAAA8AAAAAAAAA&#10;AQAgAAAAIgAAAGRycy9kb3ducmV2LnhtbFBLAQIUABQAAAAIAIdO4kApZq8JEwIAACcEAAAOAAAA&#10;AAAAAAEAIAAAACUBAABkcnMvZTJvRG9jLnhtbFBLBQYAAAAABgAGAFkBAACqBQAAAAA=&#10;">
                        <v:fill on="f" focussize="0,0"/>
                        <v:stroke on="f"/>
                        <v:imagedata o:title=""/>
                        <o:lock v:ext="edit" aspectratio="f"/>
                        <v:textbox>
                          <w:txbxContent>
                            <w:p>
                              <w:r>
                                <w:rPr>
                                  <w:rFonts w:hint="eastAsia"/>
                                </w:rPr>
                                <w:t>0.12</w:t>
                              </w:r>
                            </w:p>
                          </w:txbxContent>
                        </v:textbox>
                      </v:rect>
                      <w10:wrap type="none"/>
                      <w10:anchorlock/>
                    </v:group>
                  </w:pict>
                </mc:Fallback>
              </mc:AlternateContent>
            </w:r>
          </w:p>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8、</w:t>
            </w:r>
            <w:r>
              <w:rPr>
                <w:rFonts w:eastAsiaTheme="minorEastAsia"/>
                <w:b/>
                <w:sz w:val="24"/>
                <w:szCs w:val="24"/>
              </w:rPr>
              <w:t>劳动定员及工作制度</w:t>
            </w:r>
          </w:p>
          <w:p>
            <w:pPr>
              <w:tabs>
                <w:tab w:val="left" w:pos="1081"/>
              </w:tabs>
              <w:adjustRightInd w:val="0"/>
              <w:snapToGrid w:val="0"/>
              <w:spacing w:line="360" w:lineRule="auto"/>
              <w:ind w:firstLine="480" w:firstLineChars="200"/>
              <w:jc w:val="left"/>
              <w:rPr>
                <w:rFonts w:hAnsi="宋体"/>
                <w:color w:val="000000"/>
                <w:sz w:val="24"/>
              </w:rPr>
            </w:pPr>
            <w:r>
              <w:rPr>
                <w:rFonts w:hint="eastAsia" w:hAnsi="宋体"/>
                <w:color w:val="000000"/>
                <w:sz w:val="24"/>
              </w:rPr>
              <w:t>本项目劳动定员3人，均不在厂区食宿，采用单班×8h/d工作制，年工作日200天。</w:t>
            </w:r>
          </w:p>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9、厂区</w:t>
            </w:r>
            <w:r>
              <w:rPr>
                <w:rFonts w:eastAsiaTheme="minorEastAsia"/>
                <w:b/>
                <w:sz w:val="24"/>
                <w:szCs w:val="24"/>
              </w:rPr>
              <w:t>平面布置</w:t>
            </w:r>
          </w:p>
          <w:p>
            <w:pPr>
              <w:tabs>
                <w:tab w:val="left" w:pos="1081"/>
              </w:tabs>
              <w:adjustRightInd w:val="0"/>
              <w:snapToGrid w:val="0"/>
              <w:spacing w:line="360" w:lineRule="auto"/>
              <w:ind w:firstLine="480" w:firstLineChars="200"/>
              <w:rPr>
                <w:sz w:val="24"/>
                <w:szCs w:val="24"/>
              </w:rPr>
            </w:pPr>
            <w:r>
              <w:rPr>
                <w:rFonts w:hint="eastAsia"/>
                <w:sz w:val="24"/>
                <w:szCs w:val="24"/>
              </w:rPr>
              <w:t>本项目位于新野县上港乡香桥村，占地面积1100m</w:t>
            </w:r>
            <w:r>
              <w:rPr>
                <w:rFonts w:hint="eastAsia"/>
                <w:sz w:val="24"/>
                <w:szCs w:val="24"/>
                <w:vertAlign w:val="superscript"/>
              </w:rPr>
              <w:t>2</w:t>
            </w:r>
            <w:r>
              <w:rPr>
                <w:rFonts w:hint="eastAsia"/>
                <w:sz w:val="24"/>
                <w:szCs w:val="24"/>
              </w:rPr>
              <w:t>，利用现有生产厂房建筑面积990m</w:t>
            </w:r>
            <w:r>
              <w:rPr>
                <w:rFonts w:hint="eastAsia"/>
                <w:sz w:val="24"/>
                <w:szCs w:val="24"/>
                <w:vertAlign w:val="superscript"/>
              </w:rPr>
              <w:t>2</w:t>
            </w:r>
            <w:r>
              <w:rPr>
                <w:rFonts w:hint="eastAsia"/>
                <w:sz w:val="24"/>
                <w:szCs w:val="24"/>
              </w:rPr>
              <w:t>，主要包含生产车间、仓库；仓库内主要包含原料库、成品库以及办公室。生产车间内布局紧凑，节约资源，可以满足产品生产工艺需求。总之，项目平面基本根据生产工艺需要进行布置，厂房内各区功能较为明确，从环保角度分析，本项目的平面布置是合理的。</w:t>
            </w:r>
            <w:r>
              <w:rPr>
                <w:sz w:val="24"/>
                <w:szCs w:val="24"/>
              </w:rPr>
              <w:t>项目厂区平面布置见附图。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06" w:type="dxa"/>
            <w:tcBorders>
              <w:tl2br w:val="nil"/>
              <w:tr2bl w:val="nil"/>
            </w:tcBorders>
            <w:vAlign w:val="center"/>
          </w:tcPr>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kern w:val="21"/>
                <w:szCs w:val="24"/>
              </w:rPr>
              <w:t>工艺流程和产排污环节</w:t>
            </w:r>
          </w:p>
        </w:tc>
        <w:tc>
          <w:tcPr>
            <w:tcW w:w="8555" w:type="dxa"/>
            <w:tcBorders>
              <w:tl2br w:val="nil"/>
              <w:tr2bl w:val="nil"/>
            </w:tcBorders>
          </w:tcPr>
          <w:p>
            <w:pPr>
              <w:tabs>
                <w:tab w:val="left" w:pos="1081"/>
              </w:tabs>
              <w:adjustRightInd w:val="0"/>
              <w:snapToGrid w:val="0"/>
              <w:spacing w:line="360" w:lineRule="auto"/>
              <w:jc w:val="left"/>
              <w:rPr>
                <w:rFonts w:eastAsiaTheme="minorEastAsia"/>
                <w:b/>
                <w:sz w:val="24"/>
                <w:szCs w:val="24"/>
              </w:rPr>
            </w:pPr>
            <w:r>
              <w:rPr>
                <w:rFonts w:hint="eastAsia" w:eastAsiaTheme="minorEastAsia"/>
                <w:b/>
                <w:sz w:val="24"/>
                <w:szCs w:val="24"/>
              </w:rPr>
              <w:t>营运期生产</w:t>
            </w:r>
            <w:r>
              <w:rPr>
                <w:rFonts w:eastAsiaTheme="minorEastAsia"/>
                <w:b/>
                <w:sz w:val="24"/>
                <w:szCs w:val="24"/>
              </w:rPr>
              <w:t>工艺流程及产排污环节</w:t>
            </w:r>
            <w:r>
              <w:rPr>
                <w:rFonts w:hint="eastAsia" w:eastAsiaTheme="minorEastAsia"/>
                <w:b/>
                <w:sz w:val="24"/>
                <w:szCs w:val="24"/>
              </w:rPr>
              <w:t>：</w:t>
            </w:r>
          </w:p>
          <w:p>
            <w:pPr>
              <w:tabs>
                <w:tab w:val="left" w:pos="1081"/>
              </w:tabs>
              <w:adjustRightInd w:val="0"/>
              <w:snapToGrid w:val="0"/>
              <w:spacing w:line="360" w:lineRule="auto"/>
              <w:ind w:firstLine="480" w:firstLineChars="200"/>
              <w:jc w:val="left"/>
              <w:rPr>
                <w:sz w:val="24"/>
                <w:szCs w:val="24"/>
              </w:rPr>
            </w:pPr>
            <w:r>
              <w:rPr>
                <w:rFonts w:hint="eastAsia"/>
                <w:sz w:val="24"/>
                <w:szCs w:val="24"/>
              </w:rPr>
              <w:t>本项目拟建贴面板生产线</w:t>
            </w:r>
            <w:r>
              <w:rPr>
                <w:rFonts w:hint="eastAsia"/>
                <w:color w:val="000000"/>
                <w:sz w:val="24"/>
              </w:rPr>
              <w:t>1条</w:t>
            </w:r>
            <w:r>
              <w:rPr>
                <w:rFonts w:hint="eastAsia"/>
                <w:sz w:val="24"/>
                <w:szCs w:val="24"/>
              </w:rPr>
              <w:t>，具体生产工艺流程及产污环节见下图。</w:t>
            </w:r>
          </w:p>
          <w:p>
            <w:pPr>
              <w:jc w:val="center"/>
            </w:pPr>
            <w:r>
              <w:rPr>
                <w:kern w:val="52"/>
                <w:sz w:val="24"/>
              </w:rPr>
              <mc:AlternateContent>
                <mc:Choice Requires="wpc">
                  <w:drawing>
                    <wp:inline distT="0" distB="0" distL="0" distR="0">
                      <wp:extent cx="4738370" cy="3315335"/>
                      <wp:effectExtent l="0" t="0" r="0" b="0"/>
                      <wp:docPr id="67" name="画布 67"/>
                      <wp:cNvGraphicFramePr/>
                      <a:graphic xmlns:a="http://schemas.openxmlformats.org/drawingml/2006/main">
                        <a:graphicData uri="http://schemas.microsoft.com/office/word/2010/wordprocessingCanvas">
                          <wpc:wpc>
                            <wpc:bg>
                              <a:noFill/>
                            </wpc:bg>
                            <wpc:whole/>
                            <wps:wsp>
                              <wps:cNvPr id="39" name="Rectangle 828"/>
                              <wps:cNvSpPr>
                                <a:spLocks noChangeArrowheads="1"/>
                              </wps:cNvSpPr>
                              <wps:spPr bwMode="auto">
                                <a:xfrm>
                                  <a:off x="2726339" y="594544"/>
                                  <a:ext cx="504825" cy="311785"/>
                                </a:xfrm>
                                <a:prstGeom prst="rect">
                                  <a:avLst/>
                                </a:prstGeom>
                                <a:noFill/>
                                <a:ln w="9525">
                                  <a:solidFill>
                                    <a:srgbClr val="000000"/>
                                  </a:solidFill>
                                  <a:miter lim="800000"/>
                                </a:ln>
                              </wps:spPr>
                              <wps:txbx>
                                <w:txbxContent>
                                  <w:p>
                                    <w:pPr>
                                      <w:jc w:val="center"/>
                                    </w:pPr>
                                    <w:r>
                                      <w:rPr>
                                        <w:rFonts w:hint="eastAsia"/>
                                      </w:rPr>
                                      <w:t>覆面</w:t>
                                    </w:r>
                                  </w:p>
                                </w:txbxContent>
                              </wps:txbx>
                              <wps:bodyPr rot="0" vert="horz" wrap="square" lIns="91440" tIns="45720" rIns="91440" bIns="45720" anchor="t" anchorCtr="0" upright="1">
                                <a:noAutofit/>
                              </wps:bodyPr>
                            </wps:wsp>
                            <wps:wsp>
                              <wps:cNvPr id="40" name="AutoShape 780"/>
                              <wps:cNvCnPr/>
                              <wps:spPr bwMode="auto">
                                <a:xfrm>
                                  <a:off x="2987020" y="289764"/>
                                  <a:ext cx="635" cy="304800"/>
                                </a:xfrm>
                                <a:prstGeom prst="straightConnector1">
                                  <a:avLst/>
                                </a:prstGeom>
                                <a:noFill/>
                                <a:ln w="9525">
                                  <a:solidFill>
                                    <a:srgbClr val="000000"/>
                                  </a:solidFill>
                                  <a:round/>
                                  <a:tailEnd type="triangle" w="med" len="med"/>
                                </a:ln>
                              </wps:spPr>
                              <wps:bodyPr/>
                            </wps:wsp>
                            <wps:wsp>
                              <wps:cNvPr id="42" name="Rectangle 972"/>
                              <wps:cNvSpPr>
                                <a:spLocks noChangeArrowheads="1"/>
                              </wps:cNvSpPr>
                              <wps:spPr bwMode="auto">
                                <a:xfrm>
                                  <a:off x="2704297" y="1214011"/>
                                  <a:ext cx="552450" cy="311785"/>
                                </a:xfrm>
                                <a:prstGeom prst="rect">
                                  <a:avLst/>
                                </a:prstGeom>
                                <a:noFill/>
                                <a:ln w="9525">
                                  <a:solidFill>
                                    <a:srgbClr val="000000"/>
                                  </a:solidFill>
                                  <a:miter lim="800000"/>
                                </a:ln>
                              </wps:spPr>
                              <wps:txbx>
                                <w:txbxContent>
                                  <w:p>
                                    <w:pPr>
                                      <w:jc w:val="center"/>
                                    </w:pPr>
                                    <w:r>
                                      <w:rPr>
                                        <w:rFonts w:hint="eastAsia"/>
                                      </w:rPr>
                                      <w:t>热压</w:t>
                                    </w:r>
                                  </w:p>
                                </w:txbxContent>
                              </wps:txbx>
                              <wps:bodyPr rot="0" vert="horz" wrap="square" lIns="91440" tIns="45720" rIns="91440" bIns="45720" anchor="t" anchorCtr="0" upright="1">
                                <a:noAutofit/>
                              </wps:bodyPr>
                            </wps:wsp>
                            <wps:wsp>
                              <wps:cNvPr id="43" name="AutoShape 973"/>
                              <wps:cNvCnPr>
                                <a:cxnSpLocks noChangeShapeType="1"/>
                              </wps:cNvCnPr>
                              <wps:spPr bwMode="auto">
                                <a:xfrm>
                                  <a:off x="2978434" y="2142039"/>
                                  <a:ext cx="635" cy="304800"/>
                                </a:xfrm>
                                <a:prstGeom prst="straightConnector1">
                                  <a:avLst/>
                                </a:prstGeom>
                                <a:noFill/>
                                <a:ln w="9525">
                                  <a:solidFill>
                                    <a:srgbClr val="000000"/>
                                  </a:solidFill>
                                  <a:round/>
                                  <a:tailEnd type="triangle" w="med" len="med"/>
                                </a:ln>
                              </wps:spPr>
                              <wps:bodyPr/>
                            </wps:wsp>
                            <wps:wsp>
                              <wps:cNvPr id="49" name="Rectangle 1111"/>
                              <wps:cNvSpPr>
                                <a:spLocks noChangeArrowheads="1"/>
                              </wps:cNvSpPr>
                              <wps:spPr bwMode="auto">
                                <a:xfrm>
                                  <a:off x="3467382" y="1228731"/>
                                  <a:ext cx="805180" cy="311785"/>
                                </a:xfrm>
                                <a:prstGeom prst="rect">
                                  <a:avLst/>
                                </a:prstGeom>
                                <a:noFill/>
                                <a:ln>
                                  <a:noFill/>
                                </a:ln>
                              </wps:spPr>
                              <wps:txbx>
                                <w:txbxContent>
                                  <w:p>
                                    <w:pPr>
                                      <w:jc w:val="center"/>
                                      <w:rPr>
                                        <w:szCs w:val="21"/>
                                      </w:rPr>
                                    </w:pPr>
                                    <w:r>
                                      <w:rPr>
                                        <w:rFonts w:hint="eastAsia"/>
                                        <w:szCs w:val="21"/>
                                      </w:rPr>
                                      <w:t>废气、噪声</w:t>
                                    </w:r>
                                  </w:p>
                                </w:txbxContent>
                              </wps:txbx>
                              <wps:bodyPr rot="0" vert="horz" wrap="square" lIns="91440" tIns="45720" rIns="91440" bIns="45720" anchor="t" anchorCtr="0" upright="1">
                                <a:noAutofit/>
                              </wps:bodyPr>
                            </wps:wsp>
                            <wps:wsp>
                              <wps:cNvPr id="53" name="Rectangle 980"/>
                              <wps:cNvSpPr>
                                <a:spLocks noChangeArrowheads="1"/>
                              </wps:cNvSpPr>
                              <wps:spPr bwMode="auto">
                                <a:xfrm>
                                  <a:off x="2717308" y="3007733"/>
                                  <a:ext cx="568325" cy="311785"/>
                                </a:xfrm>
                                <a:prstGeom prst="rect">
                                  <a:avLst/>
                                </a:prstGeom>
                                <a:noFill/>
                                <a:ln>
                                  <a:noFill/>
                                </a:ln>
                              </wps:spPr>
                              <wps:txbx>
                                <w:txbxContent>
                                  <w:p>
                                    <w:pPr>
                                      <w:jc w:val="center"/>
                                    </w:pPr>
                                    <w:r>
                                      <w:rPr>
                                        <w:rFonts w:hint="eastAsia"/>
                                      </w:rPr>
                                      <w:t>成品</w:t>
                                    </w:r>
                                  </w:p>
                                </w:txbxContent>
                              </wps:txbx>
                              <wps:bodyPr rot="0" vert="horz" wrap="square" lIns="91440" tIns="45720" rIns="91440" bIns="45720" anchor="t" anchorCtr="0" upright="1">
                                <a:noAutofit/>
                              </wps:bodyPr>
                            </wps:wsp>
                            <wps:wsp>
                              <wps:cNvPr id="54" name="Rectangle 1085"/>
                              <wps:cNvSpPr>
                                <a:spLocks noChangeArrowheads="1"/>
                              </wps:cNvSpPr>
                              <wps:spPr bwMode="auto">
                                <a:xfrm>
                                  <a:off x="2626241" y="36004"/>
                                  <a:ext cx="738273" cy="330835"/>
                                </a:xfrm>
                                <a:prstGeom prst="rect">
                                  <a:avLst/>
                                </a:prstGeom>
                                <a:noFill/>
                                <a:ln>
                                  <a:noFill/>
                                </a:ln>
                              </wps:spPr>
                              <wps:txbx>
                                <w:txbxContent>
                                  <w:p>
                                    <w:pPr>
                                      <w:jc w:val="center"/>
                                      <w:rPr>
                                        <w:szCs w:val="21"/>
                                      </w:rPr>
                                    </w:pPr>
                                    <w:r>
                                      <w:rPr>
                                        <w:rFonts w:hint="eastAsia"/>
                                        <w:szCs w:val="21"/>
                                      </w:rPr>
                                      <w:t>密度板</w:t>
                                    </w:r>
                                  </w:p>
                                  <w:p>
                                    <w:pPr>
                                      <w:jc w:val="center"/>
                                      <w:rPr>
                                        <w:szCs w:val="21"/>
                                      </w:rPr>
                                    </w:pPr>
                                  </w:p>
                                </w:txbxContent>
                              </wps:txbx>
                              <wps:bodyPr rot="0" vert="horz" wrap="square" lIns="91440" tIns="45720" rIns="91440" bIns="45720" anchor="t" anchorCtr="0" upright="1">
                                <a:noAutofit/>
                              </wps:bodyPr>
                            </wps:wsp>
                            <wps:wsp>
                              <wps:cNvPr id="55" name="AutoShape 21"/>
                              <wps:cNvCnPr>
                                <a:cxnSpLocks noChangeShapeType="1"/>
                              </wps:cNvCnPr>
                              <wps:spPr bwMode="auto">
                                <a:xfrm>
                                  <a:off x="3253309" y="1371784"/>
                                  <a:ext cx="291465" cy="1905"/>
                                </a:xfrm>
                                <a:prstGeom prst="straightConnector1">
                                  <a:avLst/>
                                </a:prstGeom>
                                <a:noFill/>
                                <a:ln w="9525">
                                  <a:solidFill>
                                    <a:srgbClr val="000000"/>
                                  </a:solidFill>
                                  <a:prstDash val="dash"/>
                                  <a:round/>
                                  <a:tailEnd type="triangle" w="med" len="med"/>
                                </a:ln>
                              </wps:spPr>
                              <wps:bodyPr/>
                            </wps:wsp>
                            <wps:wsp>
                              <wps:cNvPr id="56" name="AutoShape 22"/>
                              <wps:cNvCnPr>
                                <a:cxnSpLocks noChangeShapeType="1"/>
                              </wps:cNvCnPr>
                              <wps:spPr bwMode="auto">
                                <a:xfrm>
                                  <a:off x="3271332" y="2606897"/>
                                  <a:ext cx="291465" cy="1905"/>
                                </a:xfrm>
                                <a:prstGeom prst="straightConnector1">
                                  <a:avLst/>
                                </a:prstGeom>
                                <a:noFill/>
                                <a:ln w="9525">
                                  <a:solidFill>
                                    <a:srgbClr val="000000"/>
                                  </a:solidFill>
                                  <a:prstDash val="dash"/>
                                  <a:round/>
                                  <a:tailEnd type="triangle" w="med" len="med"/>
                                </a:ln>
                              </wps:spPr>
                              <wps:bodyPr/>
                            </wps:wsp>
                            <wps:wsp>
                              <wps:cNvPr id="57" name="Rectangle 1111"/>
                              <wps:cNvSpPr>
                                <a:spLocks noChangeArrowheads="1"/>
                              </wps:cNvSpPr>
                              <wps:spPr bwMode="auto">
                                <a:xfrm>
                                  <a:off x="3467382" y="2470695"/>
                                  <a:ext cx="749131" cy="311785"/>
                                </a:xfrm>
                                <a:prstGeom prst="rect">
                                  <a:avLst/>
                                </a:prstGeom>
                                <a:noFill/>
                                <a:ln>
                                  <a:noFill/>
                                </a:ln>
                              </wps:spPr>
                              <wps:txbx>
                                <w:txbxContent>
                                  <w:p>
                                    <w:pPr>
                                      <w:jc w:val="center"/>
                                      <w:rPr>
                                        <w:szCs w:val="21"/>
                                      </w:rPr>
                                    </w:pPr>
                                    <w:r>
                                      <w:rPr>
                                        <w:rFonts w:hint="eastAsia"/>
                                        <w:szCs w:val="21"/>
                                      </w:rPr>
                                      <w:t>不合格品</w:t>
                                    </w:r>
                                  </w:p>
                                </w:txbxContent>
                              </wps:txbx>
                              <wps:bodyPr rot="0" vert="horz" wrap="square" lIns="91440" tIns="45720" rIns="91440" bIns="45720" anchor="t" anchorCtr="0" upright="1">
                                <a:noAutofit/>
                              </wps:bodyPr>
                            </wps:wsp>
                            <wps:wsp>
                              <wps:cNvPr id="64" name="AutoShape 29"/>
                              <wps:cNvCnPr>
                                <a:cxnSpLocks noChangeShapeType="1"/>
                              </wps:cNvCnPr>
                              <wps:spPr bwMode="auto">
                                <a:xfrm>
                                  <a:off x="2026926" y="1533134"/>
                                  <a:ext cx="0" cy="247806"/>
                                </a:xfrm>
                                <a:prstGeom prst="straightConnector1">
                                  <a:avLst/>
                                </a:prstGeom>
                                <a:noFill/>
                                <a:ln w="9525">
                                  <a:solidFill>
                                    <a:srgbClr val="000000"/>
                                  </a:solidFill>
                                  <a:prstDash val="dash"/>
                                  <a:round/>
                                  <a:tailEnd type="triangle" w="med" len="med"/>
                                </a:ln>
                              </wps:spPr>
                              <wps:bodyPr/>
                            </wps:wsp>
                            <wps:wsp>
                              <wps:cNvPr id="214" name="Rectangle 972"/>
                              <wps:cNvSpPr>
                                <a:spLocks noChangeArrowheads="1"/>
                              </wps:cNvSpPr>
                              <wps:spPr bwMode="auto">
                                <a:xfrm>
                                  <a:off x="2710084" y="2438851"/>
                                  <a:ext cx="552450" cy="311785"/>
                                </a:xfrm>
                                <a:prstGeom prst="rect">
                                  <a:avLst/>
                                </a:prstGeom>
                                <a:noFill/>
                                <a:ln w="9525">
                                  <a:solidFill>
                                    <a:srgbClr val="000000"/>
                                  </a:solidFill>
                                  <a:miter lim="800000"/>
                                </a:ln>
                              </wps:spPr>
                              <wps:txbx>
                                <w:txbxContent>
                                  <w:p>
                                    <w:pPr>
                                      <w:jc w:val="center"/>
                                    </w:pPr>
                                    <w:r>
                                      <w:rPr>
                                        <w:rFonts w:hint="eastAsia"/>
                                      </w:rPr>
                                      <w:t>检验</w:t>
                                    </w:r>
                                  </w:p>
                                </w:txbxContent>
                              </wps:txbx>
                              <wps:bodyPr rot="0" vert="horz" wrap="square" lIns="91440" tIns="45720" rIns="91440" bIns="45720" anchor="t" anchorCtr="0" upright="1">
                                <a:noAutofit/>
                              </wps:bodyPr>
                            </wps:wsp>
                            <wps:wsp>
                              <wps:cNvPr id="215" name="AutoShape 973"/>
                              <wps:cNvCnPr>
                                <a:cxnSpLocks noChangeShapeType="1"/>
                              </wps:cNvCnPr>
                              <wps:spPr bwMode="auto">
                                <a:xfrm>
                                  <a:off x="2987020" y="2750601"/>
                                  <a:ext cx="635" cy="304800"/>
                                </a:xfrm>
                                <a:prstGeom prst="straightConnector1">
                                  <a:avLst/>
                                </a:prstGeom>
                                <a:noFill/>
                                <a:ln w="9525">
                                  <a:solidFill>
                                    <a:srgbClr val="000000"/>
                                  </a:solidFill>
                                  <a:round/>
                                  <a:tailEnd type="triangle" w="med" len="med"/>
                                </a:ln>
                              </wps:spPr>
                              <wps:bodyPr/>
                            </wps:wsp>
                            <wps:wsp>
                              <wps:cNvPr id="292" name="AutoShape 780"/>
                              <wps:cNvCnPr/>
                              <wps:spPr bwMode="auto">
                                <a:xfrm>
                                  <a:off x="2977164" y="908830"/>
                                  <a:ext cx="635" cy="304800"/>
                                </a:xfrm>
                                <a:prstGeom prst="straightConnector1">
                                  <a:avLst/>
                                </a:prstGeom>
                                <a:noFill/>
                                <a:ln w="9525">
                                  <a:solidFill>
                                    <a:srgbClr val="000000"/>
                                  </a:solidFill>
                                  <a:round/>
                                  <a:tailEnd type="triangle" w="med" len="med"/>
                                </a:ln>
                              </wps:spPr>
                              <wps:bodyPr/>
                            </wps:wsp>
                            <wps:wsp>
                              <wps:cNvPr id="293" name="AutoShape 780"/>
                              <wps:cNvCnPr/>
                              <wps:spPr bwMode="auto">
                                <a:xfrm>
                                  <a:off x="2373009" y="747244"/>
                                  <a:ext cx="369350" cy="2501"/>
                                </a:xfrm>
                                <a:prstGeom prst="straightConnector1">
                                  <a:avLst/>
                                </a:prstGeom>
                                <a:noFill/>
                                <a:ln w="9525">
                                  <a:solidFill>
                                    <a:srgbClr val="000000"/>
                                  </a:solidFill>
                                  <a:round/>
                                  <a:tailEnd type="triangle" w="med" len="med"/>
                                </a:ln>
                              </wps:spPr>
                              <wps:bodyPr/>
                            </wps:wsp>
                            <wps:wsp>
                              <wps:cNvPr id="294" name="Rectangle 1085"/>
                              <wps:cNvSpPr>
                                <a:spLocks noChangeArrowheads="1"/>
                              </wps:cNvSpPr>
                              <wps:spPr bwMode="auto">
                                <a:xfrm>
                                  <a:off x="1580471" y="606742"/>
                                  <a:ext cx="882466" cy="330835"/>
                                </a:xfrm>
                                <a:prstGeom prst="rect">
                                  <a:avLst/>
                                </a:prstGeom>
                                <a:noFill/>
                                <a:ln>
                                  <a:noFill/>
                                </a:ln>
                              </wps:spPr>
                              <wps:txbx>
                                <w:txbxContent>
                                  <w:p>
                                    <w:pPr>
                                      <w:jc w:val="center"/>
                                      <w:rPr>
                                        <w:szCs w:val="21"/>
                                      </w:rPr>
                                    </w:pPr>
                                    <w:r>
                                      <w:rPr>
                                        <w:rFonts w:hint="eastAsia"/>
                                        <w:szCs w:val="21"/>
                                      </w:rPr>
                                      <w:t>三聚氰胺纸</w:t>
                                    </w:r>
                                  </w:p>
                                  <w:p>
                                    <w:pPr>
                                      <w:jc w:val="center"/>
                                      <w:rPr>
                                        <w:szCs w:val="21"/>
                                      </w:rPr>
                                    </w:pPr>
                                  </w:p>
                                </w:txbxContent>
                              </wps:txbx>
                              <wps:bodyPr rot="0" vert="horz" wrap="square" lIns="91440" tIns="45720" rIns="91440" bIns="45720" anchor="t" anchorCtr="0" upright="1">
                                <a:noAutofit/>
                              </wps:bodyPr>
                            </wps:wsp>
                            <wps:wsp>
                              <wps:cNvPr id="295" name="AutoShape 780"/>
                              <wps:cNvCnPr/>
                              <wps:spPr bwMode="auto">
                                <a:xfrm>
                                  <a:off x="2975483" y="1527393"/>
                                  <a:ext cx="635" cy="304800"/>
                                </a:xfrm>
                                <a:prstGeom prst="straightConnector1">
                                  <a:avLst/>
                                </a:prstGeom>
                                <a:noFill/>
                                <a:ln w="9525">
                                  <a:solidFill>
                                    <a:srgbClr val="000000"/>
                                  </a:solidFill>
                                  <a:round/>
                                  <a:tailEnd type="triangle" w="med" len="med"/>
                                </a:ln>
                              </wps:spPr>
                              <wps:bodyPr/>
                            </wps:wsp>
                            <wps:wsp>
                              <wps:cNvPr id="296" name="Rectangle 972"/>
                              <wps:cNvSpPr>
                                <a:spLocks noChangeArrowheads="1"/>
                              </wps:cNvSpPr>
                              <wps:spPr bwMode="auto">
                                <a:xfrm>
                                  <a:off x="2712248" y="1825210"/>
                                  <a:ext cx="552450" cy="311785"/>
                                </a:xfrm>
                                <a:prstGeom prst="rect">
                                  <a:avLst/>
                                </a:prstGeom>
                                <a:noFill/>
                                <a:ln w="9525">
                                  <a:solidFill>
                                    <a:srgbClr val="000000"/>
                                  </a:solidFill>
                                  <a:miter lim="800000"/>
                                </a:ln>
                              </wps:spPr>
                              <wps:txbx>
                                <w:txbxContent>
                                  <w:p>
                                    <w:pPr>
                                      <w:jc w:val="center"/>
                                    </w:pPr>
                                    <w:r>
                                      <w:rPr>
                                        <w:rFonts w:hint="eastAsia"/>
                                      </w:rPr>
                                      <w:t>修整</w:t>
                                    </w:r>
                                  </w:p>
                                </w:txbxContent>
                              </wps:txbx>
                              <wps:bodyPr rot="0" vert="horz" wrap="square" lIns="91440" tIns="45720" rIns="91440" bIns="45720" anchor="t" anchorCtr="0" upright="1">
                                <a:noAutofit/>
                              </wps:bodyPr>
                            </wps:wsp>
                            <wps:wsp>
                              <wps:cNvPr id="297" name="AutoShape 22"/>
                              <wps:cNvCnPr>
                                <a:cxnSpLocks noChangeShapeType="1"/>
                              </wps:cNvCnPr>
                              <wps:spPr bwMode="auto">
                                <a:xfrm>
                                  <a:off x="3271332" y="1985306"/>
                                  <a:ext cx="291465" cy="1905"/>
                                </a:xfrm>
                                <a:prstGeom prst="straightConnector1">
                                  <a:avLst/>
                                </a:prstGeom>
                                <a:noFill/>
                                <a:ln w="9525">
                                  <a:solidFill>
                                    <a:srgbClr val="000000"/>
                                  </a:solidFill>
                                  <a:prstDash val="dash"/>
                                  <a:round/>
                                  <a:tailEnd type="triangle" w="med" len="med"/>
                                </a:ln>
                              </wps:spPr>
                              <wps:bodyPr/>
                            </wps:wsp>
                            <wps:wsp>
                              <wps:cNvPr id="298" name="Rectangle 1111"/>
                              <wps:cNvSpPr>
                                <a:spLocks noChangeArrowheads="1"/>
                              </wps:cNvSpPr>
                              <wps:spPr bwMode="auto">
                                <a:xfrm>
                                  <a:off x="3467383" y="1832154"/>
                                  <a:ext cx="502640" cy="311785"/>
                                </a:xfrm>
                                <a:prstGeom prst="rect">
                                  <a:avLst/>
                                </a:prstGeom>
                                <a:noFill/>
                                <a:ln>
                                  <a:noFill/>
                                </a:ln>
                              </wps:spPr>
                              <wps:txbx>
                                <w:txbxContent>
                                  <w:p>
                                    <w:pPr>
                                      <w:jc w:val="center"/>
                                      <w:rPr>
                                        <w:szCs w:val="21"/>
                                      </w:rPr>
                                    </w:pPr>
                                    <w:r>
                                      <w:rPr>
                                        <w:rFonts w:hint="eastAsia"/>
                                        <w:szCs w:val="21"/>
                                      </w:rPr>
                                      <w:t>固废</w:t>
                                    </w:r>
                                  </w:p>
                                </w:txbxContent>
                              </wps:txbx>
                              <wps:bodyPr rot="0" vert="horz" wrap="square" lIns="91440" tIns="45720" rIns="91440" bIns="45720" anchor="t" anchorCtr="0" upright="1">
                                <a:noAutofit/>
                              </wps:bodyPr>
                            </wps:wsp>
                            <wps:wsp>
                              <wps:cNvPr id="299" name="AutoShape 780"/>
                              <wps:cNvCnPr/>
                              <wps:spPr bwMode="auto">
                                <a:xfrm>
                                  <a:off x="2334947" y="1373650"/>
                                  <a:ext cx="369350" cy="2501"/>
                                </a:xfrm>
                                <a:prstGeom prst="straightConnector1">
                                  <a:avLst/>
                                </a:prstGeom>
                                <a:noFill/>
                                <a:ln w="9525">
                                  <a:solidFill>
                                    <a:srgbClr val="000000"/>
                                  </a:solidFill>
                                  <a:round/>
                                  <a:tailEnd type="triangle" w="med" len="med"/>
                                </a:ln>
                              </wps:spPr>
                              <wps:bodyPr/>
                            </wps:wsp>
                            <wps:wsp>
                              <wps:cNvPr id="300" name="Rectangle 1102"/>
                              <wps:cNvSpPr>
                                <a:spLocks noChangeArrowheads="1"/>
                              </wps:cNvSpPr>
                              <wps:spPr bwMode="auto">
                                <a:xfrm>
                                  <a:off x="1719803" y="1231795"/>
                                  <a:ext cx="613547" cy="304800"/>
                                </a:xfrm>
                                <a:prstGeom prst="rect">
                                  <a:avLst/>
                                </a:prstGeom>
                                <a:noFill/>
                                <a:ln w="9525">
                                  <a:solidFill>
                                    <a:schemeClr val="tx1">
                                      <a:lumMod val="100000"/>
                                      <a:lumOff val="0"/>
                                    </a:schemeClr>
                                  </a:solidFill>
                                  <a:miter lim="800000"/>
                                </a:ln>
                              </wps:spPr>
                              <wps:txbx>
                                <w:txbxContent>
                                  <w:p>
                                    <w:pPr>
                                      <w:jc w:val="center"/>
                                    </w:pPr>
                                    <w:r>
                                      <w:rPr>
                                        <w:rFonts w:hint="eastAsia"/>
                                      </w:rPr>
                                      <w:t>模温机</w:t>
                                    </w:r>
                                  </w:p>
                                </w:txbxContent>
                              </wps:txbx>
                              <wps:bodyPr rot="0" vert="horz" wrap="square" lIns="91440" tIns="45720" rIns="91440" bIns="45720" anchor="t" anchorCtr="0" upright="1">
                                <a:noAutofit/>
                              </wps:bodyPr>
                            </wps:wsp>
                            <wps:wsp>
                              <wps:cNvPr id="301" name="AutoShape 780"/>
                              <wps:cNvCnPr/>
                              <wps:spPr bwMode="auto">
                                <a:xfrm>
                                  <a:off x="1350453" y="1400004"/>
                                  <a:ext cx="369350" cy="2501"/>
                                </a:xfrm>
                                <a:prstGeom prst="straightConnector1">
                                  <a:avLst/>
                                </a:prstGeom>
                                <a:noFill/>
                                <a:ln w="9525">
                                  <a:solidFill>
                                    <a:srgbClr val="000000"/>
                                  </a:solidFill>
                                  <a:round/>
                                  <a:tailEnd type="triangle" w="med" len="med"/>
                                </a:ln>
                              </wps:spPr>
                              <wps:bodyPr/>
                            </wps:wsp>
                            <wps:wsp>
                              <wps:cNvPr id="302" name="Rectangle 1111"/>
                              <wps:cNvSpPr>
                                <a:spLocks noChangeArrowheads="1"/>
                              </wps:cNvSpPr>
                              <wps:spPr bwMode="auto">
                                <a:xfrm>
                                  <a:off x="549796" y="1253010"/>
                                  <a:ext cx="875301" cy="311785"/>
                                </a:xfrm>
                                <a:prstGeom prst="rect">
                                  <a:avLst/>
                                </a:prstGeom>
                                <a:noFill/>
                                <a:ln>
                                  <a:noFill/>
                                </a:ln>
                              </wps:spPr>
                              <wps:txbx>
                                <w:txbxContent>
                                  <w:p>
                                    <w:pPr>
                                      <w:jc w:val="center"/>
                                      <w:rPr>
                                        <w:szCs w:val="21"/>
                                      </w:rPr>
                                    </w:pPr>
                                    <w:r>
                                      <w:rPr>
                                        <w:rFonts w:hint="eastAsia"/>
                                        <w:szCs w:val="21"/>
                                      </w:rPr>
                                      <w:t>液化石油气</w:t>
                                    </w:r>
                                  </w:p>
                                </w:txbxContent>
                              </wps:txbx>
                              <wps:bodyPr rot="0" vert="horz" wrap="square" lIns="91440" tIns="45720" rIns="91440" bIns="45720" anchor="t" anchorCtr="0" upright="1">
                                <a:noAutofit/>
                              </wps:bodyPr>
                            </wps:wsp>
                            <wps:wsp>
                              <wps:cNvPr id="303" name="Rectangle 1111"/>
                              <wps:cNvSpPr>
                                <a:spLocks noChangeArrowheads="1"/>
                              </wps:cNvSpPr>
                              <wps:spPr bwMode="auto">
                                <a:xfrm>
                                  <a:off x="1756652" y="1729851"/>
                                  <a:ext cx="513089" cy="311785"/>
                                </a:xfrm>
                                <a:prstGeom prst="rect">
                                  <a:avLst/>
                                </a:prstGeom>
                                <a:noFill/>
                                <a:ln>
                                  <a:noFill/>
                                </a:ln>
                              </wps:spPr>
                              <wps:txbx>
                                <w:txbxContent>
                                  <w:p>
                                    <w:pPr>
                                      <w:jc w:val="center"/>
                                      <w:rPr>
                                        <w:szCs w:val="21"/>
                                      </w:rPr>
                                    </w:pPr>
                                    <w:r>
                                      <w:rPr>
                                        <w:rFonts w:hint="eastAsia"/>
                                        <w:szCs w:val="21"/>
                                      </w:rPr>
                                      <w:t>废气</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61.05pt;width:373.1pt;" coordsize="4738370,3315335" editas="canvas"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">
                      <o:lock v:ext="edit" aspectratio="f"/>
                      <v:shape id="_x0000_s1026" o:spid="_x0000_s1026" style="position:absolute;left:0;top:0;height:3315335;width:4738370;"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BA5ozg1wAAAAUB&#10;AAAPAAAAAAAAAAEAIAAAACIAAABkcnMvZG93bnJldi54bWxQSwECFAAUAAAACACHTuJAtytvhFcG&#10;AAAlOQAADgAAAAAAAAABACAAAAAmAQAAZHJzL2Uyb0RvYy54bWxQSwUGAAAAAAYABgBZAQAA7wkA&#10;AAAA&#10;">
                        <v:fill on="f" focussize="0,0"/>
                        <v:stroke on="f"/>
                        <v:imagedata o:title=""/>
                        <o:lock v:ext="edit" aspectratio="f"/>
                      </v:shape>
                      <v:rect id="Rectangle 828" o:spid="_x0000_s1026" o:spt="1" style="position:absolute;left:2726339;top:594544;height:311785;width:504825;" filled="f" stroked="t" coordsize="21600,21600" o:gfxdata="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lB+T1QAAAAUBAAAPAAAAAAAAAAEAIAAAACIAAABkcnMvZG93bnJldi54&#10;bWxQSwECFAAUAAAACACHTuJAFK/UdDYCAABhBAAADgAAAAAAAAABACAAAAAkAQAAZHJzL2Uyb0Rv&#10;Yy54bWxQSwUGAAAAAAYABgBZAQAAzAUAAAAA&#10;">
                        <v:fill on="f" focussize="0,0"/>
                        <v:stroke color="#000000" miterlimit="8" joinstyle="miter"/>
                        <v:imagedata o:title=""/>
                        <o:lock v:ext="edit" aspectratio="f"/>
                        <v:textbox>
                          <w:txbxContent>
                            <w:p>
                              <w:pPr>
                                <w:jc w:val="center"/>
                              </w:pPr>
                              <w:r>
                                <w:rPr>
                                  <w:rFonts w:hint="eastAsia"/>
                                </w:rPr>
                                <w:t>覆面</w:t>
                              </w:r>
                            </w:p>
                          </w:txbxContent>
                        </v:textbox>
                      </v:rect>
                      <v:shape id="AutoShape 780" o:spid="_x0000_s1026" o:spt="32" type="#_x0000_t32" style="position:absolute;left:2987020;top:289764;height:304800;width:635;"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f6a4XWAAAA&#10;BQEAAA8AAAAAAAAAAQAgAAAAIgAAAGRycy9kb3ducmV2LnhtbFBLAQIUABQAAAAIAIdO4kBRvxUS&#10;5gEAAL0DAAAOAAAAAAAAAAEAIAAAACUBAABkcnMvZTJvRG9jLnhtbFBLBQYAAAAABgAGAFkBAAB9&#10;BQAAAAA=&#10;">
                        <v:fill on="f" focussize="0,0"/>
                        <v:stroke color="#000000" joinstyle="round" endarrow="block"/>
                        <v:imagedata o:title=""/>
                        <o:lock v:ext="edit" aspectratio="f"/>
                      </v:shape>
                      <v:rect id="Rectangle 972" o:spid="_x0000_s1026" o:spt="1" style="position:absolute;left:2704297;top:1214011;height:311785;width:552450;" filled="f" stroked="t" coordsize="21600,21600" o:gfxdata="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JQfk9UAAAAFAQAADwAAAAAAAAABACAAAAAiAAAAZHJzL2Rvd25yZXYu&#10;eG1sUEsBAhQAFAAAAAgAh07iQPddZtw3AgAAYgQAAA4AAAAAAAAAAQAgAAAAJAEAAGRycy9lMm9E&#10;b2MueG1sUEsFBgAAAAAGAAYAWQEAAM0FAAAAAA==&#10;">
                        <v:fill on="f" focussize="0,0"/>
                        <v:stroke color="#000000" miterlimit="8" joinstyle="miter"/>
                        <v:imagedata o:title=""/>
                        <o:lock v:ext="edit" aspectratio="f"/>
                        <v:textbox>
                          <w:txbxContent>
                            <w:p>
                              <w:pPr>
                                <w:jc w:val="center"/>
                              </w:pPr>
                              <w:r>
                                <w:rPr>
                                  <w:rFonts w:hint="eastAsia"/>
                                </w:rPr>
                                <w:t>热压</w:t>
                              </w:r>
                            </w:p>
                          </w:txbxContent>
                        </v:textbox>
                      </v:rect>
                      <v:shape id="AutoShape 973" o:spid="_x0000_s1026" o:spt="32" type="#_x0000_t32" style="position:absolute;left:2978434;top:2142039;height:304800;width:635;"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prhdYAAAAFAQAADwAAAAAAAAABACAAAAAiAAAAZHJzL2Rv&#10;d25yZXYueG1sUEsBAhQAFAAAAAgAh07iQPr0978DAgAA8AMAAA4AAAAAAAAAAQAgAAAAJQEAAGRy&#10;cy9lMm9Eb2MueG1sUEsFBgAAAAAGAAYAWQEAAJoFAAAAAA==&#10;">
                        <v:fill on="f" focussize="0,0"/>
                        <v:stroke color="#000000" joinstyle="round" endarrow="block"/>
                        <v:imagedata o:title=""/>
                        <o:lock v:ext="edit" aspectratio="f"/>
                      </v:shape>
                      <v:rect id="Rectangle 1111" o:spid="_x0000_s1026" o:spt="1" style="position:absolute;left:3467382;top:1228731;height:311785;width:805180;"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aM4NcAAAAFAQAADwAAAAAAAAAB&#10;ACAAAAAiAAAAZHJzL2Rvd25yZXYueG1sUEsBAhQAFAAAAAgAh07iQPsQL0oRAgAAGgQAAA4AAAAA&#10;AAAAAQAgAAAAJgEAAGRycy9lMm9Eb2MueG1sUEsFBgAAAAAGAAYAWQEAAKkFAAAAAA==&#10;">
                        <v:fill on="f" focussize="0,0"/>
                        <v:stroke on="f"/>
                        <v:imagedata o:title=""/>
                        <o:lock v:ext="edit" aspectratio="f"/>
                        <v:textbox>
                          <w:txbxContent>
                            <w:p>
                              <w:pPr>
                                <w:jc w:val="center"/>
                                <w:rPr>
                                  <w:szCs w:val="21"/>
                                </w:rPr>
                              </w:pPr>
                              <w:r>
                                <w:rPr>
                                  <w:rFonts w:hint="eastAsia"/>
                                  <w:szCs w:val="21"/>
                                </w:rPr>
                                <w:t>废气、噪声</w:t>
                              </w:r>
                            </w:p>
                          </w:txbxContent>
                        </v:textbox>
                      </v:rect>
                      <v:rect id="Rectangle 980" o:spid="_x0000_s1026" o:spt="1" style="position:absolute;left:2717308;top:3007733;height:311785;width:568325;"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DmjODXAAAABQEAAA8AAAAAAAAA&#10;AQAgAAAAIgAAAGRycy9kb3ducmV2LnhtbFBLAQIUABQAAAAIAIdO4kB15pNZEgIAABkEAAAOAAAA&#10;AAAAAAEAIAAAACYBAABkcnMvZTJvRG9jLnhtbFBLBQYAAAAABgAGAFkBAACqBQAAAAA=&#10;">
                        <v:fill on="f" focussize="0,0"/>
                        <v:stroke on="f"/>
                        <v:imagedata o:title=""/>
                        <o:lock v:ext="edit" aspectratio="f"/>
                        <v:textbox>
                          <w:txbxContent>
                            <w:p>
                              <w:pPr>
                                <w:jc w:val="center"/>
                              </w:pPr>
                              <w:r>
                                <w:rPr>
                                  <w:rFonts w:hint="eastAsia"/>
                                </w:rPr>
                                <w:t>成品</w:t>
                              </w:r>
                            </w:p>
                          </w:txbxContent>
                        </v:textbox>
                      </v:rect>
                      <v:rect id="Rectangle 1085" o:spid="_x0000_s1026" o:spt="1" style="position:absolute;left:2626241;top:36004;height:330835;width:738273;"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aM4NcAAAAFAQAADwAAAAAAAAAB&#10;ACAAAAAiAAAAZHJzL2Rvd25yZXYueG1sUEsBAhQAFAAAAAgAh07iQBLJwpURAgAAGAQAAA4AAAAA&#10;AAAAAQAgAAAAJgEAAGRycy9lMm9Eb2MueG1sUEsFBgAAAAAGAAYAWQEAAKkFAAAAAA==&#10;">
                        <v:fill on="f" focussize="0,0"/>
                        <v:stroke on="f"/>
                        <v:imagedata o:title=""/>
                        <o:lock v:ext="edit" aspectratio="f"/>
                        <v:textbox>
                          <w:txbxContent>
                            <w:p>
                              <w:pPr>
                                <w:jc w:val="center"/>
                                <w:rPr>
                                  <w:szCs w:val="21"/>
                                </w:rPr>
                              </w:pPr>
                              <w:r>
                                <w:rPr>
                                  <w:rFonts w:hint="eastAsia"/>
                                  <w:szCs w:val="21"/>
                                </w:rPr>
                                <w:t>密度板</w:t>
                              </w:r>
                            </w:p>
                            <w:p>
                              <w:pPr>
                                <w:jc w:val="center"/>
                                <w:rPr>
                                  <w:szCs w:val="21"/>
                                </w:rPr>
                              </w:pPr>
                            </w:p>
                          </w:txbxContent>
                        </v:textbox>
                      </v:rect>
                      <v:shape id="AutoShape 21" o:spid="_x0000_s1026" o:spt="32" type="#_x0000_t32" style="position:absolute;left:3253309;top:1371784;height:1905;width:291465;" filled="f" stroked="t" coordsize="21600,21600" o:gfxdata="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VYftMAAAAFAQAADwAAAAAAAAABACAAAAAiAAAAZHJz&#10;L2Rvd25yZXYueG1sUEsBAhQAFAAAAAgAh07iQNMHCdUJAgAACAQAAA4AAAAAAAAAAQAgAAAAIgEA&#10;AGRycy9lMm9Eb2MueG1sUEsFBgAAAAAGAAYAWQEAAJ0FAAAAAA==&#10;">
                        <v:fill on="f" focussize="0,0"/>
                        <v:stroke color="#000000" joinstyle="round" dashstyle="dash" endarrow="block"/>
                        <v:imagedata o:title=""/>
                        <o:lock v:ext="edit" aspectratio="f"/>
                      </v:shape>
                      <v:shape id="AutoShape 22" o:spid="_x0000_s1026" o:spt="32" type="#_x0000_t32" style="position:absolute;left:3271332;top:2606897;height:1905;width:291465;" filled="f" stroked="t" coordsize="21600,21600" o:gfxdata="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AlWH7TAAAABQEAAA8AAAAAAAAAAQAgAAAAIgAA&#10;AGRycy9kb3ducmV2LnhtbFBLAQIUABQAAAAIAIdO4kD+BeBaDQIAAAgEAAAOAAAAAAAAAAEAIAAA&#10;ACIBAABkcnMvZTJvRG9jLnhtbFBLBQYAAAAABgAGAFkBAAChBQAAAAA=&#10;">
                        <v:fill on="f" focussize="0,0"/>
                        <v:stroke color="#000000" joinstyle="round" dashstyle="dash" endarrow="block"/>
                        <v:imagedata o:title=""/>
                        <o:lock v:ext="edit" aspectratio="f"/>
                      </v:shape>
                      <v:rect id="Rectangle 1111" o:spid="_x0000_s1026" o:spt="1" style="position:absolute;left:3467382;top:2470695;height:311785;width:749131;"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DmjODXAAAABQEAAA8AAAAAAAAA&#10;AQAgAAAAIgAAAGRycy9kb3ducmV2LnhtbFBLAQIUABQAAAAIAIdO4kC2GYhDEgIAABoEAAAOAAAA&#10;AAAAAAEAIAAAACYBAABkcnMvZTJvRG9jLnhtbFBLBQYAAAAABgAGAFkBAACqBQAAAAA=&#10;">
                        <v:fill on="f" focussize="0,0"/>
                        <v:stroke on="f"/>
                        <v:imagedata o:title=""/>
                        <o:lock v:ext="edit" aspectratio="f"/>
                        <v:textbox>
                          <w:txbxContent>
                            <w:p>
                              <w:pPr>
                                <w:jc w:val="center"/>
                                <w:rPr>
                                  <w:szCs w:val="21"/>
                                </w:rPr>
                              </w:pPr>
                              <w:r>
                                <w:rPr>
                                  <w:rFonts w:hint="eastAsia"/>
                                  <w:szCs w:val="21"/>
                                </w:rPr>
                                <w:t>不合格品</w:t>
                              </w:r>
                            </w:p>
                          </w:txbxContent>
                        </v:textbox>
                      </v:rect>
                      <v:shape id="AutoShape 29" o:spid="_x0000_s1026" o:spt="32" type="#_x0000_t32" style="position:absolute;left:2026926;top:1533134;height:247806;width:0;" filled="f" stroked="t" coordsize="21600,21600" o:gfxdata="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VYftMAAAAFAQAADwAAAAAAAAABACAAAAAiAAAAZHJz&#10;L2Rvd25yZXYueG1sUEsBAhQAFAAAAAgAh07iQP/n1jcJAgAABQQAAA4AAAAAAAAAAQAgAAAAIgEA&#10;AGRycy9lMm9Eb2MueG1sUEsFBgAAAAAGAAYAWQEAAJ0FAAAAAA==&#10;">
                        <v:fill on="f" focussize="0,0"/>
                        <v:stroke color="#000000" joinstyle="round" dashstyle="dash" endarrow="block"/>
                        <v:imagedata o:title=""/>
                        <o:lock v:ext="edit" aspectratio="f"/>
                      </v:shape>
                      <v:rect id="Rectangle 972" o:spid="_x0000_s1026" o:spt="1" style="position:absolute;left:2710084;top:2438851;height:311785;width:552450;" filled="f" stroked="t" coordsize="21600,21600" o:gfxdata="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JQfk9UAAAAFAQAADwAAAAAAAAABACAAAAAiAAAAZHJzL2Rvd25yZXYu&#10;eG1sUEsBAhQAFAAAAAgAh07iQG3DzEE3AgAAYwQAAA4AAAAAAAAAAQAgAAAAJAEAAGRycy9lMm9E&#10;b2MueG1sUEsFBgAAAAAGAAYAWQEAAM0FAAAAAA==&#10;">
                        <v:fill on="f" focussize="0,0"/>
                        <v:stroke color="#000000" miterlimit="8" joinstyle="miter"/>
                        <v:imagedata o:title=""/>
                        <o:lock v:ext="edit" aspectratio="f"/>
                        <v:textbox>
                          <w:txbxContent>
                            <w:p>
                              <w:pPr>
                                <w:jc w:val="center"/>
                              </w:pPr>
                              <w:r>
                                <w:rPr>
                                  <w:rFonts w:hint="eastAsia"/>
                                </w:rPr>
                                <w:t>检验</w:t>
                              </w:r>
                            </w:p>
                          </w:txbxContent>
                        </v:textbox>
                      </v:rect>
                      <v:shape id="AutoShape 973" o:spid="_x0000_s1026" o:spt="32" type="#_x0000_t32" style="position:absolute;left:2987020;top:2750601;height:304800;width:635;"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prhdYAAAAFAQAADwAAAAAAAAABACAAAAAiAAAAZHJzL2Rv&#10;d25yZXYueG1sUEsBAhQAFAAAAAgAh07iQNW6lwIDAgAA8QMAAA4AAAAAAAAAAQAgAAAAJQEAAGRy&#10;cy9lMm9Eb2MueG1sUEsFBgAAAAAGAAYAWQEAAJoFAAAAAA==&#10;">
                        <v:fill on="f" focussize="0,0"/>
                        <v:stroke color="#000000" joinstyle="round" endarrow="block"/>
                        <v:imagedata o:title=""/>
                        <o:lock v:ext="edit" aspectratio="f"/>
                      </v:shape>
                      <v:shape id="AutoShape 780" o:spid="_x0000_s1026" o:spt="32" type="#_x0000_t32" style="position:absolute;left:2977164;top:908830;height:304800;width:635;"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f6a4XWAAAA&#10;BQEAAA8AAAAAAAAAAQAgAAAAIgAAAGRycy9kb3ducmV2LnhtbFBLAQIUABQAAAAIAIdO4kApzYjT&#10;5gEAAL4DAAAOAAAAAAAAAAEAIAAAACUBAABkcnMvZTJvRG9jLnhtbFBLBQYAAAAABgAGAFkBAAB9&#10;BQAAAAA=&#10;">
                        <v:fill on="f" focussize="0,0"/>
                        <v:stroke color="#000000" joinstyle="round" endarrow="block"/>
                        <v:imagedata o:title=""/>
                        <o:lock v:ext="edit" aspectratio="f"/>
                      </v:shape>
                      <v:shape id="AutoShape 780" o:spid="_x0000_s1026" o:spt="32" type="#_x0000_t32" style="position:absolute;left:2373009;top:747244;height:2501;width:369350;"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muF1gAA&#10;AAUBAAAPAAAAAAAAAAEAIAAAACIAAABkcnMvZG93bnJldi54bWxQSwECFAAUAAAACACHTuJAdoiV&#10;1OcBAAC/AwAADgAAAAAAAAABACAAAAAlAQAAZHJzL2Uyb0RvYy54bWxQSwUGAAAAAAYABgBZAQAA&#10;fgUAAAAA&#10;">
                        <v:fill on="f" focussize="0,0"/>
                        <v:stroke color="#000000" joinstyle="round" endarrow="block"/>
                        <v:imagedata o:title=""/>
                        <o:lock v:ext="edit" aspectratio="f"/>
                      </v:shape>
                      <v:rect id="Rectangle 1085" o:spid="_x0000_s1026" o:spt="1" style="position:absolute;left:1580471;top:606742;height:330835;width:882466;"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aM4NcAAAAFAQAADwAAAAAA&#10;AAABACAAAAAiAAAAZHJzL2Rvd25yZXYueG1sUEsBAhQAFAAAAAgAh07iQGOtrF4UAgAAGgQAAA4A&#10;AAAAAAAAAQAgAAAAJgEAAGRycy9lMm9Eb2MueG1sUEsFBgAAAAAGAAYAWQEAAKwFAAAAAA==&#10;">
                        <v:fill on="f" focussize="0,0"/>
                        <v:stroke on="f"/>
                        <v:imagedata o:title=""/>
                        <o:lock v:ext="edit" aspectratio="f"/>
                        <v:textbox>
                          <w:txbxContent>
                            <w:p>
                              <w:pPr>
                                <w:jc w:val="center"/>
                                <w:rPr>
                                  <w:szCs w:val="21"/>
                                </w:rPr>
                              </w:pPr>
                              <w:r>
                                <w:rPr>
                                  <w:rFonts w:hint="eastAsia"/>
                                  <w:szCs w:val="21"/>
                                </w:rPr>
                                <w:t>三聚氰胺纸</w:t>
                              </w:r>
                            </w:p>
                            <w:p>
                              <w:pPr>
                                <w:jc w:val="center"/>
                                <w:rPr>
                                  <w:szCs w:val="21"/>
                                </w:rPr>
                              </w:pPr>
                            </w:p>
                          </w:txbxContent>
                        </v:textbox>
                      </v:rect>
                      <v:shape id="AutoShape 780" o:spid="_x0000_s1026" o:spt="32" type="#_x0000_t32" style="position:absolute;left:2975483;top:1527393;height:304800;width:635;"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prhdYA&#10;AAAFAQAADwAAAAAAAAABACAAAAAiAAAAZHJzL2Rvd25yZXYueG1sUEsBAhQAFAAAAAgAh07iQHB0&#10;hJ7oAQAAvwMAAA4AAAAAAAAAAQAgAAAAJQEAAGRycy9lMm9Eb2MueG1sUEsFBgAAAAAGAAYAWQEA&#10;AH8FAAAAAA==&#10;">
                        <v:fill on="f" focussize="0,0"/>
                        <v:stroke color="#000000" joinstyle="round" endarrow="block"/>
                        <v:imagedata o:title=""/>
                        <o:lock v:ext="edit" aspectratio="f"/>
                      </v:shape>
                      <v:rect id="Rectangle 972" o:spid="_x0000_s1026" o:spt="1" style="position:absolute;left:2712248;top:1825210;height:311785;width:552450;" filled="f" stroked="t" coordsize="21600,21600" o:gfxdata="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lB+T1QAAAAUBAAAPAAAAAAAAAAEAIAAAACIAAABkcnMvZG93bnJldi54&#10;bWxQSwECFAAUAAAACACHTuJAHn+MCjYCAABjBAAADgAAAAAAAAABACAAAAAkAQAAZHJzL2Uyb0Rv&#10;Yy54bWxQSwUGAAAAAAYABgBZAQAAzAUAAAAA&#10;">
                        <v:fill on="f" focussize="0,0"/>
                        <v:stroke color="#000000" miterlimit="8" joinstyle="miter"/>
                        <v:imagedata o:title=""/>
                        <o:lock v:ext="edit" aspectratio="f"/>
                        <v:textbox>
                          <w:txbxContent>
                            <w:p>
                              <w:pPr>
                                <w:jc w:val="center"/>
                              </w:pPr>
                              <w:r>
                                <w:rPr>
                                  <w:rFonts w:hint="eastAsia"/>
                                </w:rPr>
                                <w:t>修整</w:t>
                              </w:r>
                            </w:p>
                          </w:txbxContent>
                        </v:textbox>
                      </v:rect>
                      <v:shape id="AutoShape 22" o:spid="_x0000_s1026" o:spt="32" type="#_x0000_t32" style="position:absolute;left:3271332;top:1985306;height:1905;width:291465;" filled="f" stroked="t" coordsize="21600,21600" o:gfxdata="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&#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JVh+0wAAAAUBAAAPAAAAAAAAAAEAIAAAACIAAABk&#10;cnMvZG93bnJldi54bWxQSwECFAAUAAAACACHTuJATzOxLAsCAAAJBAAADgAAAAAAAAABACAAAAAi&#10;AQAAZHJzL2Uyb0RvYy54bWxQSwUGAAAAAAYABgBZAQAAnwUAAAAA&#10;">
                        <v:fill on="f" focussize="0,0"/>
                        <v:stroke color="#000000" joinstyle="round" dashstyle="dash" endarrow="block"/>
                        <v:imagedata o:title=""/>
                        <o:lock v:ext="edit" aspectratio="f"/>
                      </v:shape>
                      <v:rect id="Rectangle 1111" o:spid="_x0000_s1026" o:spt="1" style="position:absolute;left:3467383;top:1832154;height:311785;width:502640;"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aM4NcAAAAFAQAADwAAAAAAAAAB&#10;ACAAAAAiAAAAZHJzL2Rvd25yZXYueG1sUEsBAhQAFAAAAAgAh07iQJrXoxoRAgAAGwQAAA4AAAAA&#10;AAAAAQAgAAAAJgEAAGRycy9lMm9Eb2MueG1sUEsFBgAAAAAGAAYAWQEAAKkFAAAAAA==&#10;">
                        <v:fill on="f" focussize="0,0"/>
                        <v:stroke on="f"/>
                        <v:imagedata o:title=""/>
                        <o:lock v:ext="edit" aspectratio="f"/>
                        <v:textbox>
                          <w:txbxContent>
                            <w:p>
                              <w:pPr>
                                <w:jc w:val="center"/>
                                <w:rPr>
                                  <w:szCs w:val="21"/>
                                </w:rPr>
                              </w:pPr>
                              <w:r>
                                <w:rPr>
                                  <w:rFonts w:hint="eastAsia"/>
                                  <w:szCs w:val="21"/>
                                </w:rPr>
                                <w:t>固废</w:t>
                              </w:r>
                            </w:p>
                          </w:txbxContent>
                        </v:textbox>
                      </v:rect>
                      <v:shape id="AutoShape 780" o:spid="_x0000_s1026" o:spt="32" type="#_x0000_t32" style="position:absolute;left:2334947;top:1373650;height:2501;width:369350;"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prhdYA&#10;AAAFAQAADwAAAAAAAAABACAAAAAiAAAAZHJzL2Rvd25yZXYueG1sUEsBAhQAFAAAAAgAh07iQAsD&#10;SQnoAQAAwAMAAA4AAAAAAAAAAQAgAAAAJQEAAGRycy9lMm9Eb2MueG1sUEsFBgAAAAAGAAYAWQEA&#10;AH8FAAAAAA==&#10;">
                        <v:fill on="f" focussize="0,0"/>
                        <v:stroke color="#000000" joinstyle="round" endarrow="block"/>
                        <v:imagedata o:title=""/>
                        <o:lock v:ext="edit" aspectratio="f"/>
                      </v:shape>
                      <v:rect id="Rectangle 1102" o:spid="_x0000_s1026" o:spt="1" style="position:absolute;left:1719803;top:1231795;height:304800;width:613547;" filled="f" stroked="t" coordsize="21600,21600" o:gfxdata="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clB+T1QAAAAUBAAAPAAAAAAAA&#10;AAEAIAAAACIAAABkcnMvZG93bnJldi54bWxQSwECFAAUAAAACACHTuJALsKHDk4CAACaBAAADgAA&#10;AAAAAAABACAAAAAkAQAAZHJzL2Uyb0RvYy54bWxQSwUGAAAAAAYABgBZAQAA5AUAAAAA&#10;">
                        <v:fill on="f" focussize="0,0"/>
                        <v:stroke color="#000000 [3229]" miterlimit="8" joinstyle="miter"/>
                        <v:imagedata o:title=""/>
                        <o:lock v:ext="edit" aspectratio="f"/>
                        <v:textbox>
                          <w:txbxContent>
                            <w:p>
                              <w:pPr>
                                <w:jc w:val="center"/>
                              </w:pPr>
                              <w:r>
                                <w:rPr>
                                  <w:rFonts w:hint="eastAsia"/>
                                </w:rPr>
                                <w:t>模温机</w:t>
                              </w:r>
                            </w:p>
                          </w:txbxContent>
                        </v:textbox>
                      </v:rect>
                      <v:shape id="AutoShape 780" o:spid="_x0000_s1026" o:spt="32" type="#_x0000_t32" style="position:absolute;left:1350453;top:1400004;height:2501;width:369350;" filled="f" stroked="t" coordsize="21600,21600" o:gfxdata="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prhdYAAAAF&#10;AQAADwAAAAAAAAABACAAAAAiAAAAZHJzL2Rvd25yZXYueG1sUEsBAhQAFAAAAAgAh07iQJPPEhzl&#10;AQAAwAMAAA4AAAAAAAAAAQAgAAAAJQEAAGRycy9lMm9Eb2MueG1sUEsFBgAAAAAGAAYAWQEAAHwF&#10;AAAAAA==&#10;">
                        <v:fill on="f" focussize="0,0"/>
                        <v:stroke color="#000000" joinstyle="round" endarrow="block"/>
                        <v:imagedata o:title=""/>
                        <o:lock v:ext="edit" aspectratio="f"/>
                      </v:shape>
                      <v:rect id="Rectangle 1111" o:spid="_x0000_s1026" o:spt="1" style="position:absolute;left:549796;top:1253010;height:311785;width:875301;"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OaM4NcAAAAFAQAADwAAAAAAAAABACAA&#10;AAAiAAAAZHJzL2Rvd25yZXYueG1sUEsBAhQAFAAAAAgAh07iQICpAp4OAgAAGgQAAA4AAAAAAAAA&#10;AQAgAAAAJgEAAGRycy9lMm9Eb2MueG1sUEsFBgAAAAAGAAYAWQEAAKYFAAAAAA==&#10;">
                        <v:fill on="f" focussize="0,0"/>
                        <v:stroke on="f"/>
                        <v:imagedata o:title=""/>
                        <o:lock v:ext="edit" aspectratio="f"/>
                        <v:textbox>
                          <w:txbxContent>
                            <w:p>
                              <w:pPr>
                                <w:jc w:val="center"/>
                                <w:rPr>
                                  <w:szCs w:val="21"/>
                                </w:rPr>
                              </w:pPr>
                              <w:r>
                                <w:rPr>
                                  <w:rFonts w:hint="eastAsia"/>
                                  <w:szCs w:val="21"/>
                                </w:rPr>
                                <w:t>液化石油气</w:t>
                              </w:r>
                            </w:p>
                          </w:txbxContent>
                        </v:textbox>
                      </v:rect>
                      <v:rect id="Rectangle 1111" o:spid="_x0000_s1026" o:spt="1" style="position:absolute;left:1756652;top:1729851;height:311785;width:513089;" filled="f" stroked="f" coordsize="21600,21600" o:gfxdata="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aM4NcAAAAFAQAADwAAAAAAAAAB&#10;ACAAAAAiAAAAZHJzL2Rvd25yZXYueG1sUEsBAhQAFAAAAAgAh07iQNuyfgURAgAAGwQAAA4AAAAA&#10;AAAAAQAgAAAAJgEAAGRycy9lMm9Eb2MueG1sUEsFBgAAAAAGAAYAWQEAAKkFAAAAAA==&#10;">
                        <v:fill on="f" focussize="0,0"/>
                        <v:stroke on="f"/>
                        <v:imagedata o:title=""/>
                        <o:lock v:ext="edit" aspectratio="f"/>
                        <v:textbox>
                          <w:txbxContent>
                            <w:p>
                              <w:pPr>
                                <w:jc w:val="center"/>
                                <w:rPr>
                                  <w:szCs w:val="21"/>
                                </w:rPr>
                              </w:pPr>
                              <w:r>
                                <w:rPr>
                                  <w:rFonts w:hint="eastAsia"/>
                                  <w:szCs w:val="21"/>
                                </w:rPr>
                                <w:t>废气</w:t>
                              </w:r>
                            </w:p>
                          </w:txbxContent>
                        </v:textbox>
                      </v:rect>
                      <w10:wrap type="none"/>
                      <w10:anchorlock/>
                    </v:group>
                  </w:pict>
                </mc:Fallback>
              </mc:AlternateContent>
            </w:r>
          </w:p>
          <w:p>
            <w:pPr>
              <w:pStyle w:val="2"/>
              <w:jc w:val="center"/>
              <w:rPr>
                <w:b/>
                <w:sz w:val="24"/>
                <w:szCs w:val="24"/>
              </w:rPr>
            </w:pPr>
            <w:r>
              <w:rPr>
                <w:rFonts w:hint="eastAsia"/>
                <w:b/>
                <w:sz w:val="24"/>
                <w:szCs w:val="24"/>
              </w:rPr>
              <w:t>图2-2    贴面板生产工艺流程及产污环节示意图</w:t>
            </w:r>
          </w:p>
          <w:p>
            <w:pPr>
              <w:widowControl/>
              <w:adjustRightInd w:val="0"/>
              <w:snapToGrid w:val="0"/>
              <w:spacing w:line="360" w:lineRule="auto"/>
              <w:ind w:firstLine="482"/>
              <w:rPr>
                <w:b/>
                <w:kern w:val="52"/>
                <w:sz w:val="24"/>
              </w:rPr>
            </w:pPr>
            <w:r>
              <w:rPr>
                <w:rFonts w:hint="eastAsia"/>
                <w:b/>
                <w:kern w:val="52"/>
                <w:sz w:val="24"/>
              </w:rPr>
              <w:t>工艺流程说明：</w:t>
            </w:r>
          </w:p>
          <w:p>
            <w:pPr>
              <w:adjustRightInd w:val="0"/>
              <w:snapToGrid w:val="0"/>
              <w:spacing w:line="360" w:lineRule="auto"/>
              <w:ind w:firstLine="480" w:firstLineChars="200"/>
              <w:rPr>
                <w:color w:val="000000" w:themeColor="text1"/>
                <w:kern w:val="52"/>
                <w:sz w:val="24"/>
                <w14:textFill>
                  <w14:solidFill>
                    <w14:schemeClr w14:val="tx1"/>
                  </w14:solidFill>
                </w14:textFill>
              </w:rPr>
            </w:pPr>
            <w:r>
              <w:rPr>
                <w:rFonts w:hint="eastAsia"/>
                <w:color w:val="000000" w:themeColor="text1"/>
                <w:kern w:val="52"/>
                <w:sz w:val="24"/>
                <w14:textFill>
                  <w14:solidFill>
                    <w14:schemeClr w14:val="tx1"/>
                  </w14:solidFill>
                </w14:textFill>
              </w:rPr>
              <w:t>本项目外购的密度板、三聚氰胺纸等原料汽运进厂后存放于原料库内储存。</w:t>
            </w:r>
          </w:p>
          <w:p>
            <w:pPr>
              <w:adjustRightInd w:val="0"/>
              <w:snapToGrid w:val="0"/>
              <w:spacing w:line="360" w:lineRule="auto"/>
              <w:ind w:firstLine="480" w:firstLineChars="200"/>
              <w:rPr>
                <w:color w:val="000000" w:themeColor="text1"/>
                <w:kern w:val="52"/>
                <w:sz w:val="24"/>
                <w14:textFill>
                  <w14:solidFill>
                    <w14:schemeClr w14:val="tx1"/>
                  </w14:solidFill>
                </w14:textFill>
              </w:rPr>
            </w:pPr>
            <w:r>
              <w:rPr>
                <w:rFonts w:hint="eastAsia"/>
                <w:color w:val="000000" w:themeColor="text1"/>
                <w:kern w:val="52"/>
                <w:sz w:val="24"/>
                <w14:textFill>
                  <w14:solidFill>
                    <w14:schemeClr w14:val="tx1"/>
                  </w14:solidFill>
                </w14:textFill>
              </w:rPr>
              <w:t>覆面、热压：由人工在板材需要进行贴面热压的单面/两面铺上三聚氰胺纸，然后利用热压机进行热压（</w:t>
            </w:r>
            <w:r>
              <w:rPr>
                <w:color w:val="000000" w:themeColor="text1"/>
                <w:kern w:val="52"/>
                <w:sz w:val="24"/>
                <w14:textFill>
                  <w14:solidFill>
                    <w14:schemeClr w14:val="tx1"/>
                  </w14:solidFill>
                </w14:textFill>
              </w:rPr>
              <w:t>温度为180-200℃</w:t>
            </w:r>
            <w:r>
              <w:rPr>
                <w:rFonts w:hint="eastAsia"/>
                <w:color w:val="000000" w:themeColor="text1"/>
                <w:kern w:val="52"/>
                <w:sz w:val="24"/>
                <w14:textFill>
                  <w14:solidFill>
                    <w14:schemeClr w14:val="tx1"/>
                  </w14:solidFill>
                </w14:textFill>
              </w:rPr>
              <w:t>），热压机热源为燃气模温机，通过一定时间和压力的热压过程，将三聚氰胺纸和素板压合在一起。热压机将热压完成的贴面板转移至一侧堆叠。</w:t>
            </w:r>
          </w:p>
          <w:p>
            <w:pPr>
              <w:adjustRightInd w:val="0"/>
              <w:snapToGrid w:val="0"/>
              <w:spacing w:line="360" w:lineRule="auto"/>
              <w:ind w:firstLine="480" w:firstLineChars="200"/>
              <w:rPr>
                <w:color w:val="000000" w:themeColor="text1"/>
                <w:kern w:val="52"/>
                <w:sz w:val="24"/>
                <w14:textFill>
                  <w14:solidFill>
                    <w14:schemeClr w14:val="tx1"/>
                  </w14:solidFill>
                </w14:textFill>
              </w:rPr>
            </w:pPr>
            <w:r>
              <w:rPr>
                <w:rFonts w:hint="eastAsia"/>
                <w:color w:val="000000" w:themeColor="text1"/>
                <w:kern w:val="52"/>
                <w:sz w:val="24"/>
                <w14:textFill>
                  <w14:solidFill>
                    <w14:schemeClr w14:val="tx1"/>
                  </w14:solidFill>
                </w14:textFill>
              </w:rPr>
              <w:t>修整：三聚氰胺纸长、宽比素板多出至少1cm，以便于进行热压，热压完成后，由人工对多出的纸边角裁切并进行清理。</w:t>
            </w:r>
          </w:p>
          <w:p>
            <w:pPr>
              <w:adjustRightInd w:val="0"/>
              <w:snapToGrid w:val="0"/>
              <w:spacing w:line="360" w:lineRule="auto"/>
              <w:ind w:firstLine="480" w:firstLineChars="200"/>
              <w:rPr>
                <w:color w:val="000000" w:themeColor="text1"/>
                <w:kern w:val="52"/>
                <w:sz w:val="24"/>
                <w14:textFill>
                  <w14:solidFill>
                    <w14:schemeClr w14:val="tx1"/>
                  </w14:solidFill>
                </w14:textFill>
              </w:rPr>
            </w:pPr>
            <w:r>
              <w:rPr>
                <w:rFonts w:hint="eastAsia"/>
                <w:color w:val="000000" w:themeColor="text1"/>
                <w:kern w:val="52"/>
                <w:sz w:val="24"/>
                <w14:textFill>
                  <w14:solidFill>
                    <w14:schemeClr w14:val="tx1"/>
                  </w14:solidFill>
                </w14:textFill>
              </w:rPr>
              <w:t>检验：由人工目视对产品进行检验，挑出不合格品；合格品即为成品，入库待售。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tcBorders>
              <w:tl2br w:val="nil"/>
              <w:tr2bl w:val="nil"/>
            </w:tcBorders>
            <w:vAlign w:val="center"/>
          </w:tcPr>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bCs/>
                <w:kern w:val="21"/>
                <w:szCs w:val="24"/>
              </w:rPr>
              <w:t>与项目有关的原有环境污染问题</w:t>
            </w:r>
          </w:p>
        </w:tc>
        <w:tc>
          <w:tcPr>
            <w:tcW w:w="8555" w:type="dxa"/>
            <w:tcBorders>
              <w:tl2br w:val="nil"/>
              <w:tr2bl w:val="nil"/>
            </w:tcBorders>
            <w:vAlign w:val="center"/>
          </w:tcPr>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szCs w:val="24"/>
              </w:rPr>
            </w:pPr>
            <w:r>
              <w:rPr>
                <w:rFonts w:hint="eastAsia"/>
                <w:color w:val="000000"/>
                <w:sz w:val="24"/>
              </w:rPr>
              <w:t>本项目</w:t>
            </w:r>
            <w:r>
              <w:rPr>
                <w:rFonts w:hint="eastAsia" w:hAnsi="宋体"/>
                <w:color w:val="000000"/>
                <w:sz w:val="24"/>
              </w:rPr>
              <w:t>属于新建项目</w:t>
            </w:r>
            <w:r>
              <w:rPr>
                <w:rFonts w:hint="eastAsia"/>
                <w:color w:val="000000"/>
                <w:sz w:val="24"/>
              </w:rPr>
              <w:t>，因此不存在与项目有关的原有污染情况及主要环境问题。</w:t>
            </w:r>
          </w:p>
          <w:p>
            <w:pPr>
              <w:pStyle w:val="43"/>
              <w:adjustRightInd/>
              <w:snapToGrid/>
              <w:spacing w:line="520" w:lineRule="exact"/>
              <w:ind w:firstLine="480"/>
              <w:jc w:val="center"/>
              <w:rPr>
                <w:color w:val="auto"/>
                <w:szCs w:val="24"/>
              </w:rPr>
            </w:pPr>
          </w:p>
          <w:p>
            <w:pPr>
              <w:pStyle w:val="43"/>
              <w:adjustRightInd/>
              <w:snapToGrid/>
              <w:spacing w:line="520" w:lineRule="exact"/>
              <w:ind w:firstLine="0" w:firstLineChars="0"/>
              <w:jc w:val="center"/>
              <w:rPr>
                <w:color w:val="auto"/>
                <w:szCs w:val="24"/>
              </w:rPr>
            </w:pPr>
          </w:p>
        </w:tc>
      </w:tr>
    </w:tbl>
    <w:p>
      <w:pPr>
        <w:pStyle w:val="2"/>
        <w:ind w:firstLine="0"/>
        <w:sectPr>
          <w:pgSz w:w="11906" w:h="16838"/>
          <w:pgMar w:top="1440" w:right="1531" w:bottom="1440" w:left="1531" w:header="851" w:footer="992" w:gutter="0"/>
          <w:cols w:space="425" w:num="1"/>
          <w:docGrid w:type="lines" w:linePitch="312" w:charSpace="0"/>
        </w:sectPr>
      </w:pPr>
    </w:p>
    <w:p>
      <w:pPr>
        <w:numPr>
          <w:ilvl w:val="0"/>
          <w:numId w:val="1"/>
        </w:numPr>
        <w:jc w:val="center"/>
        <w:outlineLvl w:val="0"/>
        <w:rPr>
          <w:rFonts w:eastAsia="黑体"/>
          <w:snapToGrid w:val="0"/>
          <w:kern w:val="21"/>
          <w:sz w:val="30"/>
          <w:szCs w:val="30"/>
        </w:rPr>
      </w:pPr>
      <w:r>
        <w:rPr>
          <w:rFonts w:eastAsia="黑体"/>
          <w:snapToGrid w:val="0"/>
          <w:kern w:val="21"/>
          <w:sz w:val="30"/>
          <w:szCs w:val="30"/>
        </w:rPr>
        <w:t>区域环境质量现状、环境保护目标及评价标准</w:t>
      </w:r>
    </w:p>
    <w:tbl>
      <w:tblPr>
        <w:tblStyle w:val="30"/>
        <w:tblW w:w="53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03" w:type="pct"/>
            <w:tcBorders>
              <w:tl2br w:val="nil"/>
              <w:tr2bl w:val="nil"/>
            </w:tcBorders>
            <w:vAlign w:val="center"/>
          </w:tcPr>
          <w:p>
            <w:pPr>
              <w:adjustRightInd w:val="0"/>
              <w:snapToGrid w:val="0"/>
              <w:spacing w:line="520" w:lineRule="exact"/>
              <w:jc w:val="center"/>
              <w:rPr>
                <w:kern w:val="21"/>
                <w:sz w:val="24"/>
                <w:szCs w:val="24"/>
              </w:rPr>
            </w:pPr>
            <w:r>
              <w:rPr>
                <w:kern w:val="21"/>
                <w:sz w:val="24"/>
                <w:szCs w:val="24"/>
              </w:rPr>
              <w:t>区域</w:t>
            </w:r>
          </w:p>
          <w:p>
            <w:pPr>
              <w:adjustRightInd w:val="0"/>
              <w:snapToGrid w:val="0"/>
              <w:spacing w:line="520" w:lineRule="exact"/>
              <w:jc w:val="center"/>
              <w:rPr>
                <w:kern w:val="21"/>
                <w:sz w:val="24"/>
                <w:szCs w:val="24"/>
              </w:rPr>
            </w:pPr>
            <w:r>
              <w:rPr>
                <w:kern w:val="21"/>
                <w:sz w:val="24"/>
                <w:szCs w:val="24"/>
              </w:rPr>
              <w:t>环境</w:t>
            </w:r>
          </w:p>
          <w:p>
            <w:pPr>
              <w:adjustRightInd w:val="0"/>
              <w:snapToGrid w:val="0"/>
              <w:spacing w:line="520" w:lineRule="exact"/>
              <w:jc w:val="center"/>
              <w:rPr>
                <w:kern w:val="21"/>
                <w:sz w:val="24"/>
                <w:szCs w:val="24"/>
              </w:rPr>
            </w:pPr>
            <w:r>
              <w:rPr>
                <w:kern w:val="21"/>
                <w:sz w:val="24"/>
                <w:szCs w:val="24"/>
              </w:rPr>
              <w:t>质量</w:t>
            </w:r>
          </w:p>
          <w:p>
            <w:pPr>
              <w:adjustRightInd w:val="0"/>
              <w:snapToGrid w:val="0"/>
              <w:spacing w:line="520" w:lineRule="exact"/>
              <w:jc w:val="center"/>
              <w:rPr>
                <w:kern w:val="21"/>
                <w:sz w:val="24"/>
                <w:szCs w:val="24"/>
              </w:rPr>
            </w:pPr>
            <w:r>
              <w:rPr>
                <w:kern w:val="21"/>
                <w:sz w:val="24"/>
                <w:szCs w:val="24"/>
              </w:rPr>
              <w:t>现状</w:t>
            </w:r>
          </w:p>
        </w:tc>
        <w:tc>
          <w:tcPr>
            <w:tcW w:w="4597" w:type="pct"/>
            <w:tcBorders>
              <w:tl2br w:val="nil"/>
              <w:tr2bl w:val="nil"/>
            </w:tcBorders>
            <w:vAlign w:val="center"/>
          </w:tcPr>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1、</w:t>
            </w:r>
            <w:r>
              <w:rPr>
                <w:rFonts w:eastAsiaTheme="minorEastAsia"/>
                <w:b/>
                <w:sz w:val="24"/>
                <w:szCs w:val="24"/>
              </w:rPr>
              <w:t>环境空气质量现状</w:t>
            </w:r>
          </w:p>
          <w:p>
            <w:pPr>
              <w:tabs>
                <w:tab w:val="left" w:pos="1081"/>
              </w:tabs>
              <w:adjustRightInd w:val="0"/>
              <w:snapToGrid w:val="0"/>
              <w:spacing w:line="360" w:lineRule="auto"/>
              <w:ind w:firstLine="480" w:firstLineChars="200"/>
              <w:rPr>
                <w:sz w:val="24"/>
              </w:rPr>
            </w:pPr>
            <w:r>
              <w:rPr>
                <w:sz w:val="24"/>
              </w:rPr>
              <w:t>本项目位于</w:t>
            </w:r>
            <w:r>
              <w:rPr>
                <w:rFonts w:hint="eastAsia"/>
                <w:sz w:val="24"/>
              </w:rPr>
              <w:t>新野县上港乡香桥村，</w:t>
            </w:r>
            <w:r>
              <w:rPr>
                <w:sz w:val="24"/>
              </w:rPr>
              <w:t>区域大气环境功能为二类区，应执行《环境空气质量标准》（GB3095-2012）二级标准要求。本次评价采用新野县自动监测站2019年环境空气的逐日监测数据，按照HJ663中各评价项目的年平均浓度和相应百分位数24h平均或8h平均质量浓度进行判定区域环境空气质量达标情况。经计算，六项基本污染物除PM</w:t>
            </w:r>
            <w:r>
              <w:rPr>
                <w:sz w:val="24"/>
                <w:vertAlign w:val="subscript"/>
              </w:rPr>
              <w:t>2.5</w:t>
            </w:r>
            <w:r>
              <w:rPr>
                <w:sz w:val="24"/>
              </w:rPr>
              <w:t>、PM</w:t>
            </w:r>
            <w:r>
              <w:rPr>
                <w:sz w:val="24"/>
                <w:vertAlign w:val="subscript"/>
              </w:rPr>
              <w:t>10</w:t>
            </w:r>
            <w:r>
              <w:rPr>
                <w:sz w:val="24"/>
              </w:rPr>
              <w:t>相应百分位数日平均质量浓度和年平均质量浓度超标外，其他年评价指标均可以满足《环境空气质量标准》（GB3095-2012）二级标准要求</w:t>
            </w:r>
            <w:r>
              <w:rPr>
                <w:rFonts w:hint="eastAsia"/>
                <w:sz w:val="24"/>
              </w:rPr>
              <w:t>，</w:t>
            </w:r>
            <w:r>
              <w:rPr>
                <w:sz w:val="24"/>
              </w:rPr>
              <w:t>项目所在区域环境空气质量为不达标区。</w:t>
            </w:r>
          </w:p>
          <w:p>
            <w:pPr>
              <w:tabs>
                <w:tab w:val="left" w:pos="1081"/>
              </w:tabs>
              <w:adjustRightInd w:val="0"/>
              <w:snapToGrid w:val="0"/>
              <w:spacing w:line="360" w:lineRule="auto"/>
              <w:jc w:val="center"/>
              <w:rPr>
                <w:rFonts w:hAnsi="宋体"/>
                <w:b/>
                <w:sz w:val="24"/>
              </w:rPr>
            </w:pPr>
            <w:r>
              <w:rPr>
                <w:rFonts w:hint="eastAsia" w:hAnsi="宋体"/>
                <w:b/>
                <w:sz w:val="24"/>
              </w:rPr>
              <w:t>表3-1         区域环境质量现状评价表</w:t>
            </w:r>
          </w:p>
          <w:tbl>
            <w:tblPr>
              <w:tblStyle w:val="30"/>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36"/>
              <w:gridCol w:w="728"/>
              <w:gridCol w:w="851"/>
              <w:gridCol w:w="1558"/>
              <w:gridCol w:w="1029"/>
              <w:gridCol w:w="993"/>
              <w:gridCol w:w="91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58" w:type="pct"/>
                  <w:vMerge w:val="restart"/>
                  <w:shd w:val="clear" w:color="auto" w:fill="auto"/>
                  <w:vAlign w:val="center"/>
                </w:tcPr>
                <w:p>
                  <w:pPr>
                    <w:widowControl/>
                    <w:spacing w:line="360" w:lineRule="exact"/>
                    <w:jc w:val="center"/>
                    <w:rPr>
                      <w:color w:val="000000"/>
                      <w:kern w:val="0"/>
                      <w:szCs w:val="21"/>
                    </w:rPr>
                  </w:pPr>
                  <w:r>
                    <w:rPr>
                      <w:color w:val="000000"/>
                      <w:kern w:val="0"/>
                      <w:szCs w:val="21"/>
                    </w:rPr>
                    <w:t>点位</w:t>
                  </w:r>
                </w:p>
                <w:p>
                  <w:pPr>
                    <w:widowControl/>
                    <w:spacing w:line="360" w:lineRule="exact"/>
                    <w:jc w:val="center"/>
                    <w:rPr>
                      <w:color w:val="000000"/>
                      <w:kern w:val="0"/>
                      <w:szCs w:val="21"/>
                    </w:rPr>
                  </w:pPr>
                  <w:r>
                    <w:rPr>
                      <w:color w:val="000000"/>
                      <w:kern w:val="0"/>
                      <w:szCs w:val="21"/>
                    </w:rPr>
                    <w:t>名称</w:t>
                  </w:r>
                </w:p>
              </w:tc>
              <w:tc>
                <w:tcPr>
                  <w:tcW w:w="953" w:type="pct"/>
                  <w:gridSpan w:val="2"/>
                  <w:shd w:val="clear" w:color="auto" w:fill="auto"/>
                  <w:vAlign w:val="center"/>
                </w:tcPr>
                <w:p>
                  <w:pPr>
                    <w:widowControl/>
                    <w:spacing w:line="360" w:lineRule="exact"/>
                    <w:jc w:val="center"/>
                    <w:rPr>
                      <w:color w:val="000000"/>
                      <w:kern w:val="0"/>
                      <w:szCs w:val="21"/>
                    </w:rPr>
                  </w:pPr>
                  <w:r>
                    <w:rPr>
                      <w:color w:val="000000"/>
                      <w:kern w:val="0"/>
                      <w:szCs w:val="21"/>
                    </w:rPr>
                    <w:t>监测点坐标</w:t>
                  </w:r>
                </w:p>
              </w:tc>
              <w:tc>
                <w:tcPr>
                  <w:tcW w:w="519" w:type="pct"/>
                  <w:vMerge w:val="restart"/>
                  <w:shd w:val="clear" w:color="auto" w:fill="auto"/>
                  <w:vAlign w:val="center"/>
                </w:tcPr>
                <w:p>
                  <w:pPr>
                    <w:widowControl/>
                    <w:spacing w:line="360" w:lineRule="exact"/>
                    <w:jc w:val="center"/>
                    <w:rPr>
                      <w:color w:val="000000"/>
                      <w:kern w:val="0"/>
                      <w:szCs w:val="21"/>
                    </w:rPr>
                  </w:pPr>
                  <w:r>
                    <w:rPr>
                      <w:color w:val="000000"/>
                      <w:kern w:val="0"/>
                      <w:szCs w:val="21"/>
                    </w:rPr>
                    <w:t>污染物</w:t>
                  </w:r>
                </w:p>
              </w:tc>
              <w:tc>
                <w:tcPr>
                  <w:tcW w:w="951" w:type="pct"/>
                  <w:vMerge w:val="restart"/>
                  <w:shd w:val="clear" w:color="auto" w:fill="auto"/>
                  <w:vAlign w:val="center"/>
                </w:tcPr>
                <w:p>
                  <w:pPr>
                    <w:widowControl/>
                    <w:spacing w:line="360" w:lineRule="exact"/>
                    <w:jc w:val="center"/>
                    <w:rPr>
                      <w:color w:val="000000"/>
                      <w:kern w:val="0"/>
                      <w:szCs w:val="21"/>
                    </w:rPr>
                  </w:pPr>
                  <w:r>
                    <w:rPr>
                      <w:color w:val="000000"/>
                      <w:kern w:val="0"/>
                      <w:szCs w:val="21"/>
                    </w:rPr>
                    <w:t>年评价指标</w:t>
                  </w:r>
                </w:p>
              </w:tc>
              <w:tc>
                <w:tcPr>
                  <w:tcW w:w="628" w:type="pct"/>
                  <w:vMerge w:val="restart"/>
                  <w:shd w:val="clear" w:color="auto" w:fill="auto"/>
                  <w:vAlign w:val="center"/>
                </w:tcPr>
                <w:p>
                  <w:pPr>
                    <w:widowControl/>
                    <w:spacing w:line="360" w:lineRule="exact"/>
                    <w:jc w:val="center"/>
                    <w:rPr>
                      <w:color w:val="000000"/>
                      <w:kern w:val="0"/>
                      <w:szCs w:val="21"/>
                    </w:rPr>
                  </w:pPr>
                  <w:r>
                    <w:rPr>
                      <w:color w:val="000000"/>
                      <w:kern w:val="0"/>
                      <w:szCs w:val="21"/>
                    </w:rPr>
                    <w:t>评价标准μg/m</w:t>
                  </w:r>
                  <w:r>
                    <w:rPr>
                      <w:color w:val="000000"/>
                      <w:kern w:val="0"/>
                      <w:szCs w:val="21"/>
                      <w:vertAlign w:val="superscript"/>
                    </w:rPr>
                    <w:t>3</w:t>
                  </w:r>
                </w:p>
              </w:tc>
              <w:tc>
                <w:tcPr>
                  <w:tcW w:w="606" w:type="pct"/>
                  <w:vMerge w:val="restart"/>
                  <w:shd w:val="clear" w:color="auto" w:fill="auto"/>
                  <w:vAlign w:val="center"/>
                </w:tcPr>
                <w:p>
                  <w:pPr>
                    <w:widowControl/>
                    <w:spacing w:line="360" w:lineRule="exact"/>
                    <w:jc w:val="center"/>
                    <w:rPr>
                      <w:color w:val="000000"/>
                      <w:kern w:val="0"/>
                      <w:szCs w:val="21"/>
                    </w:rPr>
                  </w:pPr>
                  <w:r>
                    <w:rPr>
                      <w:color w:val="000000"/>
                      <w:kern w:val="0"/>
                      <w:szCs w:val="21"/>
                    </w:rPr>
                    <w:t>现状浓度μg/m</w:t>
                  </w:r>
                  <w:r>
                    <w:rPr>
                      <w:color w:val="000000"/>
                      <w:kern w:val="0"/>
                      <w:szCs w:val="21"/>
                      <w:vertAlign w:val="superscript"/>
                    </w:rPr>
                    <w:t>3</w:t>
                  </w:r>
                </w:p>
              </w:tc>
              <w:tc>
                <w:tcPr>
                  <w:tcW w:w="558" w:type="pct"/>
                  <w:vMerge w:val="restart"/>
                  <w:shd w:val="clear" w:color="auto" w:fill="auto"/>
                  <w:vAlign w:val="center"/>
                </w:tcPr>
                <w:p>
                  <w:pPr>
                    <w:widowControl/>
                    <w:spacing w:line="360" w:lineRule="exact"/>
                    <w:jc w:val="center"/>
                    <w:rPr>
                      <w:color w:val="000000"/>
                      <w:kern w:val="0"/>
                      <w:szCs w:val="21"/>
                    </w:rPr>
                  </w:pPr>
                  <w:r>
                    <w:rPr>
                      <w:color w:val="000000"/>
                      <w:kern w:val="0"/>
                      <w:szCs w:val="21"/>
                    </w:rPr>
                    <w:t>最大浓度占标率</w:t>
                  </w:r>
                </w:p>
              </w:tc>
              <w:tc>
                <w:tcPr>
                  <w:tcW w:w="427" w:type="pct"/>
                  <w:vMerge w:val="restart"/>
                  <w:shd w:val="clear" w:color="auto" w:fill="auto"/>
                  <w:vAlign w:val="center"/>
                </w:tcPr>
                <w:p>
                  <w:pPr>
                    <w:widowControl/>
                    <w:spacing w:line="360" w:lineRule="exact"/>
                    <w:jc w:val="center"/>
                    <w:rPr>
                      <w:color w:val="000000"/>
                      <w:kern w:val="0"/>
                      <w:szCs w:val="21"/>
                    </w:rPr>
                  </w:pPr>
                  <w:r>
                    <w:rPr>
                      <w:color w:val="000000"/>
                      <w:kern w:val="0"/>
                      <w:szCs w:val="21"/>
                    </w:rPr>
                    <w:t>达标</w:t>
                  </w:r>
                </w:p>
                <w:p>
                  <w:pPr>
                    <w:widowControl/>
                    <w:spacing w:line="360" w:lineRule="exact"/>
                    <w:jc w:val="center"/>
                    <w:rPr>
                      <w:color w:val="000000"/>
                      <w:kern w:val="0"/>
                      <w:szCs w:val="21"/>
                    </w:rPr>
                  </w:pPr>
                  <w:r>
                    <w:rPr>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shd w:val="clear" w:color="auto" w:fill="auto"/>
                  <w:vAlign w:val="center"/>
                </w:tcPr>
                <w:p>
                  <w:pPr>
                    <w:widowControl/>
                    <w:spacing w:line="360" w:lineRule="exact"/>
                    <w:jc w:val="center"/>
                    <w:rPr>
                      <w:color w:val="000000"/>
                      <w:kern w:val="0"/>
                      <w:szCs w:val="21"/>
                    </w:rPr>
                  </w:pPr>
                  <w:r>
                    <w:rPr>
                      <w:color w:val="000000"/>
                      <w:kern w:val="0"/>
                      <w:szCs w:val="21"/>
                    </w:rPr>
                    <w:t>X</w:t>
                  </w:r>
                </w:p>
              </w:tc>
              <w:tc>
                <w:tcPr>
                  <w:tcW w:w="444" w:type="pct"/>
                  <w:shd w:val="clear" w:color="auto" w:fill="auto"/>
                  <w:vAlign w:val="center"/>
                </w:tcPr>
                <w:p>
                  <w:pPr>
                    <w:widowControl/>
                    <w:spacing w:line="360" w:lineRule="exact"/>
                    <w:jc w:val="center"/>
                    <w:rPr>
                      <w:color w:val="000000"/>
                      <w:kern w:val="0"/>
                      <w:szCs w:val="21"/>
                    </w:rPr>
                  </w:pPr>
                  <w:r>
                    <w:rPr>
                      <w:color w:val="000000"/>
                      <w:kern w:val="0"/>
                      <w:szCs w:val="21"/>
                    </w:rPr>
                    <w:t>Y</w:t>
                  </w:r>
                </w:p>
              </w:tc>
              <w:tc>
                <w:tcPr>
                  <w:tcW w:w="519" w:type="pct"/>
                  <w:vMerge w:val="continue"/>
                  <w:shd w:val="clear" w:color="auto" w:fill="auto"/>
                  <w:vAlign w:val="center"/>
                </w:tcPr>
                <w:p>
                  <w:pPr>
                    <w:widowControl/>
                    <w:spacing w:line="360" w:lineRule="exact"/>
                    <w:jc w:val="center"/>
                    <w:rPr>
                      <w:color w:val="000000"/>
                      <w:kern w:val="0"/>
                      <w:szCs w:val="21"/>
                    </w:rPr>
                  </w:pPr>
                </w:p>
              </w:tc>
              <w:tc>
                <w:tcPr>
                  <w:tcW w:w="951" w:type="pct"/>
                  <w:vMerge w:val="continue"/>
                  <w:shd w:val="clear" w:color="auto" w:fill="auto"/>
                  <w:vAlign w:val="center"/>
                </w:tcPr>
                <w:p>
                  <w:pPr>
                    <w:widowControl/>
                    <w:spacing w:line="360" w:lineRule="exact"/>
                    <w:jc w:val="center"/>
                    <w:rPr>
                      <w:color w:val="000000"/>
                      <w:kern w:val="0"/>
                      <w:szCs w:val="21"/>
                    </w:rPr>
                  </w:pPr>
                </w:p>
              </w:tc>
              <w:tc>
                <w:tcPr>
                  <w:tcW w:w="628" w:type="pct"/>
                  <w:vMerge w:val="continue"/>
                  <w:shd w:val="clear" w:color="auto" w:fill="auto"/>
                  <w:vAlign w:val="center"/>
                </w:tcPr>
                <w:p>
                  <w:pPr>
                    <w:widowControl/>
                    <w:spacing w:line="360" w:lineRule="exact"/>
                    <w:jc w:val="center"/>
                    <w:rPr>
                      <w:color w:val="000000"/>
                      <w:kern w:val="0"/>
                      <w:szCs w:val="21"/>
                    </w:rPr>
                  </w:pPr>
                </w:p>
              </w:tc>
              <w:tc>
                <w:tcPr>
                  <w:tcW w:w="606" w:type="pct"/>
                  <w:vMerge w:val="continue"/>
                  <w:shd w:val="clear" w:color="auto" w:fill="auto"/>
                  <w:vAlign w:val="center"/>
                </w:tcPr>
                <w:p>
                  <w:pPr>
                    <w:widowControl/>
                    <w:spacing w:line="360" w:lineRule="exact"/>
                    <w:jc w:val="center"/>
                    <w:rPr>
                      <w:color w:val="000000"/>
                      <w:kern w:val="0"/>
                      <w:szCs w:val="21"/>
                    </w:rPr>
                  </w:pPr>
                </w:p>
              </w:tc>
              <w:tc>
                <w:tcPr>
                  <w:tcW w:w="558" w:type="pct"/>
                  <w:vMerge w:val="continue"/>
                  <w:shd w:val="clear" w:color="auto" w:fill="auto"/>
                  <w:vAlign w:val="center"/>
                </w:tcPr>
                <w:p>
                  <w:pPr>
                    <w:widowControl/>
                    <w:spacing w:line="360" w:lineRule="exact"/>
                    <w:jc w:val="center"/>
                    <w:rPr>
                      <w:color w:val="000000"/>
                      <w:kern w:val="0"/>
                      <w:szCs w:val="21"/>
                    </w:rPr>
                  </w:pPr>
                </w:p>
              </w:tc>
              <w:tc>
                <w:tcPr>
                  <w:tcW w:w="427" w:type="pct"/>
                  <w:vMerge w:val="continue"/>
                  <w:shd w:val="clear" w:color="auto" w:fill="auto"/>
                  <w:vAlign w:val="center"/>
                </w:tcPr>
                <w:p>
                  <w:pPr>
                    <w:widowControl/>
                    <w:spacing w:line="36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58" w:type="pct"/>
                  <w:vMerge w:val="restart"/>
                  <w:shd w:val="clear" w:color="auto" w:fill="auto"/>
                  <w:vAlign w:val="center"/>
                </w:tcPr>
                <w:p>
                  <w:pPr>
                    <w:widowControl/>
                    <w:spacing w:line="360" w:lineRule="exact"/>
                    <w:jc w:val="center"/>
                    <w:rPr>
                      <w:color w:val="000000"/>
                      <w:kern w:val="0"/>
                      <w:szCs w:val="21"/>
                    </w:rPr>
                  </w:pPr>
                  <w:r>
                    <w:rPr>
                      <w:color w:val="000000"/>
                      <w:kern w:val="0"/>
                      <w:szCs w:val="21"/>
                    </w:rPr>
                    <w:t>新野县监测站</w:t>
                  </w:r>
                </w:p>
              </w:tc>
              <w:tc>
                <w:tcPr>
                  <w:tcW w:w="510" w:type="pct"/>
                  <w:vMerge w:val="restart"/>
                  <w:shd w:val="clear" w:color="auto" w:fill="auto"/>
                  <w:vAlign w:val="center"/>
                </w:tcPr>
                <w:p>
                  <w:pPr>
                    <w:widowControl/>
                    <w:spacing w:line="360" w:lineRule="exact"/>
                    <w:jc w:val="center"/>
                    <w:rPr>
                      <w:color w:val="000000"/>
                      <w:kern w:val="0"/>
                      <w:szCs w:val="21"/>
                    </w:rPr>
                  </w:pPr>
                  <w:r>
                    <w:rPr>
                      <w:color w:val="000000"/>
                      <w:kern w:val="0"/>
                      <w:szCs w:val="21"/>
                    </w:rPr>
                    <w:t>111°36′58.5″</w:t>
                  </w:r>
                </w:p>
              </w:tc>
              <w:tc>
                <w:tcPr>
                  <w:tcW w:w="444" w:type="pct"/>
                  <w:vMerge w:val="restart"/>
                  <w:shd w:val="clear" w:color="auto" w:fill="auto"/>
                  <w:vAlign w:val="center"/>
                </w:tcPr>
                <w:p>
                  <w:pPr>
                    <w:widowControl/>
                    <w:spacing w:line="360" w:lineRule="exact"/>
                    <w:jc w:val="center"/>
                    <w:rPr>
                      <w:color w:val="000000"/>
                      <w:kern w:val="0"/>
                      <w:szCs w:val="21"/>
                    </w:rPr>
                  </w:pPr>
                  <w:r>
                    <w:rPr>
                      <w:color w:val="000000"/>
                      <w:kern w:val="0"/>
                      <w:szCs w:val="21"/>
                    </w:rPr>
                    <w:t>32°54′37.6″</w:t>
                  </w:r>
                </w:p>
              </w:tc>
              <w:tc>
                <w:tcPr>
                  <w:tcW w:w="519" w:type="pct"/>
                  <w:vMerge w:val="restart"/>
                  <w:shd w:val="clear" w:color="auto" w:fill="auto"/>
                  <w:vAlign w:val="center"/>
                </w:tcPr>
                <w:p>
                  <w:pPr>
                    <w:widowControl/>
                    <w:spacing w:line="360" w:lineRule="exact"/>
                    <w:jc w:val="center"/>
                    <w:rPr>
                      <w:color w:val="000000"/>
                      <w:kern w:val="0"/>
                      <w:szCs w:val="21"/>
                    </w:rPr>
                  </w:pPr>
                  <w:r>
                    <w:rPr>
                      <w:color w:val="000000"/>
                      <w:kern w:val="0"/>
                      <w:szCs w:val="21"/>
                    </w:rPr>
                    <w:t>SO</w:t>
                  </w:r>
                  <w:r>
                    <w:rPr>
                      <w:color w:val="000000"/>
                      <w:kern w:val="0"/>
                      <w:szCs w:val="21"/>
                      <w:vertAlign w:val="subscript"/>
                    </w:rPr>
                    <w:t>2</w:t>
                  </w:r>
                </w:p>
              </w:tc>
              <w:tc>
                <w:tcPr>
                  <w:tcW w:w="951" w:type="pct"/>
                  <w:shd w:val="clear" w:color="auto" w:fill="auto"/>
                  <w:vAlign w:val="center"/>
                </w:tcPr>
                <w:p>
                  <w:pPr>
                    <w:widowControl/>
                    <w:spacing w:line="360" w:lineRule="exact"/>
                    <w:jc w:val="center"/>
                    <w:rPr>
                      <w:color w:val="000000"/>
                      <w:kern w:val="0"/>
                      <w:szCs w:val="21"/>
                    </w:rPr>
                  </w:pPr>
                  <w:r>
                    <w:rPr>
                      <w:color w:val="000000"/>
                      <w:kern w:val="0"/>
                      <w:szCs w:val="21"/>
                    </w:rPr>
                    <w:t>24小时平均第98百分</w:t>
                  </w:r>
                  <w:r>
                    <w:rPr>
                      <w:rFonts w:hint="eastAsia"/>
                      <w:color w:val="000000"/>
                      <w:kern w:val="0"/>
                      <w:szCs w:val="21"/>
                    </w:rPr>
                    <w:t>位数</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150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28</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19%</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continue"/>
                  <w:shd w:val="clear" w:color="auto" w:fill="auto"/>
                  <w:vAlign w:val="center"/>
                </w:tcPr>
                <w:p>
                  <w:pPr>
                    <w:widowControl/>
                    <w:spacing w:line="360" w:lineRule="exact"/>
                    <w:jc w:val="center"/>
                    <w:rPr>
                      <w:color w:val="000000"/>
                      <w:kern w:val="0"/>
                      <w:szCs w:val="21"/>
                    </w:rPr>
                  </w:pP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年平均</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60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9.39</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16%</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restart"/>
                  <w:shd w:val="clear" w:color="auto" w:fill="auto"/>
                  <w:vAlign w:val="center"/>
                </w:tcPr>
                <w:p>
                  <w:pPr>
                    <w:widowControl/>
                    <w:spacing w:line="360" w:lineRule="exact"/>
                    <w:jc w:val="center"/>
                    <w:rPr>
                      <w:color w:val="000000"/>
                      <w:kern w:val="0"/>
                      <w:szCs w:val="21"/>
                    </w:rPr>
                  </w:pPr>
                  <w:r>
                    <w:rPr>
                      <w:color w:val="000000"/>
                      <w:kern w:val="0"/>
                      <w:szCs w:val="21"/>
                    </w:rPr>
                    <w:t>NO</w:t>
                  </w:r>
                  <w:r>
                    <w:rPr>
                      <w:color w:val="000000"/>
                      <w:kern w:val="0"/>
                      <w:szCs w:val="21"/>
                      <w:vertAlign w:val="subscript"/>
                    </w:rPr>
                    <w:t>2</w:t>
                  </w:r>
                </w:p>
              </w:tc>
              <w:tc>
                <w:tcPr>
                  <w:tcW w:w="951" w:type="pct"/>
                  <w:shd w:val="clear" w:color="auto" w:fill="auto"/>
                  <w:vAlign w:val="center"/>
                </w:tcPr>
                <w:p>
                  <w:pPr>
                    <w:widowControl/>
                    <w:spacing w:line="360" w:lineRule="exact"/>
                    <w:jc w:val="center"/>
                    <w:rPr>
                      <w:color w:val="000000"/>
                      <w:kern w:val="0"/>
                      <w:szCs w:val="21"/>
                    </w:rPr>
                  </w:pPr>
                  <w:r>
                    <w:rPr>
                      <w:color w:val="000000"/>
                      <w:kern w:val="0"/>
                      <w:szCs w:val="21"/>
                    </w:rPr>
                    <w:t>24小时平均第98百分</w:t>
                  </w:r>
                  <w:r>
                    <w:rPr>
                      <w:rFonts w:hint="eastAsia"/>
                      <w:color w:val="000000"/>
                      <w:kern w:val="0"/>
                      <w:szCs w:val="21"/>
                    </w:rPr>
                    <w:t>位数</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80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65</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81%</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continue"/>
                  <w:shd w:val="clear" w:color="auto" w:fill="auto"/>
                  <w:vAlign w:val="center"/>
                </w:tcPr>
                <w:p>
                  <w:pPr>
                    <w:widowControl/>
                    <w:spacing w:line="360" w:lineRule="exact"/>
                    <w:jc w:val="center"/>
                    <w:rPr>
                      <w:color w:val="000000"/>
                      <w:kern w:val="0"/>
                      <w:szCs w:val="21"/>
                    </w:rPr>
                  </w:pP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年平均</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40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37.25</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93%</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restart"/>
                  <w:shd w:val="clear" w:color="auto" w:fill="auto"/>
                  <w:vAlign w:val="center"/>
                </w:tcPr>
                <w:p>
                  <w:pPr>
                    <w:widowControl/>
                    <w:spacing w:line="360" w:lineRule="exact"/>
                    <w:jc w:val="center"/>
                    <w:rPr>
                      <w:color w:val="000000"/>
                      <w:kern w:val="0"/>
                      <w:szCs w:val="21"/>
                    </w:rPr>
                  </w:pPr>
                  <w:r>
                    <w:rPr>
                      <w:color w:val="000000"/>
                      <w:kern w:val="0"/>
                      <w:szCs w:val="21"/>
                    </w:rPr>
                    <w:t>PM</w:t>
                  </w:r>
                  <w:r>
                    <w:rPr>
                      <w:color w:val="000000"/>
                      <w:kern w:val="0"/>
                      <w:szCs w:val="21"/>
                      <w:vertAlign w:val="subscript"/>
                    </w:rPr>
                    <w:t>10</w:t>
                  </w: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24小时平均第95百分位数</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150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195</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130%</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continue"/>
                  <w:shd w:val="clear" w:color="auto" w:fill="auto"/>
                  <w:vAlign w:val="center"/>
                </w:tcPr>
                <w:p>
                  <w:pPr>
                    <w:widowControl/>
                    <w:spacing w:line="360" w:lineRule="exact"/>
                    <w:jc w:val="center"/>
                    <w:rPr>
                      <w:color w:val="000000"/>
                      <w:kern w:val="0"/>
                      <w:szCs w:val="21"/>
                    </w:rPr>
                  </w:pP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年平均</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70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101.27</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145%</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restart"/>
                  <w:shd w:val="clear" w:color="auto" w:fill="auto"/>
                  <w:vAlign w:val="center"/>
                </w:tcPr>
                <w:p>
                  <w:pPr>
                    <w:widowControl/>
                    <w:spacing w:line="360" w:lineRule="exact"/>
                    <w:jc w:val="center"/>
                    <w:rPr>
                      <w:color w:val="000000"/>
                      <w:kern w:val="0"/>
                      <w:szCs w:val="21"/>
                    </w:rPr>
                  </w:pPr>
                  <w:r>
                    <w:rPr>
                      <w:color w:val="000000"/>
                      <w:kern w:val="0"/>
                      <w:szCs w:val="21"/>
                    </w:rPr>
                    <w:t>PM</w:t>
                  </w:r>
                  <w:r>
                    <w:rPr>
                      <w:color w:val="000000"/>
                      <w:kern w:val="0"/>
                      <w:szCs w:val="21"/>
                      <w:vertAlign w:val="subscript"/>
                    </w:rPr>
                    <w:t>2.5</w:t>
                  </w: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24小时平均第95百分位数</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75</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116</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155%</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vMerge w:val="continue"/>
                  <w:shd w:val="clear" w:color="auto" w:fill="auto"/>
                  <w:vAlign w:val="center"/>
                </w:tcPr>
                <w:p>
                  <w:pPr>
                    <w:widowControl/>
                    <w:spacing w:line="360" w:lineRule="exact"/>
                    <w:jc w:val="center"/>
                    <w:rPr>
                      <w:color w:val="000000"/>
                      <w:kern w:val="0"/>
                      <w:szCs w:val="21"/>
                    </w:rPr>
                  </w:pP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年平均</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35</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51.24</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146%</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shd w:val="clear" w:color="auto" w:fill="auto"/>
                  <w:vAlign w:val="center"/>
                </w:tcPr>
                <w:p>
                  <w:pPr>
                    <w:widowControl/>
                    <w:spacing w:line="360" w:lineRule="exact"/>
                    <w:jc w:val="center"/>
                    <w:rPr>
                      <w:color w:val="000000"/>
                      <w:kern w:val="0"/>
                      <w:szCs w:val="21"/>
                    </w:rPr>
                  </w:pPr>
                  <w:r>
                    <w:rPr>
                      <w:color w:val="000000"/>
                      <w:kern w:val="0"/>
                      <w:szCs w:val="21"/>
                    </w:rPr>
                    <w:t>CO</w:t>
                  </w: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24小时平均第95百分位数</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4</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1.72</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43%</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8" w:type="pct"/>
                  <w:vMerge w:val="continue"/>
                  <w:shd w:val="clear" w:color="auto" w:fill="auto"/>
                  <w:vAlign w:val="center"/>
                </w:tcPr>
                <w:p>
                  <w:pPr>
                    <w:widowControl/>
                    <w:spacing w:line="360" w:lineRule="exact"/>
                    <w:jc w:val="center"/>
                    <w:rPr>
                      <w:color w:val="000000"/>
                      <w:kern w:val="0"/>
                      <w:szCs w:val="21"/>
                    </w:rPr>
                  </w:pPr>
                </w:p>
              </w:tc>
              <w:tc>
                <w:tcPr>
                  <w:tcW w:w="510" w:type="pct"/>
                  <w:vMerge w:val="continue"/>
                  <w:shd w:val="clear" w:color="auto" w:fill="auto"/>
                  <w:vAlign w:val="center"/>
                </w:tcPr>
                <w:p>
                  <w:pPr>
                    <w:widowControl/>
                    <w:spacing w:line="360" w:lineRule="exact"/>
                    <w:jc w:val="center"/>
                    <w:rPr>
                      <w:color w:val="000000"/>
                      <w:kern w:val="0"/>
                      <w:szCs w:val="21"/>
                    </w:rPr>
                  </w:pPr>
                </w:p>
              </w:tc>
              <w:tc>
                <w:tcPr>
                  <w:tcW w:w="444" w:type="pct"/>
                  <w:vMerge w:val="continue"/>
                  <w:shd w:val="clear" w:color="auto" w:fill="auto"/>
                  <w:vAlign w:val="center"/>
                </w:tcPr>
                <w:p>
                  <w:pPr>
                    <w:widowControl/>
                    <w:spacing w:line="360" w:lineRule="exact"/>
                    <w:jc w:val="center"/>
                    <w:rPr>
                      <w:color w:val="000000"/>
                      <w:kern w:val="0"/>
                      <w:szCs w:val="21"/>
                    </w:rPr>
                  </w:pPr>
                </w:p>
              </w:tc>
              <w:tc>
                <w:tcPr>
                  <w:tcW w:w="519" w:type="pct"/>
                  <w:shd w:val="clear" w:color="auto" w:fill="auto"/>
                  <w:vAlign w:val="center"/>
                </w:tcPr>
                <w:p>
                  <w:pPr>
                    <w:widowControl/>
                    <w:spacing w:line="360" w:lineRule="exact"/>
                    <w:jc w:val="center"/>
                    <w:rPr>
                      <w:color w:val="000000"/>
                      <w:kern w:val="0"/>
                      <w:szCs w:val="21"/>
                    </w:rPr>
                  </w:pPr>
                  <w:r>
                    <w:rPr>
                      <w:color w:val="000000"/>
                      <w:kern w:val="0"/>
                      <w:szCs w:val="21"/>
                    </w:rPr>
                    <w:t>O</w:t>
                  </w:r>
                  <w:r>
                    <w:rPr>
                      <w:color w:val="000000"/>
                      <w:kern w:val="0"/>
                      <w:szCs w:val="21"/>
                      <w:vertAlign w:val="subscript"/>
                    </w:rPr>
                    <w:t>3</w:t>
                  </w:r>
                </w:p>
              </w:tc>
              <w:tc>
                <w:tcPr>
                  <w:tcW w:w="951" w:type="pct"/>
                  <w:shd w:val="clear" w:color="auto" w:fill="auto"/>
                  <w:vAlign w:val="center"/>
                </w:tcPr>
                <w:p>
                  <w:pPr>
                    <w:widowControl/>
                    <w:spacing w:line="360" w:lineRule="exact"/>
                    <w:jc w:val="center"/>
                    <w:rPr>
                      <w:color w:val="000000"/>
                      <w:kern w:val="0"/>
                      <w:szCs w:val="21"/>
                    </w:rPr>
                  </w:pPr>
                  <w:r>
                    <w:rPr>
                      <w:rFonts w:hint="eastAsia"/>
                      <w:color w:val="000000"/>
                      <w:kern w:val="0"/>
                      <w:szCs w:val="21"/>
                    </w:rPr>
                    <w:t>日最大8h滑动平均值的第90百分位数</w:t>
                  </w:r>
                </w:p>
              </w:tc>
              <w:tc>
                <w:tcPr>
                  <w:tcW w:w="628" w:type="pct"/>
                  <w:shd w:val="clear" w:color="auto" w:fill="auto"/>
                  <w:vAlign w:val="center"/>
                </w:tcPr>
                <w:p>
                  <w:pPr>
                    <w:widowControl/>
                    <w:spacing w:line="360" w:lineRule="exact"/>
                    <w:jc w:val="center"/>
                    <w:rPr>
                      <w:color w:val="000000"/>
                      <w:kern w:val="0"/>
                      <w:szCs w:val="21"/>
                    </w:rPr>
                  </w:pPr>
                  <w:r>
                    <w:rPr>
                      <w:color w:val="000000"/>
                      <w:kern w:val="0"/>
                      <w:szCs w:val="21"/>
                    </w:rPr>
                    <w:t>160</w:t>
                  </w:r>
                </w:p>
              </w:tc>
              <w:tc>
                <w:tcPr>
                  <w:tcW w:w="606" w:type="pct"/>
                  <w:shd w:val="clear" w:color="auto" w:fill="auto"/>
                  <w:vAlign w:val="center"/>
                </w:tcPr>
                <w:p>
                  <w:pPr>
                    <w:widowControl/>
                    <w:spacing w:line="360" w:lineRule="exact"/>
                    <w:jc w:val="center"/>
                    <w:rPr>
                      <w:color w:val="000000"/>
                      <w:kern w:val="0"/>
                      <w:szCs w:val="21"/>
                    </w:rPr>
                  </w:pPr>
                  <w:r>
                    <w:rPr>
                      <w:color w:val="000000"/>
                      <w:kern w:val="0"/>
                      <w:szCs w:val="21"/>
                    </w:rPr>
                    <w:t>141</w:t>
                  </w:r>
                </w:p>
              </w:tc>
              <w:tc>
                <w:tcPr>
                  <w:tcW w:w="558" w:type="pct"/>
                  <w:shd w:val="clear" w:color="auto" w:fill="auto"/>
                  <w:vAlign w:val="center"/>
                </w:tcPr>
                <w:p>
                  <w:pPr>
                    <w:widowControl/>
                    <w:spacing w:line="360" w:lineRule="exact"/>
                    <w:jc w:val="center"/>
                    <w:rPr>
                      <w:color w:val="000000"/>
                      <w:kern w:val="0"/>
                      <w:szCs w:val="21"/>
                    </w:rPr>
                  </w:pPr>
                  <w:r>
                    <w:rPr>
                      <w:color w:val="000000"/>
                      <w:kern w:val="0"/>
                      <w:szCs w:val="21"/>
                    </w:rPr>
                    <w:t>88%</w:t>
                  </w:r>
                </w:p>
              </w:tc>
              <w:tc>
                <w:tcPr>
                  <w:tcW w:w="427" w:type="pct"/>
                  <w:shd w:val="clear" w:color="auto" w:fill="auto"/>
                  <w:vAlign w:val="center"/>
                </w:tcPr>
                <w:p>
                  <w:pPr>
                    <w:widowControl/>
                    <w:spacing w:line="360" w:lineRule="exact"/>
                    <w:jc w:val="center"/>
                    <w:rPr>
                      <w:color w:val="000000"/>
                      <w:kern w:val="0"/>
                      <w:szCs w:val="21"/>
                    </w:rPr>
                  </w:pPr>
                  <w:r>
                    <w:rPr>
                      <w:color w:val="000000"/>
                      <w:kern w:val="0"/>
                      <w:szCs w:val="21"/>
                    </w:rPr>
                    <w:t>达标</w:t>
                  </w:r>
                </w:p>
              </w:tc>
            </w:tr>
          </w:tbl>
          <w:p>
            <w:pPr>
              <w:tabs>
                <w:tab w:val="left" w:pos="1081"/>
              </w:tabs>
              <w:adjustRightInd w:val="0"/>
              <w:snapToGrid w:val="0"/>
              <w:spacing w:line="360" w:lineRule="auto"/>
              <w:ind w:firstLine="480" w:firstLineChars="200"/>
              <w:rPr>
                <w:sz w:val="24"/>
              </w:rPr>
            </w:pPr>
            <w:r>
              <w:rPr>
                <w:rFonts w:hint="eastAsia"/>
                <w:sz w:val="24"/>
              </w:rPr>
              <w:t>由上表分析</w:t>
            </w:r>
            <w:r>
              <w:rPr>
                <w:sz w:val="24"/>
              </w:rPr>
              <w:t>可</w:t>
            </w:r>
            <w:r>
              <w:rPr>
                <w:rFonts w:hint="eastAsia"/>
                <w:sz w:val="24"/>
              </w:rPr>
              <w:t>知，新野县</w:t>
            </w:r>
            <w:r>
              <w:rPr>
                <w:sz w:val="24"/>
              </w:rPr>
              <w:t>2019年环境空气中SO</w:t>
            </w:r>
            <w:r>
              <w:rPr>
                <w:sz w:val="24"/>
                <w:vertAlign w:val="subscript"/>
              </w:rPr>
              <w:t>2</w:t>
            </w:r>
            <w:r>
              <w:rPr>
                <w:rFonts w:hint="eastAsia"/>
                <w:sz w:val="24"/>
              </w:rPr>
              <w:t>、</w:t>
            </w:r>
            <w:r>
              <w:rPr>
                <w:sz w:val="24"/>
              </w:rPr>
              <w:t>NO</w:t>
            </w:r>
            <w:r>
              <w:rPr>
                <w:sz w:val="24"/>
                <w:vertAlign w:val="subscript"/>
              </w:rPr>
              <w:t>2</w:t>
            </w:r>
            <w:r>
              <w:rPr>
                <w:rFonts w:hint="eastAsia"/>
                <w:sz w:val="24"/>
              </w:rPr>
              <w:t>年均浓度和保证率日均浓度以及</w:t>
            </w:r>
            <w:r>
              <w:rPr>
                <w:sz w:val="24"/>
              </w:rPr>
              <w:t>CO和O</w:t>
            </w:r>
            <w:r>
              <w:rPr>
                <w:sz w:val="24"/>
                <w:vertAlign w:val="subscript"/>
              </w:rPr>
              <w:t>3</w:t>
            </w:r>
            <w:r>
              <w:rPr>
                <w:rFonts w:hint="eastAsia"/>
                <w:sz w:val="24"/>
              </w:rPr>
              <w:t>保证率日均浓度均能够满足《环境空气质量标准》</w:t>
            </w:r>
            <w:r>
              <w:rPr>
                <w:sz w:val="24"/>
              </w:rPr>
              <w:t>（GB3095-2012）</w:t>
            </w:r>
            <w:r>
              <w:rPr>
                <w:rFonts w:hint="eastAsia"/>
                <w:sz w:val="24"/>
              </w:rPr>
              <w:t>二级标准要求；</w:t>
            </w:r>
            <w:r>
              <w:rPr>
                <w:sz w:val="24"/>
              </w:rPr>
              <w:t>PM</w:t>
            </w:r>
            <w:r>
              <w:rPr>
                <w:sz w:val="24"/>
                <w:vertAlign w:val="subscript"/>
              </w:rPr>
              <w:t>10</w:t>
            </w:r>
            <w:r>
              <w:rPr>
                <w:sz w:val="24"/>
              </w:rPr>
              <w:t>、PM</w:t>
            </w:r>
            <w:r>
              <w:rPr>
                <w:sz w:val="24"/>
                <w:vertAlign w:val="subscript"/>
              </w:rPr>
              <w:t>2.5</w:t>
            </w:r>
            <w:r>
              <w:rPr>
                <w:rFonts w:hint="eastAsia"/>
                <w:sz w:val="24"/>
              </w:rPr>
              <w:t>年均浓度和保证率日均浓度均不能够满足《环境空气质量标准》</w:t>
            </w:r>
            <w:r>
              <w:rPr>
                <w:sz w:val="24"/>
              </w:rPr>
              <w:t>（GB3095-2012）</w:t>
            </w:r>
            <w:r>
              <w:rPr>
                <w:rFonts w:hint="eastAsia"/>
                <w:sz w:val="24"/>
              </w:rPr>
              <w:t>二级标准要求，因此项目所在区域环境空气质量现状判定为不达标区。</w:t>
            </w:r>
          </w:p>
          <w:p>
            <w:pPr>
              <w:tabs>
                <w:tab w:val="left" w:pos="1081"/>
              </w:tabs>
              <w:adjustRightInd w:val="0"/>
              <w:snapToGrid w:val="0"/>
              <w:spacing w:line="360" w:lineRule="auto"/>
              <w:ind w:firstLine="482" w:firstLineChars="200"/>
              <w:jc w:val="left"/>
              <w:rPr>
                <w:rFonts w:eastAsiaTheme="minorEastAsia"/>
                <w:b/>
                <w:sz w:val="24"/>
                <w:szCs w:val="24"/>
              </w:rPr>
            </w:pPr>
            <w:r>
              <w:rPr>
                <w:rFonts w:hint="eastAsia" w:eastAsiaTheme="minorEastAsia"/>
                <w:b/>
                <w:sz w:val="24"/>
                <w:szCs w:val="24"/>
              </w:rPr>
              <w:t>2、</w:t>
            </w:r>
            <w:r>
              <w:rPr>
                <w:rFonts w:eastAsiaTheme="minorEastAsia"/>
                <w:b/>
                <w:sz w:val="24"/>
                <w:szCs w:val="24"/>
              </w:rPr>
              <w:t>地表水环境质量现状</w:t>
            </w:r>
          </w:p>
          <w:p>
            <w:pPr>
              <w:tabs>
                <w:tab w:val="left" w:pos="1081"/>
              </w:tabs>
              <w:adjustRightInd w:val="0"/>
              <w:snapToGrid w:val="0"/>
              <w:spacing w:line="360" w:lineRule="auto"/>
              <w:ind w:firstLine="480" w:firstLineChars="200"/>
              <w:rPr>
                <w:color w:val="000000"/>
                <w:sz w:val="24"/>
              </w:rPr>
            </w:pPr>
            <w:r>
              <w:rPr>
                <w:rFonts w:hint="eastAsia"/>
                <w:color w:val="000000"/>
                <w:sz w:val="24"/>
              </w:rPr>
              <w:t>项目区附近主要地表水体为东侧165m的白河。项目区雨水经厂区雨水收集系统收集后向东排入白河。</w:t>
            </w:r>
            <w:r>
              <w:rPr>
                <w:color w:val="000000"/>
                <w:sz w:val="24"/>
              </w:rPr>
              <w:t>根据南阳市地表水环境功能区划及</w:t>
            </w:r>
            <w:r>
              <w:rPr>
                <w:rFonts w:hint="eastAsia"/>
                <w:color w:val="000000"/>
                <w:sz w:val="24"/>
              </w:rPr>
              <w:t>相关</w:t>
            </w:r>
            <w:r>
              <w:rPr>
                <w:color w:val="000000"/>
                <w:sz w:val="24"/>
              </w:rPr>
              <w:t>环保政策要求</w:t>
            </w:r>
            <w:r>
              <w:rPr>
                <w:rFonts w:hint="eastAsia"/>
                <w:color w:val="000000"/>
                <w:sz w:val="24"/>
              </w:rPr>
              <w:t>，</w:t>
            </w:r>
            <w:r>
              <w:rPr>
                <w:color w:val="000000"/>
                <w:sz w:val="24"/>
              </w:rPr>
              <w:t>白河评价河段</w:t>
            </w:r>
            <w:r>
              <w:rPr>
                <w:rFonts w:hint="eastAsia"/>
                <w:color w:val="000000"/>
                <w:sz w:val="24"/>
              </w:rPr>
              <w:t>功能</w:t>
            </w:r>
            <w:r>
              <w:rPr>
                <w:color w:val="000000"/>
                <w:sz w:val="24"/>
              </w:rPr>
              <w:t>区划为《地表水环境质量标准》（GB3838-2002）</w:t>
            </w:r>
            <w:r>
              <w:rPr>
                <w:rFonts w:hint="eastAsia" w:ascii="宋体" w:hAnsi="宋体"/>
                <w:color w:val="000000"/>
                <w:sz w:val="24"/>
              </w:rPr>
              <w:t>Ⅲ</w:t>
            </w:r>
            <w:r>
              <w:rPr>
                <w:color w:val="000000"/>
                <w:sz w:val="24"/>
              </w:rPr>
              <w:t>类</w:t>
            </w:r>
            <w:r>
              <w:rPr>
                <w:rFonts w:hint="eastAsia"/>
                <w:color w:val="000000"/>
                <w:sz w:val="24"/>
              </w:rPr>
              <w:t>水体。根据南阳市环保局2019年10、11、12月对地表水的监测通报结果可知，白河评价河段地表水水质可以满足《地表水环境质量标准》（GB3838-2002）III类标准要求。</w:t>
            </w:r>
          </w:p>
          <w:p>
            <w:pPr>
              <w:tabs>
                <w:tab w:val="left" w:pos="1081"/>
              </w:tabs>
              <w:adjustRightInd w:val="0"/>
              <w:snapToGrid w:val="0"/>
              <w:spacing w:line="360" w:lineRule="auto"/>
              <w:ind w:firstLine="482" w:firstLineChars="200"/>
              <w:rPr>
                <w:b/>
                <w:sz w:val="24"/>
              </w:rPr>
            </w:pPr>
            <w:r>
              <w:rPr>
                <w:rFonts w:hint="eastAsia"/>
                <w:b/>
                <w:sz w:val="24"/>
              </w:rPr>
              <w:t>3、声</w:t>
            </w:r>
            <w:r>
              <w:rPr>
                <w:b/>
                <w:sz w:val="24"/>
              </w:rPr>
              <w:t>环境质量现状</w:t>
            </w:r>
          </w:p>
          <w:p>
            <w:pPr>
              <w:tabs>
                <w:tab w:val="left" w:pos="1081"/>
              </w:tabs>
              <w:adjustRightInd w:val="0"/>
              <w:snapToGrid w:val="0"/>
              <w:spacing w:line="360" w:lineRule="auto"/>
              <w:ind w:firstLine="480" w:firstLineChars="200"/>
              <w:rPr>
                <w:sz w:val="24"/>
              </w:rPr>
            </w:pPr>
            <w:r>
              <w:rPr>
                <w:color w:val="000000"/>
                <w:sz w:val="24"/>
              </w:rPr>
              <w:t>本项目位于</w:t>
            </w:r>
            <w:r>
              <w:rPr>
                <w:rFonts w:hint="eastAsia"/>
                <w:sz w:val="24"/>
                <w:szCs w:val="24"/>
              </w:rPr>
              <w:t>新野县上港乡香桥村</w:t>
            </w:r>
            <w:r>
              <w:rPr>
                <w:rFonts w:hint="eastAsia"/>
                <w:sz w:val="24"/>
              </w:rPr>
              <w:t>，根据现场监测数据可知，项目四周厂界及周围敏感点的噪声监测值可以满足《声环境质量标准》（GB3096-2008）2类区标准要求，区域声环境质量现状良好。具体监测结果见下表。</w:t>
            </w:r>
          </w:p>
          <w:p>
            <w:pPr>
              <w:adjustRightInd w:val="0"/>
              <w:snapToGrid w:val="0"/>
              <w:spacing w:line="360" w:lineRule="auto"/>
              <w:ind w:firstLine="482" w:firstLineChars="200"/>
              <w:jc w:val="center"/>
              <w:rPr>
                <w:b/>
                <w:color w:val="000000"/>
                <w:kern w:val="0"/>
                <w:sz w:val="24"/>
              </w:rPr>
            </w:pPr>
            <w:r>
              <w:rPr>
                <w:b/>
                <w:color w:val="000000"/>
                <w:kern w:val="0"/>
                <w:sz w:val="24"/>
              </w:rPr>
              <w:t>表</w:t>
            </w:r>
            <w:r>
              <w:rPr>
                <w:rFonts w:hint="eastAsia"/>
                <w:b/>
                <w:color w:val="000000"/>
                <w:kern w:val="0"/>
                <w:sz w:val="24"/>
              </w:rPr>
              <w:t xml:space="preserve">3-2 </w:t>
            </w:r>
            <w:r>
              <w:rPr>
                <w:b/>
                <w:color w:val="000000"/>
                <w:kern w:val="0"/>
                <w:sz w:val="24"/>
              </w:rPr>
              <w:t xml:space="preserve">   </w:t>
            </w:r>
            <w:r>
              <w:rPr>
                <w:rFonts w:hint="eastAsia"/>
                <w:b/>
                <w:color w:val="000000"/>
                <w:kern w:val="0"/>
                <w:sz w:val="24"/>
              </w:rPr>
              <w:t xml:space="preserve">   </w:t>
            </w:r>
            <w:r>
              <w:rPr>
                <w:b/>
                <w:color w:val="000000"/>
                <w:kern w:val="0"/>
                <w:sz w:val="24"/>
              </w:rPr>
              <w:t>项目区声环境质量现状一览表</w:t>
            </w:r>
            <w:r>
              <w:rPr>
                <w:rFonts w:hint="eastAsia"/>
                <w:b/>
                <w:color w:val="000000"/>
                <w:kern w:val="0"/>
                <w:sz w:val="24"/>
              </w:rPr>
              <w:t xml:space="preserve"> </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984"/>
              <w:gridCol w:w="2129"/>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28" w:type="pct"/>
                  <w:shd w:val="clear" w:color="auto" w:fill="auto"/>
                  <w:vAlign w:val="center"/>
                </w:tcPr>
                <w:p>
                  <w:pPr>
                    <w:pStyle w:val="69"/>
                    <w:spacing w:line="360" w:lineRule="exact"/>
                    <w:ind w:firstLine="0" w:firstLineChars="0"/>
                    <w:jc w:val="center"/>
                    <w:rPr>
                      <w:bCs/>
                      <w:color w:val="000000"/>
                      <w:szCs w:val="21"/>
                      <w:lang w:eastAsia="zh-CN"/>
                    </w:rPr>
                  </w:pPr>
                  <w:r>
                    <w:rPr>
                      <w:bCs/>
                      <w:color w:val="000000"/>
                      <w:szCs w:val="21"/>
                      <w:lang w:eastAsia="zh-CN"/>
                    </w:rPr>
                    <w:t>监测点</w:t>
                  </w: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监测时间</w:t>
                  </w:r>
                </w:p>
              </w:tc>
              <w:tc>
                <w:tcPr>
                  <w:tcW w:w="1310"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昼/夜dB（A）</w:t>
                  </w:r>
                </w:p>
              </w:tc>
              <w:tc>
                <w:tcPr>
                  <w:tcW w:w="1441"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标准值</w:t>
                  </w:r>
                  <w:r>
                    <w:rPr>
                      <w:rFonts w:hint="eastAsia"/>
                      <w:bCs/>
                      <w:color w:val="000000"/>
                      <w:szCs w:val="21"/>
                      <w:lang w:eastAsia="zh-CN"/>
                    </w:rPr>
                    <w:t>[昼/夜</w:t>
                  </w:r>
                  <w:r>
                    <w:rPr>
                      <w:bCs/>
                      <w:color w:val="000000"/>
                      <w:szCs w:val="21"/>
                      <w:lang w:eastAsia="zh-CN"/>
                    </w:rPr>
                    <w:t>dB</w:t>
                  </w:r>
                  <w:r>
                    <w:rPr>
                      <w:rFonts w:hint="eastAsia"/>
                      <w:bCs/>
                      <w:color w:val="000000"/>
                      <w:szCs w:val="21"/>
                      <w:lang w:eastAsia="zh-CN"/>
                    </w:rPr>
                    <w:t>(</w:t>
                  </w:r>
                  <w:r>
                    <w:rPr>
                      <w:bCs/>
                      <w:color w:val="000000"/>
                      <w:szCs w:val="21"/>
                      <w:lang w:eastAsia="zh-CN"/>
                    </w:rPr>
                    <w:t>A</w:t>
                  </w:r>
                  <w:r>
                    <w:rPr>
                      <w:rFonts w:hint="eastAsia"/>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8" w:type="pct"/>
                  <w:vMerge w:val="restart"/>
                  <w:shd w:val="clear" w:color="auto" w:fill="auto"/>
                  <w:vAlign w:val="center"/>
                </w:tcPr>
                <w:p>
                  <w:pPr>
                    <w:pStyle w:val="69"/>
                    <w:spacing w:line="360" w:lineRule="exact"/>
                    <w:ind w:firstLine="0" w:firstLineChars="0"/>
                    <w:jc w:val="center"/>
                    <w:rPr>
                      <w:bCs/>
                      <w:color w:val="000000"/>
                      <w:szCs w:val="21"/>
                      <w:lang w:eastAsia="zh-CN"/>
                    </w:rPr>
                  </w:pPr>
                  <w:r>
                    <w:rPr>
                      <w:bCs/>
                      <w:color w:val="000000"/>
                      <w:szCs w:val="21"/>
                      <w:lang w:eastAsia="zh-CN"/>
                    </w:rPr>
                    <w:t>东厂界</w:t>
                  </w: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2021.5.5</w:t>
                  </w:r>
                </w:p>
              </w:tc>
              <w:tc>
                <w:tcPr>
                  <w:tcW w:w="1310"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5</w:t>
                  </w:r>
                  <w:r>
                    <w:rPr>
                      <w:rFonts w:hint="eastAsia"/>
                      <w:bCs/>
                      <w:color w:val="000000"/>
                      <w:szCs w:val="21"/>
                      <w:lang w:eastAsia="zh-CN"/>
                    </w:rPr>
                    <w:t>2</w:t>
                  </w:r>
                  <w:r>
                    <w:rPr>
                      <w:bCs/>
                      <w:color w:val="000000"/>
                      <w:szCs w:val="21"/>
                      <w:lang w:eastAsia="zh-CN"/>
                    </w:rPr>
                    <w:t>.</w:t>
                  </w:r>
                  <w:r>
                    <w:rPr>
                      <w:rFonts w:hint="eastAsia"/>
                      <w:bCs/>
                      <w:color w:val="000000"/>
                      <w:szCs w:val="21"/>
                      <w:lang w:eastAsia="zh-CN"/>
                    </w:rPr>
                    <w:t>3</w:t>
                  </w:r>
                  <w:r>
                    <w:rPr>
                      <w:bCs/>
                      <w:color w:val="000000"/>
                      <w:szCs w:val="21"/>
                      <w:lang w:eastAsia="zh-CN"/>
                    </w:rPr>
                    <w:t>/4</w:t>
                  </w:r>
                  <w:r>
                    <w:rPr>
                      <w:rFonts w:hint="eastAsia"/>
                      <w:bCs/>
                      <w:color w:val="000000"/>
                      <w:szCs w:val="21"/>
                      <w:lang w:eastAsia="zh-CN"/>
                    </w:rPr>
                    <w:t>1</w:t>
                  </w:r>
                  <w:r>
                    <w:rPr>
                      <w:bCs/>
                      <w:color w:val="000000"/>
                      <w:szCs w:val="21"/>
                      <w:lang w:eastAsia="zh-CN"/>
                    </w:rPr>
                    <w:t>.</w:t>
                  </w:r>
                  <w:r>
                    <w:rPr>
                      <w:rFonts w:hint="eastAsia"/>
                      <w:bCs/>
                      <w:color w:val="000000"/>
                      <w:szCs w:val="21"/>
                      <w:lang w:eastAsia="zh-CN"/>
                    </w:rPr>
                    <w:t>3</w:t>
                  </w:r>
                </w:p>
              </w:tc>
              <w:tc>
                <w:tcPr>
                  <w:tcW w:w="1441" w:type="pct"/>
                  <w:vMerge w:val="restart"/>
                  <w:vAlign w:val="center"/>
                </w:tcPr>
                <w:p>
                  <w:pPr>
                    <w:pStyle w:val="69"/>
                    <w:spacing w:line="360" w:lineRule="exact"/>
                    <w:ind w:firstLine="0" w:firstLineChars="0"/>
                    <w:jc w:val="center"/>
                    <w:rPr>
                      <w:bCs/>
                      <w:color w:val="000000"/>
                      <w:szCs w:val="21"/>
                      <w:lang w:eastAsia="zh-CN"/>
                    </w:rPr>
                  </w:pPr>
                  <w:r>
                    <w:rPr>
                      <w:bCs/>
                      <w:color w:val="000000"/>
                      <w:szCs w:val="21"/>
                      <w:lang w:eastAsia="zh-CN"/>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28" w:type="pct"/>
                  <w:vMerge w:val="continue"/>
                  <w:shd w:val="clear" w:color="auto" w:fill="auto"/>
                  <w:vAlign w:val="center"/>
                </w:tcPr>
                <w:p>
                  <w:pPr>
                    <w:pStyle w:val="69"/>
                    <w:spacing w:line="360" w:lineRule="exact"/>
                    <w:ind w:firstLine="0" w:firstLineChars="0"/>
                    <w:jc w:val="center"/>
                    <w:rPr>
                      <w:bCs/>
                      <w:color w:val="000000"/>
                      <w:szCs w:val="21"/>
                      <w:lang w:eastAsia="zh-CN"/>
                    </w:rPr>
                  </w:pP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2021.5.6</w:t>
                  </w:r>
                </w:p>
              </w:tc>
              <w:tc>
                <w:tcPr>
                  <w:tcW w:w="1310"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5</w:t>
                  </w:r>
                  <w:r>
                    <w:rPr>
                      <w:rFonts w:hint="eastAsia"/>
                      <w:bCs/>
                      <w:color w:val="000000"/>
                      <w:szCs w:val="21"/>
                      <w:lang w:eastAsia="zh-CN"/>
                    </w:rPr>
                    <w:t>2</w:t>
                  </w:r>
                  <w:r>
                    <w:rPr>
                      <w:bCs/>
                      <w:color w:val="000000"/>
                      <w:szCs w:val="21"/>
                      <w:lang w:eastAsia="zh-CN"/>
                    </w:rPr>
                    <w:t>.</w:t>
                  </w:r>
                  <w:r>
                    <w:rPr>
                      <w:rFonts w:hint="eastAsia"/>
                      <w:bCs/>
                      <w:color w:val="000000"/>
                      <w:szCs w:val="21"/>
                      <w:lang w:eastAsia="zh-CN"/>
                    </w:rPr>
                    <w:t>7</w:t>
                  </w:r>
                  <w:r>
                    <w:rPr>
                      <w:bCs/>
                      <w:color w:val="000000"/>
                      <w:szCs w:val="21"/>
                      <w:lang w:eastAsia="zh-CN"/>
                    </w:rPr>
                    <w:t>/4</w:t>
                  </w:r>
                  <w:r>
                    <w:rPr>
                      <w:rFonts w:hint="eastAsia"/>
                      <w:bCs/>
                      <w:color w:val="000000"/>
                      <w:szCs w:val="21"/>
                      <w:lang w:eastAsia="zh-CN"/>
                    </w:rPr>
                    <w:t>1.5</w:t>
                  </w:r>
                </w:p>
              </w:tc>
              <w:tc>
                <w:tcPr>
                  <w:tcW w:w="1441" w:type="pct"/>
                  <w:vMerge w:val="continue"/>
                  <w:vAlign w:val="center"/>
                </w:tcPr>
                <w:p>
                  <w:pPr>
                    <w:pStyle w:val="69"/>
                    <w:spacing w:line="360" w:lineRule="exact"/>
                    <w:ind w:firstLine="0" w:firstLineChars="0"/>
                    <w:jc w:val="center"/>
                    <w:rPr>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8" w:type="pct"/>
                  <w:vMerge w:val="restart"/>
                  <w:shd w:val="clear" w:color="auto" w:fill="auto"/>
                  <w:vAlign w:val="center"/>
                </w:tcPr>
                <w:p>
                  <w:pPr>
                    <w:pStyle w:val="69"/>
                    <w:spacing w:line="360" w:lineRule="exact"/>
                    <w:ind w:firstLine="0" w:firstLineChars="0"/>
                    <w:jc w:val="center"/>
                    <w:rPr>
                      <w:bCs/>
                      <w:color w:val="000000"/>
                      <w:szCs w:val="21"/>
                      <w:lang w:eastAsia="zh-CN"/>
                    </w:rPr>
                  </w:pPr>
                  <w:r>
                    <w:rPr>
                      <w:bCs/>
                      <w:color w:val="000000"/>
                      <w:szCs w:val="21"/>
                      <w:lang w:eastAsia="zh-CN"/>
                    </w:rPr>
                    <w:t>南厂界</w:t>
                  </w: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2021.5.5</w:t>
                  </w:r>
                </w:p>
              </w:tc>
              <w:tc>
                <w:tcPr>
                  <w:tcW w:w="1310"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51.3</w:t>
                  </w:r>
                  <w:r>
                    <w:rPr>
                      <w:bCs/>
                      <w:color w:val="000000"/>
                      <w:szCs w:val="21"/>
                      <w:lang w:eastAsia="zh-CN"/>
                    </w:rPr>
                    <w:t>/</w:t>
                  </w:r>
                  <w:r>
                    <w:rPr>
                      <w:rFonts w:hint="eastAsia"/>
                      <w:bCs/>
                      <w:color w:val="000000"/>
                      <w:szCs w:val="21"/>
                      <w:lang w:eastAsia="zh-CN"/>
                    </w:rPr>
                    <w:t>41.2</w:t>
                  </w:r>
                </w:p>
              </w:tc>
              <w:tc>
                <w:tcPr>
                  <w:tcW w:w="1441" w:type="pct"/>
                  <w:vMerge w:val="restart"/>
                  <w:vAlign w:val="center"/>
                </w:tcPr>
                <w:p>
                  <w:pPr>
                    <w:pStyle w:val="69"/>
                    <w:spacing w:line="360" w:lineRule="exact"/>
                    <w:ind w:firstLine="0" w:firstLineChars="0"/>
                    <w:jc w:val="center"/>
                    <w:rPr>
                      <w:bCs/>
                      <w:color w:val="000000"/>
                      <w:szCs w:val="21"/>
                      <w:lang w:eastAsia="zh-CN"/>
                    </w:rPr>
                  </w:pPr>
                  <w:r>
                    <w:rPr>
                      <w:bCs/>
                      <w:color w:val="000000"/>
                      <w:szCs w:val="21"/>
                      <w:lang w:eastAsia="zh-CN"/>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28" w:type="pct"/>
                  <w:vMerge w:val="continue"/>
                  <w:shd w:val="clear" w:color="auto" w:fill="auto"/>
                  <w:vAlign w:val="center"/>
                </w:tcPr>
                <w:p>
                  <w:pPr>
                    <w:pStyle w:val="69"/>
                    <w:spacing w:line="360" w:lineRule="exact"/>
                    <w:ind w:firstLine="0" w:firstLineChars="0"/>
                    <w:jc w:val="center"/>
                    <w:rPr>
                      <w:bCs/>
                      <w:color w:val="000000"/>
                      <w:szCs w:val="21"/>
                      <w:lang w:eastAsia="zh-CN"/>
                    </w:rPr>
                  </w:pP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2021.5.6</w:t>
                  </w:r>
                </w:p>
              </w:tc>
              <w:tc>
                <w:tcPr>
                  <w:tcW w:w="1310"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5</w:t>
                  </w:r>
                  <w:r>
                    <w:rPr>
                      <w:rFonts w:hint="eastAsia"/>
                      <w:bCs/>
                      <w:color w:val="000000"/>
                      <w:szCs w:val="21"/>
                      <w:lang w:eastAsia="zh-CN"/>
                    </w:rPr>
                    <w:t>1.7</w:t>
                  </w:r>
                  <w:r>
                    <w:rPr>
                      <w:bCs/>
                      <w:color w:val="000000"/>
                      <w:szCs w:val="21"/>
                      <w:lang w:eastAsia="zh-CN"/>
                    </w:rPr>
                    <w:t>/4</w:t>
                  </w:r>
                  <w:r>
                    <w:rPr>
                      <w:rFonts w:hint="eastAsia"/>
                      <w:bCs/>
                      <w:color w:val="000000"/>
                      <w:szCs w:val="21"/>
                      <w:lang w:eastAsia="zh-CN"/>
                    </w:rPr>
                    <w:t>1</w:t>
                  </w:r>
                  <w:r>
                    <w:rPr>
                      <w:bCs/>
                      <w:color w:val="000000"/>
                      <w:szCs w:val="21"/>
                      <w:lang w:eastAsia="zh-CN"/>
                    </w:rPr>
                    <w:t>.</w:t>
                  </w:r>
                  <w:r>
                    <w:rPr>
                      <w:rFonts w:hint="eastAsia"/>
                      <w:bCs/>
                      <w:color w:val="000000"/>
                      <w:szCs w:val="21"/>
                      <w:lang w:eastAsia="zh-CN"/>
                    </w:rPr>
                    <w:t>8</w:t>
                  </w:r>
                </w:p>
              </w:tc>
              <w:tc>
                <w:tcPr>
                  <w:tcW w:w="1441" w:type="pct"/>
                  <w:vMerge w:val="continue"/>
                  <w:vAlign w:val="center"/>
                </w:tcPr>
                <w:p>
                  <w:pPr>
                    <w:pStyle w:val="69"/>
                    <w:spacing w:line="360" w:lineRule="exact"/>
                    <w:ind w:firstLine="0" w:firstLineChars="0"/>
                    <w:jc w:val="center"/>
                    <w:rPr>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8" w:type="pct"/>
                  <w:vMerge w:val="restart"/>
                  <w:shd w:val="clear" w:color="auto" w:fill="auto"/>
                  <w:vAlign w:val="center"/>
                </w:tcPr>
                <w:p>
                  <w:pPr>
                    <w:pStyle w:val="69"/>
                    <w:spacing w:line="360" w:lineRule="exact"/>
                    <w:ind w:firstLine="0" w:firstLineChars="0"/>
                    <w:jc w:val="center"/>
                    <w:rPr>
                      <w:bCs/>
                      <w:color w:val="000000"/>
                      <w:szCs w:val="21"/>
                      <w:lang w:eastAsia="zh-CN"/>
                    </w:rPr>
                  </w:pPr>
                  <w:r>
                    <w:rPr>
                      <w:bCs/>
                      <w:color w:val="000000"/>
                      <w:szCs w:val="21"/>
                      <w:lang w:eastAsia="zh-CN"/>
                    </w:rPr>
                    <w:t>西厂界</w:t>
                  </w: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2021.5.5</w:t>
                  </w:r>
                </w:p>
              </w:tc>
              <w:tc>
                <w:tcPr>
                  <w:tcW w:w="1310"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52</w:t>
                  </w:r>
                  <w:r>
                    <w:rPr>
                      <w:bCs/>
                      <w:color w:val="000000"/>
                      <w:szCs w:val="21"/>
                      <w:lang w:eastAsia="zh-CN"/>
                    </w:rPr>
                    <w:t>.</w:t>
                  </w:r>
                  <w:r>
                    <w:rPr>
                      <w:rFonts w:hint="eastAsia"/>
                      <w:bCs/>
                      <w:color w:val="000000"/>
                      <w:szCs w:val="21"/>
                      <w:lang w:eastAsia="zh-CN"/>
                    </w:rPr>
                    <w:t>5</w:t>
                  </w:r>
                  <w:r>
                    <w:rPr>
                      <w:bCs/>
                      <w:color w:val="000000"/>
                      <w:szCs w:val="21"/>
                      <w:lang w:eastAsia="zh-CN"/>
                    </w:rPr>
                    <w:t>/</w:t>
                  </w:r>
                  <w:r>
                    <w:rPr>
                      <w:rFonts w:hint="eastAsia"/>
                      <w:bCs/>
                      <w:color w:val="000000"/>
                      <w:szCs w:val="21"/>
                      <w:lang w:eastAsia="zh-CN"/>
                    </w:rPr>
                    <w:t>42.1</w:t>
                  </w:r>
                </w:p>
              </w:tc>
              <w:tc>
                <w:tcPr>
                  <w:tcW w:w="1441" w:type="pct"/>
                  <w:vMerge w:val="restart"/>
                  <w:vAlign w:val="center"/>
                </w:tcPr>
                <w:p>
                  <w:pPr>
                    <w:pStyle w:val="69"/>
                    <w:spacing w:line="360" w:lineRule="exact"/>
                    <w:ind w:firstLine="0" w:firstLineChars="0"/>
                    <w:jc w:val="center"/>
                    <w:rPr>
                      <w:bCs/>
                      <w:color w:val="000000"/>
                      <w:szCs w:val="21"/>
                      <w:lang w:eastAsia="zh-CN"/>
                    </w:rPr>
                  </w:pPr>
                  <w:r>
                    <w:rPr>
                      <w:bCs/>
                      <w:color w:val="000000"/>
                      <w:szCs w:val="21"/>
                      <w:lang w:eastAsia="zh-CN"/>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28" w:type="pct"/>
                  <w:vMerge w:val="continue"/>
                  <w:shd w:val="clear" w:color="auto" w:fill="auto"/>
                  <w:vAlign w:val="center"/>
                </w:tcPr>
                <w:p>
                  <w:pPr>
                    <w:pStyle w:val="69"/>
                    <w:spacing w:line="360" w:lineRule="exact"/>
                    <w:ind w:firstLine="0" w:firstLineChars="0"/>
                    <w:jc w:val="center"/>
                    <w:rPr>
                      <w:bCs/>
                      <w:color w:val="000000"/>
                      <w:szCs w:val="21"/>
                      <w:lang w:eastAsia="zh-CN"/>
                    </w:rPr>
                  </w:pP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2021.5.6</w:t>
                  </w:r>
                </w:p>
              </w:tc>
              <w:tc>
                <w:tcPr>
                  <w:tcW w:w="1310"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52.3</w:t>
                  </w:r>
                  <w:r>
                    <w:rPr>
                      <w:bCs/>
                      <w:color w:val="000000"/>
                      <w:szCs w:val="21"/>
                      <w:lang w:eastAsia="zh-CN"/>
                    </w:rPr>
                    <w:t>/</w:t>
                  </w:r>
                  <w:r>
                    <w:rPr>
                      <w:rFonts w:hint="eastAsia"/>
                      <w:bCs/>
                      <w:color w:val="000000"/>
                      <w:szCs w:val="21"/>
                      <w:lang w:eastAsia="zh-CN"/>
                    </w:rPr>
                    <w:t>42.7</w:t>
                  </w:r>
                </w:p>
              </w:tc>
              <w:tc>
                <w:tcPr>
                  <w:tcW w:w="1441" w:type="pct"/>
                  <w:vMerge w:val="continue"/>
                  <w:vAlign w:val="center"/>
                </w:tcPr>
                <w:p>
                  <w:pPr>
                    <w:pStyle w:val="69"/>
                    <w:spacing w:line="360" w:lineRule="exact"/>
                    <w:ind w:firstLine="0" w:firstLineChars="0"/>
                    <w:jc w:val="center"/>
                    <w:rPr>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8" w:type="pct"/>
                  <w:vMerge w:val="restart"/>
                  <w:shd w:val="clear" w:color="auto" w:fill="auto"/>
                  <w:vAlign w:val="center"/>
                </w:tcPr>
                <w:p>
                  <w:pPr>
                    <w:pStyle w:val="69"/>
                    <w:spacing w:line="360" w:lineRule="exact"/>
                    <w:ind w:firstLine="0" w:firstLineChars="0"/>
                    <w:jc w:val="center"/>
                    <w:rPr>
                      <w:bCs/>
                      <w:color w:val="000000"/>
                      <w:szCs w:val="21"/>
                      <w:lang w:eastAsia="zh-CN"/>
                    </w:rPr>
                  </w:pPr>
                  <w:r>
                    <w:rPr>
                      <w:bCs/>
                      <w:color w:val="000000"/>
                      <w:szCs w:val="21"/>
                      <w:lang w:eastAsia="zh-CN"/>
                    </w:rPr>
                    <w:t>北厂界</w:t>
                  </w: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2021.5.5</w:t>
                  </w:r>
                </w:p>
              </w:tc>
              <w:tc>
                <w:tcPr>
                  <w:tcW w:w="1310"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5</w:t>
                  </w:r>
                  <w:r>
                    <w:rPr>
                      <w:rFonts w:hint="eastAsia"/>
                      <w:bCs/>
                      <w:color w:val="000000"/>
                      <w:szCs w:val="21"/>
                      <w:lang w:eastAsia="zh-CN"/>
                    </w:rPr>
                    <w:t>2</w:t>
                  </w:r>
                  <w:r>
                    <w:rPr>
                      <w:bCs/>
                      <w:color w:val="000000"/>
                      <w:szCs w:val="21"/>
                      <w:lang w:eastAsia="zh-CN"/>
                    </w:rPr>
                    <w:t>.</w:t>
                  </w:r>
                  <w:r>
                    <w:rPr>
                      <w:rFonts w:hint="eastAsia"/>
                      <w:bCs/>
                      <w:color w:val="000000"/>
                      <w:szCs w:val="21"/>
                      <w:lang w:eastAsia="zh-CN"/>
                    </w:rPr>
                    <w:t>4</w:t>
                  </w:r>
                  <w:r>
                    <w:rPr>
                      <w:bCs/>
                      <w:color w:val="000000"/>
                      <w:szCs w:val="21"/>
                      <w:lang w:eastAsia="zh-CN"/>
                    </w:rPr>
                    <w:t>/4</w:t>
                  </w:r>
                  <w:r>
                    <w:rPr>
                      <w:rFonts w:hint="eastAsia"/>
                      <w:bCs/>
                      <w:color w:val="000000"/>
                      <w:szCs w:val="21"/>
                      <w:lang w:eastAsia="zh-CN"/>
                    </w:rPr>
                    <w:t>1.6</w:t>
                  </w:r>
                </w:p>
              </w:tc>
              <w:tc>
                <w:tcPr>
                  <w:tcW w:w="1441" w:type="pct"/>
                  <w:vMerge w:val="restart"/>
                  <w:vAlign w:val="center"/>
                </w:tcPr>
                <w:p>
                  <w:pPr>
                    <w:pStyle w:val="69"/>
                    <w:spacing w:line="360" w:lineRule="exact"/>
                    <w:ind w:firstLine="0" w:firstLineChars="0"/>
                    <w:jc w:val="center"/>
                    <w:rPr>
                      <w:bCs/>
                      <w:color w:val="000000"/>
                      <w:szCs w:val="21"/>
                      <w:lang w:eastAsia="zh-CN"/>
                    </w:rPr>
                  </w:pPr>
                  <w:r>
                    <w:rPr>
                      <w:bCs/>
                      <w:color w:val="000000"/>
                      <w:szCs w:val="21"/>
                      <w:lang w:eastAsia="zh-CN"/>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28" w:type="pct"/>
                  <w:vMerge w:val="continue"/>
                  <w:shd w:val="clear" w:color="auto" w:fill="auto"/>
                  <w:vAlign w:val="center"/>
                </w:tcPr>
                <w:p>
                  <w:pPr>
                    <w:pStyle w:val="69"/>
                    <w:spacing w:line="360" w:lineRule="exact"/>
                    <w:ind w:firstLine="0" w:firstLineChars="0"/>
                    <w:jc w:val="center"/>
                    <w:rPr>
                      <w:bCs/>
                      <w:color w:val="000000"/>
                      <w:szCs w:val="21"/>
                      <w:lang w:eastAsia="zh-CN"/>
                    </w:rPr>
                  </w:pP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2021.5.6</w:t>
                  </w:r>
                </w:p>
              </w:tc>
              <w:tc>
                <w:tcPr>
                  <w:tcW w:w="1310" w:type="pct"/>
                  <w:vAlign w:val="center"/>
                </w:tcPr>
                <w:p>
                  <w:pPr>
                    <w:pStyle w:val="69"/>
                    <w:spacing w:line="360" w:lineRule="exact"/>
                    <w:ind w:firstLine="0" w:firstLineChars="0"/>
                    <w:jc w:val="center"/>
                    <w:rPr>
                      <w:bCs/>
                      <w:color w:val="000000"/>
                      <w:szCs w:val="21"/>
                      <w:lang w:eastAsia="zh-CN"/>
                    </w:rPr>
                  </w:pPr>
                  <w:r>
                    <w:rPr>
                      <w:bCs/>
                      <w:color w:val="000000"/>
                      <w:szCs w:val="21"/>
                      <w:lang w:eastAsia="zh-CN"/>
                    </w:rPr>
                    <w:t>5</w:t>
                  </w:r>
                  <w:r>
                    <w:rPr>
                      <w:rFonts w:hint="eastAsia"/>
                      <w:bCs/>
                      <w:color w:val="000000"/>
                      <w:szCs w:val="21"/>
                      <w:lang w:eastAsia="zh-CN"/>
                    </w:rPr>
                    <w:t>2</w:t>
                  </w:r>
                  <w:r>
                    <w:rPr>
                      <w:bCs/>
                      <w:color w:val="000000"/>
                      <w:szCs w:val="21"/>
                      <w:lang w:eastAsia="zh-CN"/>
                    </w:rPr>
                    <w:t>.</w:t>
                  </w:r>
                  <w:r>
                    <w:rPr>
                      <w:rFonts w:hint="eastAsia"/>
                      <w:bCs/>
                      <w:color w:val="000000"/>
                      <w:szCs w:val="21"/>
                      <w:lang w:eastAsia="zh-CN"/>
                    </w:rPr>
                    <w:t>2</w:t>
                  </w:r>
                  <w:r>
                    <w:rPr>
                      <w:bCs/>
                      <w:color w:val="000000"/>
                      <w:szCs w:val="21"/>
                      <w:lang w:eastAsia="zh-CN"/>
                    </w:rPr>
                    <w:t>/4</w:t>
                  </w:r>
                  <w:r>
                    <w:rPr>
                      <w:rFonts w:hint="eastAsia"/>
                      <w:bCs/>
                      <w:color w:val="000000"/>
                      <w:szCs w:val="21"/>
                      <w:lang w:eastAsia="zh-CN"/>
                    </w:rPr>
                    <w:t>1</w:t>
                  </w:r>
                  <w:r>
                    <w:rPr>
                      <w:bCs/>
                      <w:color w:val="000000"/>
                      <w:szCs w:val="21"/>
                      <w:lang w:eastAsia="zh-CN"/>
                    </w:rPr>
                    <w:t>.</w:t>
                  </w:r>
                  <w:r>
                    <w:rPr>
                      <w:rFonts w:hint="eastAsia"/>
                      <w:bCs/>
                      <w:color w:val="000000"/>
                      <w:szCs w:val="21"/>
                      <w:lang w:eastAsia="zh-CN"/>
                    </w:rPr>
                    <w:t>4</w:t>
                  </w:r>
                </w:p>
              </w:tc>
              <w:tc>
                <w:tcPr>
                  <w:tcW w:w="1441" w:type="pct"/>
                  <w:vMerge w:val="continue"/>
                  <w:vAlign w:val="center"/>
                </w:tcPr>
                <w:p>
                  <w:pPr>
                    <w:pStyle w:val="69"/>
                    <w:spacing w:line="360" w:lineRule="exact"/>
                    <w:ind w:firstLine="0" w:firstLineChars="0"/>
                    <w:jc w:val="center"/>
                    <w:rPr>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28" w:type="pct"/>
                  <w:vMerge w:val="restart"/>
                  <w:shd w:val="clear" w:color="auto" w:fill="auto"/>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香桥</w:t>
                  </w:r>
                  <w:r>
                    <w:rPr>
                      <w:bCs/>
                      <w:color w:val="000000"/>
                      <w:szCs w:val="21"/>
                      <w:lang w:eastAsia="zh-CN"/>
                    </w:rPr>
                    <w:t>村</w:t>
                  </w: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2021.5.5</w:t>
                  </w:r>
                </w:p>
              </w:tc>
              <w:tc>
                <w:tcPr>
                  <w:tcW w:w="1310"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51.3</w:t>
                  </w:r>
                  <w:r>
                    <w:rPr>
                      <w:bCs/>
                      <w:color w:val="000000"/>
                      <w:szCs w:val="21"/>
                      <w:lang w:eastAsia="zh-CN"/>
                    </w:rPr>
                    <w:t>/4</w:t>
                  </w:r>
                  <w:r>
                    <w:rPr>
                      <w:rFonts w:hint="eastAsia"/>
                      <w:bCs/>
                      <w:color w:val="000000"/>
                      <w:szCs w:val="21"/>
                      <w:lang w:eastAsia="zh-CN"/>
                    </w:rPr>
                    <w:t>1.1</w:t>
                  </w:r>
                </w:p>
              </w:tc>
              <w:tc>
                <w:tcPr>
                  <w:tcW w:w="1441" w:type="pct"/>
                  <w:vMerge w:val="restart"/>
                  <w:vAlign w:val="center"/>
                </w:tcPr>
                <w:p>
                  <w:pPr>
                    <w:pStyle w:val="69"/>
                    <w:spacing w:line="360" w:lineRule="exact"/>
                    <w:ind w:firstLine="0" w:firstLineChars="0"/>
                    <w:jc w:val="center"/>
                    <w:rPr>
                      <w:bCs/>
                      <w:color w:val="000000"/>
                      <w:szCs w:val="21"/>
                      <w:lang w:eastAsia="zh-CN"/>
                    </w:rPr>
                  </w:pPr>
                  <w:r>
                    <w:rPr>
                      <w:bCs/>
                      <w:color w:val="000000"/>
                      <w:szCs w:val="21"/>
                      <w:lang w:eastAsia="zh-CN"/>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28" w:type="pct"/>
                  <w:vMerge w:val="continue"/>
                  <w:shd w:val="clear" w:color="auto" w:fill="auto"/>
                  <w:vAlign w:val="center"/>
                </w:tcPr>
                <w:p>
                  <w:pPr>
                    <w:pStyle w:val="69"/>
                    <w:spacing w:line="360" w:lineRule="exact"/>
                    <w:ind w:firstLine="0" w:firstLineChars="0"/>
                    <w:jc w:val="center"/>
                    <w:rPr>
                      <w:bCs/>
                      <w:color w:val="000000"/>
                      <w:szCs w:val="21"/>
                      <w:lang w:eastAsia="zh-CN"/>
                    </w:rPr>
                  </w:pPr>
                </w:p>
              </w:tc>
              <w:tc>
                <w:tcPr>
                  <w:tcW w:w="1221"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2021.5.6</w:t>
                  </w:r>
                </w:p>
              </w:tc>
              <w:tc>
                <w:tcPr>
                  <w:tcW w:w="1310" w:type="pct"/>
                  <w:vAlign w:val="center"/>
                </w:tcPr>
                <w:p>
                  <w:pPr>
                    <w:pStyle w:val="69"/>
                    <w:spacing w:line="360" w:lineRule="exact"/>
                    <w:ind w:firstLine="0" w:firstLineChars="0"/>
                    <w:jc w:val="center"/>
                    <w:rPr>
                      <w:bCs/>
                      <w:color w:val="000000"/>
                      <w:szCs w:val="21"/>
                      <w:lang w:eastAsia="zh-CN"/>
                    </w:rPr>
                  </w:pPr>
                  <w:r>
                    <w:rPr>
                      <w:rFonts w:hint="eastAsia"/>
                      <w:bCs/>
                      <w:color w:val="000000"/>
                      <w:szCs w:val="21"/>
                      <w:lang w:eastAsia="zh-CN"/>
                    </w:rPr>
                    <w:t>51.5</w:t>
                  </w:r>
                  <w:r>
                    <w:rPr>
                      <w:bCs/>
                      <w:color w:val="000000"/>
                      <w:szCs w:val="21"/>
                      <w:lang w:eastAsia="zh-CN"/>
                    </w:rPr>
                    <w:t>/4</w:t>
                  </w:r>
                  <w:r>
                    <w:rPr>
                      <w:rFonts w:hint="eastAsia"/>
                      <w:bCs/>
                      <w:color w:val="000000"/>
                      <w:szCs w:val="21"/>
                      <w:lang w:eastAsia="zh-CN"/>
                    </w:rPr>
                    <w:t>1.3</w:t>
                  </w:r>
                </w:p>
              </w:tc>
              <w:tc>
                <w:tcPr>
                  <w:tcW w:w="1441" w:type="pct"/>
                  <w:vMerge w:val="continue"/>
                  <w:vAlign w:val="center"/>
                </w:tcPr>
                <w:p>
                  <w:pPr>
                    <w:pStyle w:val="69"/>
                    <w:spacing w:line="360" w:lineRule="exact"/>
                    <w:ind w:firstLine="0" w:firstLineChars="0"/>
                    <w:jc w:val="center"/>
                    <w:rPr>
                      <w:bCs/>
                      <w:color w:val="000000"/>
                      <w:szCs w:val="21"/>
                      <w:lang w:eastAsia="zh-CN"/>
                    </w:rPr>
                  </w:pPr>
                </w:p>
              </w:tc>
            </w:tr>
          </w:tbl>
          <w:p>
            <w:pPr>
              <w:adjustRightInd w:val="0"/>
              <w:snapToGrid w:val="0"/>
              <w:spacing w:line="360" w:lineRule="auto"/>
              <w:ind w:firstLine="482" w:firstLineChars="200"/>
              <w:rPr>
                <w:b/>
                <w:color w:val="000000"/>
                <w:sz w:val="24"/>
              </w:rPr>
            </w:pPr>
            <w:r>
              <w:rPr>
                <w:rFonts w:hint="eastAsia"/>
                <w:b/>
                <w:color w:val="000000"/>
                <w:sz w:val="24"/>
              </w:rPr>
              <w:t>4、土壤环境质量现状</w:t>
            </w:r>
          </w:p>
          <w:p>
            <w:pPr>
              <w:tabs>
                <w:tab w:val="left" w:pos="1081"/>
              </w:tabs>
              <w:adjustRightInd w:val="0"/>
              <w:snapToGrid w:val="0"/>
              <w:spacing w:line="360" w:lineRule="auto"/>
              <w:ind w:firstLine="480" w:firstLineChars="200"/>
              <w:jc w:val="left"/>
              <w:rPr>
                <w:b/>
                <w:color w:val="000000"/>
                <w:sz w:val="24"/>
              </w:rPr>
            </w:pPr>
            <w:r>
              <w:rPr>
                <w:rFonts w:hint="eastAsia"/>
                <w:sz w:val="24"/>
              </w:rPr>
              <w:t>项目区周边无污染严重的工业企业存在，区域土壤环境质量良好，能够满足《土壤环境质量标准  建设用地土壤污染风险管控标准》（GB36600-2018）中第二类用地标准要求。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403" w:type="pct"/>
            <w:tcBorders>
              <w:tl2br w:val="nil"/>
              <w:tr2bl w:val="nil"/>
            </w:tcBorders>
            <w:vAlign w:val="center"/>
          </w:tcPr>
          <w:p>
            <w:pPr>
              <w:adjustRightInd w:val="0"/>
              <w:snapToGrid w:val="0"/>
              <w:spacing w:line="520" w:lineRule="exact"/>
              <w:jc w:val="center"/>
              <w:rPr>
                <w:kern w:val="21"/>
                <w:sz w:val="24"/>
                <w:szCs w:val="24"/>
              </w:rPr>
            </w:pPr>
            <w:r>
              <w:rPr>
                <w:kern w:val="21"/>
                <w:sz w:val="24"/>
                <w:szCs w:val="24"/>
              </w:rPr>
              <w:t>环境</w:t>
            </w:r>
          </w:p>
          <w:p>
            <w:pPr>
              <w:adjustRightInd w:val="0"/>
              <w:snapToGrid w:val="0"/>
              <w:spacing w:line="520" w:lineRule="exact"/>
              <w:jc w:val="center"/>
              <w:rPr>
                <w:kern w:val="21"/>
                <w:sz w:val="24"/>
                <w:szCs w:val="24"/>
              </w:rPr>
            </w:pPr>
            <w:r>
              <w:rPr>
                <w:kern w:val="21"/>
                <w:sz w:val="24"/>
                <w:szCs w:val="24"/>
              </w:rPr>
              <w:t>保护</w:t>
            </w:r>
          </w:p>
          <w:p>
            <w:pPr>
              <w:adjustRightInd w:val="0"/>
              <w:snapToGrid w:val="0"/>
              <w:spacing w:line="520" w:lineRule="exact"/>
              <w:jc w:val="center"/>
              <w:rPr>
                <w:kern w:val="21"/>
                <w:sz w:val="24"/>
                <w:szCs w:val="24"/>
              </w:rPr>
            </w:pPr>
            <w:r>
              <w:rPr>
                <w:kern w:val="21"/>
                <w:sz w:val="24"/>
                <w:szCs w:val="24"/>
              </w:rPr>
              <w:t>目标</w:t>
            </w:r>
          </w:p>
        </w:tc>
        <w:tc>
          <w:tcPr>
            <w:tcW w:w="4597" w:type="pct"/>
            <w:tcBorders>
              <w:tl2br w:val="nil"/>
              <w:tr2bl w:val="nil"/>
            </w:tcBorders>
            <w:vAlign w:val="center"/>
          </w:tcPr>
          <w:p>
            <w:pPr>
              <w:adjustRightInd w:val="0"/>
              <w:snapToGrid w:val="0"/>
              <w:spacing w:line="360" w:lineRule="auto"/>
              <w:ind w:firstLine="480" w:firstLineChars="200"/>
              <w:rPr>
                <w:color w:val="000000"/>
                <w:sz w:val="24"/>
                <w:lang w:val="en-GB"/>
              </w:rPr>
            </w:pPr>
            <w:r>
              <w:rPr>
                <w:rFonts w:hint="eastAsia"/>
                <w:color w:val="000000"/>
                <w:sz w:val="24"/>
                <w:lang w:val="en-GB"/>
              </w:rPr>
              <w:t>经现场</w:t>
            </w:r>
            <w:r>
              <w:rPr>
                <w:color w:val="000000"/>
                <w:sz w:val="24"/>
                <w:lang w:val="en-GB"/>
              </w:rPr>
              <w:t>调查，项目厂界外500m范围内无自然保护区、无风景名胜区</w:t>
            </w:r>
            <w:r>
              <w:rPr>
                <w:rFonts w:hint="eastAsia"/>
                <w:color w:val="000000"/>
                <w:sz w:val="24"/>
                <w:lang w:val="en-GB"/>
              </w:rPr>
              <w:t>，无</w:t>
            </w:r>
            <w:r>
              <w:rPr>
                <w:color w:val="000000"/>
                <w:sz w:val="24"/>
                <w:lang w:val="en-GB"/>
              </w:rPr>
              <w:t>地下水集中式饮用水水源和热水、矿泉水、温泉等特殊地下水资源</w:t>
            </w:r>
            <w:r>
              <w:rPr>
                <w:rFonts w:hint="eastAsia"/>
                <w:color w:val="000000"/>
                <w:sz w:val="24"/>
                <w:lang w:val="en-GB"/>
              </w:rPr>
              <w:t>；</w:t>
            </w:r>
            <w:r>
              <w:rPr>
                <w:color w:val="000000"/>
                <w:sz w:val="24"/>
                <w:lang w:val="en-GB"/>
              </w:rPr>
              <w:t>项目用地范围内无生态环境保护目标。项目周边环境保护目标详见表</w:t>
            </w:r>
            <w:r>
              <w:rPr>
                <w:rFonts w:hint="eastAsia"/>
                <w:color w:val="000000"/>
                <w:sz w:val="24"/>
                <w:lang w:val="en-GB"/>
              </w:rPr>
              <w:t>3-3</w:t>
            </w:r>
            <w:r>
              <w:rPr>
                <w:color w:val="000000"/>
                <w:sz w:val="24"/>
                <w:lang w:val="en-GB"/>
              </w:rPr>
              <w:t>。</w:t>
            </w:r>
          </w:p>
          <w:p>
            <w:pPr>
              <w:tabs>
                <w:tab w:val="left" w:pos="1081"/>
              </w:tabs>
              <w:adjustRightInd w:val="0"/>
              <w:snapToGrid w:val="0"/>
              <w:spacing w:line="360" w:lineRule="auto"/>
              <w:jc w:val="center"/>
              <w:rPr>
                <w:b/>
                <w:sz w:val="24"/>
                <w:szCs w:val="24"/>
              </w:rPr>
            </w:pPr>
            <w:bookmarkStart w:id="1" w:name="_Ref385408842"/>
            <w:r>
              <w:rPr>
                <w:b/>
                <w:sz w:val="24"/>
                <w:szCs w:val="24"/>
              </w:rPr>
              <w:t>表3-</w:t>
            </w:r>
            <w:r>
              <w:rPr>
                <w:rFonts w:hint="eastAsia"/>
                <w:b/>
                <w:sz w:val="24"/>
                <w:szCs w:val="24"/>
              </w:rPr>
              <w:t>3</w:t>
            </w:r>
            <w:r>
              <w:rPr>
                <w:b/>
                <w:sz w:val="24"/>
                <w:szCs w:val="24"/>
              </w:rPr>
              <w:t xml:space="preserve">  </w:t>
            </w:r>
            <w:r>
              <w:rPr>
                <w:rFonts w:hint="eastAsia"/>
                <w:b/>
                <w:sz w:val="24"/>
                <w:szCs w:val="24"/>
              </w:rPr>
              <w:t xml:space="preserve">     环境空气、声</w:t>
            </w:r>
            <w:r>
              <w:rPr>
                <w:b/>
                <w:sz w:val="24"/>
                <w:szCs w:val="24"/>
              </w:rPr>
              <w:t>环境保护目标一览表</w:t>
            </w:r>
            <w:bookmarkEnd w:id="1"/>
          </w:p>
          <w:tbl>
            <w:tblPr>
              <w:tblStyle w:val="30"/>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687"/>
              <w:gridCol w:w="996"/>
              <w:gridCol w:w="851"/>
              <w:gridCol w:w="707"/>
              <w:gridCol w:w="846"/>
              <w:gridCol w:w="155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0" w:type="pct"/>
                  <w:vMerge w:val="restart"/>
                  <w:shd w:val="clear" w:color="auto" w:fill="auto"/>
                  <w:vAlign w:val="center"/>
                </w:tcPr>
                <w:p>
                  <w:pPr>
                    <w:jc w:val="center"/>
                    <w:rPr>
                      <w:color w:val="000000"/>
                      <w:szCs w:val="21"/>
                    </w:rPr>
                  </w:pPr>
                  <w:r>
                    <w:rPr>
                      <w:color w:val="000000"/>
                      <w:szCs w:val="21"/>
                    </w:rPr>
                    <w:t>环境要素</w:t>
                  </w:r>
                </w:p>
              </w:tc>
              <w:tc>
                <w:tcPr>
                  <w:tcW w:w="435" w:type="pct"/>
                  <w:vMerge w:val="restart"/>
                  <w:shd w:val="clear" w:color="auto" w:fill="auto"/>
                  <w:vAlign w:val="center"/>
                </w:tcPr>
                <w:p>
                  <w:pPr>
                    <w:spacing w:line="320" w:lineRule="exact"/>
                    <w:jc w:val="center"/>
                    <w:rPr>
                      <w:color w:val="000000"/>
                      <w:szCs w:val="21"/>
                    </w:rPr>
                  </w:pPr>
                  <w:r>
                    <w:rPr>
                      <w:color w:val="000000"/>
                      <w:szCs w:val="21"/>
                    </w:rPr>
                    <w:t>名称</w:t>
                  </w:r>
                </w:p>
              </w:tc>
              <w:tc>
                <w:tcPr>
                  <w:tcW w:w="1170" w:type="pct"/>
                  <w:gridSpan w:val="2"/>
                  <w:shd w:val="clear" w:color="auto" w:fill="auto"/>
                  <w:vAlign w:val="center"/>
                </w:tcPr>
                <w:p>
                  <w:pPr>
                    <w:spacing w:line="320" w:lineRule="exact"/>
                    <w:jc w:val="center"/>
                    <w:rPr>
                      <w:color w:val="000000"/>
                      <w:szCs w:val="21"/>
                    </w:rPr>
                  </w:pPr>
                  <w:r>
                    <w:rPr>
                      <w:rFonts w:hint="eastAsia"/>
                      <w:color w:val="000000"/>
                      <w:szCs w:val="21"/>
                    </w:rPr>
                    <w:t>坐标</w:t>
                  </w:r>
                </w:p>
              </w:tc>
              <w:tc>
                <w:tcPr>
                  <w:tcW w:w="448" w:type="pct"/>
                  <w:vMerge w:val="restart"/>
                  <w:shd w:val="clear" w:color="auto" w:fill="auto"/>
                  <w:vAlign w:val="center"/>
                </w:tcPr>
                <w:p>
                  <w:pPr>
                    <w:spacing w:line="320" w:lineRule="exact"/>
                    <w:jc w:val="center"/>
                    <w:rPr>
                      <w:color w:val="000000"/>
                      <w:szCs w:val="21"/>
                    </w:rPr>
                  </w:pPr>
                  <w:r>
                    <w:rPr>
                      <w:color w:val="000000"/>
                      <w:szCs w:val="21"/>
                    </w:rPr>
                    <w:t>保护对象</w:t>
                  </w:r>
                </w:p>
              </w:tc>
              <w:tc>
                <w:tcPr>
                  <w:tcW w:w="536" w:type="pct"/>
                  <w:vMerge w:val="restart"/>
                  <w:shd w:val="clear" w:color="auto" w:fill="auto"/>
                  <w:vAlign w:val="center"/>
                </w:tcPr>
                <w:p>
                  <w:pPr>
                    <w:spacing w:line="320" w:lineRule="exact"/>
                    <w:jc w:val="center"/>
                    <w:rPr>
                      <w:color w:val="000000"/>
                      <w:szCs w:val="21"/>
                    </w:rPr>
                  </w:pPr>
                  <w:r>
                    <w:rPr>
                      <w:color w:val="000000"/>
                      <w:szCs w:val="21"/>
                    </w:rPr>
                    <w:t>保护</w:t>
                  </w:r>
                </w:p>
                <w:p>
                  <w:pPr>
                    <w:spacing w:line="320" w:lineRule="exact"/>
                    <w:jc w:val="center"/>
                    <w:rPr>
                      <w:color w:val="000000"/>
                      <w:szCs w:val="21"/>
                    </w:rPr>
                  </w:pPr>
                  <w:r>
                    <w:rPr>
                      <w:color w:val="000000"/>
                      <w:szCs w:val="21"/>
                    </w:rPr>
                    <w:t>内容</w:t>
                  </w:r>
                </w:p>
              </w:tc>
              <w:tc>
                <w:tcPr>
                  <w:tcW w:w="987" w:type="pct"/>
                  <w:vMerge w:val="restart"/>
                  <w:shd w:val="clear" w:color="auto" w:fill="auto"/>
                  <w:vAlign w:val="center"/>
                </w:tcPr>
                <w:p>
                  <w:pPr>
                    <w:spacing w:line="320" w:lineRule="exact"/>
                    <w:jc w:val="center"/>
                    <w:rPr>
                      <w:color w:val="000000"/>
                      <w:szCs w:val="21"/>
                    </w:rPr>
                  </w:pPr>
                  <w:r>
                    <w:rPr>
                      <w:rFonts w:hint="eastAsia"/>
                      <w:color w:val="000000"/>
                      <w:szCs w:val="21"/>
                    </w:rPr>
                    <w:t>环境功能区</w:t>
                  </w:r>
                </w:p>
              </w:tc>
              <w:tc>
                <w:tcPr>
                  <w:tcW w:w="954" w:type="pct"/>
                  <w:vMerge w:val="restart"/>
                  <w:shd w:val="clear" w:color="auto" w:fill="auto"/>
                  <w:vAlign w:val="center"/>
                </w:tcPr>
                <w:p>
                  <w:pPr>
                    <w:spacing w:line="320" w:lineRule="exact"/>
                    <w:jc w:val="center"/>
                    <w:rPr>
                      <w:color w:val="000000"/>
                      <w:szCs w:val="21"/>
                    </w:rPr>
                  </w:pPr>
                  <w:r>
                    <w:rPr>
                      <w:color w:val="000000"/>
                      <w:szCs w:val="21"/>
                    </w:rPr>
                    <w:t>相对厂址方位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0" w:type="pct"/>
                  <w:vMerge w:val="continue"/>
                  <w:shd w:val="clear" w:color="auto" w:fill="auto"/>
                  <w:vAlign w:val="center"/>
                </w:tcPr>
                <w:p>
                  <w:pPr>
                    <w:spacing w:line="320" w:lineRule="exact"/>
                    <w:jc w:val="center"/>
                    <w:rPr>
                      <w:color w:val="000000"/>
                      <w:szCs w:val="21"/>
                    </w:rPr>
                  </w:pPr>
                </w:p>
              </w:tc>
              <w:tc>
                <w:tcPr>
                  <w:tcW w:w="435" w:type="pct"/>
                  <w:vMerge w:val="continue"/>
                  <w:shd w:val="clear" w:color="auto" w:fill="auto"/>
                  <w:vAlign w:val="center"/>
                </w:tcPr>
                <w:p>
                  <w:pPr>
                    <w:spacing w:line="320" w:lineRule="exact"/>
                    <w:jc w:val="center"/>
                    <w:rPr>
                      <w:color w:val="000000"/>
                      <w:szCs w:val="21"/>
                    </w:rPr>
                  </w:pPr>
                </w:p>
              </w:tc>
              <w:tc>
                <w:tcPr>
                  <w:tcW w:w="631" w:type="pct"/>
                  <w:shd w:val="clear" w:color="auto" w:fill="auto"/>
                  <w:vAlign w:val="center"/>
                </w:tcPr>
                <w:p>
                  <w:pPr>
                    <w:spacing w:line="320" w:lineRule="exact"/>
                    <w:jc w:val="center"/>
                    <w:rPr>
                      <w:color w:val="000000"/>
                      <w:szCs w:val="21"/>
                    </w:rPr>
                  </w:pPr>
                  <w:r>
                    <w:rPr>
                      <w:rFonts w:hint="eastAsia"/>
                      <w:color w:val="000000"/>
                      <w:szCs w:val="21"/>
                    </w:rPr>
                    <w:t>经度</w:t>
                  </w:r>
                </w:p>
              </w:tc>
              <w:tc>
                <w:tcPr>
                  <w:tcW w:w="539" w:type="pct"/>
                  <w:shd w:val="clear" w:color="auto" w:fill="auto"/>
                  <w:vAlign w:val="center"/>
                </w:tcPr>
                <w:p>
                  <w:pPr>
                    <w:spacing w:line="320" w:lineRule="exact"/>
                    <w:jc w:val="center"/>
                    <w:rPr>
                      <w:color w:val="000000"/>
                      <w:szCs w:val="21"/>
                    </w:rPr>
                  </w:pPr>
                  <w:r>
                    <w:rPr>
                      <w:rFonts w:hint="eastAsia"/>
                      <w:color w:val="000000"/>
                      <w:szCs w:val="21"/>
                    </w:rPr>
                    <w:t>纬度</w:t>
                  </w:r>
                </w:p>
              </w:tc>
              <w:tc>
                <w:tcPr>
                  <w:tcW w:w="448" w:type="pct"/>
                  <w:vMerge w:val="continue"/>
                  <w:shd w:val="clear" w:color="auto" w:fill="auto"/>
                  <w:vAlign w:val="center"/>
                </w:tcPr>
                <w:p>
                  <w:pPr>
                    <w:spacing w:line="320" w:lineRule="exact"/>
                    <w:jc w:val="center"/>
                    <w:rPr>
                      <w:color w:val="000000"/>
                      <w:szCs w:val="21"/>
                    </w:rPr>
                  </w:pPr>
                </w:p>
              </w:tc>
              <w:tc>
                <w:tcPr>
                  <w:tcW w:w="536" w:type="pct"/>
                  <w:vMerge w:val="continue"/>
                  <w:shd w:val="clear" w:color="auto" w:fill="auto"/>
                  <w:vAlign w:val="center"/>
                </w:tcPr>
                <w:p>
                  <w:pPr>
                    <w:spacing w:line="320" w:lineRule="exact"/>
                    <w:jc w:val="center"/>
                    <w:rPr>
                      <w:color w:val="000000"/>
                      <w:szCs w:val="21"/>
                    </w:rPr>
                  </w:pPr>
                </w:p>
              </w:tc>
              <w:tc>
                <w:tcPr>
                  <w:tcW w:w="987" w:type="pct"/>
                  <w:vMerge w:val="continue"/>
                  <w:shd w:val="clear" w:color="auto" w:fill="auto"/>
                  <w:vAlign w:val="center"/>
                </w:tcPr>
                <w:p>
                  <w:pPr>
                    <w:spacing w:line="320" w:lineRule="exact"/>
                    <w:jc w:val="center"/>
                    <w:rPr>
                      <w:color w:val="000000"/>
                      <w:szCs w:val="21"/>
                    </w:rPr>
                  </w:pPr>
                </w:p>
              </w:tc>
              <w:tc>
                <w:tcPr>
                  <w:tcW w:w="954" w:type="pct"/>
                  <w:vMerge w:val="continue"/>
                  <w:shd w:val="clear" w:color="auto" w:fill="auto"/>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70" w:type="pct"/>
                  <w:vMerge w:val="restart"/>
                  <w:shd w:val="clear" w:color="auto" w:fill="auto"/>
                  <w:vAlign w:val="center"/>
                </w:tcPr>
                <w:p>
                  <w:pPr>
                    <w:spacing w:line="320" w:lineRule="exact"/>
                    <w:jc w:val="center"/>
                    <w:rPr>
                      <w:color w:val="000000"/>
                      <w:szCs w:val="21"/>
                    </w:rPr>
                  </w:pPr>
                  <w:r>
                    <w:rPr>
                      <w:rFonts w:hint="eastAsia"/>
                      <w:color w:val="000000"/>
                      <w:szCs w:val="21"/>
                    </w:rPr>
                    <w:t>环境</w:t>
                  </w:r>
                  <w:r>
                    <w:rPr>
                      <w:color w:val="000000"/>
                      <w:szCs w:val="21"/>
                    </w:rPr>
                    <w:t>空气</w:t>
                  </w:r>
                </w:p>
              </w:tc>
              <w:tc>
                <w:tcPr>
                  <w:tcW w:w="435" w:type="pct"/>
                  <w:shd w:val="clear" w:color="auto" w:fill="auto"/>
                  <w:vAlign w:val="center"/>
                </w:tcPr>
                <w:p>
                  <w:pPr>
                    <w:spacing w:line="320" w:lineRule="exact"/>
                    <w:jc w:val="center"/>
                    <w:rPr>
                      <w:color w:val="000000"/>
                      <w:szCs w:val="21"/>
                    </w:rPr>
                  </w:pPr>
                  <w:r>
                    <w:rPr>
                      <w:rFonts w:hint="eastAsia"/>
                      <w:color w:val="000000"/>
                      <w:szCs w:val="21"/>
                    </w:rPr>
                    <w:t>香桥</w:t>
                  </w:r>
                </w:p>
              </w:tc>
              <w:tc>
                <w:tcPr>
                  <w:tcW w:w="631" w:type="pct"/>
                  <w:shd w:val="clear" w:color="auto" w:fill="auto"/>
                  <w:vAlign w:val="center"/>
                </w:tcPr>
                <w:p>
                  <w:pPr>
                    <w:spacing w:line="320" w:lineRule="exact"/>
                    <w:ind w:left="-105" w:leftChars="-50" w:right="-105" w:rightChars="-50"/>
                    <w:jc w:val="center"/>
                    <w:rPr>
                      <w:color w:val="000000"/>
                      <w:szCs w:val="21"/>
                    </w:rPr>
                  </w:pPr>
                  <w:r>
                    <w:rPr>
                      <w:color w:val="000000"/>
                      <w:szCs w:val="21"/>
                    </w:rPr>
                    <w:t>11</w:t>
                  </w:r>
                  <w:r>
                    <w:rPr>
                      <w:rFonts w:hint="eastAsia"/>
                      <w:color w:val="000000"/>
                      <w:szCs w:val="21"/>
                    </w:rPr>
                    <w:t>2</w:t>
                  </w:r>
                  <w:r>
                    <w:rPr>
                      <w:color w:val="000000"/>
                      <w:szCs w:val="21"/>
                    </w:rPr>
                    <w:t>°</w:t>
                  </w:r>
                  <w:r>
                    <w:rPr>
                      <w:rFonts w:hint="eastAsia"/>
                      <w:color w:val="000000"/>
                      <w:szCs w:val="21"/>
                    </w:rPr>
                    <w:t>19′52.95</w:t>
                  </w:r>
                  <w:r>
                    <w:rPr>
                      <w:color w:val="000000"/>
                      <w:szCs w:val="21"/>
                    </w:rPr>
                    <w:t>″</w:t>
                  </w:r>
                </w:p>
              </w:tc>
              <w:tc>
                <w:tcPr>
                  <w:tcW w:w="539" w:type="pct"/>
                  <w:shd w:val="clear" w:color="auto" w:fill="auto"/>
                  <w:vAlign w:val="center"/>
                </w:tcPr>
                <w:p>
                  <w:pPr>
                    <w:jc w:val="center"/>
                  </w:pPr>
                  <w:r>
                    <w:rPr>
                      <w:rFonts w:hint="eastAsia"/>
                      <w:color w:val="000000"/>
                      <w:szCs w:val="21"/>
                    </w:rPr>
                    <w:t>32</w:t>
                  </w:r>
                  <w:r>
                    <w:rPr>
                      <w:color w:val="000000"/>
                      <w:szCs w:val="21"/>
                    </w:rPr>
                    <w:t>°</w:t>
                  </w:r>
                  <w:r>
                    <w:rPr>
                      <w:rFonts w:hint="eastAsia"/>
                      <w:color w:val="000000"/>
                      <w:szCs w:val="21"/>
                    </w:rPr>
                    <w:t>30</w:t>
                  </w:r>
                  <w:r>
                    <w:rPr>
                      <w:color w:val="000000"/>
                      <w:szCs w:val="21"/>
                    </w:rPr>
                    <w:t>′</w:t>
                  </w:r>
                  <w:r>
                    <w:rPr>
                      <w:rFonts w:hint="eastAsia"/>
                      <w:color w:val="000000"/>
                      <w:szCs w:val="21"/>
                    </w:rPr>
                    <w:t>32.5</w:t>
                  </w:r>
                  <w:r>
                    <w:rPr>
                      <w:color w:val="000000"/>
                      <w:szCs w:val="21"/>
                    </w:rPr>
                    <w:t>″</w:t>
                  </w:r>
                </w:p>
              </w:tc>
              <w:tc>
                <w:tcPr>
                  <w:tcW w:w="448" w:type="pct"/>
                  <w:shd w:val="clear" w:color="auto" w:fill="auto"/>
                  <w:vAlign w:val="center"/>
                </w:tcPr>
                <w:p>
                  <w:pPr>
                    <w:jc w:val="center"/>
                  </w:pPr>
                  <w:r>
                    <w:rPr>
                      <w:rFonts w:hint="eastAsia"/>
                      <w:color w:val="000000"/>
                      <w:szCs w:val="21"/>
                    </w:rPr>
                    <w:t>居民</w:t>
                  </w:r>
                </w:p>
              </w:tc>
              <w:tc>
                <w:tcPr>
                  <w:tcW w:w="536" w:type="pct"/>
                  <w:shd w:val="clear" w:color="auto" w:fill="auto"/>
                  <w:vAlign w:val="center"/>
                </w:tcPr>
                <w:p>
                  <w:pPr>
                    <w:spacing w:line="320" w:lineRule="exact"/>
                    <w:jc w:val="center"/>
                    <w:rPr>
                      <w:color w:val="000000"/>
                      <w:szCs w:val="21"/>
                    </w:rPr>
                  </w:pPr>
                  <w:r>
                    <w:rPr>
                      <w:rFonts w:hint="eastAsia"/>
                      <w:color w:val="000000"/>
                      <w:szCs w:val="21"/>
                    </w:rPr>
                    <w:t>140人</w:t>
                  </w:r>
                </w:p>
              </w:tc>
              <w:tc>
                <w:tcPr>
                  <w:tcW w:w="987" w:type="pct"/>
                  <w:vMerge w:val="restart"/>
                  <w:shd w:val="clear" w:color="auto" w:fill="auto"/>
                  <w:vAlign w:val="center"/>
                </w:tcPr>
                <w:p>
                  <w:pPr>
                    <w:spacing w:line="320" w:lineRule="exact"/>
                    <w:jc w:val="center"/>
                    <w:rPr>
                      <w:color w:val="000000"/>
                      <w:szCs w:val="21"/>
                    </w:rPr>
                  </w:pPr>
                  <w:r>
                    <w:rPr>
                      <w:color w:val="000000"/>
                      <w:szCs w:val="21"/>
                    </w:rPr>
                    <w:t>《环境空气质量标准》（GB3095-2012）二级标准</w:t>
                  </w:r>
                </w:p>
              </w:tc>
              <w:tc>
                <w:tcPr>
                  <w:tcW w:w="954" w:type="pct"/>
                  <w:shd w:val="clear" w:color="auto" w:fill="auto"/>
                  <w:vAlign w:val="center"/>
                </w:tcPr>
                <w:p>
                  <w:pPr>
                    <w:spacing w:line="320" w:lineRule="exact"/>
                    <w:jc w:val="center"/>
                    <w:rPr>
                      <w:color w:val="000000"/>
                      <w:szCs w:val="21"/>
                    </w:rPr>
                  </w:pPr>
                  <w:r>
                    <w:rPr>
                      <w:rFonts w:hint="eastAsia"/>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jc w:val="center"/>
              </w:trPr>
              <w:tc>
                <w:tcPr>
                  <w:tcW w:w="470" w:type="pct"/>
                  <w:vMerge w:val="continue"/>
                  <w:shd w:val="clear" w:color="auto" w:fill="auto"/>
                  <w:vAlign w:val="center"/>
                </w:tcPr>
                <w:p>
                  <w:pPr>
                    <w:spacing w:line="320" w:lineRule="exact"/>
                    <w:jc w:val="center"/>
                    <w:rPr>
                      <w:color w:val="000000"/>
                      <w:szCs w:val="21"/>
                    </w:rPr>
                  </w:pPr>
                </w:p>
              </w:tc>
              <w:tc>
                <w:tcPr>
                  <w:tcW w:w="435" w:type="pct"/>
                  <w:shd w:val="clear" w:color="auto" w:fill="auto"/>
                  <w:vAlign w:val="center"/>
                </w:tcPr>
                <w:p>
                  <w:pPr>
                    <w:spacing w:line="320" w:lineRule="exact"/>
                    <w:jc w:val="center"/>
                    <w:rPr>
                      <w:color w:val="000000"/>
                      <w:szCs w:val="21"/>
                    </w:rPr>
                  </w:pPr>
                  <w:r>
                    <w:rPr>
                      <w:rFonts w:hint="eastAsia"/>
                      <w:color w:val="000000"/>
                      <w:szCs w:val="21"/>
                    </w:rPr>
                    <w:t>乔庄</w:t>
                  </w:r>
                </w:p>
              </w:tc>
              <w:tc>
                <w:tcPr>
                  <w:tcW w:w="631" w:type="pct"/>
                  <w:shd w:val="clear" w:color="auto" w:fill="auto"/>
                  <w:vAlign w:val="center"/>
                </w:tcPr>
                <w:p>
                  <w:pPr>
                    <w:spacing w:line="320" w:lineRule="exact"/>
                    <w:ind w:left="-105" w:leftChars="-50" w:right="-105" w:rightChars="-50"/>
                    <w:jc w:val="center"/>
                    <w:rPr>
                      <w:color w:val="000000"/>
                      <w:szCs w:val="21"/>
                    </w:rPr>
                  </w:pPr>
                  <w:r>
                    <w:rPr>
                      <w:color w:val="000000"/>
                      <w:szCs w:val="21"/>
                    </w:rPr>
                    <w:t>11</w:t>
                  </w:r>
                  <w:r>
                    <w:rPr>
                      <w:rFonts w:hint="eastAsia"/>
                      <w:color w:val="000000"/>
                      <w:szCs w:val="21"/>
                    </w:rPr>
                    <w:t>2</w:t>
                  </w:r>
                  <w:r>
                    <w:rPr>
                      <w:color w:val="000000"/>
                      <w:szCs w:val="21"/>
                    </w:rPr>
                    <w:t>°</w:t>
                  </w:r>
                  <w:r>
                    <w:rPr>
                      <w:rFonts w:hint="eastAsia"/>
                      <w:color w:val="000000"/>
                      <w:szCs w:val="21"/>
                    </w:rPr>
                    <w:t>19′55.73</w:t>
                  </w:r>
                  <w:r>
                    <w:rPr>
                      <w:color w:val="000000"/>
                      <w:szCs w:val="21"/>
                    </w:rPr>
                    <w:t>″</w:t>
                  </w:r>
                </w:p>
              </w:tc>
              <w:tc>
                <w:tcPr>
                  <w:tcW w:w="539" w:type="pct"/>
                  <w:shd w:val="clear" w:color="auto" w:fill="auto"/>
                  <w:vAlign w:val="center"/>
                </w:tcPr>
                <w:p>
                  <w:pPr>
                    <w:jc w:val="center"/>
                  </w:pPr>
                  <w:r>
                    <w:rPr>
                      <w:rFonts w:hint="eastAsia"/>
                      <w:color w:val="000000"/>
                      <w:szCs w:val="21"/>
                    </w:rPr>
                    <w:t>32</w:t>
                  </w:r>
                  <w:r>
                    <w:rPr>
                      <w:color w:val="000000"/>
                      <w:szCs w:val="21"/>
                    </w:rPr>
                    <w:t>°</w:t>
                  </w:r>
                  <w:r>
                    <w:rPr>
                      <w:rFonts w:hint="eastAsia"/>
                      <w:color w:val="000000"/>
                      <w:szCs w:val="21"/>
                    </w:rPr>
                    <w:t>30</w:t>
                  </w:r>
                  <w:r>
                    <w:rPr>
                      <w:color w:val="000000"/>
                      <w:szCs w:val="21"/>
                    </w:rPr>
                    <w:t>′</w:t>
                  </w:r>
                  <w:r>
                    <w:rPr>
                      <w:rFonts w:hint="eastAsia"/>
                      <w:color w:val="000000"/>
                      <w:szCs w:val="21"/>
                    </w:rPr>
                    <w:t>44.01</w:t>
                  </w:r>
                  <w:r>
                    <w:rPr>
                      <w:color w:val="000000"/>
                      <w:szCs w:val="21"/>
                    </w:rPr>
                    <w:t>″</w:t>
                  </w:r>
                </w:p>
              </w:tc>
              <w:tc>
                <w:tcPr>
                  <w:tcW w:w="448" w:type="pct"/>
                  <w:shd w:val="clear" w:color="auto" w:fill="auto"/>
                  <w:vAlign w:val="center"/>
                </w:tcPr>
                <w:p>
                  <w:pPr>
                    <w:spacing w:line="320" w:lineRule="exact"/>
                    <w:jc w:val="center"/>
                    <w:rPr>
                      <w:color w:val="000000"/>
                      <w:szCs w:val="21"/>
                    </w:rPr>
                  </w:pPr>
                  <w:r>
                    <w:rPr>
                      <w:rFonts w:hint="eastAsia"/>
                      <w:color w:val="000000"/>
                      <w:szCs w:val="21"/>
                    </w:rPr>
                    <w:t>商户</w:t>
                  </w:r>
                </w:p>
              </w:tc>
              <w:tc>
                <w:tcPr>
                  <w:tcW w:w="536" w:type="pct"/>
                  <w:shd w:val="clear" w:color="auto" w:fill="auto"/>
                  <w:vAlign w:val="center"/>
                </w:tcPr>
                <w:p>
                  <w:pPr>
                    <w:spacing w:line="320" w:lineRule="exact"/>
                    <w:jc w:val="center"/>
                    <w:rPr>
                      <w:color w:val="000000"/>
                      <w:szCs w:val="21"/>
                    </w:rPr>
                  </w:pPr>
                  <w:r>
                    <w:rPr>
                      <w:rFonts w:hint="eastAsia"/>
                      <w:color w:val="000000"/>
                      <w:szCs w:val="21"/>
                    </w:rPr>
                    <w:t>50人</w:t>
                  </w:r>
                </w:p>
              </w:tc>
              <w:tc>
                <w:tcPr>
                  <w:tcW w:w="987" w:type="pct"/>
                  <w:vMerge w:val="continue"/>
                  <w:shd w:val="clear" w:color="auto" w:fill="auto"/>
                  <w:vAlign w:val="center"/>
                </w:tcPr>
                <w:p>
                  <w:pPr>
                    <w:spacing w:line="320" w:lineRule="exact"/>
                    <w:jc w:val="center"/>
                    <w:rPr>
                      <w:color w:val="000000"/>
                      <w:szCs w:val="21"/>
                    </w:rPr>
                  </w:pPr>
                </w:p>
              </w:tc>
              <w:tc>
                <w:tcPr>
                  <w:tcW w:w="954" w:type="pct"/>
                  <w:shd w:val="clear" w:color="auto" w:fill="auto"/>
                  <w:vAlign w:val="center"/>
                </w:tcPr>
                <w:p>
                  <w:pPr>
                    <w:spacing w:line="320" w:lineRule="exact"/>
                    <w:jc w:val="center"/>
                    <w:rPr>
                      <w:color w:val="000000"/>
                      <w:szCs w:val="21"/>
                    </w:rPr>
                  </w:pPr>
                  <w:r>
                    <w:rPr>
                      <w:rFonts w:hint="eastAsia"/>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jc w:val="center"/>
              </w:trPr>
              <w:tc>
                <w:tcPr>
                  <w:tcW w:w="470" w:type="pct"/>
                  <w:shd w:val="clear" w:color="auto" w:fill="auto"/>
                  <w:vAlign w:val="center"/>
                </w:tcPr>
                <w:p>
                  <w:pPr>
                    <w:spacing w:line="320" w:lineRule="exact"/>
                    <w:jc w:val="center"/>
                    <w:rPr>
                      <w:color w:val="000000"/>
                      <w:szCs w:val="21"/>
                    </w:rPr>
                  </w:pPr>
                  <w:r>
                    <w:rPr>
                      <w:rFonts w:hint="eastAsia"/>
                      <w:color w:val="000000"/>
                      <w:szCs w:val="21"/>
                    </w:rPr>
                    <w:t>声</w:t>
                  </w:r>
                  <w:r>
                    <w:rPr>
                      <w:color w:val="000000"/>
                      <w:szCs w:val="21"/>
                    </w:rPr>
                    <w:t>环境</w:t>
                  </w:r>
                </w:p>
              </w:tc>
              <w:tc>
                <w:tcPr>
                  <w:tcW w:w="435" w:type="pct"/>
                  <w:shd w:val="clear" w:color="auto" w:fill="auto"/>
                  <w:vAlign w:val="center"/>
                </w:tcPr>
                <w:p>
                  <w:pPr>
                    <w:spacing w:line="320" w:lineRule="exact"/>
                    <w:jc w:val="center"/>
                    <w:rPr>
                      <w:color w:val="000000"/>
                      <w:szCs w:val="21"/>
                    </w:rPr>
                  </w:pPr>
                  <w:r>
                    <w:rPr>
                      <w:rFonts w:hint="eastAsia"/>
                      <w:color w:val="000000"/>
                      <w:szCs w:val="21"/>
                    </w:rPr>
                    <w:t>香桥</w:t>
                  </w:r>
                </w:p>
              </w:tc>
              <w:tc>
                <w:tcPr>
                  <w:tcW w:w="631" w:type="pct"/>
                  <w:shd w:val="clear" w:color="auto" w:fill="auto"/>
                  <w:vAlign w:val="center"/>
                </w:tcPr>
                <w:p>
                  <w:pPr>
                    <w:spacing w:line="320" w:lineRule="exact"/>
                    <w:ind w:left="-105" w:leftChars="-50" w:right="-105" w:rightChars="-50"/>
                    <w:jc w:val="center"/>
                    <w:rPr>
                      <w:color w:val="000000"/>
                      <w:szCs w:val="21"/>
                    </w:rPr>
                  </w:pPr>
                  <w:r>
                    <w:rPr>
                      <w:color w:val="000000"/>
                      <w:szCs w:val="21"/>
                    </w:rPr>
                    <w:t>11</w:t>
                  </w:r>
                  <w:r>
                    <w:rPr>
                      <w:rFonts w:hint="eastAsia"/>
                      <w:color w:val="000000"/>
                      <w:szCs w:val="21"/>
                    </w:rPr>
                    <w:t>2</w:t>
                  </w:r>
                  <w:r>
                    <w:rPr>
                      <w:color w:val="000000"/>
                      <w:szCs w:val="21"/>
                    </w:rPr>
                    <w:t>°</w:t>
                  </w:r>
                  <w:r>
                    <w:rPr>
                      <w:rFonts w:hint="eastAsia"/>
                      <w:color w:val="000000"/>
                      <w:szCs w:val="21"/>
                    </w:rPr>
                    <w:t>19′52.95</w:t>
                  </w:r>
                  <w:r>
                    <w:rPr>
                      <w:color w:val="000000"/>
                      <w:szCs w:val="21"/>
                    </w:rPr>
                    <w:t>″</w:t>
                  </w:r>
                </w:p>
              </w:tc>
              <w:tc>
                <w:tcPr>
                  <w:tcW w:w="539" w:type="pct"/>
                  <w:shd w:val="clear" w:color="auto" w:fill="auto"/>
                  <w:vAlign w:val="center"/>
                </w:tcPr>
                <w:p>
                  <w:pPr>
                    <w:jc w:val="center"/>
                  </w:pPr>
                  <w:r>
                    <w:rPr>
                      <w:rFonts w:hint="eastAsia"/>
                      <w:color w:val="000000"/>
                      <w:szCs w:val="21"/>
                    </w:rPr>
                    <w:t>32</w:t>
                  </w:r>
                  <w:r>
                    <w:rPr>
                      <w:color w:val="000000"/>
                      <w:szCs w:val="21"/>
                    </w:rPr>
                    <w:t>°</w:t>
                  </w:r>
                  <w:r>
                    <w:rPr>
                      <w:rFonts w:hint="eastAsia"/>
                      <w:color w:val="000000"/>
                      <w:szCs w:val="21"/>
                    </w:rPr>
                    <w:t>30</w:t>
                  </w:r>
                  <w:r>
                    <w:rPr>
                      <w:color w:val="000000"/>
                      <w:szCs w:val="21"/>
                    </w:rPr>
                    <w:t>′</w:t>
                  </w:r>
                  <w:r>
                    <w:rPr>
                      <w:rFonts w:hint="eastAsia"/>
                      <w:color w:val="000000"/>
                      <w:szCs w:val="21"/>
                    </w:rPr>
                    <w:t>32.5</w:t>
                  </w:r>
                  <w:r>
                    <w:rPr>
                      <w:color w:val="000000"/>
                      <w:szCs w:val="21"/>
                    </w:rPr>
                    <w:t>″</w:t>
                  </w:r>
                </w:p>
              </w:tc>
              <w:tc>
                <w:tcPr>
                  <w:tcW w:w="448" w:type="pct"/>
                  <w:shd w:val="clear" w:color="auto" w:fill="auto"/>
                  <w:vAlign w:val="center"/>
                </w:tcPr>
                <w:p>
                  <w:pPr>
                    <w:jc w:val="center"/>
                  </w:pPr>
                  <w:r>
                    <w:rPr>
                      <w:rFonts w:hint="eastAsia"/>
                      <w:color w:val="000000"/>
                      <w:szCs w:val="21"/>
                    </w:rPr>
                    <w:t>居民</w:t>
                  </w:r>
                </w:p>
              </w:tc>
              <w:tc>
                <w:tcPr>
                  <w:tcW w:w="536" w:type="pct"/>
                  <w:shd w:val="clear" w:color="auto" w:fill="auto"/>
                  <w:vAlign w:val="center"/>
                </w:tcPr>
                <w:p>
                  <w:pPr>
                    <w:spacing w:line="320" w:lineRule="exact"/>
                    <w:jc w:val="center"/>
                    <w:rPr>
                      <w:color w:val="000000"/>
                      <w:szCs w:val="21"/>
                    </w:rPr>
                  </w:pPr>
                  <w:r>
                    <w:rPr>
                      <w:rFonts w:hint="eastAsia"/>
                      <w:color w:val="000000"/>
                      <w:szCs w:val="21"/>
                    </w:rPr>
                    <w:t>140人</w:t>
                  </w:r>
                </w:p>
              </w:tc>
              <w:tc>
                <w:tcPr>
                  <w:tcW w:w="987" w:type="pct"/>
                  <w:shd w:val="clear" w:color="auto" w:fill="auto"/>
                  <w:vAlign w:val="center"/>
                </w:tcPr>
                <w:p>
                  <w:pPr>
                    <w:spacing w:line="320" w:lineRule="exact"/>
                    <w:jc w:val="center"/>
                    <w:rPr>
                      <w:color w:val="000000"/>
                      <w:szCs w:val="21"/>
                    </w:rPr>
                  </w:pPr>
                  <w:r>
                    <w:rPr>
                      <w:rFonts w:hint="eastAsia"/>
                      <w:color w:val="000000"/>
                      <w:szCs w:val="21"/>
                    </w:rPr>
                    <w:t>《声环境质量标准》（GB3096-2008）2类标准</w:t>
                  </w:r>
                </w:p>
              </w:tc>
              <w:tc>
                <w:tcPr>
                  <w:tcW w:w="954" w:type="pct"/>
                  <w:shd w:val="clear" w:color="auto" w:fill="auto"/>
                  <w:vAlign w:val="center"/>
                </w:tcPr>
                <w:p>
                  <w:pPr>
                    <w:spacing w:line="320" w:lineRule="exact"/>
                    <w:jc w:val="center"/>
                    <w:rPr>
                      <w:color w:val="000000"/>
                      <w:szCs w:val="21"/>
                    </w:rPr>
                  </w:pPr>
                  <w:r>
                    <w:rPr>
                      <w:rFonts w:hint="eastAsia"/>
                      <w:color w:val="000000"/>
                      <w:szCs w:val="21"/>
                    </w:rPr>
                    <w:t>E</w:t>
                  </w:r>
                </w:p>
              </w:tc>
            </w:tr>
          </w:tbl>
          <w:p>
            <w:pPr>
              <w:tabs>
                <w:tab w:val="left" w:pos="1081"/>
              </w:tabs>
              <w:adjustRightInd w:val="0"/>
              <w:snapToGrid w:val="0"/>
              <w:spacing w:line="360" w:lineRule="auto"/>
              <w:jc w:val="center"/>
              <w:rPr>
                <w:b/>
                <w:color w:val="000000"/>
                <w:sz w:val="24"/>
              </w:rPr>
            </w:pPr>
            <w:r>
              <w:rPr>
                <w:rFonts w:hint="eastAsia"/>
                <w:b/>
                <w:color w:val="000000"/>
                <w:sz w:val="24"/>
              </w:rPr>
              <w:t>表3-4      地表水环境保护目标一览表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11"/>
              <w:gridCol w:w="731"/>
              <w:gridCol w:w="1418"/>
              <w:gridCol w:w="99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679" w:type="pct"/>
                  <w:tcBorders>
                    <w:top w:val="single" w:color="auto" w:sz="4" w:space="0"/>
                    <w:left w:val="single" w:color="auto" w:sz="4" w:space="0"/>
                    <w:right w:val="single" w:color="auto" w:sz="4" w:space="0"/>
                  </w:tcBorders>
                  <w:vAlign w:val="center"/>
                </w:tcPr>
                <w:p>
                  <w:pPr>
                    <w:spacing w:line="340" w:lineRule="exact"/>
                    <w:jc w:val="center"/>
                    <w:rPr>
                      <w:bCs/>
                      <w:color w:val="000000"/>
                      <w:szCs w:val="21"/>
                    </w:rPr>
                  </w:pPr>
                  <w:r>
                    <w:rPr>
                      <w:bCs/>
                      <w:color w:val="000000"/>
                      <w:szCs w:val="21"/>
                    </w:rPr>
                    <w:t>环境要素</w:t>
                  </w:r>
                </w:p>
              </w:tc>
              <w:tc>
                <w:tcPr>
                  <w:tcW w:w="684" w:type="pct"/>
                  <w:tcBorders>
                    <w:top w:val="single" w:color="auto" w:sz="4" w:space="0"/>
                    <w:left w:val="nil"/>
                    <w:bottom w:val="single" w:color="auto" w:sz="4" w:space="0"/>
                    <w:right w:val="single" w:color="auto" w:sz="4" w:space="0"/>
                  </w:tcBorders>
                  <w:vAlign w:val="center"/>
                </w:tcPr>
                <w:p>
                  <w:pPr>
                    <w:spacing w:line="340" w:lineRule="exact"/>
                    <w:jc w:val="center"/>
                    <w:rPr>
                      <w:bCs/>
                      <w:color w:val="000000"/>
                      <w:szCs w:val="21"/>
                    </w:rPr>
                  </w:pPr>
                  <w:r>
                    <w:rPr>
                      <w:bCs/>
                      <w:color w:val="000000"/>
                      <w:szCs w:val="21"/>
                    </w:rPr>
                    <w:t>环境保护对象名称</w:t>
                  </w:r>
                </w:p>
              </w:tc>
              <w:tc>
                <w:tcPr>
                  <w:tcW w:w="450" w:type="pct"/>
                  <w:tcBorders>
                    <w:top w:val="single" w:color="auto" w:sz="4" w:space="0"/>
                    <w:left w:val="nil"/>
                    <w:bottom w:val="single" w:color="auto" w:sz="4" w:space="0"/>
                    <w:right w:val="single" w:color="auto" w:sz="4" w:space="0"/>
                  </w:tcBorders>
                  <w:vAlign w:val="center"/>
                </w:tcPr>
                <w:p>
                  <w:pPr>
                    <w:spacing w:line="340" w:lineRule="exact"/>
                    <w:jc w:val="center"/>
                    <w:rPr>
                      <w:bCs/>
                      <w:color w:val="000000"/>
                      <w:szCs w:val="21"/>
                    </w:rPr>
                  </w:pPr>
                  <w:r>
                    <w:rPr>
                      <w:bCs/>
                      <w:color w:val="000000"/>
                      <w:szCs w:val="21"/>
                    </w:rPr>
                    <w:t>方位</w:t>
                  </w:r>
                </w:p>
              </w:tc>
              <w:tc>
                <w:tcPr>
                  <w:tcW w:w="873" w:type="pct"/>
                  <w:tcBorders>
                    <w:top w:val="single" w:color="auto" w:sz="4" w:space="0"/>
                    <w:left w:val="nil"/>
                    <w:bottom w:val="single" w:color="auto" w:sz="4" w:space="0"/>
                    <w:right w:val="single" w:color="auto" w:sz="4" w:space="0"/>
                  </w:tcBorders>
                  <w:vAlign w:val="center"/>
                </w:tcPr>
                <w:p>
                  <w:pPr>
                    <w:spacing w:line="340" w:lineRule="exact"/>
                    <w:ind w:left="-105" w:leftChars="-50" w:right="-105" w:rightChars="-50"/>
                    <w:jc w:val="center"/>
                    <w:rPr>
                      <w:bCs/>
                      <w:color w:val="000000"/>
                      <w:szCs w:val="21"/>
                    </w:rPr>
                  </w:pPr>
                  <w:r>
                    <w:rPr>
                      <w:bCs/>
                      <w:color w:val="000000"/>
                      <w:szCs w:val="21"/>
                    </w:rPr>
                    <w:t>距项目边界最近距离</w:t>
                  </w:r>
                </w:p>
              </w:tc>
              <w:tc>
                <w:tcPr>
                  <w:tcW w:w="611" w:type="pct"/>
                  <w:tcBorders>
                    <w:top w:val="single" w:color="auto" w:sz="4" w:space="0"/>
                    <w:left w:val="nil"/>
                    <w:bottom w:val="single" w:color="auto" w:sz="4" w:space="0"/>
                    <w:right w:val="single" w:color="auto" w:sz="4" w:space="0"/>
                  </w:tcBorders>
                  <w:vAlign w:val="center"/>
                </w:tcPr>
                <w:p>
                  <w:pPr>
                    <w:spacing w:line="340" w:lineRule="exact"/>
                    <w:jc w:val="center"/>
                    <w:rPr>
                      <w:bCs/>
                      <w:color w:val="000000"/>
                      <w:szCs w:val="21"/>
                    </w:rPr>
                  </w:pPr>
                  <w:r>
                    <w:rPr>
                      <w:bCs/>
                      <w:color w:val="000000"/>
                      <w:szCs w:val="21"/>
                    </w:rPr>
                    <w:t>规模</w:t>
                  </w:r>
                </w:p>
              </w:tc>
              <w:tc>
                <w:tcPr>
                  <w:tcW w:w="1703" w:type="pct"/>
                  <w:tcBorders>
                    <w:top w:val="single" w:color="auto" w:sz="4" w:space="0"/>
                    <w:left w:val="nil"/>
                    <w:bottom w:val="single" w:color="auto" w:sz="4" w:space="0"/>
                    <w:right w:val="single" w:color="auto" w:sz="4" w:space="0"/>
                  </w:tcBorders>
                  <w:vAlign w:val="center"/>
                </w:tcPr>
                <w:p>
                  <w:pPr>
                    <w:spacing w:line="340" w:lineRule="exact"/>
                    <w:jc w:val="center"/>
                    <w:rPr>
                      <w:bCs/>
                      <w:color w:val="000000"/>
                      <w:szCs w:val="21"/>
                    </w:rPr>
                  </w:pPr>
                  <w:r>
                    <w:rPr>
                      <w:bCs/>
                      <w:color w:val="000000"/>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9" w:type="pct"/>
                  <w:tcBorders>
                    <w:left w:val="single" w:color="auto" w:sz="4" w:space="0"/>
                    <w:right w:val="single" w:color="auto" w:sz="4" w:space="0"/>
                  </w:tcBorders>
                  <w:vAlign w:val="center"/>
                </w:tcPr>
                <w:p>
                  <w:pPr>
                    <w:spacing w:line="320" w:lineRule="exact"/>
                    <w:jc w:val="center"/>
                    <w:rPr>
                      <w:color w:val="000000"/>
                      <w:szCs w:val="21"/>
                    </w:rPr>
                  </w:pPr>
                  <w:r>
                    <w:rPr>
                      <w:color w:val="000000"/>
                      <w:szCs w:val="21"/>
                    </w:rPr>
                    <w:t>地表水环境</w:t>
                  </w:r>
                </w:p>
              </w:tc>
              <w:tc>
                <w:tcPr>
                  <w:tcW w:w="684"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Cs w:val="21"/>
                    </w:rPr>
                  </w:pPr>
                  <w:r>
                    <w:rPr>
                      <w:rFonts w:hint="eastAsia"/>
                      <w:szCs w:val="21"/>
                    </w:rPr>
                    <w:t>白河</w:t>
                  </w:r>
                </w:p>
              </w:tc>
              <w:tc>
                <w:tcPr>
                  <w:tcW w:w="450"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Cs w:val="21"/>
                    </w:rPr>
                  </w:pPr>
                  <w:r>
                    <w:rPr>
                      <w:rFonts w:hint="eastAsia"/>
                      <w:szCs w:val="21"/>
                    </w:rPr>
                    <w:t>E</w:t>
                  </w:r>
                </w:p>
              </w:tc>
              <w:tc>
                <w:tcPr>
                  <w:tcW w:w="873"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Cs w:val="21"/>
                    </w:rPr>
                  </w:pPr>
                  <w:r>
                    <w:rPr>
                      <w:rFonts w:hint="eastAsia"/>
                      <w:szCs w:val="21"/>
                    </w:rPr>
                    <w:t>165m</w:t>
                  </w:r>
                </w:p>
              </w:tc>
              <w:tc>
                <w:tcPr>
                  <w:tcW w:w="611" w:type="pct"/>
                  <w:tcBorders>
                    <w:top w:val="single" w:color="auto" w:sz="4" w:space="0"/>
                    <w:left w:val="nil"/>
                    <w:bottom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中</w:t>
                  </w:r>
                  <w:r>
                    <w:rPr>
                      <w:color w:val="000000"/>
                      <w:szCs w:val="21"/>
                    </w:rPr>
                    <w:t>型</w:t>
                  </w:r>
                </w:p>
              </w:tc>
              <w:tc>
                <w:tcPr>
                  <w:tcW w:w="1703" w:type="pct"/>
                  <w:tcBorders>
                    <w:top w:val="single" w:color="auto" w:sz="4" w:space="0"/>
                    <w:left w:val="nil"/>
                    <w:right w:val="single" w:color="auto" w:sz="4" w:space="0"/>
                  </w:tcBorders>
                  <w:vAlign w:val="center"/>
                </w:tcPr>
                <w:p>
                  <w:pPr>
                    <w:tabs>
                      <w:tab w:val="left" w:pos="0"/>
                    </w:tabs>
                    <w:adjustRightInd w:val="0"/>
                    <w:snapToGrid w:val="0"/>
                    <w:spacing w:line="360" w:lineRule="exact"/>
                    <w:jc w:val="center"/>
                    <w:rPr>
                      <w:szCs w:val="21"/>
                    </w:rPr>
                  </w:pPr>
                  <w:r>
                    <w:rPr>
                      <w:szCs w:val="21"/>
                    </w:rPr>
                    <w:t>《地表水</w:t>
                  </w:r>
                  <w:r>
                    <w:rPr>
                      <w:rFonts w:hint="eastAsia"/>
                      <w:szCs w:val="21"/>
                    </w:rPr>
                    <w:t>环境</w:t>
                  </w:r>
                  <w:r>
                    <w:rPr>
                      <w:szCs w:val="21"/>
                    </w:rPr>
                    <w:t>质量标准》</w:t>
                  </w:r>
                </w:p>
                <w:p>
                  <w:pPr>
                    <w:spacing w:line="360" w:lineRule="exact"/>
                    <w:jc w:val="center"/>
                    <w:rPr>
                      <w:color w:val="000000"/>
                      <w:szCs w:val="21"/>
                    </w:rPr>
                  </w:pPr>
                  <w:r>
                    <w:t>（GB3838-2002）</w:t>
                  </w:r>
                  <w:r>
                    <w:rPr>
                      <w:rFonts w:hint="eastAsia" w:ascii="宋体" w:hAnsi="宋体"/>
                      <w:spacing w:val="8"/>
                      <w:szCs w:val="21"/>
                    </w:rPr>
                    <w:t>Ⅲ</w:t>
                  </w:r>
                  <w:r>
                    <w:t>类</w:t>
                  </w:r>
                  <w:r>
                    <w:rPr>
                      <w:rFonts w:hint="eastAsia"/>
                    </w:rPr>
                    <w:t>标准</w:t>
                  </w:r>
                </w:p>
              </w:tc>
            </w:tr>
          </w:tbl>
          <w:p>
            <w:pPr>
              <w:pStyle w:val="2"/>
              <w:ind w:left="0" w:leftChars="0" w:firstLine="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03" w:type="pct"/>
            <w:tcBorders>
              <w:tl2br w:val="nil"/>
              <w:tr2bl w:val="nil"/>
            </w:tcBorders>
            <w:vAlign w:val="center"/>
          </w:tcPr>
          <w:p>
            <w:pPr>
              <w:adjustRightInd w:val="0"/>
              <w:snapToGrid w:val="0"/>
              <w:spacing w:line="520" w:lineRule="exact"/>
              <w:jc w:val="center"/>
              <w:rPr>
                <w:kern w:val="21"/>
                <w:sz w:val="24"/>
                <w:szCs w:val="24"/>
              </w:rPr>
            </w:pPr>
            <w:r>
              <w:rPr>
                <w:kern w:val="21"/>
                <w:sz w:val="24"/>
                <w:szCs w:val="24"/>
              </w:rPr>
              <w:t>污染</w:t>
            </w:r>
          </w:p>
          <w:p>
            <w:pPr>
              <w:adjustRightInd w:val="0"/>
              <w:snapToGrid w:val="0"/>
              <w:spacing w:line="520" w:lineRule="exact"/>
              <w:jc w:val="center"/>
              <w:rPr>
                <w:kern w:val="21"/>
                <w:sz w:val="24"/>
                <w:szCs w:val="24"/>
              </w:rPr>
            </w:pPr>
            <w:r>
              <w:rPr>
                <w:kern w:val="21"/>
                <w:sz w:val="24"/>
                <w:szCs w:val="24"/>
              </w:rPr>
              <w:t>物排</w:t>
            </w:r>
          </w:p>
          <w:p>
            <w:pPr>
              <w:adjustRightInd w:val="0"/>
              <w:snapToGrid w:val="0"/>
              <w:spacing w:line="520" w:lineRule="exact"/>
              <w:jc w:val="center"/>
              <w:rPr>
                <w:kern w:val="21"/>
                <w:sz w:val="24"/>
                <w:szCs w:val="24"/>
              </w:rPr>
            </w:pPr>
            <w:r>
              <w:rPr>
                <w:kern w:val="21"/>
                <w:sz w:val="24"/>
                <w:szCs w:val="24"/>
              </w:rPr>
              <w:t>放控</w:t>
            </w:r>
          </w:p>
          <w:p>
            <w:pPr>
              <w:adjustRightInd w:val="0"/>
              <w:snapToGrid w:val="0"/>
              <w:spacing w:line="520" w:lineRule="exact"/>
              <w:jc w:val="center"/>
              <w:rPr>
                <w:kern w:val="21"/>
                <w:sz w:val="24"/>
                <w:szCs w:val="24"/>
              </w:rPr>
            </w:pPr>
            <w:r>
              <w:rPr>
                <w:kern w:val="21"/>
                <w:sz w:val="24"/>
                <w:szCs w:val="24"/>
              </w:rPr>
              <w:t>制标</w:t>
            </w:r>
          </w:p>
          <w:p>
            <w:pPr>
              <w:adjustRightInd w:val="0"/>
              <w:snapToGrid w:val="0"/>
              <w:spacing w:line="520" w:lineRule="exact"/>
              <w:jc w:val="center"/>
              <w:rPr>
                <w:kern w:val="21"/>
                <w:sz w:val="24"/>
                <w:szCs w:val="24"/>
              </w:rPr>
            </w:pPr>
            <w:r>
              <w:rPr>
                <w:kern w:val="21"/>
                <w:sz w:val="24"/>
                <w:szCs w:val="24"/>
              </w:rPr>
              <w:t>准</w:t>
            </w:r>
          </w:p>
        </w:tc>
        <w:tc>
          <w:tcPr>
            <w:tcW w:w="4597" w:type="pct"/>
            <w:tcBorders>
              <w:tl2br w:val="nil"/>
              <w:tr2bl w:val="nil"/>
            </w:tcBorders>
          </w:tcPr>
          <w:tbl>
            <w:tblPr>
              <w:tblStyle w:val="30"/>
              <w:tblpPr w:leftFromText="180" w:rightFromText="180" w:vertAnchor="page" w:horzAnchor="margin" w:tblpXSpec="center"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60"/>
              <w:gridCol w:w="12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704" w:type="dxa"/>
                  <w:vAlign w:val="center"/>
                </w:tcPr>
                <w:p>
                  <w:pPr>
                    <w:adjustRightInd w:val="0"/>
                    <w:snapToGrid w:val="0"/>
                    <w:spacing w:line="360" w:lineRule="exact"/>
                    <w:jc w:val="center"/>
                    <w:rPr>
                      <w:szCs w:val="21"/>
                    </w:rPr>
                  </w:pPr>
                  <w:r>
                    <w:rPr>
                      <w:rFonts w:hint="eastAsia"/>
                      <w:szCs w:val="21"/>
                    </w:rPr>
                    <w:t>类别</w:t>
                  </w:r>
                </w:p>
              </w:tc>
              <w:tc>
                <w:tcPr>
                  <w:tcW w:w="3260" w:type="dxa"/>
                  <w:vAlign w:val="center"/>
                </w:tcPr>
                <w:p>
                  <w:pPr>
                    <w:adjustRightInd w:val="0"/>
                    <w:snapToGrid w:val="0"/>
                    <w:spacing w:line="360" w:lineRule="exact"/>
                    <w:jc w:val="center"/>
                    <w:rPr>
                      <w:szCs w:val="21"/>
                    </w:rPr>
                  </w:pPr>
                  <w:r>
                    <w:rPr>
                      <w:szCs w:val="21"/>
                    </w:rPr>
                    <w:t>执行标准</w:t>
                  </w:r>
                </w:p>
              </w:tc>
              <w:tc>
                <w:tcPr>
                  <w:tcW w:w="4253" w:type="dxa"/>
                  <w:gridSpan w:val="2"/>
                  <w:vAlign w:val="center"/>
                </w:tcPr>
                <w:p>
                  <w:pPr>
                    <w:adjustRightInd w:val="0"/>
                    <w:snapToGrid w:val="0"/>
                    <w:spacing w:line="360" w:lineRule="exact"/>
                    <w:jc w:val="center"/>
                    <w:rPr>
                      <w:szCs w:val="21"/>
                    </w:rPr>
                  </w:pPr>
                  <w:r>
                    <w:rPr>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4" w:type="dxa"/>
                  <w:vMerge w:val="restart"/>
                  <w:vAlign w:val="center"/>
                </w:tcPr>
                <w:p>
                  <w:pPr>
                    <w:adjustRightInd w:val="0"/>
                    <w:snapToGrid w:val="0"/>
                    <w:spacing w:line="360" w:lineRule="exact"/>
                    <w:jc w:val="center"/>
                    <w:rPr>
                      <w:szCs w:val="21"/>
                    </w:rPr>
                  </w:pPr>
                  <w:r>
                    <w:rPr>
                      <w:rFonts w:hint="eastAsia"/>
                      <w:szCs w:val="21"/>
                    </w:rPr>
                    <w:t>废气</w:t>
                  </w:r>
                </w:p>
              </w:tc>
              <w:tc>
                <w:tcPr>
                  <w:tcW w:w="3260" w:type="dxa"/>
                  <w:vMerge w:val="restart"/>
                  <w:vAlign w:val="center"/>
                </w:tcPr>
                <w:p>
                  <w:pPr>
                    <w:adjustRightInd w:val="0"/>
                    <w:snapToGrid w:val="0"/>
                    <w:spacing w:line="400" w:lineRule="exact"/>
                    <w:jc w:val="center"/>
                    <w:rPr>
                      <w:szCs w:val="21"/>
                    </w:rPr>
                  </w:pPr>
                  <w:r>
                    <w:rPr>
                      <w:szCs w:val="21"/>
                    </w:rPr>
                    <w:t>《</w:t>
                  </w:r>
                  <w:r>
                    <w:rPr>
                      <w:rFonts w:hint="eastAsia"/>
                      <w:szCs w:val="21"/>
                    </w:rPr>
                    <w:t>大气污染物综合排放标准</w:t>
                  </w:r>
                  <w:r>
                    <w:rPr>
                      <w:szCs w:val="21"/>
                    </w:rPr>
                    <w:t>》（GB</w:t>
                  </w:r>
                  <w:r>
                    <w:rPr>
                      <w:rFonts w:hint="eastAsia"/>
                      <w:szCs w:val="21"/>
                    </w:rPr>
                    <w:t>16297-1996</w:t>
                  </w:r>
                  <w:r>
                    <w:rPr>
                      <w:szCs w:val="21"/>
                    </w:rPr>
                    <w:t>）</w:t>
                  </w:r>
                  <w:r>
                    <w:rPr>
                      <w:rFonts w:hint="eastAsia"/>
                      <w:szCs w:val="21"/>
                    </w:rPr>
                    <w:t>表2二级标准</w:t>
                  </w:r>
                </w:p>
              </w:tc>
              <w:tc>
                <w:tcPr>
                  <w:tcW w:w="1276" w:type="dxa"/>
                  <w:vMerge w:val="restart"/>
                  <w:vAlign w:val="center"/>
                </w:tcPr>
                <w:p>
                  <w:pPr>
                    <w:adjustRightInd w:val="0"/>
                    <w:snapToGrid w:val="0"/>
                    <w:jc w:val="center"/>
                    <w:rPr>
                      <w:szCs w:val="21"/>
                    </w:rPr>
                  </w:pPr>
                  <w:r>
                    <w:rPr>
                      <w:rFonts w:hint="eastAsia"/>
                      <w:szCs w:val="21"/>
                    </w:rPr>
                    <w:t>甲醛</w:t>
                  </w:r>
                </w:p>
              </w:tc>
              <w:tc>
                <w:tcPr>
                  <w:tcW w:w="2977" w:type="dxa"/>
                  <w:vAlign w:val="center"/>
                </w:tcPr>
                <w:p>
                  <w:pPr>
                    <w:spacing w:line="380" w:lineRule="exact"/>
                    <w:jc w:val="center"/>
                    <w:rPr>
                      <w:szCs w:val="21"/>
                    </w:rPr>
                  </w:pPr>
                  <w:r>
                    <w:rPr>
                      <w:rFonts w:hint="eastAsia"/>
                      <w:szCs w:val="21"/>
                    </w:rPr>
                    <w:t>最高允许排放浓度25mg/m</w:t>
                  </w:r>
                  <w:r>
                    <w:rPr>
                      <w:rFonts w:hint="eastAsia"/>
                      <w:szCs w:val="21"/>
                      <w:vertAlign w:val="superscript"/>
                    </w:rPr>
                    <w:t>3</w:t>
                  </w:r>
                </w:p>
                <w:p>
                  <w:pPr>
                    <w:spacing w:line="320" w:lineRule="exact"/>
                    <w:jc w:val="center"/>
                    <w:rPr>
                      <w:szCs w:val="21"/>
                    </w:rPr>
                  </w:pPr>
                  <w:r>
                    <w:rPr>
                      <w:rFonts w:hint="eastAsia"/>
                      <w:szCs w:val="21"/>
                    </w:rPr>
                    <w:t>排气筒高度为15m时，最高允许排放速率0.26kg/h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400" w:lineRule="exact"/>
                    <w:jc w:val="center"/>
                    <w:rPr>
                      <w:szCs w:val="21"/>
                    </w:rPr>
                  </w:pPr>
                </w:p>
              </w:tc>
              <w:tc>
                <w:tcPr>
                  <w:tcW w:w="1276" w:type="dxa"/>
                  <w:vMerge w:val="continue"/>
                  <w:vAlign w:val="center"/>
                </w:tcPr>
                <w:p>
                  <w:pPr>
                    <w:pStyle w:val="10"/>
                    <w:ind w:left="-25" w:firstLine="0" w:firstLineChars="0"/>
                    <w:jc w:val="center"/>
                    <w:rPr>
                      <w:sz w:val="21"/>
                      <w:szCs w:val="21"/>
                    </w:rPr>
                  </w:pPr>
                </w:p>
              </w:tc>
              <w:tc>
                <w:tcPr>
                  <w:tcW w:w="2977" w:type="dxa"/>
                  <w:vAlign w:val="center"/>
                </w:tcPr>
                <w:p>
                  <w:pPr>
                    <w:jc w:val="center"/>
                    <w:rPr>
                      <w:bCs/>
                      <w:szCs w:val="21"/>
                    </w:rPr>
                  </w:pPr>
                  <w:r>
                    <w:rPr>
                      <w:rFonts w:hint="eastAsia"/>
                      <w:szCs w:val="21"/>
                    </w:rPr>
                    <w:t>周界外浓度最高点0.2mg/m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400" w:lineRule="exact"/>
                    <w:jc w:val="center"/>
                    <w:rPr>
                      <w:szCs w:val="21"/>
                    </w:rPr>
                  </w:pPr>
                </w:p>
              </w:tc>
              <w:tc>
                <w:tcPr>
                  <w:tcW w:w="1276" w:type="dxa"/>
                  <w:vMerge w:val="restart"/>
                  <w:vAlign w:val="center"/>
                </w:tcPr>
                <w:p>
                  <w:pPr>
                    <w:pStyle w:val="10"/>
                    <w:ind w:left="-25" w:firstLine="0" w:firstLineChars="0"/>
                    <w:jc w:val="center"/>
                    <w:rPr>
                      <w:sz w:val="21"/>
                      <w:szCs w:val="21"/>
                    </w:rPr>
                  </w:pPr>
                  <w:r>
                    <w:rPr>
                      <w:rFonts w:hint="eastAsia"/>
                      <w:sz w:val="21"/>
                      <w:szCs w:val="21"/>
                    </w:rPr>
                    <w:t>非甲烷总烃</w:t>
                  </w:r>
                </w:p>
              </w:tc>
              <w:tc>
                <w:tcPr>
                  <w:tcW w:w="2977" w:type="dxa"/>
                </w:tcPr>
                <w:p>
                  <w:pPr>
                    <w:spacing w:line="380" w:lineRule="exact"/>
                    <w:jc w:val="center"/>
                    <w:rPr>
                      <w:szCs w:val="21"/>
                    </w:rPr>
                  </w:pPr>
                  <w:r>
                    <w:rPr>
                      <w:rFonts w:hint="eastAsia"/>
                      <w:szCs w:val="21"/>
                    </w:rPr>
                    <w:t>最高允许排放浓度120mg/m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360" w:lineRule="exact"/>
                    <w:jc w:val="center"/>
                    <w:rPr>
                      <w:szCs w:val="21"/>
                    </w:rPr>
                  </w:pPr>
                </w:p>
              </w:tc>
              <w:tc>
                <w:tcPr>
                  <w:tcW w:w="1276" w:type="dxa"/>
                  <w:vMerge w:val="continue"/>
                  <w:vAlign w:val="center"/>
                </w:tcPr>
                <w:p>
                  <w:pPr>
                    <w:adjustRightInd w:val="0"/>
                    <w:snapToGrid w:val="0"/>
                    <w:spacing w:line="360" w:lineRule="exact"/>
                    <w:jc w:val="center"/>
                    <w:rPr>
                      <w:szCs w:val="21"/>
                    </w:rPr>
                  </w:pPr>
                </w:p>
              </w:tc>
              <w:tc>
                <w:tcPr>
                  <w:tcW w:w="2977" w:type="dxa"/>
                </w:tcPr>
                <w:p>
                  <w:pPr>
                    <w:jc w:val="center"/>
                  </w:pPr>
                  <w:r>
                    <w:rPr>
                      <w:rFonts w:hint="eastAsia"/>
                      <w:szCs w:val="21"/>
                    </w:rPr>
                    <w:t>排气筒高度为15m时，最高允许排放速率10kg/h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restart"/>
                  <w:vAlign w:val="center"/>
                </w:tcPr>
                <w:p>
                  <w:pPr>
                    <w:adjustRightInd w:val="0"/>
                    <w:snapToGrid w:val="0"/>
                    <w:spacing w:line="400" w:lineRule="exact"/>
                    <w:jc w:val="center"/>
                    <w:rPr>
                      <w:rFonts w:ascii="宋体" w:hAnsi="宋体"/>
                      <w:szCs w:val="18"/>
                    </w:rPr>
                  </w:pPr>
                  <w:r>
                    <w:rPr>
                      <w:rFonts w:hint="eastAsia" w:ascii="宋体" w:hAnsi="宋体"/>
                      <w:szCs w:val="18"/>
                    </w:rPr>
                    <w:t>河南省环境污染防治攻坚战领导小组《关</w:t>
                  </w:r>
                  <w:r>
                    <w:rPr>
                      <w:szCs w:val="18"/>
                    </w:rPr>
                    <w:t>于全省开展工业企业挥发性有机物专项治理工作中排放建议值的通知》（豫环攻坚办[2017]162号）</w:t>
                  </w:r>
                  <w:r>
                    <w:rPr>
                      <w:rFonts w:hint="eastAsia"/>
                      <w:szCs w:val="18"/>
                    </w:rPr>
                    <w:t>中附件1中木材加工业、附件2中其他企业</w:t>
                  </w:r>
                </w:p>
              </w:tc>
              <w:tc>
                <w:tcPr>
                  <w:tcW w:w="1276" w:type="dxa"/>
                  <w:vMerge w:val="restart"/>
                  <w:vAlign w:val="center"/>
                </w:tcPr>
                <w:p>
                  <w:pPr>
                    <w:adjustRightInd w:val="0"/>
                    <w:snapToGrid w:val="0"/>
                    <w:spacing w:line="400" w:lineRule="exact"/>
                    <w:jc w:val="center"/>
                    <w:rPr>
                      <w:szCs w:val="21"/>
                    </w:rPr>
                  </w:pPr>
                  <w:r>
                    <w:rPr>
                      <w:rFonts w:hint="eastAsia"/>
                      <w:szCs w:val="21"/>
                    </w:rPr>
                    <w:t>甲醛</w:t>
                  </w:r>
                </w:p>
              </w:tc>
              <w:tc>
                <w:tcPr>
                  <w:tcW w:w="2977" w:type="dxa"/>
                  <w:vAlign w:val="center"/>
                </w:tcPr>
                <w:p>
                  <w:pPr>
                    <w:spacing w:line="360" w:lineRule="exact"/>
                    <w:jc w:val="center"/>
                    <w:rPr>
                      <w:bCs/>
                      <w:color w:val="000000"/>
                      <w:szCs w:val="21"/>
                    </w:rPr>
                  </w:pPr>
                  <w:r>
                    <w:rPr>
                      <w:rFonts w:hint="eastAsia"/>
                      <w:bCs/>
                      <w:color w:val="000000"/>
                      <w:szCs w:val="21"/>
                    </w:rPr>
                    <w:t>建议排放浓度5</w:t>
                  </w:r>
                  <w:r>
                    <w:rPr>
                      <w:bCs/>
                      <w:color w:val="000000"/>
                      <w:szCs w:val="21"/>
                    </w:rPr>
                    <w:t>mg/m</w:t>
                  </w:r>
                  <w:r>
                    <w:rPr>
                      <w:bCs/>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400" w:lineRule="exact"/>
                    <w:jc w:val="center"/>
                    <w:rPr>
                      <w:rFonts w:ascii="宋体" w:hAnsi="宋体"/>
                      <w:szCs w:val="18"/>
                    </w:rPr>
                  </w:pPr>
                </w:p>
              </w:tc>
              <w:tc>
                <w:tcPr>
                  <w:tcW w:w="1276" w:type="dxa"/>
                  <w:vMerge w:val="continue"/>
                  <w:vAlign w:val="center"/>
                </w:tcPr>
                <w:p>
                  <w:pPr>
                    <w:adjustRightInd w:val="0"/>
                    <w:snapToGrid w:val="0"/>
                    <w:spacing w:line="400" w:lineRule="exact"/>
                    <w:jc w:val="center"/>
                    <w:rPr>
                      <w:szCs w:val="21"/>
                    </w:rPr>
                  </w:pPr>
                </w:p>
              </w:tc>
              <w:tc>
                <w:tcPr>
                  <w:tcW w:w="2977" w:type="dxa"/>
                  <w:vAlign w:val="center"/>
                </w:tcPr>
                <w:p>
                  <w:pPr>
                    <w:spacing w:line="360" w:lineRule="exact"/>
                    <w:jc w:val="center"/>
                    <w:rPr>
                      <w:color w:val="000000"/>
                      <w:szCs w:val="21"/>
                    </w:rPr>
                  </w:pPr>
                  <w:r>
                    <w:rPr>
                      <w:rFonts w:hint="eastAsia"/>
                      <w:bCs/>
                      <w:color w:val="000000"/>
                      <w:szCs w:val="21"/>
                    </w:rPr>
                    <w:t>工业企业边界排放建议值为0.5</w:t>
                  </w:r>
                  <w:r>
                    <w:rPr>
                      <w:bCs/>
                      <w:color w:val="000000"/>
                      <w:szCs w:val="21"/>
                    </w:rPr>
                    <w:t>mg/m</w:t>
                  </w:r>
                  <w:r>
                    <w:rPr>
                      <w:bCs/>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400" w:lineRule="exact"/>
                    <w:jc w:val="center"/>
                    <w:rPr>
                      <w:szCs w:val="21"/>
                    </w:rPr>
                  </w:pPr>
                </w:p>
              </w:tc>
              <w:tc>
                <w:tcPr>
                  <w:tcW w:w="1276" w:type="dxa"/>
                  <w:vMerge w:val="restart"/>
                  <w:vAlign w:val="center"/>
                </w:tcPr>
                <w:p>
                  <w:pPr>
                    <w:adjustRightInd w:val="0"/>
                    <w:snapToGrid w:val="0"/>
                    <w:spacing w:line="400" w:lineRule="exact"/>
                    <w:jc w:val="center"/>
                    <w:rPr>
                      <w:szCs w:val="21"/>
                    </w:rPr>
                  </w:pPr>
                  <w:r>
                    <w:rPr>
                      <w:rFonts w:hint="eastAsia"/>
                      <w:szCs w:val="21"/>
                    </w:rPr>
                    <w:t>非甲烷总烃</w:t>
                  </w:r>
                </w:p>
              </w:tc>
              <w:tc>
                <w:tcPr>
                  <w:tcW w:w="2977" w:type="dxa"/>
                  <w:vAlign w:val="center"/>
                </w:tcPr>
                <w:p>
                  <w:pPr>
                    <w:spacing w:line="360" w:lineRule="exact"/>
                    <w:jc w:val="center"/>
                    <w:rPr>
                      <w:bCs/>
                      <w:color w:val="000000"/>
                      <w:szCs w:val="21"/>
                    </w:rPr>
                  </w:pPr>
                  <w:r>
                    <w:rPr>
                      <w:rFonts w:hint="eastAsia"/>
                      <w:bCs/>
                      <w:color w:val="000000"/>
                      <w:szCs w:val="21"/>
                    </w:rPr>
                    <w:t>建议排放浓度60</w:t>
                  </w:r>
                  <w:r>
                    <w:rPr>
                      <w:bCs/>
                      <w:color w:val="000000"/>
                      <w:szCs w:val="21"/>
                    </w:rPr>
                    <w:t>mg/m</w:t>
                  </w:r>
                  <w:r>
                    <w:rPr>
                      <w:bCs/>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360" w:lineRule="exact"/>
                    <w:jc w:val="center"/>
                    <w:rPr>
                      <w:szCs w:val="21"/>
                    </w:rPr>
                  </w:pPr>
                </w:p>
              </w:tc>
              <w:tc>
                <w:tcPr>
                  <w:tcW w:w="1276" w:type="dxa"/>
                  <w:vMerge w:val="continue"/>
                  <w:vAlign w:val="center"/>
                </w:tcPr>
                <w:p>
                  <w:pPr>
                    <w:adjustRightInd w:val="0"/>
                    <w:snapToGrid w:val="0"/>
                    <w:spacing w:line="360" w:lineRule="exact"/>
                    <w:jc w:val="center"/>
                    <w:rPr>
                      <w:szCs w:val="21"/>
                    </w:rPr>
                  </w:pPr>
                </w:p>
              </w:tc>
              <w:tc>
                <w:tcPr>
                  <w:tcW w:w="2977" w:type="dxa"/>
                  <w:vAlign w:val="center"/>
                </w:tcPr>
                <w:p>
                  <w:pPr>
                    <w:spacing w:line="360" w:lineRule="exact"/>
                    <w:jc w:val="center"/>
                    <w:rPr>
                      <w:color w:val="000000"/>
                      <w:szCs w:val="21"/>
                    </w:rPr>
                  </w:pPr>
                  <w:r>
                    <w:rPr>
                      <w:rFonts w:hint="eastAsia"/>
                      <w:bCs/>
                      <w:color w:val="000000"/>
                      <w:szCs w:val="21"/>
                    </w:rPr>
                    <w:t>工业企业边界排放建议值为2.0</w:t>
                  </w:r>
                  <w:r>
                    <w:rPr>
                      <w:bCs/>
                      <w:color w:val="000000"/>
                      <w:szCs w:val="21"/>
                    </w:rPr>
                    <w:t>mg/m</w:t>
                  </w:r>
                  <w:r>
                    <w:rPr>
                      <w:bCs/>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restart"/>
                  <w:vAlign w:val="center"/>
                </w:tcPr>
                <w:p>
                  <w:pPr>
                    <w:adjustRightInd w:val="0"/>
                    <w:snapToGrid w:val="0"/>
                    <w:spacing w:line="360" w:lineRule="exact"/>
                    <w:jc w:val="center"/>
                    <w:rPr>
                      <w:szCs w:val="21"/>
                    </w:rPr>
                  </w:pPr>
                  <w:r>
                    <w:rPr>
                      <w:rFonts w:hint="eastAsia"/>
                      <w:color w:val="000000"/>
                      <w:szCs w:val="21"/>
                    </w:rPr>
                    <w:t>《锅炉大气污染物排放标准》（DB41/2089-2021）</w:t>
                  </w:r>
                </w:p>
              </w:tc>
              <w:tc>
                <w:tcPr>
                  <w:tcW w:w="1276" w:type="dxa"/>
                  <w:vAlign w:val="center"/>
                </w:tcPr>
                <w:p>
                  <w:pPr>
                    <w:jc w:val="center"/>
                    <w:rPr>
                      <w:color w:val="000000"/>
                      <w:szCs w:val="21"/>
                    </w:rPr>
                  </w:pPr>
                  <w:r>
                    <w:rPr>
                      <w:rFonts w:hint="eastAsia"/>
                      <w:color w:val="000000"/>
                      <w:szCs w:val="21"/>
                    </w:rPr>
                    <w:t>颗粒物</w:t>
                  </w:r>
                </w:p>
              </w:tc>
              <w:tc>
                <w:tcPr>
                  <w:tcW w:w="2977" w:type="dxa"/>
                  <w:vAlign w:val="center"/>
                </w:tcPr>
                <w:p>
                  <w:pPr>
                    <w:jc w:val="center"/>
                    <w:rPr>
                      <w:color w:val="000000"/>
                      <w:szCs w:val="21"/>
                    </w:rPr>
                  </w:pPr>
                  <w:r>
                    <w:rPr>
                      <w:rFonts w:hint="eastAsia"/>
                      <w:color w:val="000000"/>
                      <w:szCs w:val="21"/>
                    </w:rPr>
                    <w:t>排放浓度限值5mg/m</w:t>
                  </w:r>
                  <w:r>
                    <w:rPr>
                      <w:rFonts w:hint="eastAsia"/>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360" w:lineRule="exact"/>
                    <w:jc w:val="center"/>
                    <w:rPr>
                      <w:szCs w:val="21"/>
                    </w:rPr>
                  </w:pPr>
                </w:p>
              </w:tc>
              <w:tc>
                <w:tcPr>
                  <w:tcW w:w="1276" w:type="dxa"/>
                  <w:vAlign w:val="center"/>
                </w:tcPr>
                <w:p>
                  <w:pPr>
                    <w:spacing w:line="400" w:lineRule="exact"/>
                    <w:jc w:val="center"/>
                    <w:rPr>
                      <w:color w:val="000000"/>
                      <w:szCs w:val="21"/>
                    </w:rPr>
                  </w:pPr>
                  <w:r>
                    <w:rPr>
                      <w:rFonts w:hint="eastAsia"/>
                      <w:color w:val="000000"/>
                      <w:szCs w:val="21"/>
                    </w:rPr>
                    <w:t>SO</w:t>
                  </w:r>
                  <w:r>
                    <w:rPr>
                      <w:rFonts w:hint="eastAsia"/>
                      <w:color w:val="000000"/>
                      <w:szCs w:val="21"/>
                      <w:vertAlign w:val="subscript"/>
                    </w:rPr>
                    <w:t>2</w:t>
                  </w:r>
                </w:p>
              </w:tc>
              <w:tc>
                <w:tcPr>
                  <w:tcW w:w="2977" w:type="dxa"/>
                  <w:vAlign w:val="center"/>
                </w:tcPr>
                <w:p>
                  <w:pPr>
                    <w:spacing w:line="400" w:lineRule="exact"/>
                    <w:jc w:val="center"/>
                    <w:rPr>
                      <w:color w:val="000000"/>
                      <w:szCs w:val="21"/>
                    </w:rPr>
                  </w:pPr>
                  <w:r>
                    <w:rPr>
                      <w:rFonts w:hint="eastAsia"/>
                      <w:color w:val="000000"/>
                      <w:szCs w:val="21"/>
                    </w:rPr>
                    <w:t>排放浓度限值10mg/m</w:t>
                  </w:r>
                  <w:r>
                    <w:rPr>
                      <w:rFonts w:hint="eastAsia"/>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4" w:type="dxa"/>
                  <w:vMerge w:val="continue"/>
                  <w:vAlign w:val="center"/>
                </w:tcPr>
                <w:p>
                  <w:pPr>
                    <w:adjustRightInd w:val="0"/>
                    <w:snapToGrid w:val="0"/>
                    <w:spacing w:line="360" w:lineRule="exact"/>
                    <w:jc w:val="center"/>
                    <w:rPr>
                      <w:szCs w:val="21"/>
                    </w:rPr>
                  </w:pPr>
                </w:p>
              </w:tc>
              <w:tc>
                <w:tcPr>
                  <w:tcW w:w="3260" w:type="dxa"/>
                  <w:vAlign w:val="center"/>
                </w:tcPr>
                <w:p>
                  <w:pPr>
                    <w:adjustRightInd w:val="0"/>
                    <w:snapToGrid w:val="0"/>
                    <w:spacing w:line="360" w:lineRule="exact"/>
                    <w:rPr>
                      <w:szCs w:val="21"/>
                    </w:rPr>
                  </w:pPr>
                </w:p>
              </w:tc>
              <w:tc>
                <w:tcPr>
                  <w:tcW w:w="1276" w:type="dxa"/>
                  <w:vAlign w:val="center"/>
                </w:tcPr>
                <w:p>
                  <w:pPr>
                    <w:spacing w:line="400" w:lineRule="exact"/>
                    <w:jc w:val="center"/>
                    <w:rPr>
                      <w:color w:val="000000"/>
                      <w:szCs w:val="21"/>
                    </w:rPr>
                  </w:pPr>
                  <w:r>
                    <w:rPr>
                      <w:rFonts w:hint="eastAsia"/>
                      <w:color w:val="000000"/>
                      <w:szCs w:val="21"/>
                    </w:rPr>
                    <w:t>NO</w:t>
                  </w:r>
                  <w:r>
                    <w:rPr>
                      <w:rFonts w:hint="eastAsia"/>
                      <w:color w:val="000000"/>
                      <w:szCs w:val="21"/>
                      <w:vertAlign w:val="subscript"/>
                    </w:rPr>
                    <w:t>X</w:t>
                  </w:r>
                </w:p>
              </w:tc>
              <w:tc>
                <w:tcPr>
                  <w:tcW w:w="2977" w:type="dxa"/>
                  <w:vAlign w:val="center"/>
                </w:tcPr>
                <w:p>
                  <w:pPr>
                    <w:spacing w:line="400" w:lineRule="exact"/>
                    <w:jc w:val="center"/>
                    <w:rPr>
                      <w:color w:val="000000"/>
                      <w:szCs w:val="21"/>
                    </w:rPr>
                  </w:pPr>
                  <w:r>
                    <w:rPr>
                      <w:rFonts w:hint="eastAsia"/>
                      <w:color w:val="000000"/>
                      <w:szCs w:val="21"/>
                    </w:rPr>
                    <w:t>排放浓度限值50mg/m</w:t>
                  </w:r>
                  <w:r>
                    <w:rPr>
                      <w:rFonts w:hint="eastAsia"/>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trPr>
              <w:tc>
                <w:tcPr>
                  <w:tcW w:w="704" w:type="dxa"/>
                  <w:vMerge w:val="restart"/>
                  <w:vAlign w:val="center"/>
                </w:tcPr>
                <w:p>
                  <w:pPr>
                    <w:adjustRightInd w:val="0"/>
                    <w:snapToGrid w:val="0"/>
                    <w:spacing w:line="360" w:lineRule="exact"/>
                    <w:jc w:val="center"/>
                    <w:rPr>
                      <w:szCs w:val="21"/>
                    </w:rPr>
                  </w:pPr>
                  <w:r>
                    <w:rPr>
                      <w:rFonts w:hint="eastAsia"/>
                      <w:szCs w:val="21"/>
                    </w:rPr>
                    <w:t>噪声</w:t>
                  </w:r>
                </w:p>
              </w:tc>
              <w:tc>
                <w:tcPr>
                  <w:tcW w:w="3260" w:type="dxa"/>
                  <w:vMerge w:val="restart"/>
                  <w:vAlign w:val="center"/>
                </w:tcPr>
                <w:p>
                  <w:pPr>
                    <w:adjustRightInd w:val="0"/>
                    <w:snapToGrid w:val="0"/>
                    <w:spacing w:line="360" w:lineRule="exact"/>
                    <w:jc w:val="center"/>
                    <w:rPr>
                      <w:szCs w:val="21"/>
                    </w:rPr>
                  </w:pPr>
                  <w:r>
                    <w:rPr>
                      <w:szCs w:val="21"/>
                    </w:rPr>
                    <w:t>《工业企业厂界环境噪声排放标准》</w:t>
                  </w:r>
                  <w:r>
                    <w:rPr>
                      <w:rFonts w:hint="eastAsia"/>
                      <w:szCs w:val="21"/>
                    </w:rPr>
                    <w:t>（</w:t>
                  </w:r>
                  <w:r>
                    <w:rPr>
                      <w:szCs w:val="21"/>
                    </w:rPr>
                    <w:t>GB12348-2008</w:t>
                  </w:r>
                  <w:r>
                    <w:rPr>
                      <w:rFonts w:hint="eastAsia"/>
                      <w:szCs w:val="21"/>
                    </w:rPr>
                    <w:t>）2类标准</w:t>
                  </w:r>
                </w:p>
              </w:tc>
              <w:tc>
                <w:tcPr>
                  <w:tcW w:w="4253" w:type="dxa"/>
                  <w:gridSpan w:val="2"/>
                  <w:vAlign w:val="center"/>
                </w:tcPr>
                <w:p>
                  <w:pPr>
                    <w:adjustRightInd w:val="0"/>
                    <w:snapToGrid w:val="0"/>
                    <w:spacing w:line="360" w:lineRule="exact"/>
                    <w:jc w:val="center"/>
                    <w:rPr>
                      <w:szCs w:val="21"/>
                    </w:rPr>
                  </w:pPr>
                  <w:r>
                    <w:rPr>
                      <w:rFonts w:hint="eastAsia"/>
                      <w:szCs w:val="21"/>
                    </w:rPr>
                    <w:t>昼间：60dB（A）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704" w:type="dxa"/>
                  <w:vMerge w:val="continue"/>
                  <w:vAlign w:val="center"/>
                </w:tcPr>
                <w:p>
                  <w:pPr>
                    <w:adjustRightInd w:val="0"/>
                    <w:snapToGrid w:val="0"/>
                    <w:spacing w:line="360" w:lineRule="exact"/>
                    <w:jc w:val="center"/>
                    <w:rPr>
                      <w:szCs w:val="21"/>
                    </w:rPr>
                  </w:pPr>
                </w:p>
              </w:tc>
              <w:tc>
                <w:tcPr>
                  <w:tcW w:w="3260" w:type="dxa"/>
                  <w:vMerge w:val="continue"/>
                  <w:vAlign w:val="center"/>
                </w:tcPr>
                <w:p>
                  <w:pPr>
                    <w:adjustRightInd w:val="0"/>
                    <w:snapToGrid w:val="0"/>
                    <w:spacing w:line="360" w:lineRule="exact"/>
                    <w:jc w:val="center"/>
                    <w:rPr>
                      <w:szCs w:val="21"/>
                    </w:rPr>
                  </w:pPr>
                </w:p>
              </w:tc>
              <w:tc>
                <w:tcPr>
                  <w:tcW w:w="4253" w:type="dxa"/>
                  <w:gridSpan w:val="2"/>
                  <w:vAlign w:val="center"/>
                </w:tcPr>
                <w:p>
                  <w:pPr>
                    <w:spacing w:line="360" w:lineRule="exact"/>
                    <w:jc w:val="center"/>
                    <w:rPr>
                      <w:szCs w:val="21"/>
                    </w:rPr>
                  </w:pPr>
                  <w:r>
                    <w:rPr>
                      <w:rFonts w:hint="eastAsia"/>
                      <w:szCs w:val="21"/>
                    </w:rP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704" w:type="dxa"/>
                  <w:vAlign w:val="center"/>
                </w:tcPr>
                <w:p>
                  <w:pPr>
                    <w:spacing w:line="360" w:lineRule="exact"/>
                    <w:jc w:val="center"/>
                    <w:rPr>
                      <w:szCs w:val="21"/>
                    </w:rPr>
                  </w:pPr>
                  <w:r>
                    <w:rPr>
                      <w:rFonts w:hint="eastAsia"/>
                      <w:szCs w:val="21"/>
                    </w:rPr>
                    <w:t>固废</w:t>
                  </w:r>
                </w:p>
              </w:tc>
              <w:tc>
                <w:tcPr>
                  <w:tcW w:w="7513" w:type="dxa"/>
                  <w:gridSpan w:val="3"/>
                  <w:vAlign w:val="center"/>
                </w:tcPr>
                <w:p>
                  <w:pPr>
                    <w:spacing w:line="360" w:lineRule="exact"/>
                    <w:jc w:val="center"/>
                    <w:rPr>
                      <w:szCs w:val="21"/>
                    </w:rPr>
                  </w:pPr>
                  <w:r>
                    <w:rPr>
                      <w:rFonts w:hint="eastAsia"/>
                      <w:szCs w:val="21"/>
                    </w:rPr>
                    <w:t>一般固体废物执行</w:t>
                  </w:r>
                  <w:r>
                    <w:rPr>
                      <w:szCs w:val="21"/>
                    </w:rPr>
                    <w:t>《一般工业固体废物贮存、处置场污染控制标准》（GB18599-2001）</w:t>
                  </w:r>
                  <w:r>
                    <w:rPr>
                      <w:rFonts w:hint="eastAsia"/>
                      <w:szCs w:val="21"/>
                    </w:rPr>
                    <w:t>及2013年修改单；</w:t>
                  </w:r>
                  <w:r>
                    <w:rPr>
                      <w:rFonts w:hint="eastAsia"/>
                      <w:color w:val="000000" w:themeColor="text1"/>
                      <w:szCs w:val="21"/>
                      <w14:textFill>
                        <w14:solidFill>
                          <w14:schemeClr w14:val="tx1"/>
                        </w14:solidFill>
                      </w14:textFill>
                    </w:rPr>
                    <w:t>危险废物执行《危险废物贮存污染控制标准》（GB18597-2001）及2013年修改单</w:t>
                  </w:r>
                </w:p>
              </w:tc>
            </w:tr>
          </w:tbl>
          <w:p>
            <w:pPr>
              <w:adjustRightInd w:val="0"/>
              <w:snapToGrid w:val="0"/>
              <w:spacing w:line="520" w:lineRule="exact"/>
              <w:ind w:firstLine="480" w:firstLineChars="200"/>
              <w:rPr>
                <w:kern w:val="2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3" w:type="pct"/>
            <w:tcBorders>
              <w:tl2br w:val="nil"/>
              <w:tr2bl w:val="nil"/>
            </w:tcBorders>
            <w:vAlign w:val="center"/>
          </w:tcPr>
          <w:p>
            <w:pPr>
              <w:adjustRightInd w:val="0"/>
              <w:snapToGrid w:val="0"/>
              <w:spacing w:line="520" w:lineRule="exact"/>
              <w:jc w:val="center"/>
              <w:rPr>
                <w:kern w:val="21"/>
                <w:sz w:val="24"/>
                <w:szCs w:val="24"/>
              </w:rPr>
            </w:pPr>
            <w:r>
              <w:rPr>
                <w:kern w:val="21"/>
                <w:sz w:val="24"/>
                <w:szCs w:val="24"/>
              </w:rPr>
              <w:t>总量</w:t>
            </w:r>
          </w:p>
          <w:p>
            <w:pPr>
              <w:adjustRightInd w:val="0"/>
              <w:snapToGrid w:val="0"/>
              <w:spacing w:line="520" w:lineRule="exact"/>
              <w:jc w:val="center"/>
              <w:rPr>
                <w:kern w:val="21"/>
                <w:sz w:val="24"/>
                <w:szCs w:val="24"/>
              </w:rPr>
            </w:pPr>
            <w:r>
              <w:rPr>
                <w:kern w:val="21"/>
                <w:sz w:val="24"/>
                <w:szCs w:val="24"/>
              </w:rPr>
              <w:t>控制</w:t>
            </w:r>
          </w:p>
          <w:p>
            <w:pPr>
              <w:adjustRightInd w:val="0"/>
              <w:snapToGrid w:val="0"/>
              <w:spacing w:line="520" w:lineRule="exact"/>
              <w:jc w:val="center"/>
              <w:rPr>
                <w:kern w:val="21"/>
                <w:sz w:val="24"/>
                <w:szCs w:val="24"/>
              </w:rPr>
            </w:pPr>
            <w:r>
              <w:rPr>
                <w:kern w:val="21"/>
                <w:sz w:val="24"/>
                <w:szCs w:val="24"/>
              </w:rPr>
              <w:t>指标</w:t>
            </w:r>
          </w:p>
        </w:tc>
        <w:tc>
          <w:tcPr>
            <w:tcW w:w="4597" w:type="pct"/>
            <w:tcBorders>
              <w:tl2br w:val="nil"/>
              <w:tr2bl w:val="nil"/>
            </w:tcBorders>
            <w:vAlign w:val="center"/>
          </w:tcPr>
          <w:p>
            <w:pPr>
              <w:widowControl/>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rFonts w:hint="eastAsia" w:cs="宋体"/>
                <w:color w:val="000000"/>
                <w:sz w:val="24"/>
              </w:rPr>
            </w:pPr>
            <w:r>
              <w:rPr>
                <w:rFonts w:hint="eastAsia"/>
                <w:color w:val="000000"/>
                <w:sz w:val="24"/>
              </w:rPr>
              <w:t>废气：</w:t>
            </w:r>
            <w:r>
              <w:rPr>
                <w:rFonts w:hint="eastAsia" w:ascii="宋体" w:hAnsi="宋体"/>
                <w:color w:val="000000"/>
                <w:sz w:val="24"/>
              </w:rPr>
              <w:t>①</w:t>
            </w:r>
            <w:r>
              <w:rPr>
                <w:rFonts w:hint="eastAsia" w:hAnsi="宋体"/>
                <w:color w:val="000000"/>
                <w:sz w:val="24"/>
              </w:rPr>
              <w:t>本项目营运期模温机（导热油炉）液化石油气燃烧废气中</w:t>
            </w:r>
            <w:r>
              <w:rPr>
                <w:rFonts w:hint="eastAsia" w:cs="宋体"/>
                <w:color w:val="000000"/>
                <w:sz w:val="24"/>
              </w:rPr>
              <w:t>主要污染物为颗粒物、SO</w:t>
            </w:r>
            <w:r>
              <w:rPr>
                <w:rFonts w:hint="eastAsia" w:cs="宋体"/>
                <w:color w:val="000000"/>
                <w:sz w:val="24"/>
                <w:vertAlign w:val="subscript"/>
              </w:rPr>
              <w:t>2</w:t>
            </w:r>
            <w:r>
              <w:rPr>
                <w:rFonts w:hint="eastAsia" w:cs="宋体"/>
                <w:color w:val="000000"/>
                <w:sz w:val="24"/>
              </w:rPr>
              <w:t>、NOx，</w:t>
            </w:r>
            <w:r>
              <w:rPr>
                <w:rFonts w:hint="eastAsia" w:hAnsi="宋体"/>
                <w:color w:val="000000"/>
                <w:sz w:val="24"/>
              </w:rPr>
              <w:t>燃烧机加装低氮燃烧器，燃烧废气经1根8m高排气筒排放，因此本项目废气总量控制指标为</w:t>
            </w:r>
            <w:r>
              <w:rPr>
                <w:color w:val="000000"/>
                <w:sz w:val="24"/>
              </w:rPr>
              <w:t>SO</w:t>
            </w:r>
            <w:r>
              <w:rPr>
                <w:color w:val="000000"/>
                <w:sz w:val="24"/>
                <w:vertAlign w:val="subscript"/>
              </w:rPr>
              <w:t>2</w:t>
            </w:r>
            <w:r>
              <w:rPr>
                <w:rFonts w:hint="eastAsia"/>
                <w:color w:val="000000"/>
                <w:sz w:val="24"/>
              </w:rPr>
              <w:t>：0.0003t/a，</w:t>
            </w:r>
            <w:r>
              <w:rPr>
                <w:color w:val="000000"/>
                <w:sz w:val="24"/>
              </w:rPr>
              <w:t>NO</w:t>
            </w:r>
            <w:r>
              <w:rPr>
                <w:color w:val="000000"/>
                <w:sz w:val="24"/>
                <w:vertAlign w:val="subscript"/>
              </w:rPr>
              <w:t>X</w:t>
            </w:r>
            <w:r>
              <w:rPr>
                <w:rFonts w:hint="eastAsia"/>
                <w:color w:val="000000"/>
                <w:sz w:val="24"/>
              </w:rPr>
              <w:t>：0.0102t/a</w:t>
            </w:r>
            <w:r>
              <w:rPr>
                <w:rFonts w:hint="eastAsia" w:cs="宋体"/>
                <w:color w:val="000000"/>
                <w:sz w:val="24"/>
              </w:rPr>
              <w:t>。</w:t>
            </w:r>
          </w:p>
          <w:p>
            <w:pPr>
              <w:adjustRightInd w:val="0"/>
              <w:snapToGrid w:val="0"/>
              <w:spacing w:line="360" w:lineRule="auto"/>
              <w:ind w:firstLine="480" w:firstLineChars="200"/>
              <w:rPr>
                <w:rFonts w:cs="宋体"/>
                <w:color w:val="auto"/>
                <w:sz w:val="24"/>
              </w:rPr>
            </w:pPr>
            <w:r>
              <w:rPr>
                <w:rFonts w:hint="eastAsia" w:cs="宋体"/>
                <w:color w:val="auto"/>
                <w:sz w:val="24"/>
                <w:u w:val="single"/>
              </w:rPr>
              <w:t>2020年项目所在区域新野县大气环境质量判定为不达标区，按照《建设项目主要污染物排放总量指标审核及管理暂行办法》的通知环 发[2014]197要求，上一年度环境空气质量平均浓度不达标的城市，相关污染物按照建设项目所需替代的主要污染物排放总量指标的2倍进行削减替代，因此本项目新增主要大气污染物排放量需进行双倍替代，替代量为SO</w:t>
            </w:r>
            <w:r>
              <w:rPr>
                <w:rFonts w:hint="eastAsia" w:cs="宋体"/>
                <w:color w:val="auto"/>
                <w:sz w:val="24"/>
                <w:u w:val="single"/>
                <w:vertAlign w:val="subscript"/>
              </w:rPr>
              <w:t>2</w:t>
            </w:r>
            <w:r>
              <w:rPr>
                <w:rFonts w:hint="eastAsia" w:cs="宋体"/>
                <w:color w:val="auto"/>
                <w:sz w:val="24"/>
                <w:u w:val="single"/>
              </w:rPr>
              <w:t>：0.0006t/a、NOx：0.0204t/a</w:t>
            </w:r>
            <w:r>
              <w:rPr>
                <w:rFonts w:hint="eastAsia" w:cs="宋体"/>
                <w:color w:val="auto"/>
                <w:sz w:val="24"/>
                <w:u w:val="single"/>
                <w:lang w:eastAsia="zh-CN"/>
              </w:rPr>
              <w:t>，从南阳市</w:t>
            </w:r>
            <w:r>
              <w:rPr>
                <w:rFonts w:hint="eastAsia" w:cs="宋体"/>
                <w:color w:val="auto"/>
                <w:sz w:val="24"/>
                <w:u w:val="single"/>
                <w:lang w:val="en-US" w:eastAsia="zh-CN"/>
              </w:rPr>
              <w:t>2017年散煤清洁化治理工程减排量中调剂</w:t>
            </w:r>
            <w:r>
              <w:rPr>
                <w:rFonts w:hint="eastAsia"/>
                <w:color w:val="auto"/>
                <w:sz w:val="24"/>
                <w:u w:val="single"/>
              </w:rPr>
              <w:t>。</w:t>
            </w:r>
          </w:p>
          <w:p>
            <w:pPr>
              <w:adjustRightInd w:val="0"/>
              <w:snapToGrid w:val="0"/>
              <w:spacing w:line="360" w:lineRule="auto"/>
              <w:ind w:firstLine="480" w:firstLineChars="200"/>
              <w:rPr>
                <w:rFonts w:hint="eastAsia" w:hAnsi="宋体"/>
                <w:color w:val="auto"/>
                <w:sz w:val="24"/>
                <w:u w:val="single"/>
              </w:rPr>
            </w:pPr>
            <w:r>
              <w:rPr>
                <w:rFonts w:hint="eastAsia" w:ascii="宋体" w:hAnsi="宋体"/>
                <w:color w:val="auto"/>
                <w:sz w:val="24"/>
                <w:u w:val="single"/>
              </w:rPr>
              <w:t>②</w:t>
            </w:r>
            <w:r>
              <w:rPr>
                <w:rFonts w:hint="eastAsia" w:hAnsi="宋体"/>
                <w:color w:val="auto"/>
                <w:sz w:val="24"/>
                <w:u w:val="single"/>
              </w:rPr>
              <w:t>本项目营运期热压成型工序会产生少量有机废气（甲醛、非甲烷总烃），经措施处理后有机废气排放量约为0.057t/a。故全厂VOCs总量控制指标为0.057t/a。本项目有机废气总量由原新野双环塑料颗粒厂年产10万吨塑料颗粒项目（2015年4月倒闭）11.4吨有机废气总量中进行倍量替代。</w:t>
            </w:r>
          </w:p>
          <w:p>
            <w:pPr>
              <w:adjustRightInd w:val="0"/>
              <w:snapToGrid w:val="0"/>
              <w:spacing w:line="360" w:lineRule="auto"/>
              <w:ind w:firstLine="480" w:firstLineChars="200"/>
              <w:rPr>
                <w:color w:val="000000"/>
                <w:sz w:val="24"/>
              </w:rPr>
            </w:pPr>
            <w:r>
              <w:rPr>
                <w:rFonts w:hAnsi="宋体"/>
                <w:color w:val="000000"/>
                <w:sz w:val="24"/>
              </w:rPr>
              <w:t>废水</w:t>
            </w:r>
            <w:r>
              <w:rPr>
                <w:rFonts w:hint="eastAsia" w:hAnsi="宋体"/>
                <w:color w:val="000000"/>
                <w:sz w:val="24"/>
              </w:rPr>
              <w:t>：</w:t>
            </w:r>
            <w:r>
              <w:rPr>
                <w:rFonts w:hAnsi="宋体"/>
                <w:color w:val="000000"/>
                <w:sz w:val="24"/>
              </w:rPr>
              <w:t>本项目</w:t>
            </w:r>
            <w:r>
              <w:rPr>
                <w:rFonts w:hint="eastAsia" w:hAnsi="宋体"/>
                <w:color w:val="000000"/>
                <w:sz w:val="24"/>
              </w:rPr>
              <w:t>营运期废水不外排，因此废水不设置总量控制指标</w:t>
            </w:r>
            <w:r>
              <w:rPr>
                <w:rFonts w:hint="eastAsia"/>
                <w:color w:val="000000"/>
                <w:sz w:val="24"/>
              </w:rPr>
              <w:t>。</w:t>
            </w:r>
          </w:p>
          <w:p>
            <w:pPr>
              <w:widowControl/>
              <w:adjustRightInd w:val="0"/>
              <w:snapToGrid w:val="0"/>
              <w:spacing w:line="360" w:lineRule="auto"/>
              <w:ind w:firstLine="480" w:firstLineChars="200"/>
              <w:jc w:val="center"/>
              <w:rPr>
                <w:color w:val="000000"/>
                <w:sz w:val="24"/>
              </w:rPr>
            </w:pPr>
          </w:p>
        </w:tc>
      </w:tr>
    </w:tbl>
    <w:p>
      <w:pPr>
        <w:pStyle w:val="2"/>
        <w:ind w:firstLine="0"/>
        <w:sectPr>
          <w:pgSz w:w="11906" w:h="16838"/>
          <w:pgMar w:top="1440" w:right="1800" w:bottom="1440" w:left="1800" w:header="851" w:footer="992" w:gutter="0"/>
          <w:cols w:space="425" w:num="1"/>
          <w:docGrid w:type="lines" w:linePitch="312" w:charSpace="0"/>
        </w:sectPr>
      </w:pPr>
    </w:p>
    <w:p>
      <w:pPr>
        <w:numPr>
          <w:ilvl w:val="0"/>
          <w:numId w:val="1"/>
        </w:numPr>
        <w:jc w:val="center"/>
        <w:outlineLvl w:val="0"/>
        <w:rPr>
          <w:rFonts w:eastAsia="黑体"/>
          <w:snapToGrid w:val="0"/>
          <w:kern w:val="21"/>
          <w:sz w:val="30"/>
          <w:szCs w:val="30"/>
        </w:rPr>
      </w:pPr>
      <w:r>
        <w:rPr>
          <w:rFonts w:eastAsia="黑体"/>
          <w:snapToGrid w:val="0"/>
          <w:kern w:val="21"/>
          <w:sz w:val="30"/>
          <w:szCs w:val="30"/>
        </w:rPr>
        <w:t>主要环境影响和保护措施</w:t>
      </w:r>
    </w:p>
    <w:tbl>
      <w:tblPr>
        <w:tblStyle w:val="3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46" w:type="dxa"/>
            <w:tcBorders>
              <w:tl2br w:val="nil"/>
              <w:tr2bl w:val="nil"/>
            </w:tcBorders>
            <w:tcMar>
              <w:left w:w="28" w:type="dxa"/>
              <w:right w:w="28" w:type="dxa"/>
            </w:tcMar>
            <w:vAlign w:val="center"/>
          </w:tcPr>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kern w:val="21"/>
                <w:szCs w:val="24"/>
              </w:rPr>
              <w:t>施工</w:t>
            </w:r>
          </w:p>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kern w:val="21"/>
                <w:szCs w:val="24"/>
              </w:rPr>
              <w:t>期环</w:t>
            </w:r>
          </w:p>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kern w:val="21"/>
                <w:szCs w:val="24"/>
              </w:rPr>
              <w:t>境保</w:t>
            </w:r>
          </w:p>
          <w:p>
            <w:pPr>
              <w:pStyle w:val="26"/>
              <w:adjustRightInd w:val="0"/>
              <w:snapToGrid w:val="0"/>
              <w:spacing w:before="0" w:beforeAutospacing="0" w:after="0" w:afterAutospacing="0" w:line="360" w:lineRule="auto"/>
              <w:jc w:val="center"/>
              <w:rPr>
                <w:rFonts w:ascii="Times New Roman" w:hAnsi="Times New Roman"/>
                <w:kern w:val="21"/>
                <w:szCs w:val="24"/>
              </w:rPr>
            </w:pPr>
            <w:r>
              <w:rPr>
                <w:rFonts w:ascii="Times New Roman" w:hAnsi="Times New Roman"/>
                <w:kern w:val="21"/>
                <w:szCs w:val="24"/>
              </w:rPr>
              <w:t>护措</w:t>
            </w:r>
          </w:p>
          <w:p>
            <w:pPr>
              <w:pStyle w:val="26"/>
              <w:adjustRightInd w:val="0"/>
              <w:snapToGrid w:val="0"/>
              <w:spacing w:before="0" w:beforeAutospacing="0" w:after="0" w:afterAutospacing="0" w:line="360" w:lineRule="auto"/>
              <w:jc w:val="center"/>
              <w:rPr>
                <w:rFonts w:ascii="Times New Roman" w:hAnsi="Times New Roman"/>
                <w:bCs/>
                <w:kern w:val="21"/>
                <w:sz w:val="21"/>
                <w:szCs w:val="21"/>
              </w:rPr>
            </w:pPr>
            <w:r>
              <w:rPr>
                <w:rFonts w:ascii="Times New Roman" w:hAnsi="Times New Roman"/>
                <w:kern w:val="21"/>
                <w:szCs w:val="24"/>
              </w:rPr>
              <w:t>施</w:t>
            </w:r>
          </w:p>
        </w:tc>
        <w:tc>
          <w:tcPr>
            <w:tcW w:w="8162" w:type="dxa"/>
            <w:tcBorders>
              <w:tl2br w:val="nil"/>
              <w:tr2bl w:val="nil"/>
            </w:tcBorders>
            <w:vAlign w:val="center"/>
          </w:tcPr>
          <w:p>
            <w:pPr>
              <w:tabs>
                <w:tab w:val="left" w:pos="1081"/>
              </w:tabs>
              <w:adjustRightInd w:val="0"/>
              <w:snapToGrid w:val="0"/>
              <w:spacing w:line="360" w:lineRule="auto"/>
              <w:ind w:firstLine="480" w:firstLineChars="200"/>
              <w:jc w:val="left"/>
              <w:rPr>
                <w:bCs/>
                <w:kern w:val="21"/>
                <w:sz w:val="24"/>
                <w:szCs w:val="24"/>
              </w:rPr>
            </w:pPr>
            <w:r>
              <w:rPr>
                <w:rFonts w:hint="eastAsia"/>
                <w:bCs/>
                <w:kern w:val="21"/>
                <w:sz w:val="24"/>
                <w:szCs w:val="24"/>
              </w:rPr>
              <w:t>本项目利用现有</w:t>
            </w:r>
            <w:r>
              <w:rPr>
                <w:rFonts w:hint="eastAsia"/>
                <w:sz w:val="24"/>
                <w:szCs w:val="24"/>
              </w:rPr>
              <w:t>生产</w:t>
            </w:r>
            <w:r>
              <w:rPr>
                <w:rFonts w:hint="eastAsia"/>
                <w:bCs/>
                <w:kern w:val="21"/>
                <w:sz w:val="24"/>
                <w:szCs w:val="24"/>
              </w:rPr>
              <w:t>厂房进行生产，施工期已结束，本次评价不做分析。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tcBorders>
              <w:tl2br w:val="nil"/>
              <w:tr2bl w:val="nil"/>
            </w:tcBorders>
            <w:tcMar>
              <w:left w:w="28" w:type="dxa"/>
              <w:right w:w="28" w:type="dxa"/>
            </w:tcMar>
            <w:vAlign w:val="center"/>
          </w:tcPr>
          <w:p>
            <w:pPr>
              <w:adjustRightInd w:val="0"/>
              <w:snapToGrid w:val="0"/>
              <w:spacing w:line="360" w:lineRule="auto"/>
              <w:jc w:val="center"/>
              <w:rPr>
                <w:bCs/>
                <w:kern w:val="21"/>
                <w:sz w:val="24"/>
                <w:szCs w:val="24"/>
              </w:rPr>
            </w:pPr>
            <w:r>
              <w:rPr>
                <w:bCs/>
                <w:kern w:val="21"/>
                <w:sz w:val="24"/>
                <w:szCs w:val="24"/>
              </w:rPr>
              <w:t>运营</w:t>
            </w:r>
          </w:p>
          <w:p>
            <w:pPr>
              <w:adjustRightInd w:val="0"/>
              <w:snapToGrid w:val="0"/>
              <w:spacing w:line="360" w:lineRule="auto"/>
              <w:jc w:val="center"/>
              <w:rPr>
                <w:bCs/>
                <w:kern w:val="21"/>
                <w:sz w:val="24"/>
                <w:szCs w:val="24"/>
              </w:rPr>
            </w:pPr>
            <w:r>
              <w:rPr>
                <w:bCs/>
                <w:kern w:val="21"/>
                <w:sz w:val="24"/>
                <w:szCs w:val="24"/>
              </w:rPr>
              <w:t>期环</w:t>
            </w:r>
          </w:p>
          <w:p>
            <w:pPr>
              <w:adjustRightInd w:val="0"/>
              <w:snapToGrid w:val="0"/>
              <w:spacing w:line="360" w:lineRule="auto"/>
              <w:jc w:val="center"/>
              <w:rPr>
                <w:bCs/>
                <w:kern w:val="21"/>
                <w:sz w:val="24"/>
                <w:szCs w:val="24"/>
              </w:rPr>
            </w:pPr>
            <w:r>
              <w:rPr>
                <w:bCs/>
                <w:kern w:val="21"/>
                <w:sz w:val="24"/>
                <w:szCs w:val="24"/>
              </w:rPr>
              <w:t>境影</w:t>
            </w:r>
          </w:p>
          <w:p>
            <w:pPr>
              <w:adjustRightInd w:val="0"/>
              <w:snapToGrid w:val="0"/>
              <w:spacing w:line="360" w:lineRule="auto"/>
              <w:jc w:val="center"/>
              <w:rPr>
                <w:bCs/>
                <w:kern w:val="21"/>
                <w:sz w:val="24"/>
                <w:szCs w:val="24"/>
              </w:rPr>
            </w:pPr>
            <w:r>
              <w:rPr>
                <w:bCs/>
                <w:kern w:val="21"/>
                <w:sz w:val="24"/>
                <w:szCs w:val="24"/>
              </w:rPr>
              <w:t>响和</w:t>
            </w:r>
          </w:p>
          <w:p>
            <w:pPr>
              <w:adjustRightInd w:val="0"/>
              <w:snapToGrid w:val="0"/>
              <w:spacing w:line="360" w:lineRule="auto"/>
              <w:jc w:val="center"/>
              <w:rPr>
                <w:bCs/>
                <w:kern w:val="21"/>
                <w:sz w:val="24"/>
                <w:szCs w:val="24"/>
              </w:rPr>
            </w:pPr>
            <w:r>
              <w:rPr>
                <w:bCs/>
                <w:kern w:val="21"/>
                <w:sz w:val="24"/>
                <w:szCs w:val="24"/>
              </w:rPr>
              <w:t>保护</w:t>
            </w:r>
          </w:p>
          <w:p>
            <w:pPr>
              <w:adjustRightInd w:val="0"/>
              <w:snapToGrid w:val="0"/>
              <w:spacing w:line="360" w:lineRule="auto"/>
              <w:jc w:val="center"/>
              <w:rPr>
                <w:bCs/>
                <w:kern w:val="21"/>
                <w:szCs w:val="21"/>
              </w:rPr>
            </w:pPr>
            <w:r>
              <w:rPr>
                <w:bCs/>
                <w:kern w:val="21"/>
                <w:sz w:val="24"/>
                <w:szCs w:val="24"/>
              </w:rPr>
              <w:t>措施</w:t>
            </w:r>
          </w:p>
        </w:tc>
        <w:tc>
          <w:tcPr>
            <w:tcW w:w="8162" w:type="dxa"/>
            <w:tcBorders>
              <w:tl2br w:val="nil"/>
              <w:tr2bl w:val="nil"/>
            </w:tcBorders>
            <w:vAlign w:val="center"/>
          </w:tcPr>
          <w:p>
            <w:pPr>
              <w:tabs>
                <w:tab w:val="left" w:pos="1081"/>
              </w:tabs>
              <w:adjustRightInd w:val="0"/>
              <w:snapToGrid w:val="0"/>
              <w:spacing w:line="360" w:lineRule="auto"/>
              <w:ind w:firstLine="482" w:firstLineChars="200"/>
              <w:jc w:val="left"/>
              <w:rPr>
                <w:b/>
                <w:color w:val="000000"/>
                <w:sz w:val="24"/>
              </w:rPr>
            </w:pPr>
            <w:r>
              <w:rPr>
                <w:rFonts w:hint="eastAsia"/>
                <w:b/>
                <w:color w:val="000000"/>
                <w:sz w:val="24"/>
              </w:rPr>
              <w:t>1、</w:t>
            </w:r>
            <w:r>
              <w:rPr>
                <w:b/>
                <w:color w:val="000000"/>
                <w:sz w:val="24"/>
              </w:rPr>
              <w:t>废水</w:t>
            </w:r>
          </w:p>
          <w:p>
            <w:pPr>
              <w:tabs>
                <w:tab w:val="left" w:pos="1081"/>
              </w:tabs>
              <w:adjustRightInd w:val="0"/>
              <w:snapToGrid w:val="0"/>
              <w:spacing w:line="360" w:lineRule="auto"/>
              <w:ind w:firstLine="480" w:firstLineChars="200"/>
              <w:jc w:val="left"/>
              <w:rPr>
                <w:color w:val="000000"/>
                <w:sz w:val="24"/>
              </w:rPr>
            </w:pPr>
            <w:r>
              <w:rPr>
                <w:rFonts w:hint="eastAsia"/>
                <w:color w:val="000000"/>
                <w:sz w:val="24"/>
              </w:rPr>
              <w:t>1.1废水源强分析</w:t>
            </w:r>
          </w:p>
          <w:p>
            <w:pPr>
              <w:tabs>
                <w:tab w:val="left" w:pos="1081"/>
              </w:tabs>
              <w:adjustRightInd w:val="0"/>
              <w:snapToGrid w:val="0"/>
              <w:spacing w:line="360" w:lineRule="auto"/>
              <w:ind w:firstLine="480" w:firstLineChars="200"/>
              <w:jc w:val="left"/>
              <w:rPr>
                <w:color w:val="000000"/>
                <w:sz w:val="24"/>
              </w:rPr>
            </w:pPr>
            <w:r>
              <w:rPr>
                <w:rFonts w:hint="eastAsia"/>
                <w:color w:val="000000"/>
                <w:sz w:val="24"/>
              </w:rPr>
              <w:t>本项目营运期废水主要为职工生活废水。</w:t>
            </w:r>
          </w:p>
          <w:p>
            <w:pPr>
              <w:adjustRightInd w:val="0"/>
              <w:snapToGrid w:val="0"/>
              <w:spacing w:line="360" w:lineRule="auto"/>
              <w:ind w:firstLine="480" w:firstLineChars="200"/>
              <w:outlineLvl w:val="1"/>
              <w:rPr>
                <w:sz w:val="24"/>
              </w:rPr>
            </w:pPr>
            <w:r>
              <w:rPr>
                <w:sz w:val="24"/>
              </w:rPr>
              <w:t>本项目</w:t>
            </w:r>
            <w:r>
              <w:rPr>
                <w:rFonts w:hint="eastAsia"/>
                <w:sz w:val="24"/>
              </w:rPr>
              <w:t>劳动</w:t>
            </w:r>
            <w:r>
              <w:rPr>
                <w:sz w:val="24"/>
              </w:rPr>
              <w:t>定员</w:t>
            </w:r>
            <w:r>
              <w:rPr>
                <w:rFonts w:hint="eastAsia"/>
                <w:sz w:val="24"/>
              </w:rPr>
              <w:t>3</w:t>
            </w:r>
            <w:r>
              <w:rPr>
                <w:sz w:val="24"/>
              </w:rPr>
              <w:t>人</w:t>
            </w:r>
            <w:r>
              <w:rPr>
                <w:rFonts w:hint="eastAsia"/>
                <w:sz w:val="24"/>
              </w:rPr>
              <w:t>，均不在厂区食宿，</w:t>
            </w:r>
            <w:r>
              <w:rPr>
                <w:sz w:val="24"/>
              </w:rPr>
              <w:t>生活污水</w:t>
            </w:r>
            <w:r>
              <w:rPr>
                <w:rFonts w:hint="eastAsia"/>
                <w:sz w:val="24"/>
              </w:rPr>
              <w:t>产生量为0.12m</w:t>
            </w:r>
            <w:r>
              <w:rPr>
                <w:rFonts w:hint="eastAsia"/>
                <w:sz w:val="24"/>
                <w:vertAlign w:val="superscript"/>
              </w:rPr>
              <w:t>3</w:t>
            </w:r>
            <w:r>
              <w:rPr>
                <w:sz w:val="24"/>
              </w:rPr>
              <w:t>/d</w:t>
            </w:r>
            <w:r>
              <w:rPr>
                <w:rFonts w:hint="eastAsia"/>
                <w:sz w:val="24"/>
              </w:rPr>
              <w:t>，24m</w:t>
            </w:r>
            <w:r>
              <w:rPr>
                <w:rFonts w:hint="eastAsia"/>
                <w:sz w:val="24"/>
                <w:vertAlign w:val="superscript"/>
              </w:rPr>
              <w:t>3</w:t>
            </w:r>
            <w:r>
              <w:rPr>
                <w:rFonts w:hint="eastAsia"/>
                <w:sz w:val="24"/>
              </w:rPr>
              <w:t>/a</w:t>
            </w:r>
            <w:r>
              <w:rPr>
                <w:sz w:val="24"/>
              </w:rPr>
              <w:t>。生活污水</w:t>
            </w:r>
            <w:r>
              <w:rPr>
                <w:rFonts w:hint="eastAsia"/>
                <w:sz w:val="24"/>
              </w:rPr>
              <w:t>中</w:t>
            </w:r>
            <w:r>
              <w:rPr>
                <w:sz w:val="24"/>
              </w:rPr>
              <w:t>主要污染物浓度分别</w:t>
            </w:r>
            <w:r>
              <w:rPr>
                <w:rFonts w:hint="eastAsia"/>
                <w:sz w:val="24"/>
              </w:rPr>
              <w:t>为</w:t>
            </w:r>
            <w:r>
              <w:rPr>
                <w:sz w:val="24"/>
              </w:rPr>
              <w:t>COD3</w:t>
            </w:r>
            <w:r>
              <w:rPr>
                <w:rFonts w:hint="eastAsia"/>
                <w:sz w:val="24"/>
              </w:rPr>
              <w:t>5</w:t>
            </w:r>
            <w:r>
              <w:rPr>
                <w:sz w:val="24"/>
              </w:rPr>
              <w:t>0mg/L、</w:t>
            </w:r>
            <w:r>
              <w:rPr>
                <w:rFonts w:hint="eastAsia"/>
                <w:sz w:val="24"/>
              </w:rPr>
              <w:t>SS</w:t>
            </w:r>
            <w:r>
              <w:rPr>
                <w:sz w:val="24"/>
              </w:rPr>
              <w:t>2</w:t>
            </w:r>
            <w:r>
              <w:rPr>
                <w:rFonts w:hint="eastAsia"/>
                <w:sz w:val="24"/>
              </w:rPr>
              <w:t>8</w:t>
            </w:r>
            <w:r>
              <w:rPr>
                <w:sz w:val="24"/>
              </w:rPr>
              <w:t>0mg/L</w:t>
            </w:r>
            <w:r>
              <w:rPr>
                <w:rFonts w:hint="eastAsia"/>
                <w:sz w:val="24"/>
              </w:rPr>
              <w:t>、NH</w:t>
            </w:r>
            <w:r>
              <w:rPr>
                <w:rFonts w:hint="eastAsia"/>
                <w:sz w:val="24"/>
                <w:vertAlign w:val="subscript"/>
              </w:rPr>
              <w:t>3</w:t>
            </w:r>
            <w:r>
              <w:rPr>
                <w:rFonts w:hint="eastAsia"/>
                <w:sz w:val="24"/>
              </w:rPr>
              <w:t>-N30</w:t>
            </w:r>
            <w:r>
              <w:rPr>
                <w:sz w:val="24"/>
              </w:rPr>
              <w:t>mg/L。</w:t>
            </w:r>
          </w:p>
          <w:p>
            <w:pPr>
              <w:tabs>
                <w:tab w:val="left" w:pos="1081"/>
              </w:tabs>
              <w:adjustRightInd w:val="0"/>
              <w:snapToGrid w:val="0"/>
              <w:spacing w:line="360" w:lineRule="auto"/>
              <w:ind w:firstLine="480" w:firstLineChars="200"/>
              <w:jc w:val="left"/>
              <w:rPr>
                <w:color w:val="000000"/>
                <w:sz w:val="24"/>
              </w:rPr>
            </w:pPr>
            <w:r>
              <w:rPr>
                <w:rFonts w:hint="eastAsia"/>
                <w:color w:val="000000"/>
                <w:sz w:val="24"/>
              </w:rPr>
              <w:t>1.2废水治理措施可行性分析</w:t>
            </w:r>
          </w:p>
          <w:p>
            <w:pPr>
              <w:adjustRightInd w:val="0"/>
              <w:snapToGrid w:val="0"/>
              <w:spacing w:line="360" w:lineRule="auto"/>
              <w:ind w:firstLine="480" w:firstLineChars="200"/>
              <w:outlineLvl w:val="1"/>
              <w:rPr>
                <w:sz w:val="24"/>
              </w:rPr>
            </w:pPr>
            <w:r>
              <w:rPr>
                <w:sz w:val="24"/>
              </w:rPr>
              <w:t>项目</w:t>
            </w:r>
            <w:r>
              <w:rPr>
                <w:rFonts w:hint="eastAsia"/>
                <w:color w:val="000000"/>
                <w:kern w:val="0"/>
                <w:sz w:val="24"/>
              </w:rPr>
              <w:t>生活污水产生量较小，评价建议生活污水经</w:t>
            </w:r>
            <w:r>
              <w:rPr>
                <w:rFonts w:hint="eastAsia"/>
                <w:color w:val="000000"/>
                <w:sz w:val="24"/>
              </w:rPr>
              <w:t>化粪池（容积3m</w:t>
            </w:r>
            <w:r>
              <w:rPr>
                <w:rFonts w:hint="eastAsia"/>
                <w:color w:val="000000"/>
                <w:sz w:val="24"/>
                <w:vertAlign w:val="superscript"/>
              </w:rPr>
              <w:t>3</w:t>
            </w:r>
            <w:r>
              <w:rPr>
                <w:rFonts w:hint="eastAsia"/>
                <w:color w:val="000000"/>
                <w:sz w:val="24"/>
              </w:rPr>
              <w:t>，三防措施）处理后用于周围农田施肥，资源化利用</w:t>
            </w:r>
            <w:r>
              <w:rPr>
                <w:rFonts w:hint="eastAsia" w:hAnsi="宋体"/>
                <w:color w:val="000000"/>
                <w:kern w:val="0"/>
                <w:sz w:val="24"/>
              </w:rPr>
              <w:t>，处理措施可行</w:t>
            </w:r>
            <w:r>
              <w:rPr>
                <w:rFonts w:hint="eastAsia"/>
                <w:color w:val="000000"/>
                <w:sz w:val="24"/>
              </w:rPr>
              <w:t>。</w:t>
            </w:r>
          </w:p>
          <w:p>
            <w:pPr>
              <w:widowControl/>
              <w:adjustRightInd w:val="0"/>
              <w:snapToGrid w:val="0"/>
              <w:spacing w:line="360" w:lineRule="auto"/>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1.3地表水评价工作等级</w:t>
            </w:r>
          </w:p>
          <w:p>
            <w:pPr>
              <w:widowControl/>
              <w:adjustRightInd w:val="0"/>
              <w:snapToGrid w:val="0"/>
              <w:spacing w:line="360" w:lineRule="auto"/>
              <w:ind w:firstLine="482"/>
              <w:rPr>
                <w:rFonts w:hAnsi="宋体"/>
                <w:sz w:val="24"/>
              </w:rPr>
            </w:pPr>
            <w:r>
              <w:rPr>
                <w:rFonts w:hint="eastAsia" w:hAnsi="宋体"/>
                <w:sz w:val="24"/>
              </w:rPr>
              <w:t>本项目属于水污染影响型建设项目，按《环境影响评价技术导则-地表水环境》（HJ 2.3-2018）</w:t>
            </w:r>
            <w:r>
              <w:rPr>
                <w:rFonts w:hAnsi="宋体"/>
                <w:sz w:val="24"/>
              </w:rPr>
              <w:t>水环境影响建设项目依据其废水排放方式和排放量划分评价等级，见下表。</w:t>
            </w:r>
          </w:p>
          <w:p>
            <w:pPr>
              <w:adjustRightInd w:val="0"/>
              <w:snapToGrid w:val="0"/>
              <w:spacing w:line="360" w:lineRule="auto"/>
              <w:ind w:firstLine="361" w:firstLineChars="150"/>
              <w:jc w:val="center"/>
              <w:rPr>
                <w:b/>
                <w:bCs/>
                <w:sz w:val="24"/>
              </w:rPr>
            </w:pPr>
            <w:r>
              <w:rPr>
                <w:b/>
                <w:bCs/>
                <w:sz w:val="24"/>
              </w:rPr>
              <w:t>表</w:t>
            </w:r>
            <w:r>
              <w:rPr>
                <w:rFonts w:hint="eastAsia"/>
                <w:b/>
                <w:bCs/>
                <w:sz w:val="24"/>
              </w:rPr>
              <w:t xml:space="preserve">4-1  </w:t>
            </w:r>
            <w:r>
              <w:rPr>
                <w:b/>
                <w:bCs/>
                <w:sz w:val="24"/>
              </w:rPr>
              <w:t xml:space="preserve">  </w:t>
            </w:r>
            <w:r>
              <w:rPr>
                <w:rFonts w:hint="eastAsia"/>
                <w:b/>
                <w:bCs/>
                <w:sz w:val="24"/>
              </w:rPr>
              <w:t xml:space="preserve">  </w:t>
            </w:r>
            <w:r>
              <w:rPr>
                <w:b/>
                <w:bCs/>
                <w:sz w:val="24"/>
              </w:rPr>
              <w:t>水污染影响型建设项目评价等级判定表</w:t>
            </w:r>
          </w:p>
          <w:tbl>
            <w:tblPr>
              <w:tblStyle w:val="30"/>
              <w:tblW w:w="7877"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2025"/>
              <w:gridCol w:w="3867"/>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177" w:hRule="atLeast"/>
                <w:jc w:val="center"/>
              </w:trPr>
              <w:tc>
                <w:tcPr>
                  <w:tcW w:w="1985" w:type="dxa"/>
                  <w:vMerge w:val="restart"/>
                  <w:tcBorders>
                    <w:bottom w:val="single" w:color="000000" w:sz="4" w:space="0"/>
                    <w:right w:val="single" w:color="000000" w:sz="6" w:space="0"/>
                  </w:tcBorders>
                  <w:vAlign w:val="center"/>
                </w:tcPr>
                <w:p>
                  <w:pPr>
                    <w:pStyle w:val="40"/>
                    <w:spacing w:before="31" w:after="31"/>
                    <w:rPr>
                      <w:rFonts w:ascii="Times New Roman"/>
                    </w:rPr>
                  </w:pPr>
                  <w:r>
                    <w:rPr>
                      <w:rFonts w:ascii="Times New Roman"/>
                    </w:rPr>
                    <w:t>评价等级</w:t>
                  </w:r>
                </w:p>
              </w:tc>
              <w:tc>
                <w:tcPr>
                  <w:tcW w:w="5892" w:type="dxa"/>
                  <w:gridSpan w:val="2"/>
                  <w:tcBorders>
                    <w:left w:val="single" w:color="000000" w:sz="6" w:space="0"/>
                    <w:bottom w:val="single" w:color="000000" w:sz="4" w:space="0"/>
                  </w:tcBorders>
                  <w:vAlign w:val="center"/>
                </w:tcPr>
                <w:p>
                  <w:pPr>
                    <w:pStyle w:val="40"/>
                    <w:spacing w:before="31" w:after="31"/>
                    <w:rPr>
                      <w:rFonts w:ascii="Times New Roman"/>
                    </w:rPr>
                  </w:pPr>
                  <w:r>
                    <w:rPr>
                      <w:rFonts w:ascii="Times New Roman"/>
                    </w:rPr>
                    <w:t>判定依据</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06" w:hRule="atLeast"/>
                <w:jc w:val="center"/>
              </w:trPr>
              <w:tc>
                <w:tcPr>
                  <w:tcW w:w="1985" w:type="dxa"/>
                  <w:vMerge w:val="continue"/>
                  <w:tcBorders>
                    <w:top w:val="nil"/>
                    <w:bottom w:val="single" w:color="000000" w:sz="4" w:space="0"/>
                    <w:right w:val="single" w:color="000000" w:sz="6" w:space="0"/>
                  </w:tcBorders>
                  <w:vAlign w:val="center"/>
                </w:tcPr>
                <w:p>
                  <w:pPr>
                    <w:pStyle w:val="40"/>
                    <w:spacing w:before="31" w:after="31"/>
                    <w:rPr>
                      <w:rFonts w:ascii="Times New Roman"/>
                    </w:rPr>
                  </w:pPr>
                </w:p>
              </w:tc>
              <w:tc>
                <w:tcPr>
                  <w:tcW w:w="2025" w:type="dxa"/>
                  <w:tcBorders>
                    <w:top w:val="single" w:color="000000" w:sz="4" w:space="0"/>
                    <w:left w:val="single" w:color="000000" w:sz="6" w:space="0"/>
                    <w:bottom w:val="single" w:color="000000" w:sz="4" w:space="0"/>
                    <w:right w:val="single" w:color="000000" w:sz="6" w:space="0"/>
                  </w:tcBorders>
                  <w:vAlign w:val="center"/>
                </w:tcPr>
                <w:p>
                  <w:pPr>
                    <w:pStyle w:val="40"/>
                    <w:spacing w:before="31" w:after="31"/>
                    <w:rPr>
                      <w:rFonts w:ascii="Times New Roman"/>
                    </w:rPr>
                  </w:pPr>
                  <w:r>
                    <w:rPr>
                      <w:rFonts w:ascii="Times New Roman"/>
                    </w:rPr>
                    <w:t>排放方式</w:t>
                  </w:r>
                </w:p>
              </w:tc>
              <w:tc>
                <w:tcPr>
                  <w:tcW w:w="3867" w:type="dxa"/>
                  <w:tcBorders>
                    <w:top w:val="single" w:color="000000" w:sz="4" w:space="0"/>
                    <w:left w:val="single" w:color="000000" w:sz="6" w:space="0"/>
                    <w:bottom w:val="single" w:color="000000" w:sz="4" w:space="0"/>
                  </w:tcBorders>
                  <w:vAlign w:val="center"/>
                </w:tcPr>
                <w:p>
                  <w:pPr>
                    <w:pStyle w:val="40"/>
                    <w:spacing w:before="31" w:after="31"/>
                    <w:rPr>
                      <w:rFonts w:ascii="Times New Roman"/>
                    </w:rPr>
                  </w:pPr>
                  <w:r>
                    <w:rPr>
                      <w:rFonts w:ascii="Times New Roman"/>
                    </w:rPr>
                    <w:t>废水排放量 Q /（m</w:t>
                  </w:r>
                  <w:r>
                    <w:rPr>
                      <w:rFonts w:ascii="Times New Roman"/>
                      <w:vertAlign w:val="superscript"/>
                    </w:rPr>
                    <w:t>3</w:t>
                  </w:r>
                  <w:r>
                    <w:rPr>
                      <w:rFonts w:ascii="Times New Roman"/>
                    </w:rPr>
                    <w:t>/d）；水污染物当量数W /（无量纲）</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22" w:hRule="atLeast"/>
                <w:jc w:val="center"/>
              </w:trPr>
              <w:tc>
                <w:tcPr>
                  <w:tcW w:w="1985" w:type="dxa"/>
                  <w:tcBorders>
                    <w:top w:val="single" w:color="000000" w:sz="4" w:space="0"/>
                    <w:bottom w:val="single" w:color="000000" w:sz="4" w:space="0"/>
                    <w:right w:val="single" w:color="000000" w:sz="6" w:space="0"/>
                  </w:tcBorders>
                  <w:vAlign w:val="center"/>
                </w:tcPr>
                <w:p>
                  <w:pPr>
                    <w:pStyle w:val="40"/>
                    <w:spacing w:before="31" w:after="31"/>
                    <w:rPr>
                      <w:rFonts w:ascii="Times New Roman"/>
                    </w:rPr>
                  </w:pPr>
                  <w:r>
                    <w:rPr>
                      <w:rFonts w:ascii="Times New Roman"/>
                    </w:rPr>
                    <w:t>一级</w:t>
                  </w:r>
                </w:p>
              </w:tc>
              <w:tc>
                <w:tcPr>
                  <w:tcW w:w="2025" w:type="dxa"/>
                  <w:tcBorders>
                    <w:top w:val="single" w:color="000000" w:sz="4" w:space="0"/>
                    <w:left w:val="single" w:color="000000" w:sz="6" w:space="0"/>
                    <w:bottom w:val="single" w:color="000000" w:sz="4" w:space="0"/>
                    <w:right w:val="single" w:color="000000" w:sz="6" w:space="0"/>
                  </w:tcBorders>
                  <w:vAlign w:val="center"/>
                </w:tcPr>
                <w:p>
                  <w:pPr>
                    <w:pStyle w:val="40"/>
                    <w:spacing w:before="31" w:after="31"/>
                    <w:rPr>
                      <w:rFonts w:ascii="Times New Roman"/>
                    </w:rPr>
                  </w:pPr>
                  <w:r>
                    <w:rPr>
                      <w:rFonts w:ascii="Times New Roman"/>
                    </w:rPr>
                    <w:t>直接排放</w:t>
                  </w:r>
                </w:p>
              </w:tc>
              <w:tc>
                <w:tcPr>
                  <w:tcW w:w="3867" w:type="dxa"/>
                  <w:tcBorders>
                    <w:top w:val="single" w:color="000000" w:sz="4" w:space="0"/>
                    <w:left w:val="single" w:color="000000" w:sz="6" w:space="0"/>
                    <w:bottom w:val="single" w:color="000000" w:sz="4" w:space="0"/>
                  </w:tcBorders>
                  <w:vAlign w:val="center"/>
                </w:tcPr>
                <w:p>
                  <w:pPr>
                    <w:pStyle w:val="40"/>
                    <w:spacing w:before="31" w:after="31"/>
                    <w:rPr>
                      <w:rFonts w:ascii="Times New Roman"/>
                    </w:rPr>
                  </w:pPr>
                  <w:r>
                    <w:rPr>
                      <w:rFonts w:ascii="Times New Roman"/>
                    </w:rPr>
                    <w:t>Q≥20000或W≥600000</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06" w:hRule="atLeast"/>
                <w:jc w:val="center"/>
              </w:trPr>
              <w:tc>
                <w:tcPr>
                  <w:tcW w:w="1985" w:type="dxa"/>
                  <w:tcBorders>
                    <w:top w:val="single" w:color="000000" w:sz="4" w:space="0"/>
                    <w:bottom w:val="single" w:color="000000" w:sz="4" w:space="0"/>
                    <w:right w:val="single" w:color="000000" w:sz="6" w:space="0"/>
                  </w:tcBorders>
                  <w:vAlign w:val="center"/>
                </w:tcPr>
                <w:p>
                  <w:pPr>
                    <w:pStyle w:val="40"/>
                    <w:spacing w:before="31" w:after="31"/>
                    <w:rPr>
                      <w:rFonts w:ascii="Times New Roman"/>
                    </w:rPr>
                  </w:pPr>
                  <w:r>
                    <w:rPr>
                      <w:rFonts w:ascii="Times New Roman"/>
                    </w:rPr>
                    <w:t>二级</w:t>
                  </w:r>
                </w:p>
              </w:tc>
              <w:tc>
                <w:tcPr>
                  <w:tcW w:w="2025" w:type="dxa"/>
                  <w:tcBorders>
                    <w:top w:val="single" w:color="000000" w:sz="4" w:space="0"/>
                    <w:left w:val="single" w:color="000000" w:sz="6" w:space="0"/>
                    <w:bottom w:val="single" w:color="000000" w:sz="4" w:space="0"/>
                    <w:right w:val="single" w:color="000000" w:sz="6" w:space="0"/>
                  </w:tcBorders>
                  <w:vAlign w:val="center"/>
                </w:tcPr>
                <w:p>
                  <w:pPr>
                    <w:pStyle w:val="40"/>
                    <w:spacing w:before="31" w:after="31"/>
                    <w:rPr>
                      <w:rFonts w:ascii="Times New Roman"/>
                    </w:rPr>
                  </w:pPr>
                  <w:r>
                    <w:rPr>
                      <w:rFonts w:ascii="Times New Roman"/>
                    </w:rPr>
                    <w:t>直接排放</w:t>
                  </w:r>
                </w:p>
              </w:tc>
              <w:tc>
                <w:tcPr>
                  <w:tcW w:w="3867" w:type="dxa"/>
                  <w:tcBorders>
                    <w:top w:val="single" w:color="000000" w:sz="4" w:space="0"/>
                    <w:left w:val="single" w:color="000000" w:sz="6" w:space="0"/>
                    <w:bottom w:val="single" w:color="000000" w:sz="4" w:space="0"/>
                  </w:tcBorders>
                  <w:vAlign w:val="center"/>
                </w:tcPr>
                <w:p>
                  <w:pPr>
                    <w:pStyle w:val="40"/>
                    <w:spacing w:before="31" w:after="31"/>
                    <w:rPr>
                      <w:rFonts w:ascii="Times New Roman"/>
                    </w:rPr>
                  </w:pPr>
                  <w:r>
                    <w:rPr>
                      <w:rFonts w:ascii="Times New Roman"/>
                    </w:rPr>
                    <w:t>其他</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22" w:hRule="atLeast"/>
                <w:jc w:val="center"/>
              </w:trPr>
              <w:tc>
                <w:tcPr>
                  <w:tcW w:w="1985" w:type="dxa"/>
                  <w:tcBorders>
                    <w:top w:val="single" w:color="000000" w:sz="4" w:space="0"/>
                    <w:bottom w:val="single" w:color="000000" w:sz="4" w:space="0"/>
                    <w:right w:val="single" w:color="000000" w:sz="6" w:space="0"/>
                  </w:tcBorders>
                  <w:vAlign w:val="center"/>
                </w:tcPr>
                <w:p>
                  <w:pPr>
                    <w:pStyle w:val="40"/>
                    <w:spacing w:before="31" w:after="31"/>
                    <w:rPr>
                      <w:rFonts w:ascii="Times New Roman"/>
                    </w:rPr>
                  </w:pPr>
                  <w:r>
                    <w:rPr>
                      <w:rFonts w:ascii="Times New Roman"/>
                    </w:rPr>
                    <w:t>三级A</w:t>
                  </w:r>
                </w:p>
              </w:tc>
              <w:tc>
                <w:tcPr>
                  <w:tcW w:w="2025" w:type="dxa"/>
                  <w:tcBorders>
                    <w:top w:val="single" w:color="000000" w:sz="4" w:space="0"/>
                    <w:left w:val="single" w:color="000000" w:sz="6" w:space="0"/>
                    <w:bottom w:val="single" w:color="000000" w:sz="4" w:space="0"/>
                    <w:right w:val="single" w:color="000000" w:sz="6" w:space="0"/>
                  </w:tcBorders>
                  <w:vAlign w:val="center"/>
                </w:tcPr>
                <w:p>
                  <w:pPr>
                    <w:pStyle w:val="40"/>
                    <w:spacing w:before="31" w:after="31"/>
                    <w:rPr>
                      <w:rFonts w:ascii="Times New Roman"/>
                    </w:rPr>
                  </w:pPr>
                  <w:r>
                    <w:rPr>
                      <w:rFonts w:ascii="Times New Roman"/>
                    </w:rPr>
                    <w:t>直接排放</w:t>
                  </w:r>
                </w:p>
              </w:tc>
              <w:tc>
                <w:tcPr>
                  <w:tcW w:w="3867" w:type="dxa"/>
                  <w:tcBorders>
                    <w:top w:val="single" w:color="000000" w:sz="4" w:space="0"/>
                    <w:left w:val="single" w:color="000000" w:sz="6" w:space="0"/>
                    <w:bottom w:val="single" w:color="000000" w:sz="4" w:space="0"/>
                  </w:tcBorders>
                  <w:vAlign w:val="center"/>
                </w:tcPr>
                <w:p>
                  <w:pPr>
                    <w:pStyle w:val="40"/>
                    <w:spacing w:before="31" w:after="31"/>
                    <w:rPr>
                      <w:rFonts w:ascii="Times New Roman"/>
                    </w:rPr>
                  </w:pPr>
                  <w:r>
                    <w:rPr>
                      <w:rFonts w:ascii="Times New Roman"/>
                    </w:rPr>
                    <w:t>Q＜200且W＜6000</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02" w:hRule="atLeast"/>
                <w:jc w:val="center"/>
              </w:trPr>
              <w:tc>
                <w:tcPr>
                  <w:tcW w:w="1985" w:type="dxa"/>
                  <w:tcBorders>
                    <w:top w:val="single" w:color="000000" w:sz="4" w:space="0"/>
                    <w:bottom w:val="single" w:color="000000" w:sz="4" w:space="0"/>
                    <w:right w:val="single" w:color="000000" w:sz="6" w:space="0"/>
                  </w:tcBorders>
                  <w:vAlign w:val="center"/>
                </w:tcPr>
                <w:p>
                  <w:pPr>
                    <w:pStyle w:val="40"/>
                    <w:spacing w:before="31" w:after="31"/>
                    <w:rPr>
                      <w:rFonts w:ascii="Times New Roman"/>
                    </w:rPr>
                  </w:pPr>
                  <w:r>
                    <w:rPr>
                      <w:rFonts w:ascii="Times New Roman"/>
                    </w:rPr>
                    <w:t>三级B</w:t>
                  </w:r>
                </w:p>
              </w:tc>
              <w:tc>
                <w:tcPr>
                  <w:tcW w:w="2025" w:type="dxa"/>
                  <w:tcBorders>
                    <w:top w:val="single" w:color="000000" w:sz="4" w:space="0"/>
                    <w:left w:val="single" w:color="000000" w:sz="6" w:space="0"/>
                    <w:bottom w:val="single" w:color="000000" w:sz="4" w:space="0"/>
                    <w:right w:val="single" w:color="000000" w:sz="6" w:space="0"/>
                  </w:tcBorders>
                  <w:vAlign w:val="center"/>
                </w:tcPr>
                <w:p>
                  <w:pPr>
                    <w:pStyle w:val="40"/>
                    <w:spacing w:before="31" w:after="31"/>
                    <w:rPr>
                      <w:rFonts w:ascii="Times New Roman"/>
                    </w:rPr>
                  </w:pPr>
                  <w:r>
                    <w:rPr>
                      <w:rFonts w:ascii="Times New Roman"/>
                    </w:rPr>
                    <w:t>间接排放</w:t>
                  </w:r>
                </w:p>
              </w:tc>
              <w:tc>
                <w:tcPr>
                  <w:tcW w:w="3867" w:type="dxa"/>
                  <w:tcBorders>
                    <w:top w:val="single" w:color="000000" w:sz="4" w:space="0"/>
                    <w:left w:val="single" w:color="000000" w:sz="6" w:space="0"/>
                    <w:bottom w:val="single" w:color="000000" w:sz="4" w:space="0"/>
                  </w:tcBorders>
                  <w:vAlign w:val="center"/>
                </w:tcPr>
                <w:p>
                  <w:pPr>
                    <w:pStyle w:val="40"/>
                    <w:spacing w:before="31" w:after="31"/>
                    <w:rPr>
                      <w:rFonts w:ascii="Times New Roman"/>
                    </w:rPr>
                  </w:pP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02" w:hRule="atLeast"/>
                <w:jc w:val="center"/>
              </w:trPr>
              <w:tc>
                <w:tcPr>
                  <w:tcW w:w="7877" w:type="dxa"/>
                  <w:gridSpan w:val="3"/>
                  <w:tcBorders>
                    <w:top w:val="single" w:color="000000" w:sz="4" w:space="0"/>
                  </w:tcBorders>
                  <w:vAlign w:val="center"/>
                </w:tcPr>
                <w:p>
                  <w:pPr>
                    <w:pStyle w:val="40"/>
                    <w:spacing w:before="31" w:after="31"/>
                    <w:jc w:val="both"/>
                    <w:rPr>
                      <w:rFonts w:ascii="Times New Roman"/>
                    </w:rPr>
                  </w:pPr>
                  <w:r>
                    <w:rPr>
                      <w:rFonts w:ascii="Times New Roman"/>
                    </w:rPr>
                    <w:t>注：该项目无生产工艺废水外排，按三级B评价。</w:t>
                  </w:r>
                </w:p>
              </w:tc>
            </w:tr>
          </w:tbl>
          <w:p>
            <w:pPr>
              <w:widowControl/>
              <w:adjustRightInd w:val="0"/>
              <w:snapToGrid w:val="0"/>
              <w:spacing w:line="360" w:lineRule="auto"/>
              <w:ind w:firstLine="482"/>
              <w:rPr>
                <w:rFonts w:hAnsi="宋体"/>
                <w:sz w:val="24"/>
              </w:rPr>
            </w:pPr>
            <w:r>
              <w:rPr>
                <w:rFonts w:hAnsi="宋体"/>
                <w:sz w:val="24"/>
              </w:rPr>
              <w:t>本项目</w:t>
            </w:r>
            <w:r>
              <w:rPr>
                <w:rFonts w:hint="eastAsia" w:hAnsi="宋体"/>
                <w:sz w:val="24"/>
              </w:rPr>
              <w:t>营运期废水不外排，</w:t>
            </w:r>
            <w:r>
              <w:rPr>
                <w:rFonts w:hAnsi="宋体"/>
                <w:sz w:val="24"/>
              </w:rPr>
              <w:t>因此确定本项目地表水环境影响评价等级为三级B。项目可不进行地表水环境影响</w:t>
            </w:r>
            <w:r>
              <w:rPr>
                <w:rFonts w:hint="eastAsia" w:hAnsi="宋体"/>
                <w:sz w:val="24"/>
              </w:rPr>
              <w:t>预测评价，主要对污染源排放量进行统计分析，废水类别、污染物及污染治理设施信息详见下表。</w:t>
            </w:r>
          </w:p>
          <w:p>
            <w:pPr>
              <w:adjustRightInd w:val="0"/>
              <w:snapToGrid w:val="0"/>
              <w:spacing w:line="360" w:lineRule="auto"/>
              <w:jc w:val="center"/>
              <w:rPr>
                <w:b/>
                <w:color w:val="000000"/>
                <w:kern w:val="0"/>
                <w:sz w:val="24"/>
                <w:szCs w:val="21"/>
              </w:rPr>
            </w:pPr>
            <w:r>
              <w:rPr>
                <w:rFonts w:hint="eastAsia"/>
                <w:b/>
                <w:color w:val="000000"/>
                <w:sz w:val="24"/>
              </w:rPr>
              <w:t>表4-2    项目废水类别、污染物及污染治理设施信息表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867"/>
              <w:gridCol w:w="1449"/>
              <w:gridCol w:w="1007"/>
              <w:gridCol w:w="715"/>
              <w:gridCol w:w="875"/>
              <w:gridCol w:w="867"/>
              <w:gridCol w:w="101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restart"/>
                  <w:shd w:val="clear" w:color="auto" w:fill="auto"/>
                  <w:vAlign w:val="center"/>
                </w:tcPr>
                <w:p>
                  <w:pPr>
                    <w:adjustRightInd w:val="0"/>
                    <w:snapToGrid w:val="0"/>
                    <w:jc w:val="center"/>
                    <w:rPr>
                      <w:color w:val="000000"/>
                      <w:kern w:val="0"/>
                      <w:szCs w:val="21"/>
                    </w:rPr>
                  </w:pPr>
                  <w:r>
                    <w:rPr>
                      <w:rFonts w:hint="eastAsia"/>
                      <w:color w:val="000000"/>
                      <w:kern w:val="0"/>
                      <w:szCs w:val="21"/>
                    </w:rPr>
                    <w:t>序号</w:t>
                  </w:r>
                </w:p>
              </w:tc>
              <w:tc>
                <w:tcPr>
                  <w:tcW w:w="536" w:type="pct"/>
                  <w:vMerge w:val="restart"/>
                  <w:shd w:val="clear" w:color="auto" w:fill="auto"/>
                  <w:vAlign w:val="center"/>
                </w:tcPr>
                <w:p>
                  <w:pPr>
                    <w:adjustRightInd w:val="0"/>
                    <w:snapToGrid w:val="0"/>
                    <w:jc w:val="center"/>
                    <w:rPr>
                      <w:color w:val="000000"/>
                      <w:kern w:val="0"/>
                      <w:szCs w:val="21"/>
                    </w:rPr>
                  </w:pPr>
                  <w:r>
                    <w:rPr>
                      <w:rFonts w:hint="eastAsia"/>
                      <w:color w:val="000000"/>
                      <w:kern w:val="0"/>
                      <w:szCs w:val="21"/>
                    </w:rPr>
                    <w:t>废水类别</w:t>
                  </w:r>
                </w:p>
              </w:tc>
              <w:tc>
                <w:tcPr>
                  <w:tcW w:w="896" w:type="pct"/>
                  <w:vMerge w:val="restart"/>
                  <w:shd w:val="clear" w:color="auto" w:fill="auto"/>
                  <w:vAlign w:val="center"/>
                </w:tcPr>
                <w:p>
                  <w:pPr>
                    <w:adjustRightInd w:val="0"/>
                    <w:snapToGrid w:val="0"/>
                    <w:jc w:val="center"/>
                    <w:rPr>
                      <w:color w:val="000000"/>
                      <w:kern w:val="0"/>
                      <w:szCs w:val="21"/>
                    </w:rPr>
                  </w:pPr>
                  <w:r>
                    <w:rPr>
                      <w:rFonts w:hint="eastAsia"/>
                      <w:color w:val="000000"/>
                      <w:kern w:val="0"/>
                      <w:szCs w:val="21"/>
                    </w:rPr>
                    <w:t>污染物种类</w:t>
                  </w:r>
                </w:p>
              </w:tc>
              <w:tc>
                <w:tcPr>
                  <w:tcW w:w="623" w:type="pct"/>
                  <w:vMerge w:val="restart"/>
                  <w:shd w:val="clear" w:color="auto" w:fill="auto"/>
                  <w:vAlign w:val="center"/>
                </w:tcPr>
                <w:p>
                  <w:pPr>
                    <w:adjustRightInd w:val="0"/>
                    <w:snapToGrid w:val="0"/>
                    <w:jc w:val="center"/>
                    <w:rPr>
                      <w:color w:val="000000"/>
                      <w:kern w:val="0"/>
                      <w:szCs w:val="21"/>
                    </w:rPr>
                  </w:pPr>
                  <w:r>
                    <w:rPr>
                      <w:rFonts w:hint="eastAsia"/>
                      <w:color w:val="000000"/>
                      <w:kern w:val="0"/>
                      <w:szCs w:val="21"/>
                    </w:rPr>
                    <w:t>排放去向</w:t>
                  </w:r>
                </w:p>
              </w:tc>
              <w:tc>
                <w:tcPr>
                  <w:tcW w:w="442" w:type="pct"/>
                  <w:vMerge w:val="restart"/>
                  <w:shd w:val="clear" w:color="auto" w:fill="auto"/>
                  <w:vAlign w:val="center"/>
                </w:tcPr>
                <w:p>
                  <w:pPr>
                    <w:adjustRightInd w:val="0"/>
                    <w:snapToGrid w:val="0"/>
                    <w:jc w:val="center"/>
                    <w:rPr>
                      <w:color w:val="000000"/>
                      <w:kern w:val="0"/>
                      <w:szCs w:val="21"/>
                    </w:rPr>
                  </w:pPr>
                  <w:r>
                    <w:rPr>
                      <w:rFonts w:hint="eastAsia"/>
                      <w:color w:val="000000"/>
                      <w:kern w:val="0"/>
                      <w:szCs w:val="21"/>
                    </w:rPr>
                    <w:t>排放规律</w:t>
                  </w:r>
                </w:p>
              </w:tc>
              <w:tc>
                <w:tcPr>
                  <w:tcW w:w="1704" w:type="pct"/>
                  <w:gridSpan w:val="3"/>
                  <w:shd w:val="clear" w:color="auto" w:fill="auto"/>
                  <w:vAlign w:val="center"/>
                </w:tcPr>
                <w:p>
                  <w:pPr>
                    <w:adjustRightInd w:val="0"/>
                    <w:snapToGrid w:val="0"/>
                    <w:jc w:val="center"/>
                    <w:rPr>
                      <w:color w:val="000000"/>
                      <w:kern w:val="0"/>
                      <w:szCs w:val="21"/>
                    </w:rPr>
                  </w:pPr>
                  <w:r>
                    <w:rPr>
                      <w:rFonts w:hint="eastAsia"/>
                      <w:color w:val="000000"/>
                      <w:kern w:val="0"/>
                      <w:szCs w:val="21"/>
                    </w:rPr>
                    <w:t>污染治理设施</w:t>
                  </w:r>
                </w:p>
              </w:tc>
              <w:tc>
                <w:tcPr>
                  <w:tcW w:w="429" w:type="pct"/>
                  <w:vMerge w:val="restart"/>
                  <w:shd w:val="clear" w:color="auto" w:fill="auto"/>
                  <w:vAlign w:val="center"/>
                </w:tcPr>
                <w:p>
                  <w:pPr>
                    <w:adjustRightInd w:val="0"/>
                    <w:snapToGrid w:val="0"/>
                    <w:jc w:val="center"/>
                    <w:rPr>
                      <w:color w:val="000000"/>
                      <w:kern w:val="0"/>
                      <w:szCs w:val="21"/>
                    </w:rPr>
                  </w:pPr>
                  <w:r>
                    <w:rPr>
                      <w:rFonts w:hint="eastAsia"/>
                      <w:color w:val="000000"/>
                      <w:kern w:val="0"/>
                      <w:szCs w:val="21"/>
                    </w:rPr>
                    <w:t>排放口情况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shd w:val="clear" w:color="auto" w:fill="auto"/>
                  <w:vAlign w:val="center"/>
                </w:tcPr>
                <w:p>
                  <w:pPr>
                    <w:adjustRightInd w:val="0"/>
                    <w:snapToGrid w:val="0"/>
                    <w:jc w:val="center"/>
                    <w:rPr>
                      <w:color w:val="000000"/>
                      <w:kern w:val="0"/>
                      <w:szCs w:val="21"/>
                    </w:rPr>
                  </w:pPr>
                </w:p>
              </w:tc>
              <w:tc>
                <w:tcPr>
                  <w:tcW w:w="536" w:type="pct"/>
                  <w:vMerge w:val="continue"/>
                  <w:shd w:val="clear" w:color="auto" w:fill="auto"/>
                  <w:vAlign w:val="center"/>
                </w:tcPr>
                <w:p>
                  <w:pPr>
                    <w:adjustRightInd w:val="0"/>
                    <w:snapToGrid w:val="0"/>
                    <w:jc w:val="center"/>
                    <w:rPr>
                      <w:color w:val="000000"/>
                      <w:kern w:val="0"/>
                      <w:szCs w:val="21"/>
                    </w:rPr>
                  </w:pPr>
                </w:p>
              </w:tc>
              <w:tc>
                <w:tcPr>
                  <w:tcW w:w="896" w:type="pct"/>
                  <w:vMerge w:val="continue"/>
                  <w:shd w:val="clear" w:color="auto" w:fill="auto"/>
                  <w:vAlign w:val="center"/>
                </w:tcPr>
                <w:p>
                  <w:pPr>
                    <w:adjustRightInd w:val="0"/>
                    <w:snapToGrid w:val="0"/>
                    <w:jc w:val="center"/>
                    <w:rPr>
                      <w:color w:val="000000"/>
                      <w:kern w:val="0"/>
                      <w:szCs w:val="21"/>
                    </w:rPr>
                  </w:pPr>
                </w:p>
              </w:tc>
              <w:tc>
                <w:tcPr>
                  <w:tcW w:w="623" w:type="pct"/>
                  <w:vMerge w:val="continue"/>
                  <w:shd w:val="clear" w:color="auto" w:fill="auto"/>
                  <w:vAlign w:val="center"/>
                </w:tcPr>
                <w:p>
                  <w:pPr>
                    <w:adjustRightInd w:val="0"/>
                    <w:snapToGrid w:val="0"/>
                    <w:jc w:val="center"/>
                    <w:rPr>
                      <w:color w:val="000000"/>
                      <w:kern w:val="0"/>
                      <w:szCs w:val="21"/>
                    </w:rPr>
                  </w:pPr>
                </w:p>
              </w:tc>
              <w:tc>
                <w:tcPr>
                  <w:tcW w:w="442" w:type="pct"/>
                  <w:vMerge w:val="continue"/>
                  <w:shd w:val="clear" w:color="auto" w:fill="auto"/>
                  <w:vAlign w:val="center"/>
                </w:tcPr>
                <w:p>
                  <w:pPr>
                    <w:adjustRightInd w:val="0"/>
                    <w:snapToGrid w:val="0"/>
                    <w:jc w:val="center"/>
                    <w:rPr>
                      <w:color w:val="000000"/>
                      <w:kern w:val="0"/>
                      <w:szCs w:val="21"/>
                    </w:rPr>
                  </w:pPr>
                </w:p>
              </w:tc>
              <w:tc>
                <w:tcPr>
                  <w:tcW w:w="541" w:type="pct"/>
                  <w:shd w:val="clear" w:color="auto" w:fill="auto"/>
                  <w:vAlign w:val="center"/>
                </w:tcPr>
                <w:p>
                  <w:pPr>
                    <w:adjustRightInd w:val="0"/>
                    <w:snapToGrid w:val="0"/>
                    <w:jc w:val="center"/>
                    <w:rPr>
                      <w:color w:val="000000"/>
                      <w:kern w:val="0"/>
                      <w:szCs w:val="21"/>
                    </w:rPr>
                  </w:pPr>
                  <w:r>
                    <w:rPr>
                      <w:rFonts w:hint="eastAsia"/>
                      <w:color w:val="000000"/>
                      <w:kern w:val="0"/>
                      <w:szCs w:val="21"/>
                    </w:rPr>
                    <w:t>污染治理设施编号</w:t>
                  </w:r>
                </w:p>
              </w:tc>
              <w:tc>
                <w:tcPr>
                  <w:tcW w:w="536" w:type="pct"/>
                  <w:shd w:val="clear" w:color="auto" w:fill="auto"/>
                  <w:vAlign w:val="center"/>
                </w:tcPr>
                <w:p>
                  <w:pPr>
                    <w:adjustRightInd w:val="0"/>
                    <w:snapToGrid w:val="0"/>
                    <w:jc w:val="center"/>
                    <w:rPr>
                      <w:color w:val="000000"/>
                      <w:kern w:val="0"/>
                      <w:szCs w:val="21"/>
                    </w:rPr>
                  </w:pPr>
                  <w:r>
                    <w:rPr>
                      <w:rFonts w:hint="eastAsia"/>
                      <w:color w:val="000000"/>
                      <w:kern w:val="0"/>
                      <w:szCs w:val="21"/>
                    </w:rPr>
                    <w:t>污染治理设施名称</w:t>
                  </w:r>
                </w:p>
              </w:tc>
              <w:tc>
                <w:tcPr>
                  <w:tcW w:w="627" w:type="pct"/>
                  <w:shd w:val="clear" w:color="auto" w:fill="auto"/>
                  <w:vAlign w:val="center"/>
                </w:tcPr>
                <w:p>
                  <w:pPr>
                    <w:adjustRightInd w:val="0"/>
                    <w:snapToGrid w:val="0"/>
                    <w:jc w:val="center"/>
                    <w:rPr>
                      <w:color w:val="000000"/>
                      <w:kern w:val="0"/>
                      <w:szCs w:val="21"/>
                    </w:rPr>
                  </w:pPr>
                  <w:r>
                    <w:rPr>
                      <w:rFonts w:hint="eastAsia"/>
                      <w:color w:val="000000"/>
                      <w:kern w:val="0"/>
                      <w:szCs w:val="21"/>
                    </w:rPr>
                    <w:t>污染治理设施工艺</w:t>
                  </w:r>
                </w:p>
              </w:tc>
              <w:tc>
                <w:tcPr>
                  <w:tcW w:w="429" w:type="pct"/>
                  <w:vMerge w:val="continue"/>
                  <w:shd w:val="clear" w:color="auto" w:fill="auto"/>
                  <w:vAlign w:val="center"/>
                </w:tcPr>
                <w:p>
                  <w:pPr>
                    <w:adjustRightInd w:val="0"/>
                    <w:snapToGrid w:val="0"/>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shd w:val="clear" w:color="auto" w:fill="auto"/>
                  <w:vAlign w:val="center"/>
                </w:tcPr>
                <w:p>
                  <w:pPr>
                    <w:adjustRightInd w:val="0"/>
                    <w:snapToGrid w:val="0"/>
                    <w:jc w:val="center"/>
                    <w:rPr>
                      <w:color w:val="000000"/>
                      <w:kern w:val="0"/>
                      <w:szCs w:val="21"/>
                    </w:rPr>
                  </w:pPr>
                  <w:r>
                    <w:rPr>
                      <w:rFonts w:hint="eastAsia"/>
                      <w:color w:val="000000"/>
                      <w:kern w:val="0"/>
                      <w:szCs w:val="21"/>
                    </w:rPr>
                    <w:t>1</w:t>
                  </w:r>
                </w:p>
              </w:tc>
              <w:tc>
                <w:tcPr>
                  <w:tcW w:w="536" w:type="pct"/>
                  <w:shd w:val="clear" w:color="auto" w:fill="auto"/>
                  <w:vAlign w:val="center"/>
                </w:tcPr>
                <w:p>
                  <w:pPr>
                    <w:adjustRightInd w:val="0"/>
                    <w:snapToGrid w:val="0"/>
                    <w:jc w:val="center"/>
                    <w:rPr>
                      <w:color w:val="000000"/>
                      <w:kern w:val="0"/>
                      <w:szCs w:val="21"/>
                    </w:rPr>
                  </w:pPr>
                  <w:r>
                    <w:rPr>
                      <w:rFonts w:hint="eastAsia"/>
                      <w:color w:val="000000"/>
                      <w:kern w:val="0"/>
                      <w:szCs w:val="21"/>
                    </w:rPr>
                    <w:t>生活污水</w:t>
                  </w:r>
                </w:p>
              </w:tc>
              <w:tc>
                <w:tcPr>
                  <w:tcW w:w="896" w:type="pct"/>
                  <w:shd w:val="clear" w:color="auto" w:fill="auto"/>
                  <w:vAlign w:val="center"/>
                </w:tcPr>
                <w:p>
                  <w:pPr>
                    <w:adjustRightInd w:val="0"/>
                    <w:snapToGrid w:val="0"/>
                    <w:jc w:val="center"/>
                    <w:rPr>
                      <w:color w:val="000000"/>
                      <w:kern w:val="0"/>
                      <w:szCs w:val="21"/>
                    </w:rPr>
                  </w:pPr>
                  <w:r>
                    <w:rPr>
                      <w:color w:val="000000"/>
                      <w:kern w:val="0"/>
                      <w:szCs w:val="21"/>
                    </w:rPr>
                    <w:t>P</w:t>
                  </w:r>
                  <w:r>
                    <w:rPr>
                      <w:rFonts w:hint="eastAsia"/>
                      <w:color w:val="000000"/>
                      <w:kern w:val="0"/>
                      <w:szCs w:val="21"/>
                    </w:rPr>
                    <w:t>H值、悬浮物、五日生化需氧量、化学需氧量、氨氮、总磷</w:t>
                  </w:r>
                </w:p>
              </w:tc>
              <w:tc>
                <w:tcPr>
                  <w:tcW w:w="623" w:type="pct"/>
                  <w:shd w:val="clear" w:color="auto" w:fill="auto"/>
                  <w:vAlign w:val="center"/>
                </w:tcPr>
                <w:p>
                  <w:pPr>
                    <w:adjustRightInd w:val="0"/>
                    <w:snapToGrid w:val="0"/>
                    <w:jc w:val="center"/>
                    <w:rPr>
                      <w:color w:val="000000"/>
                      <w:kern w:val="0"/>
                      <w:szCs w:val="21"/>
                    </w:rPr>
                  </w:pPr>
                  <w:r>
                    <w:rPr>
                      <w:rFonts w:hint="eastAsia"/>
                      <w:color w:val="000000"/>
                      <w:kern w:val="0"/>
                      <w:szCs w:val="21"/>
                    </w:rPr>
                    <w:t>用于周围农田施肥，资源化利用</w:t>
                  </w:r>
                </w:p>
              </w:tc>
              <w:tc>
                <w:tcPr>
                  <w:tcW w:w="442" w:type="pct"/>
                  <w:shd w:val="clear" w:color="auto" w:fill="auto"/>
                  <w:vAlign w:val="center"/>
                </w:tcPr>
                <w:p>
                  <w:pPr>
                    <w:adjustRightInd w:val="0"/>
                    <w:snapToGrid w:val="0"/>
                    <w:jc w:val="center"/>
                    <w:rPr>
                      <w:color w:val="000000"/>
                      <w:kern w:val="0"/>
                      <w:szCs w:val="21"/>
                    </w:rPr>
                  </w:pPr>
                  <w:r>
                    <w:rPr>
                      <w:rFonts w:hint="eastAsia"/>
                      <w:color w:val="000000"/>
                      <w:kern w:val="0"/>
                      <w:szCs w:val="21"/>
                    </w:rPr>
                    <w:t>/</w:t>
                  </w:r>
                </w:p>
              </w:tc>
              <w:tc>
                <w:tcPr>
                  <w:tcW w:w="541" w:type="pct"/>
                  <w:shd w:val="clear" w:color="auto" w:fill="auto"/>
                  <w:vAlign w:val="center"/>
                </w:tcPr>
                <w:p>
                  <w:pPr>
                    <w:adjustRightInd w:val="0"/>
                    <w:snapToGrid w:val="0"/>
                    <w:jc w:val="center"/>
                    <w:rPr>
                      <w:color w:val="000000"/>
                      <w:kern w:val="0"/>
                      <w:szCs w:val="21"/>
                    </w:rPr>
                  </w:pPr>
                  <w:r>
                    <w:rPr>
                      <w:rFonts w:hint="eastAsia"/>
                      <w:color w:val="000000"/>
                      <w:kern w:val="0"/>
                      <w:szCs w:val="21"/>
                    </w:rPr>
                    <w:t>TW001</w:t>
                  </w:r>
                </w:p>
              </w:tc>
              <w:tc>
                <w:tcPr>
                  <w:tcW w:w="536" w:type="pct"/>
                  <w:shd w:val="clear" w:color="auto" w:fill="auto"/>
                  <w:vAlign w:val="center"/>
                </w:tcPr>
                <w:p>
                  <w:pPr>
                    <w:adjustRightInd w:val="0"/>
                    <w:snapToGrid w:val="0"/>
                    <w:jc w:val="center"/>
                    <w:rPr>
                      <w:color w:val="000000"/>
                      <w:kern w:val="0"/>
                      <w:szCs w:val="21"/>
                    </w:rPr>
                  </w:pPr>
                  <w:r>
                    <w:rPr>
                      <w:rFonts w:hint="eastAsia"/>
                      <w:color w:val="000000"/>
                      <w:kern w:val="0"/>
                      <w:szCs w:val="21"/>
                    </w:rPr>
                    <w:t>化粪池</w:t>
                  </w:r>
                </w:p>
              </w:tc>
              <w:tc>
                <w:tcPr>
                  <w:tcW w:w="627" w:type="pct"/>
                  <w:shd w:val="clear" w:color="auto" w:fill="auto"/>
                  <w:vAlign w:val="center"/>
                </w:tcPr>
                <w:p>
                  <w:pPr>
                    <w:adjustRightInd w:val="0"/>
                    <w:snapToGrid w:val="0"/>
                    <w:jc w:val="center"/>
                    <w:rPr>
                      <w:color w:val="000000"/>
                      <w:kern w:val="0"/>
                      <w:szCs w:val="21"/>
                    </w:rPr>
                  </w:pPr>
                  <w:r>
                    <w:rPr>
                      <w:rFonts w:hint="eastAsia"/>
                      <w:color w:val="000000"/>
                      <w:kern w:val="0"/>
                      <w:szCs w:val="21"/>
                    </w:rPr>
                    <w:t>厌氧</w:t>
                  </w:r>
                </w:p>
              </w:tc>
              <w:tc>
                <w:tcPr>
                  <w:tcW w:w="429" w:type="pct"/>
                  <w:shd w:val="clear" w:color="auto" w:fill="auto"/>
                  <w:vAlign w:val="center"/>
                </w:tcPr>
                <w:p>
                  <w:pPr>
                    <w:adjustRightInd w:val="0"/>
                    <w:snapToGrid w:val="0"/>
                    <w:jc w:val="center"/>
                    <w:rPr>
                      <w:color w:val="000000"/>
                      <w:kern w:val="0"/>
                      <w:szCs w:val="21"/>
                    </w:rPr>
                  </w:pPr>
                  <w:r>
                    <w:rPr>
                      <w:rFonts w:hint="eastAsia"/>
                      <w:color w:val="000000"/>
                      <w:kern w:val="0"/>
                      <w:szCs w:val="21"/>
                    </w:rPr>
                    <w:t>无</w:t>
                  </w:r>
                </w:p>
              </w:tc>
            </w:tr>
          </w:tbl>
          <w:p>
            <w:pPr>
              <w:widowControl/>
              <w:adjustRightInd w:val="0"/>
              <w:snapToGrid w:val="0"/>
              <w:spacing w:line="360" w:lineRule="auto"/>
              <w:ind w:firstLine="482"/>
              <w:rPr>
                <w:color w:val="000000"/>
                <w:kern w:val="0"/>
                <w:sz w:val="24"/>
                <w:szCs w:val="21"/>
              </w:rPr>
            </w:pPr>
            <w:r>
              <w:rPr>
                <w:rFonts w:hint="eastAsia"/>
                <w:color w:val="000000"/>
                <w:kern w:val="0"/>
                <w:sz w:val="24"/>
                <w:szCs w:val="21"/>
              </w:rPr>
              <w:t>1.4地表水环境影响评价结论</w:t>
            </w:r>
          </w:p>
          <w:p>
            <w:pPr>
              <w:widowControl/>
              <w:adjustRightInd w:val="0"/>
              <w:snapToGrid w:val="0"/>
              <w:spacing w:line="360" w:lineRule="auto"/>
              <w:ind w:firstLine="482"/>
              <w:rPr>
                <w:color w:val="000000"/>
                <w:kern w:val="0"/>
                <w:sz w:val="24"/>
                <w:szCs w:val="21"/>
              </w:rPr>
            </w:pPr>
            <w:r>
              <w:rPr>
                <w:rFonts w:hint="eastAsia"/>
                <w:color w:val="000000"/>
                <w:kern w:val="0"/>
                <w:sz w:val="24"/>
                <w:szCs w:val="21"/>
              </w:rPr>
              <w:t>项目营运期职工生活污水经化粪池处理后用于周围农田施肥，资源化利用不外排，不会对周围地表水环境产生不良影响，因此项目地表水环境影响可以接受。</w:t>
            </w:r>
          </w:p>
          <w:p>
            <w:pPr>
              <w:adjustRightInd w:val="0"/>
              <w:snapToGrid w:val="0"/>
              <w:spacing w:line="360" w:lineRule="auto"/>
              <w:ind w:firstLine="482" w:firstLineChars="200"/>
              <w:rPr>
                <w:b/>
                <w:sz w:val="24"/>
              </w:rPr>
            </w:pPr>
            <w:r>
              <w:rPr>
                <w:rFonts w:hint="eastAsia"/>
                <w:b/>
                <w:sz w:val="24"/>
              </w:rPr>
              <w:t>2、废气</w:t>
            </w:r>
          </w:p>
          <w:p>
            <w:pPr>
              <w:adjustRightInd w:val="0"/>
              <w:snapToGrid w:val="0"/>
              <w:spacing w:line="360" w:lineRule="auto"/>
              <w:ind w:firstLine="480" w:firstLineChars="200"/>
              <w:rPr>
                <w:sz w:val="24"/>
              </w:rPr>
            </w:pPr>
            <w:r>
              <w:rPr>
                <w:sz w:val="24"/>
              </w:rPr>
              <w:t>2.1废气源强分析</w:t>
            </w:r>
          </w:p>
          <w:p>
            <w:pPr>
              <w:adjustRightInd w:val="0"/>
              <w:snapToGrid w:val="0"/>
              <w:spacing w:line="360" w:lineRule="auto"/>
              <w:ind w:firstLine="480" w:firstLineChars="200"/>
              <w:rPr>
                <w:color w:val="000000"/>
                <w:sz w:val="24"/>
              </w:rPr>
            </w:pPr>
            <w:r>
              <w:rPr>
                <w:rFonts w:hint="eastAsia" w:hAnsi="宋体"/>
                <w:color w:val="000000"/>
                <w:kern w:val="0"/>
                <w:sz w:val="24"/>
              </w:rPr>
              <w:t>（1）</w:t>
            </w:r>
            <w:r>
              <w:rPr>
                <w:rFonts w:hint="eastAsia"/>
                <w:color w:val="000000"/>
                <w:sz w:val="24"/>
              </w:rPr>
              <w:t>模温机（导热油炉）液化石油气燃烧废气</w:t>
            </w:r>
          </w:p>
          <w:p>
            <w:pPr>
              <w:adjustRightInd w:val="0"/>
              <w:snapToGrid w:val="0"/>
              <w:spacing w:line="360" w:lineRule="auto"/>
              <w:ind w:firstLine="480" w:firstLineChars="200"/>
              <w:rPr>
                <w:color w:val="000000"/>
                <w:sz w:val="24"/>
              </w:rPr>
            </w:pPr>
            <w:r>
              <w:rPr>
                <w:rFonts w:hint="eastAsia"/>
                <w:color w:val="000000"/>
                <w:sz w:val="24"/>
              </w:rPr>
              <w:t>项目热压工序用热源由有机热载体炉燃烧液化石油气提供，液化石油气燃烧会产生颗粒物、SO</w:t>
            </w:r>
            <w:r>
              <w:rPr>
                <w:rFonts w:hint="eastAsia"/>
                <w:color w:val="000000"/>
                <w:sz w:val="24"/>
                <w:vertAlign w:val="subscript"/>
              </w:rPr>
              <w:t>2</w:t>
            </w:r>
            <w:r>
              <w:rPr>
                <w:rFonts w:hint="eastAsia"/>
                <w:color w:val="000000"/>
                <w:sz w:val="24"/>
              </w:rPr>
              <w:t>、NO</w:t>
            </w:r>
            <w:r>
              <w:rPr>
                <w:rFonts w:hint="eastAsia"/>
                <w:color w:val="000000"/>
                <w:sz w:val="24"/>
                <w:vertAlign w:val="subscript"/>
              </w:rPr>
              <w:t>X</w:t>
            </w:r>
            <w:r>
              <w:rPr>
                <w:rFonts w:hint="eastAsia"/>
                <w:color w:val="000000"/>
                <w:sz w:val="24"/>
              </w:rPr>
              <w:t>。根据企业提供资料，项目液化石油气用量为20t/a，密度为2.35kg/m</w:t>
            </w:r>
            <w:r>
              <w:rPr>
                <w:rFonts w:hint="eastAsia"/>
                <w:color w:val="000000"/>
                <w:sz w:val="24"/>
                <w:vertAlign w:val="superscript"/>
              </w:rPr>
              <w:t>3</w:t>
            </w:r>
            <w:r>
              <w:rPr>
                <w:rFonts w:hint="eastAsia"/>
                <w:color w:val="000000"/>
                <w:sz w:val="24"/>
              </w:rPr>
              <w:t>，合计液化石油气用量为8511m</w:t>
            </w:r>
            <w:r>
              <w:rPr>
                <w:rFonts w:hint="eastAsia"/>
                <w:color w:val="000000"/>
                <w:sz w:val="24"/>
                <w:vertAlign w:val="superscript"/>
              </w:rPr>
              <w:t>3</w:t>
            </w:r>
            <w:r>
              <w:rPr>
                <w:rFonts w:hint="eastAsia"/>
                <w:color w:val="000000"/>
                <w:sz w:val="24"/>
              </w:rPr>
              <w:t>。根据《第二次全国污染源普查产排污量核算系数手册》中“4430工业锅炉产排污系数表-燃气工业锅炉”，液化石油气燃烧废气中颗粒物、SO</w:t>
            </w:r>
            <w:r>
              <w:rPr>
                <w:rFonts w:hint="eastAsia"/>
                <w:color w:val="000000"/>
                <w:sz w:val="24"/>
                <w:vertAlign w:val="subscript"/>
              </w:rPr>
              <w:t>2</w:t>
            </w:r>
            <w:r>
              <w:rPr>
                <w:rFonts w:hint="eastAsia"/>
                <w:color w:val="000000"/>
                <w:sz w:val="24"/>
              </w:rPr>
              <w:t>、NO</w:t>
            </w:r>
            <w:r>
              <w:rPr>
                <w:rFonts w:hint="eastAsia"/>
                <w:color w:val="000000"/>
                <w:sz w:val="24"/>
                <w:vertAlign w:val="subscript"/>
              </w:rPr>
              <w:t>X</w:t>
            </w:r>
            <w:r>
              <w:rPr>
                <w:rFonts w:hint="eastAsia"/>
                <w:color w:val="000000"/>
                <w:sz w:val="24"/>
              </w:rPr>
              <w:t>污染物的产排情况见下表。</w:t>
            </w:r>
          </w:p>
          <w:p>
            <w:pPr>
              <w:adjustRightInd w:val="0"/>
              <w:snapToGrid w:val="0"/>
              <w:spacing w:line="360" w:lineRule="auto"/>
              <w:jc w:val="center"/>
              <w:rPr>
                <w:b/>
                <w:color w:val="000000"/>
                <w:sz w:val="24"/>
              </w:rPr>
            </w:pPr>
            <w:r>
              <w:rPr>
                <w:rFonts w:hint="eastAsia"/>
                <w:b/>
                <w:color w:val="000000"/>
                <w:sz w:val="24"/>
              </w:rPr>
              <w:t>表4-3      模温机（导热油炉）污染物产排情况一览表</w:t>
            </w:r>
          </w:p>
          <w:tbl>
            <w:tblPr>
              <w:tblStyle w:val="30"/>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455"/>
              <w:gridCol w:w="1702"/>
              <w:gridCol w:w="141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6" w:type="pct"/>
                  <w:shd w:val="clear" w:color="auto" w:fill="auto"/>
                  <w:vAlign w:val="center"/>
                </w:tcPr>
                <w:p>
                  <w:pPr>
                    <w:spacing w:line="360" w:lineRule="auto"/>
                    <w:jc w:val="center"/>
                    <w:outlineLvl w:val="0"/>
                    <w:rPr>
                      <w:color w:val="000000"/>
                    </w:rPr>
                  </w:pPr>
                  <w:r>
                    <w:rPr>
                      <w:color w:val="000000"/>
                    </w:rPr>
                    <w:t>污染物</w:t>
                  </w:r>
                </w:p>
              </w:tc>
              <w:tc>
                <w:tcPr>
                  <w:tcW w:w="892" w:type="pct"/>
                  <w:shd w:val="clear" w:color="auto" w:fill="auto"/>
                  <w:vAlign w:val="center"/>
                </w:tcPr>
                <w:p>
                  <w:pPr>
                    <w:spacing w:line="360" w:lineRule="auto"/>
                    <w:jc w:val="center"/>
                    <w:outlineLvl w:val="0"/>
                    <w:rPr>
                      <w:color w:val="000000"/>
                    </w:rPr>
                  </w:pPr>
                  <w:r>
                    <w:rPr>
                      <w:color w:val="000000"/>
                    </w:rPr>
                    <w:t>工业废气量</w:t>
                  </w:r>
                </w:p>
              </w:tc>
              <w:tc>
                <w:tcPr>
                  <w:tcW w:w="1043" w:type="pct"/>
                  <w:shd w:val="clear" w:color="auto" w:fill="auto"/>
                  <w:vAlign w:val="center"/>
                </w:tcPr>
                <w:p>
                  <w:pPr>
                    <w:spacing w:line="360" w:lineRule="auto"/>
                    <w:jc w:val="center"/>
                    <w:outlineLvl w:val="0"/>
                    <w:rPr>
                      <w:color w:val="000000"/>
                    </w:rPr>
                  </w:pPr>
                  <w:r>
                    <w:rPr>
                      <w:color w:val="000000"/>
                    </w:rPr>
                    <w:t>SO</w:t>
                  </w:r>
                  <w:r>
                    <w:rPr>
                      <w:color w:val="000000"/>
                      <w:vertAlign w:val="subscript"/>
                    </w:rPr>
                    <w:t>2</w:t>
                  </w:r>
                </w:p>
              </w:tc>
              <w:tc>
                <w:tcPr>
                  <w:tcW w:w="869" w:type="pct"/>
                  <w:shd w:val="clear" w:color="auto" w:fill="auto"/>
                  <w:vAlign w:val="center"/>
                </w:tcPr>
                <w:p>
                  <w:pPr>
                    <w:spacing w:line="360" w:lineRule="auto"/>
                    <w:jc w:val="center"/>
                    <w:outlineLvl w:val="0"/>
                    <w:rPr>
                      <w:color w:val="000000"/>
                    </w:rPr>
                  </w:pPr>
                  <w:r>
                    <w:rPr>
                      <w:color w:val="000000"/>
                    </w:rPr>
                    <w:t>NO</w:t>
                  </w:r>
                  <w:r>
                    <w:rPr>
                      <w:color w:val="000000"/>
                      <w:vertAlign w:val="subscript"/>
                    </w:rPr>
                    <w:t>X</w:t>
                  </w:r>
                </w:p>
              </w:tc>
              <w:tc>
                <w:tcPr>
                  <w:tcW w:w="1021" w:type="pct"/>
                  <w:shd w:val="clear" w:color="auto" w:fill="auto"/>
                  <w:vAlign w:val="center"/>
                </w:tcPr>
                <w:p>
                  <w:pPr>
                    <w:spacing w:line="360" w:lineRule="auto"/>
                    <w:jc w:val="center"/>
                    <w:outlineLvl w:val="0"/>
                    <w:rPr>
                      <w:color w:val="000000"/>
                    </w:rPr>
                  </w:pPr>
                  <w:r>
                    <w:rPr>
                      <w:rFonts w:hint="eastAsia"/>
                      <w:color w:val="000000"/>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6" w:type="pct"/>
                  <w:shd w:val="clear" w:color="auto" w:fill="auto"/>
                  <w:vAlign w:val="center"/>
                </w:tcPr>
                <w:p>
                  <w:pPr>
                    <w:spacing w:line="360" w:lineRule="auto"/>
                    <w:jc w:val="center"/>
                    <w:outlineLvl w:val="0"/>
                    <w:rPr>
                      <w:color w:val="000000"/>
                    </w:rPr>
                  </w:pPr>
                  <w:r>
                    <w:rPr>
                      <w:color w:val="000000"/>
                    </w:rPr>
                    <w:t>排放系数</w:t>
                  </w:r>
                </w:p>
              </w:tc>
              <w:tc>
                <w:tcPr>
                  <w:tcW w:w="892" w:type="pct"/>
                  <w:shd w:val="clear" w:color="auto" w:fill="auto"/>
                  <w:vAlign w:val="center"/>
                </w:tcPr>
                <w:p>
                  <w:pPr>
                    <w:jc w:val="center"/>
                    <w:outlineLvl w:val="0"/>
                    <w:rPr>
                      <w:color w:val="000000"/>
                    </w:rPr>
                  </w:pPr>
                  <w:r>
                    <w:rPr>
                      <w:rFonts w:hint="eastAsia"/>
                      <w:color w:val="000000"/>
                    </w:rPr>
                    <w:t>287771Nm</w:t>
                  </w:r>
                  <w:r>
                    <w:rPr>
                      <w:rFonts w:hint="eastAsia"/>
                      <w:color w:val="000000"/>
                      <w:vertAlign w:val="superscript"/>
                    </w:rPr>
                    <w:t>3</w:t>
                  </w:r>
                  <w:r>
                    <w:rPr>
                      <w:rFonts w:hint="eastAsia"/>
                      <w:color w:val="000000"/>
                    </w:rPr>
                    <w:t>/万m</w:t>
                  </w:r>
                  <w:r>
                    <w:rPr>
                      <w:rFonts w:hint="eastAsia"/>
                      <w:color w:val="000000"/>
                      <w:vertAlign w:val="superscript"/>
                    </w:rPr>
                    <w:t>3</w:t>
                  </w:r>
                  <w:r>
                    <w:rPr>
                      <w:rFonts w:hint="eastAsia"/>
                      <w:color w:val="000000"/>
                    </w:rPr>
                    <w:t>原料</w:t>
                  </w:r>
                </w:p>
              </w:tc>
              <w:tc>
                <w:tcPr>
                  <w:tcW w:w="1043" w:type="pct"/>
                  <w:shd w:val="clear" w:color="auto" w:fill="auto"/>
                  <w:vAlign w:val="center"/>
                </w:tcPr>
                <w:p>
                  <w:pPr>
                    <w:jc w:val="center"/>
                    <w:outlineLvl w:val="0"/>
                    <w:rPr>
                      <w:color w:val="000000"/>
                    </w:rPr>
                  </w:pPr>
                  <w:r>
                    <w:rPr>
                      <w:color w:val="000000"/>
                    </w:rPr>
                    <w:t>0.02Skg/</w:t>
                  </w:r>
                  <w:r>
                    <w:rPr>
                      <w:rFonts w:hint="eastAsia"/>
                      <w:color w:val="000000"/>
                    </w:rPr>
                    <w:t>万m</w:t>
                  </w:r>
                  <w:r>
                    <w:rPr>
                      <w:rFonts w:hint="eastAsia"/>
                      <w:color w:val="000000"/>
                      <w:vertAlign w:val="superscript"/>
                    </w:rPr>
                    <w:t>3</w:t>
                  </w:r>
                  <w:r>
                    <w:rPr>
                      <w:rFonts w:hint="eastAsia"/>
                      <w:color w:val="000000"/>
                    </w:rPr>
                    <w:t>原料</w:t>
                  </w:r>
                </w:p>
              </w:tc>
              <w:tc>
                <w:tcPr>
                  <w:tcW w:w="869" w:type="pct"/>
                  <w:shd w:val="clear" w:color="auto" w:fill="auto"/>
                  <w:vAlign w:val="center"/>
                </w:tcPr>
                <w:p>
                  <w:pPr>
                    <w:jc w:val="center"/>
                    <w:outlineLvl w:val="0"/>
                    <w:rPr>
                      <w:color w:val="000000"/>
                    </w:rPr>
                  </w:pPr>
                  <w:r>
                    <w:rPr>
                      <w:rFonts w:hint="eastAsia"/>
                      <w:color w:val="000000"/>
                    </w:rPr>
                    <w:t>59.85</w:t>
                  </w:r>
                  <w:r>
                    <w:rPr>
                      <w:color w:val="000000"/>
                    </w:rPr>
                    <w:t>kg/</w:t>
                  </w:r>
                  <w:r>
                    <w:rPr>
                      <w:rFonts w:hint="eastAsia"/>
                      <w:color w:val="000000"/>
                    </w:rPr>
                    <w:t>万m</w:t>
                  </w:r>
                  <w:r>
                    <w:rPr>
                      <w:rFonts w:hint="eastAsia"/>
                      <w:color w:val="000000"/>
                      <w:vertAlign w:val="superscript"/>
                    </w:rPr>
                    <w:t>3</w:t>
                  </w:r>
                  <w:r>
                    <w:rPr>
                      <w:rFonts w:hint="eastAsia"/>
                      <w:color w:val="000000"/>
                    </w:rPr>
                    <w:t>原料</w:t>
                  </w:r>
                </w:p>
              </w:tc>
              <w:tc>
                <w:tcPr>
                  <w:tcW w:w="1021" w:type="pct"/>
                  <w:shd w:val="clear" w:color="auto" w:fill="auto"/>
                  <w:vAlign w:val="center"/>
                </w:tcPr>
                <w:p>
                  <w:pPr>
                    <w:jc w:val="center"/>
                    <w:outlineLvl w:val="0"/>
                    <w:rPr>
                      <w:color w:val="000000"/>
                    </w:rPr>
                  </w:pPr>
                  <w:r>
                    <w:rPr>
                      <w:rFonts w:hint="eastAsia"/>
                      <w:color w:val="000000"/>
                    </w:rPr>
                    <w:t>1.0</w:t>
                  </w:r>
                  <w:r>
                    <w:rPr>
                      <w:color w:val="000000"/>
                    </w:rPr>
                    <w:t>kg/</w:t>
                  </w:r>
                  <w:r>
                    <w:rPr>
                      <w:rFonts w:hint="eastAsia"/>
                      <w:color w:val="000000"/>
                    </w:rPr>
                    <w:t>万m</w:t>
                  </w:r>
                  <w:r>
                    <w:rPr>
                      <w:rFonts w:hint="eastAsia"/>
                      <w:color w:val="000000"/>
                      <w:vertAlign w:val="superscript"/>
                    </w:rPr>
                    <w:t>3</w:t>
                  </w:r>
                  <w:r>
                    <w:rPr>
                      <w:rFonts w:hint="eastAsia"/>
                      <w:color w:val="000000"/>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176" w:type="pct"/>
                  <w:shd w:val="clear" w:color="auto" w:fill="auto"/>
                  <w:vAlign w:val="center"/>
                </w:tcPr>
                <w:p>
                  <w:pPr>
                    <w:jc w:val="center"/>
                    <w:outlineLvl w:val="0"/>
                    <w:rPr>
                      <w:color w:val="000000"/>
                    </w:rPr>
                  </w:pPr>
                  <w:r>
                    <w:rPr>
                      <w:color w:val="000000"/>
                    </w:rPr>
                    <w:t>污染物排放量</w:t>
                  </w:r>
                </w:p>
                <w:p>
                  <w:pPr>
                    <w:jc w:val="center"/>
                    <w:outlineLvl w:val="0"/>
                    <w:rPr>
                      <w:color w:val="000000"/>
                    </w:rPr>
                  </w:pPr>
                  <w:r>
                    <w:rPr>
                      <w:color w:val="000000"/>
                    </w:rPr>
                    <w:t>(</w:t>
                  </w:r>
                  <w:r>
                    <w:rPr>
                      <w:rFonts w:hint="eastAsia"/>
                      <w:color w:val="000000"/>
                    </w:rPr>
                    <w:t>天然气年用量8511m</w:t>
                  </w:r>
                  <w:r>
                    <w:rPr>
                      <w:rFonts w:hint="eastAsia"/>
                      <w:color w:val="000000"/>
                      <w:vertAlign w:val="superscript"/>
                    </w:rPr>
                    <w:t>3</w:t>
                  </w:r>
                  <w:r>
                    <w:rPr>
                      <w:color w:val="000000"/>
                    </w:rPr>
                    <w:t>/a)</w:t>
                  </w:r>
                </w:p>
              </w:tc>
              <w:tc>
                <w:tcPr>
                  <w:tcW w:w="892" w:type="pct"/>
                  <w:shd w:val="clear" w:color="auto" w:fill="auto"/>
                  <w:vAlign w:val="center"/>
                </w:tcPr>
                <w:p>
                  <w:pPr>
                    <w:jc w:val="center"/>
                    <w:outlineLvl w:val="0"/>
                    <w:rPr>
                      <w:color w:val="000000"/>
                    </w:rPr>
                  </w:pPr>
                  <w:r>
                    <w:rPr>
                      <w:rFonts w:hint="eastAsia"/>
                      <w:color w:val="000000"/>
                    </w:rPr>
                    <w:t>244922Nm</w:t>
                  </w:r>
                  <w:r>
                    <w:rPr>
                      <w:rFonts w:hint="eastAsia"/>
                      <w:color w:val="000000"/>
                      <w:vertAlign w:val="superscript"/>
                    </w:rPr>
                    <w:t>3</w:t>
                  </w:r>
                  <w:r>
                    <w:rPr>
                      <w:rFonts w:hint="eastAsia"/>
                      <w:color w:val="000000"/>
                    </w:rPr>
                    <w:t>/a（153m</w:t>
                  </w:r>
                  <w:r>
                    <w:rPr>
                      <w:rFonts w:hint="eastAsia"/>
                      <w:color w:val="000000"/>
                      <w:vertAlign w:val="superscript"/>
                    </w:rPr>
                    <w:t>3</w:t>
                  </w:r>
                  <w:r>
                    <w:rPr>
                      <w:rFonts w:hint="eastAsia"/>
                      <w:color w:val="000000"/>
                    </w:rPr>
                    <w:t>/h）</w:t>
                  </w:r>
                </w:p>
              </w:tc>
              <w:tc>
                <w:tcPr>
                  <w:tcW w:w="1043" w:type="pct"/>
                  <w:shd w:val="clear" w:color="auto" w:fill="auto"/>
                  <w:vAlign w:val="center"/>
                </w:tcPr>
                <w:p>
                  <w:pPr>
                    <w:jc w:val="center"/>
                    <w:outlineLvl w:val="0"/>
                    <w:rPr>
                      <w:color w:val="000000"/>
                    </w:rPr>
                  </w:pPr>
                  <w:r>
                    <w:rPr>
                      <w:rFonts w:hint="eastAsia"/>
                      <w:color w:val="000000"/>
                    </w:rPr>
                    <w:t>0.34</w:t>
                  </w:r>
                  <w:r>
                    <w:rPr>
                      <w:color w:val="000000"/>
                    </w:rPr>
                    <w:t>kg/a</w:t>
                  </w:r>
                </w:p>
                <w:p>
                  <w:pPr>
                    <w:jc w:val="center"/>
                    <w:outlineLvl w:val="0"/>
                    <w:rPr>
                      <w:color w:val="000000"/>
                    </w:rPr>
                  </w:pPr>
                  <w:r>
                    <w:rPr>
                      <w:color w:val="000000"/>
                    </w:rPr>
                    <w:t>（</w:t>
                  </w:r>
                  <w:r>
                    <w:rPr>
                      <w:rFonts w:hint="eastAsia"/>
                      <w:color w:val="000000"/>
                    </w:rPr>
                    <w:t>0.00021k</w:t>
                  </w:r>
                  <w:r>
                    <w:rPr>
                      <w:color w:val="000000"/>
                    </w:rPr>
                    <w:t>g/h）</w:t>
                  </w:r>
                </w:p>
              </w:tc>
              <w:tc>
                <w:tcPr>
                  <w:tcW w:w="869" w:type="pct"/>
                  <w:shd w:val="clear" w:color="auto" w:fill="auto"/>
                  <w:vAlign w:val="center"/>
                </w:tcPr>
                <w:p>
                  <w:pPr>
                    <w:jc w:val="center"/>
                    <w:outlineLvl w:val="0"/>
                    <w:rPr>
                      <w:color w:val="000000"/>
                    </w:rPr>
                  </w:pPr>
                  <w:r>
                    <w:rPr>
                      <w:rFonts w:hint="eastAsia"/>
                      <w:color w:val="000000"/>
                    </w:rPr>
                    <w:t>50.9</w:t>
                  </w:r>
                  <w:r>
                    <w:rPr>
                      <w:color w:val="000000"/>
                    </w:rPr>
                    <w:t>kg/a（</w:t>
                  </w:r>
                  <w:r>
                    <w:rPr>
                      <w:rFonts w:hint="eastAsia"/>
                      <w:color w:val="000000"/>
                    </w:rPr>
                    <w:t>0.032k</w:t>
                  </w:r>
                  <w:r>
                    <w:rPr>
                      <w:color w:val="000000"/>
                    </w:rPr>
                    <w:t>g/h）</w:t>
                  </w:r>
                </w:p>
              </w:tc>
              <w:tc>
                <w:tcPr>
                  <w:tcW w:w="1021" w:type="pct"/>
                  <w:shd w:val="clear" w:color="auto" w:fill="auto"/>
                  <w:vAlign w:val="center"/>
                </w:tcPr>
                <w:p>
                  <w:pPr>
                    <w:jc w:val="center"/>
                    <w:outlineLvl w:val="0"/>
                    <w:rPr>
                      <w:color w:val="000000"/>
                    </w:rPr>
                  </w:pPr>
                  <w:r>
                    <w:rPr>
                      <w:rFonts w:hint="eastAsia"/>
                      <w:color w:val="000000"/>
                    </w:rPr>
                    <w:t>0.85</w:t>
                  </w:r>
                  <w:r>
                    <w:rPr>
                      <w:color w:val="000000"/>
                    </w:rPr>
                    <w:t>kg/a</w:t>
                  </w:r>
                </w:p>
                <w:p>
                  <w:pPr>
                    <w:jc w:val="center"/>
                    <w:outlineLvl w:val="0"/>
                    <w:rPr>
                      <w:color w:val="000000"/>
                    </w:rPr>
                  </w:pPr>
                  <w:r>
                    <w:rPr>
                      <w:color w:val="000000"/>
                    </w:rPr>
                    <w:t>（</w:t>
                  </w:r>
                  <w:r>
                    <w:rPr>
                      <w:rFonts w:hint="eastAsia"/>
                      <w:color w:val="000000"/>
                    </w:rPr>
                    <w:t>0.00053k</w:t>
                  </w:r>
                  <w:r>
                    <w:rPr>
                      <w:color w:val="000000"/>
                    </w:rPr>
                    <w:t>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176" w:type="pct"/>
                  <w:shd w:val="clear" w:color="auto" w:fill="auto"/>
                  <w:vAlign w:val="center"/>
                </w:tcPr>
                <w:p>
                  <w:pPr>
                    <w:jc w:val="center"/>
                    <w:outlineLvl w:val="0"/>
                    <w:rPr>
                      <w:color w:val="000000"/>
                    </w:rPr>
                  </w:pPr>
                  <w:r>
                    <w:rPr>
                      <w:rFonts w:hint="eastAsia"/>
                      <w:color w:val="000000"/>
                    </w:rPr>
                    <w:t>各污染物产生浓度</w:t>
                  </w:r>
                </w:p>
              </w:tc>
              <w:tc>
                <w:tcPr>
                  <w:tcW w:w="892" w:type="pct"/>
                  <w:shd w:val="clear" w:color="auto" w:fill="auto"/>
                  <w:vAlign w:val="center"/>
                </w:tcPr>
                <w:p>
                  <w:pPr>
                    <w:jc w:val="center"/>
                    <w:outlineLvl w:val="0"/>
                    <w:rPr>
                      <w:color w:val="000000"/>
                    </w:rPr>
                  </w:pPr>
                  <w:r>
                    <w:rPr>
                      <w:color w:val="000000"/>
                    </w:rPr>
                    <w:t>-</w:t>
                  </w:r>
                  <w:r>
                    <w:rPr>
                      <w:rFonts w:hint="eastAsia"/>
                      <w:color w:val="000000"/>
                    </w:rPr>
                    <w:t>---</w:t>
                  </w:r>
                </w:p>
              </w:tc>
              <w:tc>
                <w:tcPr>
                  <w:tcW w:w="1043" w:type="pct"/>
                  <w:shd w:val="clear" w:color="auto" w:fill="auto"/>
                  <w:vAlign w:val="center"/>
                </w:tcPr>
                <w:p>
                  <w:pPr>
                    <w:jc w:val="center"/>
                    <w:outlineLvl w:val="0"/>
                    <w:rPr>
                      <w:color w:val="000000"/>
                    </w:rPr>
                  </w:pPr>
                  <w:r>
                    <w:rPr>
                      <w:rFonts w:hint="eastAsia"/>
                      <w:color w:val="000000"/>
                    </w:rPr>
                    <w:t>1.4</w:t>
                  </w:r>
                  <w:r>
                    <w:rPr>
                      <w:color w:val="000000"/>
                    </w:rPr>
                    <w:t>mg/m</w:t>
                  </w:r>
                  <w:r>
                    <w:rPr>
                      <w:color w:val="000000"/>
                      <w:vertAlign w:val="superscript"/>
                    </w:rPr>
                    <w:t>3</w:t>
                  </w:r>
                </w:p>
              </w:tc>
              <w:tc>
                <w:tcPr>
                  <w:tcW w:w="869" w:type="pct"/>
                  <w:shd w:val="clear" w:color="auto" w:fill="auto"/>
                  <w:vAlign w:val="center"/>
                </w:tcPr>
                <w:p>
                  <w:pPr>
                    <w:jc w:val="center"/>
                    <w:outlineLvl w:val="0"/>
                    <w:rPr>
                      <w:color w:val="000000"/>
                    </w:rPr>
                  </w:pPr>
                  <w:r>
                    <w:rPr>
                      <w:rFonts w:hint="eastAsia"/>
                      <w:color w:val="000000"/>
                    </w:rPr>
                    <w:t>209.2</w:t>
                  </w:r>
                  <w:r>
                    <w:rPr>
                      <w:color w:val="000000"/>
                    </w:rPr>
                    <w:t>mg/m</w:t>
                  </w:r>
                  <w:r>
                    <w:rPr>
                      <w:color w:val="000000"/>
                      <w:vertAlign w:val="superscript"/>
                    </w:rPr>
                    <w:t>3</w:t>
                  </w:r>
                </w:p>
              </w:tc>
              <w:tc>
                <w:tcPr>
                  <w:tcW w:w="1021" w:type="pct"/>
                  <w:shd w:val="clear" w:color="auto" w:fill="auto"/>
                  <w:vAlign w:val="center"/>
                </w:tcPr>
                <w:p>
                  <w:pPr>
                    <w:jc w:val="center"/>
                    <w:outlineLvl w:val="0"/>
                    <w:rPr>
                      <w:color w:val="000000"/>
                    </w:rPr>
                  </w:pPr>
                  <w:r>
                    <w:rPr>
                      <w:rFonts w:hint="eastAsia"/>
                      <w:color w:val="000000"/>
                    </w:rPr>
                    <w:t>3.5</w:t>
                  </w:r>
                  <w:r>
                    <w:rPr>
                      <w:color w:val="000000"/>
                    </w:rPr>
                    <w:t>mg/m</w:t>
                  </w:r>
                  <w:r>
                    <w:rPr>
                      <w:color w:val="00000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5"/>
                  <w:shd w:val="clear" w:color="auto" w:fill="auto"/>
                  <w:vAlign w:val="center"/>
                </w:tcPr>
                <w:p>
                  <w:pPr>
                    <w:jc w:val="left"/>
                    <w:outlineLvl w:val="0"/>
                    <w:rPr>
                      <w:color w:val="000000"/>
                    </w:rPr>
                  </w:pPr>
                  <w:r>
                    <w:rPr>
                      <w:rFonts w:hint="eastAsia"/>
                      <w:color w:val="000000"/>
                      <w:szCs w:val="21"/>
                    </w:rPr>
                    <w:t>备注：①按照华润燃气公司统计，西气东输工程中天然气H</w:t>
                  </w:r>
                  <w:r>
                    <w:rPr>
                      <w:rFonts w:hint="eastAsia"/>
                      <w:color w:val="000000"/>
                      <w:szCs w:val="21"/>
                      <w:vertAlign w:val="subscript"/>
                    </w:rPr>
                    <w:t>2</w:t>
                  </w:r>
                  <w:r>
                    <w:rPr>
                      <w:rFonts w:hint="eastAsia"/>
                      <w:color w:val="000000"/>
                      <w:szCs w:val="21"/>
                    </w:rPr>
                    <w:t>S平均含量20mg/m</w:t>
                  </w:r>
                  <w:r>
                    <w:rPr>
                      <w:rFonts w:hint="eastAsia"/>
                      <w:color w:val="000000"/>
                      <w:szCs w:val="21"/>
                      <w:vertAlign w:val="superscript"/>
                    </w:rPr>
                    <w:t>3</w:t>
                  </w:r>
                  <w:r>
                    <w:rPr>
                      <w:rFonts w:hint="eastAsia"/>
                      <w:color w:val="000000"/>
                      <w:szCs w:val="21"/>
                    </w:rPr>
                    <w:t>，</w:t>
                  </w:r>
                  <w:r>
                    <w:rPr>
                      <w:color w:val="000000"/>
                      <w:szCs w:val="21"/>
                    </w:rPr>
                    <w:t>即工业污染源产排污系数手册中的S=20。</w:t>
                  </w:r>
                </w:p>
              </w:tc>
            </w:tr>
          </w:tbl>
          <w:p>
            <w:pPr>
              <w:adjustRightInd w:val="0"/>
              <w:snapToGrid w:val="0"/>
              <w:spacing w:line="360" w:lineRule="auto"/>
              <w:ind w:firstLine="480" w:firstLineChars="200"/>
              <w:rPr>
                <w:rFonts w:hAnsi="宋体"/>
                <w:color w:val="000000"/>
                <w:kern w:val="0"/>
                <w:sz w:val="24"/>
              </w:rPr>
            </w:pPr>
            <w:r>
              <w:rPr>
                <w:rFonts w:hint="eastAsia"/>
                <w:color w:val="000000"/>
                <w:sz w:val="24"/>
              </w:rPr>
              <w:t>项目液化石油气燃烧废气各污染物产生浓度分别为颗粒物：</w:t>
            </w:r>
            <w:r>
              <w:rPr>
                <w:rFonts w:hint="eastAsia" w:hAnsi="宋体"/>
                <w:color w:val="000000"/>
                <w:kern w:val="0"/>
                <w:sz w:val="24"/>
              </w:rPr>
              <w:t>3.5mg/m</w:t>
            </w:r>
            <w:r>
              <w:rPr>
                <w:rFonts w:hint="eastAsia" w:hAnsi="宋体"/>
                <w:color w:val="000000"/>
                <w:kern w:val="0"/>
                <w:sz w:val="24"/>
                <w:vertAlign w:val="superscript"/>
              </w:rPr>
              <w:t>3</w:t>
            </w:r>
            <w:r>
              <w:rPr>
                <w:rFonts w:hint="eastAsia" w:hAnsi="宋体"/>
                <w:color w:val="000000"/>
                <w:kern w:val="0"/>
                <w:sz w:val="24"/>
              </w:rPr>
              <w:t>，SO</w:t>
            </w:r>
            <w:r>
              <w:rPr>
                <w:rFonts w:hint="eastAsia" w:hAnsi="宋体"/>
                <w:color w:val="000000"/>
                <w:kern w:val="0"/>
                <w:sz w:val="24"/>
                <w:vertAlign w:val="subscript"/>
              </w:rPr>
              <w:t>2</w:t>
            </w:r>
            <w:r>
              <w:rPr>
                <w:rFonts w:hint="eastAsia" w:hAnsi="宋体"/>
                <w:color w:val="000000"/>
                <w:kern w:val="0"/>
                <w:sz w:val="24"/>
              </w:rPr>
              <w:t>：1.4mg/m</w:t>
            </w:r>
            <w:r>
              <w:rPr>
                <w:rFonts w:hint="eastAsia" w:hAnsi="宋体"/>
                <w:color w:val="000000"/>
                <w:kern w:val="0"/>
                <w:sz w:val="24"/>
                <w:vertAlign w:val="superscript"/>
              </w:rPr>
              <w:t>3</w:t>
            </w:r>
            <w:r>
              <w:rPr>
                <w:rFonts w:hint="eastAsia" w:hAnsi="宋体"/>
                <w:color w:val="000000"/>
                <w:kern w:val="0"/>
                <w:sz w:val="24"/>
              </w:rPr>
              <w:t>，NO</w:t>
            </w:r>
            <w:r>
              <w:rPr>
                <w:rFonts w:hint="eastAsia" w:hAnsi="宋体"/>
                <w:color w:val="000000"/>
                <w:kern w:val="0"/>
                <w:sz w:val="24"/>
                <w:vertAlign w:val="subscript"/>
              </w:rPr>
              <w:t>X</w:t>
            </w:r>
            <w:r>
              <w:rPr>
                <w:rFonts w:hint="eastAsia" w:hAnsi="宋体"/>
                <w:color w:val="000000"/>
                <w:kern w:val="0"/>
                <w:sz w:val="24"/>
              </w:rPr>
              <w:t>：209.2mg/m</w:t>
            </w:r>
            <w:r>
              <w:rPr>
                <w:rFonts w:hint="eastAsia" w:hAnsi="宋体"/>
                <w:color w:val="000000"/>
                <w:kern w:val="0"/>
                <w:sz w:val="24"/>
                <w:vertAlign w:val="superscript"/>
              </w:rPr>
              <w:t>3</w:t>
            </w:r>
            <w:r>
              <w:rPr>
                <w:rFonts w:hint="eastAsia" w:hAnsi="宋体"/>
                <w:color w:val="000000"/>
                <w:kern w:val="0"/>
                <w:sz w:val="24"/>
              </w:rPr>
              <w:t>；环评建议，</w:t>
            </w:r>
            <w:r>
              <w:rPr>
                <w:rFonts w:hint="eastAsia"/>
                <w:color w:val="000000"/>
                <w:sz w:val="24"/>
              </w:rPr>
              <w:t>模温机（导热油炉）</w:t>
            </w:r>
            <w:r>
              <w:rPr>
                <w:rFonts w:hint="eastAsia" w:hAnsi="宋体"/>
                <w:color w:val="000000"/>
                <w:kern w:val="0"/>
                <w:sz w:val="24"/>
              </w:rPr>
              <w:t>液化石油气燃烧机加装低氮燃烧器，燃烧废气经1根8m高排气筒排放。</w:t>
            </w:r>
          </w:p>
          <w:p>
            <w:pPr>
              <w:adjustRightInd w:val="0"/>
              <w:snapToGrid w:val="0"/>
              <w:spacing w:line="360" w:lineRule="auto"/>
              <w:ind w:firstLine="480" w:firstLineChars="200"/>
              <w:rPr>
                <w:rFonts w:hAnsi="宋体"/>
                <w:color w:val="000000"/>
                <w:kern w:val="0"/>
                <w:sz w:val="24"/>
              </w:rPr>
            </w:pPr>
            <w:r>
              <w:rPr>
                <w:rFonts w:hint="eastAsia" w:hAnsi="宋体"/>
                <w:color w:val="000000"/>
                <w:kern w:val="0"/>
                <w:sz w:val="24"/>
              </w:rPr>
              <w:t>低氮燃烧器对NOx的去除效率按80%计算，则经处理后的</w:t>
            </w:r>
            <w:r>
              <w:rPr>
                <w:rFonts w:hint="eastAsia"/>
                <w:color w:val="000000"/>
                <w:sz w:val="24"/>
              </w:rPr>
              <w:t>模温机（导热油炉）</w:t>
            </w:r>
            <w:r>
              <w:rPr>
                <w:rFonts w:hint="eastAsia" w:hAnsi="宋体"/>
                <w:color w:val="000000"/>
                <w:kern w:val="0"/>
                <w:sz w:val="24"/>
              </w:rPr>
              <w:t>液化石油气燃烧废气各污染物排放浓度分别为：</w:t>
            </w:r>
            <w:r>
              <w:rPr>
                <w:rFonts w:hint="eastAsia"/>
                <w:color w:val="000000"/>
                <w:sz w:val="24"/>
              </w:rPr>
              <w:t>颗粒物：</w:t>
            </w:r>
            <w:r>
              <w:rPr>
                <w:rFonts w:hint="eastAsia" w:hAnsi="宋体"/>
                <w:color w:val="000000"/>
                <w:kern w:val="0"/>
                <w:sz w:val="24"/>
              </w:rPr>
              <w:t>3.5mg/m</w:t>
            </w:r>
            <w:r>
              <w:rPr>
                <w:rFonts w:hint="eastAsia" w:hAnsi="宋体"/>
                <w:color w:val="000000"/>
                <w:kern w:val="0"/>
                <w:sz w:val="24"/>
                <w:vertAlign w:val="superscript"/>
              </w:rPr>
              <w:t>3</w:t>
            </w:r>
            <w:r>
              <w:rPr>
                <w:rFonts w:hint="eastAsia" w:hAnsi="宋体"/>
                <w:color w:val="000000"/>
                <w:kern w:val="0"/>
                <w:sz w:val="24"/>
              </w:rPr>
              <w:t>，SO</w:t>
            </w:r>
            <w:r>
              <w:rPr>
                <w:rFonts w:hint="eastAsia" w:hAnsi="宋体"/>
                <w:color w:val="000000"/>
                <w:kern w:val="0"/>
                <w:sz w:val="24"/>
                <w:vertAlign w:val="subscript"/>
              </w:rPr>
              <w:t>2</w:t>
            </w:r>
            <w:r>
              <w:rPr>
                <w:rFonts w:hint="eastAsia" w:hAnsi="宋体"/>
                <w:color w:val="000000"/>
                <w:kern w:val="0"/>
                <w:sz w:val="24"/>
              </w:rPr>
              <w:t>：1.4mg/m</w:t>
            </w:r>
            <w:r>
              <w:rPr>
                <w:rFonts w:hint="eastAsia" w:hAnsi="宋体"/>
                <w:color w:val="000000"/>
                <w:kern w:val="0"/>
                <w:sz w:val="24"/>
                <w:vertAlign w:val="superscript"/>
              </w:rPr>
              <w:t>3</w:t>
            </w:r>
            <w:r>
              <w:rPr>
                <w:rFonts w:hint="eastAsia" w:hAnsi="宋体"/>
                <w:color w:val="000000"/>
                <w:kern w:val="0"/>
                <w:sz w:val="24"/>
              </w:rPr>
              <w:t>，NO</w:t>
            </w:r>
            <w:r>
              <w:rPr>
                <w:rFonts w:hint="eastAsia" w:hAnsi="宋体"/>
                <w:color w:val="000000"/>
                <w:kern w:val="0"/>
                <w:sz w:val="24"/>
                <w:vertAlign w:val="subscript"/>
              </w:rPr>
              <w:t>X</w:t>
            </w:r>
            <w:r>
              <w:rPr>
                <w:rFonts w:hint="eastAsia" w:hAnsi="宋体"/>
                <w:color w:val="000000"/>
                <w:kern w:val="0"/>
                <w:sz w:val="24"/>
              </w:rPr>
              <w:t>：41.8mg/m</w:t>
            </w:r>
            <w:r>
              <w:rPr>
                <w:rFonts w:hint="eastAsia" w:hAnsi="宋体"/>
                <w:color w:val="000000"/>
                <w:kern w:val="0"/>
                <w:sz w:val="24"/>
                <w:vertAlign w:val="superscript"/>
              </w:rPr>
              <w:t>3</w:t>
            </w:r>
            <w:r>
              <w:rPr>
                <w:rFonts w:hint="eastAsia" w:hAnsi="宋体"/>
                <w:color w:val="000000"/>
                <w:kern w:val="0"/>
                <w:sz w:val="24"/>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（2）热压过程有机废气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使用的三聚氰胺纸进行覆面，三聚氰胺为纯白色单斜棱晶体，无味、常压分解温度为354℃；快速加热升华，升华温度为300℃，本项目热压温度为180-200℃，热压15s，时间较短，因此本项目热压废气中不含三聚氰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使用的三聚氰胺纸是由低游离甲醛三聚氰胺树脂浸渍而成，经查阅相关资料知，三聚氰胺树脂中甲醛含量为0.4%，其它有机物含量为2.5%，本项目三聚氰胺纸使用量为7t/a，即热压工序有机废气中甲醛、非甲烷总烃的产生量分别为0.028t/a，0.175t/a。</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项目热压机1台，评价要求在热压机上方安装集气罩1套，有机废气经集气罩收集后通过管道引至1套UV光氧催化净化设备+低温等离子处理装置处理后经1根15m高排气筒引至高空排放。集气罩集气效率按90%计，废气治理设施风机风量为5000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/h，热压工序年运行时间为1600h，则甲醛收集量为0.025t/a，产生浓度为3.2mg/m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；非甲烷总烃收集量为0.158t/a，产生浓度为19.8mg/m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。废气治理设施对有机废气的处理效率按80%计，则经处理后甲醛排放量为0.005t/a，排放速率为0.003kg/h，排放浓度为0.6mg/m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；甲醛排放量为0.005t/a，排放速率为0.003kg/h，排放浓度为0.6mg/m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；非甲烷总烃排放量为0.032t/a，排放速率为0.02kg/h，排放浓度为4mg/m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热压工序未被收集的甲醛量为0.003t/a，0.002kg/h；非甲烷总烃量为0.017t/a，0.011kg/h，以无组织形式排放。</w:t>
            </w:r>
          </w:p>
          <w:p>
            <w:pPr>
              <w:widowControl/>
              <w:adjustRightInd w:val="0"/>
              <w:snapToGrid w:val="0"/>
              <w:spacing w:line="360" w:lineRule="auto"/>
              <w:ind w:firstLine="482"/>
              <w:rPr>
                <w:rFonts w:hAnsi="宋体"/>
                <w:sz w:val="24"/>
              </w:rPr>
            </w:pPr>
            <w:r>
              <w:rPr>
                <w:rFonts w:hAnsi="宋体"/>
                <w:sz w:val="24"/>
              </w:rPr>
              <w:t>本项目营运期废气产排情况及治理措施见下表</w:t>
            </w:r>
            <w:r>
              <w:rPr>
                <w:rFonts w:hint="eastAsia" w:hAnsi="宋体"/>
                <w:sz w:val="24"/>
              </w:rPr>
              <w:t>。</w:t>
            </w:r>
          </w:p>
          <w:p>
            <w:pPr>
              <w:widowControl/>
              <w:adjustRightInd w:val="0"/>
              <w:snapToGrid w:val="0"/>
              <w:spacing w:line="360" w:lineRule="auto"/>
              <w:ind w:firstLine="437"/>
              <w:jc w:val="center"/>
              <w:rPr>
                <w:b/>
                <w:bCs/>
                <w:color w:val="000000"/>
                <w:kern w:val="0"/>
                <w:sz w:val="24"/>
              </w:rPr>
            </w:pPr>
            <w:r>
              <w:rPr>
                <w:rFonts w:hint="eastAsia"/>
                <w:b/>
                <w:bCs/>
                <w:color w:val="000000"/>
                <w:kern w:val="0"/>
                <w:sz w:val="24"/>
              </w:rPr>
              <w:t>表4-4      本项目营运期废气产排情况及治理措施一览表</w:t>
            </w:r>
          </w:p>
          <w:tbl>
            <w:tblPr>
              <w:tblStyle w:val="30"/>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16"/>
              <w:gridCol w:w="850"/>
              <w:gridCol w:w="709"/>
              <w:gridCol w:w="850"/>
              <w:gridCol w:w="1683"/>
              <w:gridCol w:w="708"/>
              <w:gridCol w:w="85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8" w:type="dxa"/>
                  <w:gridSpan w:val="2"/>
                  <w:vMerge w:val="restart"/>
                  <w:vAlign w:val="center"/>
                </w:tcPr>
                <w:p>
                  <w:pPr>
                    <w:spacing w:line="360" w:lineRule="exact"/>
                    <w:jc w:val="center"/>
                    <w:outlineLvl w:val="0"/>
                    <w:rPr>
                      <w:color w:val="000000"/>
                      <w:szCs w:val="21"/>
                    </w:rPr>
                  </w:pPr>
                  <w:r>
                    <w:rPr>
                      <w:rFonts w:hint="eastAsia"/>
                      <w:color w:val="000000"/>
                      <w:szCs w:val="21"/>
                    </w:rPr>
                    <w:t>废气类型及排放源</w:t>
                  </w:r>
                </w:p>
              </w:tc>
              <w:tc>
                <w:tcPr>
                  <w:tcW w:w="850" w:type="dxa"/>
                  <w:vMerge w:val="restart"/>
                  <w:tcBorders>
                    <w:right w:val="single" w:color="auto" w:sz="6" w:space="0"/>
                  </w:tcBorders>
                  <w:vAlign w:val="center"/>
                </w:tcPr>
                <w:p>
                  <w:pPr>
                    <w:spacing w:line="360" w:lineRule="exact"/>
                    <w:jc w:val="center"/>
                    <w:outlineLvl w:val="0"/>
                    <w:rPr>
                      <w:color w:val="000000"/>
                      <w:szCs w:val="21"/>
                    </w:rPr>
                  </w:pPr>
                  <w:r>
                    <w:rPr>
                      <w:rFonts w:hint="eastAsia"/>
                      <w:color w:val="000000"/>
                      <w:szCs w:val="21"/>
                    </w:rPr>
                    <w:t>污染物</w:t>
                  </w:r>
                </w:p>
              </w:tc>
              <w:tc>
                <w:tcPr>
                  <w:tcW w:w="1559" w:type="dxa"/>
                  <w:gridSpan w:val="2"/>
                  <w:tcBorders>
                    <w:left w:val="single" w:color="auto" w:sz="6" w:space="0"/>
                  </w:tcBorders>
                </w:tcPr>
                <w:p>
                  <w:pPr>
                    <w:spacing w:line="360" w:lineRule="exact"/>
                    <w:jc w:val="center"/>
                    <w:outlineLvl w:val="0"/>
                    <w:rPr>
                      <w:color w:val="000000"/>
                      <w:szCs w:val="21"/>
                    </w:rPr>
                  </w:pPr>
                  <w:r>
                    <w:rPr>
                      <w:rFonts w:hint="eastAsia"/>
                      <w:color w:val="000000"/>
                      <w:szCs w:val="21"/>
                    </w:rPr>
                    <w:t>产生情况</w:t>
                  </w:r>
                </w:p>
              </w:tc>
              <w:tc>
                <w:tcPr>
                  <w:tcW w:w="1683" w:type="dxa"/>
                  <w:vMerge w:val="restart"/>
                  <w:vAlign w:val="center"/>
                </w:tcPr>
                <w:p>
                  <w:pPr>
                    <w:spacing w:line="360" w:lineRule="exact"/>
                    <w:jc w:val="center"/>
                    <w:outlineLvl w:val="0"/>
                    <w:rPr>
                      <w:color w:val="000000"/>
                      <w:szCs w:val="21"/>
                    </w:rPr>
                  </w:pPr>
                  <w:r>
                    <w:rPr>
                      <w:rFonts w:hint="eastAsia"/>
                      <w:color w:val="000000"/>
                      <w:szCs w:val="21"/>
                    </w:rPr>
                    <w:t>处理措施</w:t>
                  </w:r>
                </w:p>
              </w:tc>
              <w:tc>
                <w:tcPr>
                  <w:tcW w:w="2366" w:type="dxa"/>
                  <w:gridSpan w:val="3"/>
                </w:tcPr>
                <w:p>
                  <w:pPr>
                    <w:spacing w:line="360" w:lineRule="exact"/>
                    <w:jc w:val="center"/>
                    <w:outlineLvl w:val="0"/>
                    <w:rPr>
                      <w:color w:val="000000"/>
                      <w:szCs w:val="21"/>
                    </w:rPr>
                  </w:pPr>
                  <w:r>
                    <w:rPr>
                      <w:rFonts w:hint="eastAsia"/>
                      <w:color w:val="000000"/>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8" w:type="dxa"/>
                  <w:gridSpan w:val="2"/>
                  <w:vMerge w:val="continue"/>
                  <w:vAlign w:val="center"/>
                </w:tcPr>
                <w:p>
                  <w:pPr>
                    <w:spacing w:line="360" w:lineRule="exact"/>
                    <w:jc w:val="center"/>
                    <w:outlineLvl w:val="0"/>
                    <w:rPr>
                      <w:color w:val="000000"/>
                      <w:szCs w:val="21"/>
                    </w:rPr>
                  </w:pPr>
                </w:p>
              </w:tc>
              <w:tc>
                <w:tcPr>
                  <w:tcW w:w="850" w:type="dxa"/>
                  <w:vMerge w:val="continue"/>
                  <w:tcBorders>
                    <w:right w:val="single" w:color="auto" w:sz="6" w:space="0"/>
                  </w:tcBorders>
                </w:tcPr>
                <w:p>
                  <w:pPr>
                    <w:spacing w:line="360" w:lineRule="exact"/>
                    <w:jc w:val="center"/>
                    <w:outlineLvl w:val="0"/>
                    <w:rPr>
                      <w:color w:val="000000"/>
                      <w:szCs w:val="21"/>
                    </w:rPr>
                  </w:pPr>
                </w:p>
              </w:tc>
              <w:tc>
                <w:tcPr>
                  <w:tcW w:w="709" w:type="dxa"/>
                  <w:tcBorders>
                    <w:left w:val="single" w:color="auto" w:sz="6" w:space="0"/>
                  </w:tcBorders>
                  <w:vAlign w:val="center"/>
                </w:tcPr>
                <w:p>
                  <w:pPr>
                    <w:spacing w:line="360" w:lineRule="exact"/>
                    <w:jc w:val="center"/>
                    <w:outlineLvl w:val="0"/>
                    <w:rPr>
                      <w:color w:val="000000"/>
                      <w:szCs w:val="21"/>
                    </w:rPr>
                  </w:pPr>
                  <w:r>
                    <w:rPr>
                      <w:rFonts w:hint="eastAsia"/>
                      <w:color w:val="000000"/>
                      <w:szCs w:val="21"/>
                    </w:rPr>
                    <w:t>产生量t/a</w:t>
                  </w:r>
                </w:p>
              </w:tc>
              <w:tc>
                <w:tcPr>
                  <w:tcW w:w="850" w:type="dxa"/>
                  <w:vAlign w:val="center"/>
                </w:tcPr>
                <w:p>
                  <w:pPr>
                    <w:spacing w:line="360" w:lineRule="exact"/>
                    <w:jc w:val="center"/>
                    <w:outlineLvl w:val="0"/>
                    <w:rPr>
                      <w:color w:val="000000"/>
                      <w:szCs w:val="21"/>
                    </w:rPr>
                  </w:pPr>
                  <w:r>
                    <w:rPr>
                      <w:rFonts w:hint="eastAsia"/>
                      <w:color w:val="000000"/>
                      <w:szCs w:val="21"/>
                    </w:rPr>
                    <w:t>浓度</w:t>
                  </w:r>
                </w:p>
                <w:p>
                  <w:pPr>
                    <w:spacing w:line="360" w:lineRule="exact"/>
                    <w:jc w:val="center"/>
                    <w:outlineLvl w:val="0"/>
                    <w:rPr>
                      <w:color w:val="000000"/>
                      <w:szCs w:val="21"/>
                    </w:rPr>
                  </w:pPr>
                  <w:r>
                    <w:rPr>
                      <w:rFonts w:hint="eastAsia"/>
                      <w:color w:val="000000"/>
                      <w:szCs w:val="21"/>
                    </w:rPr>
                    <w:t>mg/m</w:t>
                  </w:r>
                  <w:r>
                    <w:rPr>
                      <w:rFonts w:hint="eastAsia"/>
                      <w:color w:val="000000"/>
                      <w:szCs w:val="21"/>
                      <w:vertAlign w:val="superscript"/>
                    </w:rPr>
                    <w:t>3</w:t>
                  </w:r>
                </w:p>
              </w:tc>
              <w:tc>
                <w:tcPr>
                  <w:tcW w:w="1683" w:type="dxa"/>
                  <w:vMerge w:val="continue"/>
                  <w:vAlign w:val="center"/>
                </w:tcPr>
                <w:p>
                  <w:pPr>
                    <w:spacing w:line="360" w:lineRule="exact"/>
                    <w:jc w:val="center"/>
                    <w:outlineLvl w:val="0"/>
                    <w:rPr>
                      <w:color w:val="000000"/>
                      <w:szCs w:val="21"/>
                    </w:rPr>
                  </w:pPr>
                </w:p>
              </w:tc>
              <w:tc>
                <w:tcPr>
                  <w:tcW w:w="708" w:type="dxa"/>
                  <w:vAlign w:val="center"/>
                </w:tcPr>
                <w:p>
                  <w:pPr>
                    <w:spacing w:line="360" w:lineRule="exact"/>
                    <w:jc w:val="center"/>
                    <w:outlineLvl w:val="0"/>
                    <w:rPr>
                      <w:color w:val="000000"/>
                      <w:szCs w:val="21"/>
                    </w:rPr>
                  </w:pPr>
                  <w:r>
                    <w:rPr>
                      <w:rFonts w:hint="eastAsia"/>
                      <w:color w:val="000000"/>
                      <w:szCs w:val="21"/>
                    </w:rPr>
                    <w:t>排放量t/a</w:t>
                  </w:r>
                </w:p>
              </w:tc>
              <w:tc>
                <w:tcPr>
                  <w:tcW w:w="851" w:type="dxa"/>
                  <w:vAlign w:val="center"/>
                </w:tcPr>
                <w:p>
                  <w:pPr>
                    <w:spacing w:line="360" w:lineRule="exact"/>
                    <w:jc w:val="center"/>
                    <w:outlineLvl w:val="0"/>
                    <w:rPr>
                      <w:color w:val="000000"/>
                      <w:szCs w:val="21"/>
                    </w:rPr>
                  </w:pPr>
                  <w:r>
                    <w:rPr>
                      <w:rFonts w:hint="eastAsia"/>
                      <w:color w:val="000000"/>
                      <w:szCs w:val="21"/>
                    </w:rPr>
                    <w:t>排放速率kg/h</w:t>
                  </w:r>
                </w:p>
              </w:tc>
              <w:tc>
                <w:tcPr>
                  <w:tcW w:w="807" w:type="dxa"/>
                  <w:vAlign w:val="center"/>
                </w:tcPr>
                <w:p>
                  <w:pPr>
                    <w:spacing w:line="360" w:lineRule="exact"/>
                    <w:jc w:val="center"/>
                    <w:outlineLvl w:val="0"/>
                    <w:rPr>
                      <w:color w:val="000000"/>
                      <w:szCs w:val="21"/>
                    </w:rPr>
                  </w:pPr>
                  <w:r>
                    <w:rPr>
                      <w:rFonts w:hint="eastAsia"/>
                      <w:color w:val="000000"/>
                      <w:szCs w:val="21"/>
                    </w:rPr>
                    <w:t>浓度</w:t>
                  </w:r>
                </w:p>
                <w:p>
                  <w:pPr>
                    <w:spacing w:line="360" w:lineRule="exact"/>
                    <w:jc w:val="center"/>
                    <w:outlineLvl w:val="0"/>
                    <w:rPr>
                      <w:color w:val="000000"/>
                      <w:szCs w:val="21"/>
                    </w:rPr>
                  </w:pPr>
                  <w:r>
                    <w:rPr>
                      <w:rFonts w:hint="eastAsia"/>
                      <w:color w:val="000000"/>
                      <w:szCs w:val="21"/>
                    </w:rPr>
                    <w:t>mg/m</w:t>
                  </w:r>
                  <w:r>
                    <w:rPr>
                      <w:rFonts w:hint="eastAsia"/>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32" w:type="dxa"/>
                  <w:vMerge w:val="restart"/>
                  <w:vAlign w:val="center"/>
                </w:tcPr>
                <w:p>
                  <w:pPr>
                    <w:spacing w:line="360" w:lineRule="exact"/>
                    <w:jc w:val="center"/>
                    <w:outlineLvl w:val="0"/>
                    <w:rPr>
                      <w:color w:val="000000"/>
                      <w:szCs w:val="21"/>
                    </w:rPr>
                  </w:pPr>
                  <w:r>
                    <w:rPr>
                      <w:rFonts w:hint="eastAsia"/>
                      <w:color w:val="000000"/>
                      <w:szCs w:val="21"/>
                    </w:rPr>
                    <w:t>有组织</w:t>
                  </w:r>
                </w:p>
              </w:tc>
              <w:tc>
                <w:tcPr>
                  <w:tcW w:w="1116" w:type="dxa"/>
                  <w:vMerge w:val="restart"/>
                  <w:vAlign w:val="center"/>
                </w:tcPr>
                <w:p>
                  <w:pPr>
                    <w:spacing w:line="360" w:lineRule="exact"/>
                    <w:jc w:val="center"/>
                    <w:outlineLvl w:val="0"/>
                    <w:rPr>
                      <w:color w:val="000000"/>
                      <w:szCs w:val="21"/>
                    </w:rPr>
                  </w:pPr>
                  <w:r>
                    <w:rPr>
                      <w:rFonts w:hint="eastAsia"/>
                      <w:color w:val="000000"/>
                      <w:szCs w:val="21"/>
                    </w:rPr>
                    <w:t>热压工序5000m</w:t>
                  </w:r>
                  <w:r>
                    <w:rPr>
                      <w:rFonts w:hint="eastAsia"/>
                      <w:color w:val="000000"/>
                      <w:szCs w:val="21"/>
                      <w:vertAlign w:val="superscript"/>
                    </w:rPr>
                    <w:t>3</w:t>
                  </w:r>
                  <w:r>
                    <w:rPr>
                      <w:rFonts w:hint="eastAsia"/>
                      <w:color w:val="000000"/>
                      <w:szCs w:val="21"/>
                    </w:rPr>
                    <w:t>/h</w:t>
                  </w:r>
                </w:p>
              </w:tc>
              <w:tc>
                <w:tcPr>
                  <w:tcW w:w="850" w:type="dxa"/>
                  <w:vAlign w:val="center"/>
                </w:tcPr>
                <w:p>
                  <w:pPr>
                    <w:spacing w:line="360" w:lineRule="exact"/>
                    <w:jc w:val="center"/>
                    <w:outlineLvl w:val="0"/>
                    <w:rPr>
                      <w:color w:val="000000"/>
                      <w:szCs w:val="21"/>
                    </w:rPr>
                  </w:pPr>
                  <w:r>
                    <w:rPr>
                      <w:rFonts w:hint="eastAsia"/>
                      <w:color w:val="000000"/>
                      <w:szCs w:val="21"/>
                    </w:rPr>
                    <w:t>甲醛</w:t>
                  </w:r>
                </w:p>
              </w:tc>
              <w:tc>
                <w:tcPr>
                  <w:tcW w:w="709" w:type="dxa"/>
                  <w:vAlign w:val="center"/>
                </w:tcPr>
                <w:p>
                  <w:pPr>
                    <w:spacing w:line="360" w:lineRule="exact"/>
                    <w:jc w:val="center"/>
                    <w:outlineLvl w:val="0"/>
                    <w:rPr>
                      <w:color w:val="000000"/>
                      <w:szCs w:val="21"/>
                    </w:rPr>
                  </w:pPr>
                  <w:r>
                    <w:rPr>
                      <w:rFonts w:hint="eastAsia"/>
                      <w:color w:val="000000"/>
                      <w:szCs w:val="21"/>
                    </w:rPr>
                    <w:t>0.025</w:t>
                  </w:r>
                </w:p>
              </w:tc>
              <w:tc>
                <w:tcPr>
                  <w:tcW w:w="850" w:type="dxa"/>
                  <w:vAlign w:val="center"/>
                </w:tcPr>
                <w:p>
                  <w:pPr>
                    <w:spacing w:line="360" w:lineRule="exact"/>
                    <w:jc w:val="center"/>
                    <w:outlineLvl w:val="0"/>
                    <w:rPr>
                      <w:color w:val="000000"/>
                      <w:szCs w:val="21"/>
                    </w:rPr>
                  </w:pPr>
                  <w:r>
                    <w:rPr>
                      <w:rFonts w:hint="eastAsia"/>
                      <w:color w:val="000000"/>
                      <w:szCs w:val="21"/>
                    </w:rPr>
                    <w:t>3.2</w:t>
                  </w:r>
                </w:p>
              </w:tc>
              <w:tc>
                <w:tcPr>
                  <w:tcW w:w="1683" w:type="dxa"/>
                  <w:vMerge w:val="restart"/>
                  <w:vAlign w:val="center"/>
                </w:tcPr>
                <w:p>
                  <w:pPr>
                    <w:spacing w:line="360" w:lineRule="exact"/>
                    <w:jc w:val="center"/>
                    <w:outlineLvl w:val="0"/>
                    <w:rPr>
                      <w:color w:val="000000"/>
                      <w:szCs w:val="21"/>
                    </w:rPr>
                  </w:pPr>
                  <w:r>
                    <w:rPr>
                      <w:rFonts w:hint="eastAsia"/>
                      <w:color w:val="000000"/>
                      <w:szCs w:val="21"/>
                    </w:rPr>
                    <w:t>经集气罩收集后通过管道引至1套UV光氧催化+低温等离子处理装置处理后经1根15m高排气筒引至高空排放</w:t>
                  </w:r>
                </w:p>
              </w:tc>
              <w:tc>
                <w:tcPr>
                  <w:tcW w:w="708" w:type="dxa"/>
                  <w:vAlign w:val="center"/>
                </w:tcPr>
                <w:p>
                  <w:pPr>
                    <w:spacing w:line="360" w:lineRule="exact"/>
                    <w:jc w:val="center"/>
                    <w:outlineLvl w:val="0"/>
                    <w:rPr>
                      <w:color w:val="000000"/>
                      <w:szCs w:val="21"/>
                    </w:rPr>
                  </w:pPr>
                  <w:r>
                    <w:rPr>
                      <w:rFonts w:hint="eastAsia"/>
                      <w:color w:val="000000"/>
                      <w:szCs w:val="21"/>
                    </w:rPr>
                    <w:t>0.005</w:t>
                  </w:r>
                </w:p>
              </w:tc>
              <w:tc>
                <w:tcPr>
                  <w:tcW w:w="851" w:type="dxa"/>
                  <w:vAlign w:val="center"/>
                </w:tcPr>
                <w:p>
                  <w:pPr>
                    <w:spacing w:line="360" w:lineRule="exact"/>
                    <w:jc w:val="center"/>
                    <w:outlineLvl w:val="0"/>
                    <w:rPr>
                      <w:color w:val="000000"/>
                      <w:szCs w:val="21"/>
                    </w:rPr>
                  </w:pPr>
                  <w:r>
                    <w:rPr>
                      <w:rFonts w:hint="eastAsia"/>
                      <w:color w:val="000000"/>
                      <w:szCs w:val="21"/>
                    </w:rPr>
                    <w:t>0.003</w:t>
                  </w:r>
                </w:p>
              </w:tc>
              <w:tc>
                <w:tcPr>
                  <w:tcW w:w="807" w:type="dxa"/>
                  <w:vAlign w:val="center"/>
                </w:tcPr>
                <w:p>
                  <w:pPr>
                    <w:spacing w:line="360" w:lineRule="exact"/>
                    <w:jc w:val="center"/>
                    <w:outlineLvl w:val="0"/>
                    <w:rPr>
                      <w:color w:val="000000"/>
                      <w:szCs w:val="21"/>
                    </w:rPr>
                  </w:pPr>
                  <w:r>
                    <w:rPr>
                      <w:rFonts w:hint="eastAsia"/>
                      <w:color w:val="00000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532" w:type="dxa"/>
                  <w:vMerge w:val="continue"/>
                  <w:vAlign w:val="center"/>
                </w:tcPr>
                <w:p>
                  <w:pPr>
                    <w:spacing w:line="360" w:lineRule="exact"/>
                    <w:jc w:val="center"/>
                    <w:outlineLvl w:val="0"/>
                    <w:rPr>
                      <w:color w:val="000000"/>
                      <w:szCs w:val="21"/>
                    </w:rPr>
                  </w:pPr>
                </w:p>
              </w:tc>
              <w:tc>
                <w:tcPr>
                  <w:tcW w:w="1116" w:type="dxa"/>
                  <w:vMerge w:val="continue"/>
                  <w:vAlign w:val="center"/>
                </w:tcPr>
                <w:p>
                  <w:pPr>
                    <w:spacing w:line="360" w:lineRule="exact"/>
                    <w:jc w:val="center"/>
                    <w:outlineLvl w:val="0"/>
                    <w:rPr>
                      <w:color w:val="000000"/>
                      <w:szCs w:val="21"/>
                    </w:rPr>
                  </w:pPr>
                </w:p>
              </w:tc>
              <w:tc>
                <w:tcPr>
                  <w:tcW w:w="850" w:type="dxa"/>
                  <w:vAlign w:val="center"/>
                </w:tcPr>
                <w:p>
                  <w:pPr>
                    <w:spacing w:line="360" w:lineRule="exact"/>
                    <w:jc w:val="center"/>
                    <w:outlineLvl w:val="0"/>
                    <w:rPr>
                      <w:color w:val="000000"/>
                      <w:szCs w:val="21"/>
                    </w:rPr>
                  </w:pPr>
                  <w:r>
                    <w:rPr>
                      <w:rFonts w:hint="eastAsia"/>
                      <w:color w:val="000000"/>
                      <w:szCs w:val="21"/>
                    </w:rPr>
                    <w:t>非甲烷总烃</w:t>
                  </w:r>
                </w:p>
              </w:tc>
              <w:tc>
                <w:tcPr>
                  <w:tcW w:w="709" w:type="dxa"/>
                  <w:vAlign w:val="center"/>
                </w:tcPr>
                <w:p>
                  <w:pPr>
                    <w:spacing w:line="360" w:lineRule="exact"/>
                    <w:jc w:val="center"/>
                    <w:outlineLvl w:val="0"/>
                    <w:rPr>
                      <w:color w:val="000000"/>
                      <w:szCs w:val="21"/>
                    </w:rPr>
                  </w:pPr>
                  <w:r>
                    <w:rPr>
                      <w:rFonts w:hint="eastAsia"/>
                      <w:color w:val="000000"/>
                      <w:szCs w:val="21"/>
                    </w:rPr>
                    <w:t>0.158</w:t>
                  </w:r>
                </w:p>
              </w:tc>
              <w:tc>
                <w:tcPr>
                  <w:tcW w:w="850" w:type="dxa"/>
                  <w:vAlign w:val="center"/>
                </w:tcPr>
                <w:p>
                  <w:pPr>
                    <w:spacing w:line="360" w:lineRule="exact"/>
                    <w:jc w:val="center"/>
                    <w:outlineLvl w:val="0"/>
                    <w:rPr>
                      <w:color w:val="000000"/>
                      <w:szCs w:val="21"/>
                    </w:rPr>
                  </w:pPr>
                  <w:r>
                    <w:rPr>
                      <w:rFonts w:hint="eastAsia"/>
                      <w:color w:val="000000"/>
                      <w:szCs w:val="21"/>
                    </w:rPr>
                    <w:t>19.8</w:t>
                  </w:r>
                </w:p>
              </w:tc>
              <w:tc>
                <w:tcPr>
                  <w:tcW w:w="1683" w:type="dxa"/>
                  <w:vMerge w:val="continue"/>
                  <w:vAlign w:val="center"/>
                </w:tcPr>
                <w:p>
                  <w:pPr>
                    <w:spacing w:line="360" w:lineRule="exact"/>
                    <w:jc w:val="center"/>
                    <w:outlineLvl w:val="0"/>
                    <w:rPr>
                      <w:color w:val="000000"/>
                      <w:szCs w:val="21"/>
                    </w:rPr>
                  </w:pPr>
                </w:p>
              </w:tc>
              <w:tc>
                <w:tcPr>
                  <w:tcW w:w="708" w:type="dxa"/>
                  <w:vAlign w:val="center"/>
                </w:tcPr>
                <w:p>
                  <w:pPr>
                    <w:spacing w:line="360" w:lineRule="exact"/>
                    <w:jc w:val="center"/>
                    <w:outlineLvl w:val="0"/>
                    <w:rPr>
                      <w:color w:val="000000"/>
                      <w:szCs w:val="21"/>
                    </w:rPr>
                  </w:pPr>
                  <w:r>
                    <w:rPr>
                      <w:rFonts w:hint="eastAsia"/>
                      <w:color w:val="000000"/>
                      <w:szCs w:val="21"/>
                    </w:rPr>
                    <w:t>0.032</w:t>
                  </w:r>
                </w:p>
              </w:tc>
              <w:tc>
                <w:tcPr>
                  <w:tcW w:w="851" w:type="dxa"/>
                  <w:vAlign w:val="center"/>
                </w:tcPr>
                <w:p>
                  <w:pPr>
                    <w:spacing w:line="360" w:lineRule="exact"/>
                    <w:jc w:val="center"/>
                    <w:outlineLvl w:val="0"/>
                    <w:rPr>
                      <w:color w:val="000000"/>
                      <w:szCs w:val="21"/>
                    </w:rPr>
                  </w:pPr>
                  <w:r>
                    <w:rPr>
                      <w:rFonts w:hint="eastAsia"/>
                      <w:color w:val="000000"/>
                      <w:szCs w:val="21"/>
                    </w:rPr>
                    <w:t>0.02</w:t>
                  </w:r>
                </w:p>
              </w:tc>
              <w:tc>
                <w:tcPr>
                  <w:tcW w:w="807" w:type="dxa"/>
                  <w:vAlign w:val="center"/>
                </w:tcPr>
                <w:p>
                  <w:pPr>
                    <w:spacing w:line="360" w:lineRule="exact"/>
                    <w:jc w:val="center"/>
                    <w:outlineLvl w:val="0"/>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532" w:type="dxa"/>
                  <w:vMerge w:val="continue"/>
                  <w:vAlign w:val="center"/>
                </w:tcPr>
                <w:p>
                  <w:pPr>
                    <w:spacing w:line="360" w:lineRule="exact"/>
                    <w:jc w:val="center"/>
                    <w:outlineLvl w:val="0"/>
                    <w:rPr>
                      <w:color w:val="000000"/>
                      <w:szCs w:val="21"/>
                    </w:rPr>
                  </w:pPr>
                </w:p>
              </w:tc>
              <w:tc>
                <w:tcPr>
                  <w:tcW w:w="1116" w:type="dxa"/>
                  <w:vMerge w:val="restart"/>
                  <w:vAlign w:val="center"/>
                </w:tcPr>
                <w:p>
                  <w:pPr>
                    <w:spacing w:line="360" w:lineRule="exact"/>
                    <w:jc w:val="center"/>
                    <w:outlineLvl w:val="0"/>
                    <w:rPr>
                      <w:color w:val="000000"/>
                      <w:szCs w:val="21"/>
                    </w:rPr>
                  </w:pPr>
                  <w:r>
                    <w:rPr>
                      <w:rFonts w:hint="eastAsia"/>
                      <w:color w:val="000000"/>
                      <w:szCs w:val="21"/>
                    </w:rPr>
                    <w:t>液化石油气燃烧废气153m</w:t>
                  </w:r>
                  <w:r>
                    <w:rPr>
                      <w:rFonts w:hint="eastAsia"/>
                      <w:color w:val="000000"/>
                      <w:szCs w:val="21"/>
                      <w:vertAlign w:val="superscript"/>
                    </w:rPr>
                    <w:t>3</w:t>
                  </w:r>
                  <w:r>
                    <w:rPr>
                      <w:rFonts w:hint="eastAsia"/>
                      <w:color w:val="000000"/>
                      <w:szCs w:val="21"/>
                    </w:rPr>
                    <w:t>/h</w:t>
                  </w:r>
                </w:p>
              </w:tc>
              <w:tc>
                <w:tcPr>
                  <w:tcW w:w="850" w:type="dxa"/>
                  <w:vAlign w:val="center"/>
                </w:tcPr>
                <w:p>
                  <w:pPr>
                    <w:spacing w:line="360" w:lineRule="exact"/>
                    <w:jc w:val="center"/>
                    <w:outlineLvl w:val="0"/>
                    <w:rPr>
                      <w:color w:val="000000"/>
                      <w:szCs w:val="21"/>
                    </w:rPr>
                  </w:pPr>
                  <w:r>
                    <w:rPr>
                      <w:color w:val="000000"/>
                      <w:szCs w:val="21"/>
                    </w:rPr>
                    <w:t>颗粒物</w:t>
                  </w:r>
                </w:p>
              </w:tc>
              <w:tc>
                <w:tcPr>
                  <w:tcW w:w="709" w:type="dxa"/>
                  <w:vAlign w:val="center"/>
                </w:tcPr>
                <w:p>
                  <w:pPr>
                    <w:spacing w:line="360" w:lineRule="exact"/>
                    <w:jc w:val="center"/>
                    <w:outlineLvl w:val="0"/>
                    <w:rPr>
                      <w:color w:val="000000"/>
                      <w:szCs w:val="21"/>
                    </w:rPr>
                  </w:pPr>
                  <w:r>
                    <w:rPr>
                      <w:rFonts w:hint="eastAsia"/>
                      <w:color w:val="000000"/>
                      <w:szCs w:val="21"/>
                    </w:rPr>
                    <w:t>0.85</w:t>
                  </w:r>
                </w:p>
                <w:p>
                  <w:pPr>
                    <w:spacing w:line="360" w:lineRule="exact"/>
                    <w:jc w:val="center"/>
                    <w:outlineLvl w:val="0"/>
                    <w:rPr>
                      <w:color w:val="000000"/>
                      <w:szCs w:val="21"/>
                    </w:rPr>
                  </w:pPr>
                  <w:r>
                    <w:rPr>
                      <w:rFonts w:hint="eastAsia"/>
                      <w:color w:val="000000"/>
                      <w:szCs w:val="21"/>
                    </w:rPr>
                    <w:t>kg/a</w:t>
                  </w:r>
                </w:p>
              </w:tc>
              <w:tc>
                <w:tcPr>
                  <w:tcW w:w="850" w:type="dxa"/>
                  <w:vAlign w:val="center"/>
                </w:tcPr>
                <w:p>
                  <w:pPr>
                    <w:spacing w:line="360" w:lineRule="exact"/>
                    <w:jc w:val="center"/>
                    <w:outlineLvl w:val="0"/>
                    <w:rPr>
                      <w:color w:val="000000"/>
                      <w:szCs w:val="21"/>
                    </w:rPr>
                  </w:pPr>
                  <w:r>
                    <w:rPr>
                      <w:rFonts w:hint="eastAsia"/>
                      <w:color w:val="000000"/>
                      <w:szCs w:val="21"/>
                    </w:rPr>
                    <w:t>3.5</w:t>
                  </w:r>
                </w:p>
              </w:tc>
              <w:tc>
                <w:tcPr>
                  <w:tcW w:w="1683" w:type="dxa"/>
                  <w:vMerge w:val="restart"/>
                  <w:vAlign w:val="center"/>
                </w:tcPr>
                <w:p>
                  <w:pPr>
                    <w:spacing w:line="360" w:lineRule="exact"/>
                    <w:jc w:val="center"/>
                    <w:outlineLvl w:val="0"/>
                    <w:rPr>
                      <w:color w:val="000000"/>
                      <w:szCs w:val="21"/>
                    </w:rPr>
                  </w:pPr>
                  <w:r>
                    <w:rPr>
                      <w:rFonts w:hint="eastAsia"/>
                      <w:color w:val="000000"/>
                      <w:szCs w:val="21"/>
                    </w:rPr>
                    <w:t>模温机（导热油炉）液化石油气燃烧机加装低氮燃烧器，燃烧废气经1根8m高排气筒排放</w:t>
                  </w:r>
                </w:p>
              </w:tc>
              <w:tc>
                <w:tcPr>
                  <w:tcW w:w="708" w:type="dxa"/>
                  <w:vAlign w:val="center"/>
                </w:tcPr>
                <w:p>
                  <w:pPr>
                    <w:spacing w:line="360" w:lineRule="exact"/>
                    <w:jc w:val="center"/>
                    <w:outlineLvl w:val="0"/>
                    <w:rPr>
                      <w:color w:val="000000"/>
                      <w:szCs w:val="21"/>
                    </w:rPr>
                  </w:pPr>
                  <w:r>
                    <w:rPr>
                      <w:rFonts w:hint="eastAsia"/>
                      <w:color w:val="000000"/>
                      <w:szCs w:val="21"/>
                    </w:rPr>
                    <w:t>0.85</w:t>
                  </w:r>
                </w:p>
                <w:p>
                  <w:pPr>
                    <w:spacing w:line="360" w:lineRule="exact"/>
                    <w:jc w:val="center"/>
                    <w:outlineLvl w:val="0"/>
                    <w:rPr>
                      <w:color w:val="000000"/>
                      <w:szCs w:val="21"/>
                    </w:rPr>
                  </w:pPr>
                  <w:r>
                    <w:rPr>
                      <w:rFonts w:hint="eastAsia"/>
                      <w:color w:val="000000"/>
                      <w:szCs w:val="21"/>
                    </w:rPr>
                    <w:t>kg/a</w:t>
                  </w:r>
                </w:p>
              </w:tc>
              <w:tc>
                <w:tcPr>
                  <w:tcW w:w="851" w:type="dxa"/>
                  <w:vAlign w:val="center"/>
                </w:tcPr>
                <w:p>
                  <w:pPr>
                    <w:spacing w:line="360" w:lineRule="exact"/>
                    <w:jc w:val="center"/>
                    <w:outlineLvl w:val="0"/>
                    <w:rPr>
                      <w:color w:val="000000"/>
                      <w:szCs w:val="21"/>
                    </w:rPr>
                  </w:pPr>
                  <w:r>
                    <w:rPr>
                      <w:rFonts w:hint="eastAsia"/>
                      <w:color w:val="000000"/>
                      <w:szCs w:val="21"/>
                    </w:rPr>
                    <w:t>0.00053</w:t>
                  </w:r>
                </w:p>
              </w:tc>
              <w:tc>
                <w:tcPr>
                  <w:tcW w:w="807" w:type="dxa"/>
                  <w:vAlign w:val="center"/>
                </w:tcPr>
                <w:p>
                  <w:pPr>
                    <w:spacing w:line="360" w:lineRule="exact"/>
                    <w:jc w:val="center"/>
                    <w:outlineLvl w:val="0"/>
                    <w:rPr>
                      <w:color w:val="000000"/>
                      <w:szCs w:val="21"/>
                    </w:rPr>
                  </w:pPr>
                  <w:r>
                    <w:rPr>
                      <w:rFonts w:hint="eastAsia"/>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532" w:type="dxa"/>
                  <w:vMerge w:val="continue"/>
                  <w:vAlign w:val="center"/>
                </w:tcPr>
                <w:p>
                  <w:pPr>
                    <w:spacing w:line="360" w:lineRule="exact"/>
                    <w:jc w:val="center"/>
                    <w:outlineLvl w:val="0"/>
                    <w:rPr>
                      <w:color w:val="000000"/>
                      <w:szCs w:val="21"/>
                    </w:rPr>
                  </w:pPr>
                </w:p>
              </w:tc>
              <w:tc>
                <w:tcPr>
                  <w:tcW w:w="1116" w:type="dxa"/>
                  <w:vMerge w:val="continue"/>
                  <w:vAlign w:val="center"/>
                </w:tcPr>
                <w:p>
                  <w:pPr>
                    <w:spacing w:line="360" w:lineRule="exact"/>
                    <w:jc w:val="center"/>
                    <w:outlineLvl w:val="0"/>
                    <w:rPr>
                      <w:color w:val="000000"/>
                      <w:szCs w:val="21"/>
                    </w:rPr>
                  </w:pPr>
                </w:p>
              </w:tc>
              <w:tc>
                <w:tcPr>
                  <w:tcW w:w="850" w:type="dxa"/>
                  <w:vAlign w:val="center"/>
                </w:tcPr>
                <w:p>
                  <w:pPr>
                    <w:spacing w:line="360" w:lineRule="exact"/>
                    <w:jc w:val="center"/>
                    <w:outlineLvl w:val="0"/>
                    <w:rPr>
                      <w:color w:val="000000"/>
                      <w:szCs w:val="21"/>
                    </w:rPr>
                  </w:pPr>
                  <w:r>
                    <w:rPr>
                      <w:rFonts w:hint="eastAsia"/>
                      <w:color w:val="000000"/>
                      <w:szCs w:val="21"/>
                    </w:rPr>
                    <w:t>SO</w:t>
                  </w:r>
                  <w:r>
                    <w:rPr>
                      <w:rFonts w:hint="eastAsia"/>
                      <w:color w:val="000000"/>
                      <w:szCs w:val="21"/>
                      <w:vertAlign w:val="subscript"/>
                    </w:rPr>
                    <w:t>2</w:t>
                  </w:r>
                </w:p>
              </w:tc>
              <w:tc>
                <w:tcPr>
                  <w:tcW w:w="709" w:type="dxa"/>
                  <w:vAlign w:val="center"/>
                </w:tcPr>
                <w:p>
                  <w:pPr>
                    <w:spacing w:line="360" w:lineRule="exact"/>
                    <w:jc w:val="center"/>
                    <w:outlineLvl w:val="0"/>
                    <w:rPr>
                      <w:color w:val="000000"/>
                      <w:szCs w:val="21"/>
                    </w:rPr>
                  </w:pPr>
                  <w:r>
                    <w:rPr>
                      <w:rFonts w:hint="eastAsia"/>
                      <w:color w:val="000000"/>
                      <w:szCs w:val="21"/>
                    </w:rPr>
                    <w:t>0.34 kg/a</w:t>
                  </w:r>
                </w:p>
              </w:tc>
              <w:tc>
                <w:tcPr>
                  <w:tcW w:w="850" w:type="dxa"/>
                  <w:vAlign w:val="center"/>
                </w:tcPr>
                <w:p>
                  <w:pPr>
                    <w:spacing w:line="360" w:lineRule="exact"/>
                    <w:jc w:val="center"/>
                    <w:outlineLvl w:val="0"/>
                    <w:rPr>
                      <w:color w:val="000000"/>
                      <w:szCs w:val="21"/>
                    </w:rPr>
                  </w:pPr>
                  <w:r>
                    <w:rPr>
                      <w:rFonts w:hint="eastAsia"/>
                      <w:color w:val="000000"/>
                      <w:szCs w:val="21"/>
                    </w:rPr>
                    <w:t>1.4</w:t>
                  </w:r>
                </w:p>
              </w:tc>
              <w:tc>
                <w:tcPr>
                  <w:tcW w:w="1683" w:type="dxa"/>
                  <w:vMerge w:val="continue"/>
                  <w:vAlign w:val="center"/>
                </w:tcPr>
                <w:p>
                  <w:pPr>
                    <w:spacing w:line="360" w:lineRule="exact"/>
                    <w:jc w:val="center"/>
                    <w:outlineLvl w:val="0"/>
                    <w:rPr>
                      <w:color w:val="000000"/>
                      <w:szCs w:val="21"/>
                    </w:rPr>
                  </w:pPr>
                </w:p>
              </w:tc>
              <w:tc>
                <w:tcPr>
                  <w:tcW w:w="708" w:type="dxa"/>
                  <w:vAlign w:val="center"/>
                </w:tcPr>
                <w:p>
                  <w:pPr>
                    <w:spacing w:line="360" w:lineRule="exact"/>
                    <w:jc w:val="center"/>
                    <w:outlineLvl w:val="0"/>
                    <w:rPr>
                      <w:color w:val="000000"/>
                      <w:szCs w:val="21"/>
                    </w:rPr>
                  </w:pPr>
                  <w:r>
                    <w:rPr>
                      <w:rFonts w:hint="eastAsia"/>
                      <w:color w:val="000000"/>
                      <w:szCs w:val="21"/>
                    </w:rPr>
                    <w:t>0.34 kg/a</w:t>
                  </w:r>
                </w:p>
              </w:tc>
              <w:tc>
                <w:tcPr>
                  <w:tcW w:w="851" w:type="dxa"/>
                  <w:vAlign w:val="center"/>
                </w:tcPr>
                <w:p>
                  <w:pPr>
                    <w:spacing w:line="360" w:lineRule="exact"/>
                    <w:jc w:val="center"/>
                    <w:outlineLvl w:val="0"/>
                    <w:rPr>
                      <w:color w:val="000000"/>
                      <w:szCs w:val="21"/>
                    </w:rPr>
                  </w:pPr>
                  <w:r>
                    <w:rPr>
                      <w:rFonts w:hint="eastAsia"/>
                      <w:color w:val="000000"/>
                      <w:szCs w:val="21"/>
                    </w:rPr>
                    <w:t>0.00021</w:t>
                  </w:r>
                </w:p>
              </w:tc>
              <w:tc>
                <w:tcPr>
                  <w:tcW w:w="807" w:type="dxa"/>
                  <w:vAlign w:val="center"/>
                </w:tcPr>
                <w:p>
                  <w:pPr>
                    <w:spacing w:line="360" w:lineRule="exact"/>
                    <w:jc w:val="center"/>
                    <w:outlineLvl w:val="0"/>
                    <w:rPr>
                      <w:color w:val="000000"/>
                      <w:szCs w:val="21"/>
                    </w:rPr>
                  </w:pPr>
                  <w:r>
                    <w:rPr>
                      <w:rFonts w:hint="eastAsia"/>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532" w:type="dxa"/>
                  <w:vMerge w:val="continue"/>
                  <w:vAlign w:val="center"/>
                </w:tcPr>
                <w:p>
                  <w:pPr>
                    <w:spacing w:line="360" w:lineRule="exact"/>
                    <w:jc w:val="center"/>
                    <w:outlineLvl w:val="0"/>
                    <w:rPr>
                      <w:color w:val="000000"/>
                      <w:szCs w:val="21"/>
                    </w:rPr>
                  </w:pPr>
                </w:p>
              </w:tc>
              <w:tc>
                <w:tcPr>
                  <w:tcW w:w="1116" w:type="dxa"/>
                  <w:vMerge w:val="continue"/>
                  <w:vAlign w:val="center"/>
                </w:tcPr>
                <w:p>
                  <w:pPr>
                    <w:spacing w:line="360" w:lineRule="exact"/>
                    <w:jc w:val="center"/>
                    <w:outlineLvl w:val="0"/>
                    <w:rPr>
                      <w:color w:val="000000"/>
                      <w:szCs w:val="21"/>
                    </w:rPr>
                  </w:pPr>
                </w:p>
              </w:tc>
              <w:tc>
                <w:tcPr>
                  <w:tcW w:w="850" w:type="dxa"/>
                  <w:vAlign w:val="center"/>
                </w:tcPr>
                <w:p>
                  <w:pPr>
                    <w:spacing w:line="360" w:lineRule="exact"/>
                    <w:jc w:val="center"/>
                    <w:outlineLvl w:val="0"/>
                    <w:rPr>
                      <w:color w:val="000000"/>
                      <w:szCs w:val="21"/>
                    </w:rPr>
                  </w:pPr>
                  <w:r>
                    <w:rPr>
                      <w:rFonts w:hint="eastAsia"/>
                      <w:color w:val="000000"/>
                      <w:szCs w:val="21"/>
                    </w:rPr>
                    <w:t>NOx</w:t>
                  </w:r>
                </w:p>
              </w:tc>
              <w:tc>
                <w:tcPr>
                  <w:tcW w:w="709" w:type="dxa"/>
                  <w:vAlign w:val="center"/>
                </w:tcPr>
                <w:p>
                  <w:pPr>
                    <w:spacing w:line="360" w:lineRule="exact"/>
                    <w:jc w:val="center"/>
                    <w:outlineLvl w:val="0"/>
                    <w:rPr>
                      <w:color w:val="000000"/>
                      <w:szCs w:val="21"/>
                    </w:rPr>
                  </w:pPr>
                  <w:r>
                    <w:rPr>
                      <w:rFonts w:hint="eastAsia"/>
                      <w:color w:val="000000"/>
                      <w:szCs w:val="21"/>
                    </w:rPr>
                    <w:t>50.9 kg/a</w:t>
                  </w:r>
                </w:p>
              </w:tc>
              <w:tc>
                <w:tcPr>
                  <w:tcW w:w="850" w:type="dxa"/>
                  <w:vAlign w:val="center"/>
                </w:tcPr>
                <w:p>
                  <w:pPr>
                    <w:spacing w:line="360" w:lineRule="exact"/>
                    <w:jc w:val="center"/>
                    <w:outlineLvl w:val="0"/>
                    <w:rPr>
                      <w:color w:val="000000"/>
                      <w:szCs w:val="21"/>
                    </w:rPr>
                  </w:pPr>
                  <w:r>
                    <w:rPr>
                      <w:rFonts w:hint="eastAsia"/>
                      <w:color w:val="000000"/>
                      <w:szCs w:val="21"/>
                    </w:rPr>
                    <w:t>209.2</w:t>
                  </w:r>
                </w:p>
              </w:tc>
              <w:tc>
                <w:tcPr>
                  <w:tcW w:w="1683" w:type="dxa"/>
                  <w:vMerge w:val="continue"/>
                  <w:vAlign w:val="center"/>
                </w:tcPr>
                <w:p>
                  <w:pPr>
                    <w:spacing w:line="360" w:lineRule="exact"/>
                    <w:jc w:val="center"/>
                    <w:outlineLvl w:val="0"/>
                    <w:rPr>
                      <w:color w:val="000000"/>
                      <w:szCs w:val="21"/>
                    </w:rPr>
                  </w:pPr>
                </w:p>
              </w:tc>
              <w:tc>
                <w:tcPr>
                  <w:tcW w:w="708" w:type="dxa"/>
                  <w:vAlign w:val="center"/>
                </w:tcPr>
                <w:p>
                  <w:pPr>
                    <w:spacing w:line="360" w:lineRule="exact"/>
                    <w:jc w:val="center"/>
                    <w:outlineLvl w:val="0"/>
                    <w:rPr>
                      <w:color w:val="000000"/>
                      <w:szCs w:val="21"/>
                    </w:rPr>
                  </w:pPr>
                  <w:r>
                    <w:rPr>
                      <w:rFonts w:hint="eastAsia"/>
                      <w:color w:val="000000"/>
                      <w:szCs w:val="21"/>
                    </w:rPr>
                    <w:t>10.2 kg/a</w:t>
                  </w:r>
                </w:p>
              </w:tc>
              <w:tc>
                <w:tcPr>
                  <w:tcW w:w="851" w:type="dxa"/>
                  <w:vAlign w:val="center"/>
                </w:tcPr>
                <w:p>
                  <w:pPr>
                    <w:spacing w:line="360" w:lineRule="exact"/>
                    <w:jc w:val="center"/>
                    <w:outlineLvl w:val="0"/>
                    <w:rPr>
                      <w:color w:val="000000"/>
                      <w:szCs w:val="21"/>
                    </w:rPr>
                  </w:pPr>
                  <w:r>
                    <w:rPr>
                      <w:rFonts w:hint="eastAsia"/>
                      <w:color w:val="000000"/>
                      <w:szCs w:val="21"/>
                    </w:rPr>
                    <w:t>0.0064</w:t>
                  </w:r>
                </w:p>
              </w:tc>
              <w:tc>
                <w:tcPr>
                  <w:tcW w:w="807" w:type="dxa"/>
                  <w:vAlign w:val="center"/>
                </w:tcPr>
                <w:p>
                  <w:pPr>
                    <w:spacing w:line="360" w:lineRule="exact"/>
                    <w:jc w:val="center"/>
                    <w:outlineLvl w:val="0"/>
                    <w:rPr>
                      <w:color w:val="000000"/>
                      <w:szCs w:val="21"/>
                    </w:rPr>
                  </w:pPr>
                  <w:r>
                    <w:rPr>
                      <w:rFonts w:hint="eastAsia"/>
                      <w:color w:val="000000"/>
                      <w:szCs w:val="21"/>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532" w:type="dxa"/>
                  <w:vMerge w:val="restart"/>
                  <w:vAlign w:val="center"/>
                </w:tcPr>
                <w:p>
                  <w:pPr>
                    <w:spacing w:line="360" w:lineRule="exact"/>
                    <w:jc w:val="center"/>
                    <w:outlineLvl w:val="0"/>
                    <w:rPr>
                      <w:color w:val="000000"/>
                      <w:szCs w:val="21"/>
                    </w:rPr>
                  </w:pPr>
                  <w:r>
                    <w:rPr>
                      <w:rFonts w:hint="eastAsia"/>
                      <w:color w:val="000000"/>
                      <w:szCs w:val="21"/>
                    </w:rPr>
                    <w:t>无组织</w:t>
                  </w:r>
                </w:p>
              </w:tc>
              <w:tc>
                <w:tcPr>
                  <w:tcW w:w="1116" w:type="dxa"/>
                  <w:vMerge w:val="restart"/>
                  <w:vAlign w:val="center"/>
                </w:tcPr>
                <w:p>
                  <w:pPr>
                    <w:spacing w:line="360" w:lineRule="exact"/>
                    <w:jc w:val="center"/>
                    <w:outlineLvl w:val="0"/>
                    <w:rPr>
                      <w:color w:val="000000"/>
                      <w:szCs w:val="21"/>
                    </w:rPr>
                  </w:pPr>
                  <w:r>
                    <w:rPr>
                      <w:rFonts w:hint="eastAsia"/>
                      <w:color w:val="000000"/>
                      <w:szCs w:val="21"/>
                    </w:rPr>
                    <w:t>热压工序</w:t>
                  </w:r>
                </w:p>
              </w:tc>
              <w:tc>
                <w:tcPr>
                  <w:tcW w:w="850" w:type="dxa"/>
                  <w:vAlign w:val="center"/>
                </w:tcPr>
                <w:p>
                  <w:pPr>
                    <w:spacing w:line="360" w:lineRule="exact"/>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甲醛</w:t>
                  </w:r>
                </w:p>
              </w:tc>
              <w:tc>
                <w:tcPr>
                  <w:tcW w:w="70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0.003</w:t>
                  </w:r>
                </w:p>
              </w:tc>
              <w:tc>
                <w:tcPr>
                  <w:tcW w:w="850" w:type="dxa"/>
                  <w:vAlign w:val="center"/>
                </w:tcPr>
                <w:p>
                  <w:pPr>
                    <w:spacing w:line="360" w:lineRule="exact"/>
                    <w:jc w:val="center"/>
                    <w:outlineLvl w:val="0"/>
                    <w:rPr>
                      <w:color w:val="000000"/>
                      <w:szCs w:val="21"/>
                    </w:rPr>
                  </w:pPr>
                  <w:r>
                    <w:rPr>
                      <w:rFonts w:hint="eastAsia"/>
                      <w:color w:val="000000"/>
                      <w:szCs w:val="21"/>
                    </w:rPr>
                    <w:t>/</w:t>
                  </w:r>
                </w:p>
              </w:tc>
              <w:tc>
                <w:tcPr>
                  <w:tcW w:w="1683" w:type="dxa"/>
                  <w:vMerge w:val="restart"/>
                  <w:vAlign w:val="center"/>
                </w:tcPr>
                <w:p>
                  <w:pPr>
                    <w:spacing w:line="360" w:lineRule="exact"/>
                    <w:jc w:val="center"/>
                    <w:outlineLvl w:val="0"/>
                    <w:rPr>
                      <w:color w:val="000000"/>
                      <w:szCs w:val="21"/>
                    </w:rPr>
                  </w:pPr>
                  <w:r>
                    <w:rPr>
                      <w:color w:val="000000"/>
                      <w:szCs w:val="21"/>
                    </w:rPr>
                    <w:t>车间</w:t>
                  </w:r>
                  <w:r>
                    <w:rPr>
                      <w:rFonts w:hint="eastAsia"/>
                      <w:color w:val="000000"/>
                      <w:szCs w:val="21"/>
                    </w:rPr>
                    <w:t>加强通风</w:t>
                  </w:r>
                </w:p>
              </w:tc>
              <w:tc>
                <w:tcPr>
                  <w:tcW w:w="708"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0.003</w:t>
                  </w:r>
                </w:p>
              </w:tc>
              <w:tc>
                <w:tcPr>
                  <w:tcW w:w="851" w:type="dxa"/>
                  <w:vAlign w:val="center"/>
                </w:tcPr>
                <w:p>
                  <w:pPr>
                    <w:spacing w:line="360" w:lineRule="exact"/>
                    <w:jc w:val="center"/>
                    <w:outlineLvl w:val="0"/>
                    <w:rPr>
                      <w:color w:val="000000"/>
                      <w:szCs w:val="21"/>
                    </w:rPr>
                  </w:pPr>
                  <w:r>
                    <w:rPr>
                      <w:rFonts w:hint="eastAsia"/>
                      <w:color w:val="000000"/>
                      <w:szCs w:val="21"/>
                    </w:rPr>
                    <w:t>0.002</w:t>
                  </w:r>
                </w:p>
              </w:tc>
              <w:tc>
                <w:tcPr>
                  <w:tcW w:w="807" w:type="dxa"/>
                  <w:vAlign w:val="center"/>
                </w:tcPr>
                <w:p>
                  <w:pPr>
                    <w:spacing w:line="360" w:lineRule="exact"/>
                    <w:jc w:val="center"/>
                    <w:outlineLvl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532" w:type="dxa"/>
                  <w:vMerge w:val="continue"/>
                  <w:vAlign w:val="center"/>
                </w:tcPr>
                <w:p>
                  <w:pPr>
                    <w:spacing w:line="360" w:lineRule="exact"/>
                    <w:jc w:val="center"/>
                    <w:outlineLvl w:val="0"/>
                    <w:rPr>
                      <w:color w:val="000000"/>
                      <w:szCs w:val="21"/>
                    </w:rPr>
                  </w:pPr>
                </w:p>
              </w:tc>
              <w:tc>
                <w:tcPr>
                  <w:tcW w:w="1116" w:type="dxa"/>
                  <w:vMerge w:val="continue"/>
                  <w:vAlign w:val="center"/>
                </w:tcPr>
                <w:p>
                  <w:pPr>
                    <w:spacing w:line="360" w:lineRule="exact"/>
                    <w:jc w:val="center"/>
                    <w:outlineLvl w:val="0"/>
                    <w:rPr>
                      <w:color w:val="000000"/>
                      <w:szCs w:val="21"/>
                    </w:rPr>
                  </w:pPr>
                </w:p>
              </w:tc>
              <w:tc>
                <w:tcPr>
                  <w:tcW w:w="850" w:type="dxa"/>
                  <w:vAlign w:val="center"/>
                </w:tcPr>
                <w:p>
                  <w:pPr>
                    <w:spacing w:line="360" w:lineRule="exact"/>
                    <w:jc w:val="center"/>
                    <w:outlineLvl w:val="0"/>
                    <w:rPr>
                      <w:color w:val="000000" w:themeColor="text1"/>
                      <w14:textFill>
                        <w14:solidFill>
                          <w14:schemeClr w14:val="tx1"/>
                        </w14:solidFill>
                      </w14:textFill>
                    </w:rPr>
                  </w:pPr>
                  <w:r>
                    <w:rPr>
                      <w:rFonts w:hint="eastAsia"/>
                      <w:color w:val="000000"/>
                      <w:szCs w:val="21"/>
                    </w:rPr>
                    <w:t>非甲烷总烃</w:t>
                  </w:r>
                </w:p>
              </w:tc>
              <w:tc>
                <w:tcPr>
                  <w:tcW w:w="70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0.017</w:t>
                  </w:r>
                </w:p>
              </w:tc>
              <w:tc>
                <w:tcPr>
                  <w:tcW w:w="850" w:type="dxa"/>
                  <w:vAlign w:val="center"/>
                </w:tcPr>
                <w:p>
                  <w:pPr>
                    <w:spacing w:line="360" w:lineRule="exact"/>
                    <w:jc w:val="center"/>
                    <w:outlineLvl w:val="0"/>
                    <w:rPr>
                      <w:color w:val="000000"/>
                      <w:szCs w:val="21"/>
                    </w:rPr>
                  </w:pPr>
                  <w:r>
                    <w:rPr>
                      <w:rFonts w:hint="eastAsia"/>
                      <w:color w:val="000000"/>
                      <w:szCs w:val="21"/>
                    </w:rPr>
                    <w:t>/</w:t>
                  </w:r>
                </w:p>
              </w:tc>
              <w:tc>
                <w:tcPr>
                  <w:tcW w:w="1683" w:type="dxa"/>
                  <w:vMerge w:val="continue"/>
                  <w:vAlign w:val="center"/>
                </w:tcPr>
                <w:p>
                  <w:pPr>
                    <w:spacing w:line="360" w:lineRule="exact"/>
                    <w:jc w:val="center"/>
                    <w:outlineLvl w:val="0"/>
                    <w:rPr>
                      <w:color w:val="000000"/>
                      <w:szCs w:val="21"/>
                    </w:rPr>
                  </w:pPr>
                </w:p>
              </w:tc>
              <w:tc>
                <w:tcPr>
                  <w:tcW w:w="708"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0.017</w:t>
                  </w:r>
                </w:p>
              </w:tc>
              <w:tc>
                <w:tcPr>
                  <w:tcW w:w="851" w:type="dxa"/>
                  <w:vAlign w:val="center"/>
                </w:tcPr>
                <w:p>
                  <w:pPr>
                    <w:spacing w:line="360" w:lineRule="exact"/>
                    <w:jc w:val="center"/>
                    <w:outlineLvl w:val="0"/>
                    <w:rPr>
                      <w:color w:val="000000"/>
                      <w:szCs w:val="21"/>
                    </w:rPr>
                  </w:pPr>
                  <w:r>
                    <w:rPr>
                      <w:rFonts w:hint="eastAsia"/>
                      <w:color w:val="000000"/>
                      <w:szCs w:val="21"/>
                    </w:rPr>
                    <w:t>0.011</w:t>
                  </w:r>
                </w:p>
              </w:tc>
              <w:tc>
                <w:tcPr>
                  <w:tcW w:w="807" w:type="dxa"/>
                  <w:vAlign w:val="center"/>
                </w:tcPr>
                <w:p>
                  <w:pPr>
                    <w:spacing w:line="360" w:lineRule="exact"/>
                    <w:jc w:val="center"/>
                    <w:outlineLvl w:val="0"/>
                    <w:rPr>
                      <w:color w:val="000000"/>
                      <w:szCs w:val="21"/>
                    </w:rPr>
                  </w:pPr>
                  <w:r>
                    <w:rPr>
                      <w:rFonts w:hint="eastAsia"/>
                      <w:color w:val="000000"/>
                      <w:szCs w:val="21"/>
                    </w:rPr>
                    <w:t>/</w:t>
                  </w:r>
                </w:p>
              </w:tc>
            </w:tr>
          </w:tbl>
          <w:p>
            <w:pPr>
              <w:widowControl/>
              <w:autoSpaceDE w:val="0"/>
              <w:autoSpaceDN w:val="0"/>
              <w:snapToGrid w:val="0"/>
              <w:spacing w:line="360" w:lineRule="auto"/>
              <w:ind w:firstLine="480" w:firstLineChars="200"/>
              <w:rPr>
                <w:color w:val="000000"/>
                <w:sz w:val="24"/>
              </w:rPr>
            </w:pPr>
            <w:r>
              <w:rPr>
                <w:rFonts w:hint="eastAsia" w:ascii="宋体" w:hAnsi="宋体"/>
                <w:color w:val="000000" w:themeColor="text1"/>
                <w:sz w:val="24"/>
                <w14:textFill>
                  <w14:solidFill>
                    <w14:schemeClr w14:val="tx1"/>
                  </w14:solidFill>
                </w14:textFill>
              </w:rPr>
              <w:t>由上表可知，本项目营运期</w:t>
            </w:r>
            <w:r>
              <w:rPr>
                <w:rFonts w:hint="eastAsia"/>
                <w:color w:val="000000" w:themeColor="text1"/>
                <w:sz w:val="24"/>
                <w14:textFill>
                  <w14:solidFill>
                    <w14:schemeClr w14:val="tx1"/>
                  </w14:solidFill>
                </w14:textFill>
              </w:rPr>
              <w:t>热压工序有机废气经处理后中甲醛、非甲烷总烃排放浓度及排放速率可以满足</w:t>
            </w:r>
            <w:r>
              <w:rPr>
                <w:rFonts w:hint="eastAsia"/>
                <w:color w:val="000000"/>
                <w:sz w:val="24"/>
              </w:rPr>
              <w:t>《大气污染物综合排放标准》（GB16297-1996）表2二级标准</w:t>
            </w:r>
            <w:r>
              <w:rPr>
                <w:rFonts w:hint="eastAsia"/>
                <w:color w:val="000000" w:themeColor="text1"/>
                <w:sz w:val="24"/>
                <w14:textFill>
                  <w14:solidFill>
                    <w14:schemeClr w14:val="tx1"/>
                  </w14:solidFill>
                </w14:textFill>
              </w:rPr>
              <w:t>要求及河南省环境污染防治攻坚战领导小组《关于全省开展工业企业挥发性有机物专项治理工作中排放建议值的通知》（豫环攻坚办[2017]162号）中“木材加工业”建议排放浓度限值要求；</w:t>
            </w:r>
            <w:r>
              <w:rPr>
                <w:rFonts w:hint="eastAsia"/>
                <w:color w:val="000000"/>
                <w:sz w:val="24"/>
                <w:szCs w:val="24"/>
              </w:rPr>
              <w:t>模温机（导热油炉）液化石油气燃烧废气经处理后</w:t>
            </w:r>
            <w:r>
              <w:rPr>
                <w:rFonts w:hint="eastAsia"/>
                <w:color w:val="000000" w:themeColor="text1"/>
                <w:sz w:val="24"/>
                <w14:textFill>
                  <w14:solidFill>
                    <w14:schemeClr w14:val="tx1"/>
                  </w14:solidFill>
                </w14:textFill>
              </w:rPr>
              <w:t>各污染物排放浓度可以满足《锅炉大气污染物排放标准》（DB41/2089-2021）中排放浓度限值要求，预计对周围大气环境影响不大。</w:t>
            </w:r>
          </w:p>
          <w:p>
            <w:pPr>
              <w:widowControl/>
              <w:autoSpaceDE w:val="0"/>
              <w:autoSpaceDN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2.2废气治理措施可行性分析</w:t>
            </w:r>
          </w:p>
          <w:p>
            <w:pPr>
              <w:widowControl/>
              <w:autoSpaceDE w:val="0"/>
              <w:autoSpaceDN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（1）热压工序有机废气治理措施</w:t>
            </w:r>
          </w:p>
          <w:p>
            <w:pPr>
              <w:widowControl/>
              <w:autoSpaceDE w:val="0"/>
              <w:autoSpaceDN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热压工序有机废气经集气罩收集后通过管道引至1套UV光氧催化+低温等离子处理装置处理后经1根15m高排气筒高空排放。</w:t>
            </w:r>
          </w:p>
          <w:p>
            <w:pPr>
              <w:widowControl/>
              <w:snapToGrid w:val="0"/>
              <w:spacing w:line="360" w:lineRule="auto"/>
              <w:ind w:firstLine="482"/>
              <w:rPr>
                <w:color w:val="000000"/>
                <w:sz w:val="24"/>
              </w:rPr>
            </w:pPr>
            <w:r>
              <w:rPr>
                <w:rFonts w:hint="eastAsia"/>
                <w:color w:val="000000"/>
                <w:sz w:val="24"/>
              </w:rPr>
              <w:t>UV光氧催化净化设备：</w:t>
            </w:r>
            <w:r>
              <w:rPr>
                <w:bCs/>
                <w:color w:val="000000"/>
                <w:sz w:val="24"/>
              </w:rPr>
              <w:t>光解催化是通过特定波长的UV激发光源产生不同能量的光量子，在大量携能光量子的轰击下使废气中有机物质分子激发，空气中的氧气和水分及外加的臭氧在该光量子的分解</w:t>
            </w:r>
            <w:r>
              <w:rPr>
                <w:color w:val="000000"/>
                <w:sz w:val="24"/>
                <w:szCs w:val="24"/>
              </w:rPr>
              <w:t>作用</w:t>
            </w:r>
            <w:r>
              <w:rPr>
                <w:bCs/>
                <w:color w:val="000000"/>
                <w:sz w:val="24"/>
              </w:rPr>
              <w:t>下可产生大量的新生态氢、活性氧和羟基氧等活性基团；因游离氧所携正负电子不平衡，所以需与氧分子结合，进而产生臭氧。废气中有机物质也能与活性基团反应，最终降解转化为低分子化合物、CO</w:t>
            </w:r>
            <w:r>
              <w:rPr>
                <w:bCs/>
                <w:color w:val="000000"/>
                <w:sz w:val="24"/>
                <w:vertAlign w:val="subscript"/>
              </w:rPr>
              <w:t>2</w:t>
            </w:r>
            <w:r>
              <w:rPr>
                <w:bCs/>
                <w:color w:val="000000"/>
                <w:sz w:val="24"/>
              </w:rPr>
              <w:t>和H</w:t>
            </w:r>
            <w:r>
              <w:rPr>
                <w:bCs/>
                <w:color w:val="000000"/>
                <w:sz w:val="24"/>
                <w:vertAlign w:val="subscript"/>
              </w:rPr>
              <w:t>2</w:t>
            </w:r>
            <w:r>
              <w:rPr>
                <w:bCs/>
                <w:color w:val="000000"/>
                <w:sz w:val="24"/>
              </w:rPr>
              <w:t>O等无害物质，从而达到净化废气的功能</w:t>
            </w:r>
            <w:r>
              <w:rPr>
                <w:rFonts w:hint="eastAsia"/>
                <w:bCs/>
                <w:color w:val="000000"/>
                <w:sz w:val="24"/>
              </w:rPr>
              <w:t>；</w:t>
            </w:r>
          </w:p>
          <w:p>
            <w:pPr>
              <w:widowControl/>
              <w:snapToGrid w:val="0"/>
              <w:spacing w:line="360" w:lineRule="auto"/>
              <w:ind w:firstLine="482"/>
              <w:rPr>
                <w:color w:val="auto"/>
                <w:sz w:val="24"/>
                <w:u w:val="single"/>
              </w:rPr>
            </w:pPr>
            <w:r>
              <w:rPr>
                <w:rFonts w:hint="eastAsia"/>
                <w:color w:val="auto"/>
                <w:sz w:val="24"/>
                <w:u w:val="single"/>
              </w:rPr>
              <w:t>低温等离子处理装置，低温等离子体是继固态、液态、气态之后的物质第四态，当外加电压达到气体的 放电电压时，气体被击穿，产生包括电子、各种离子、原子和自由基在内的混合体。放电过程中虽然电子温度很高，但重粒子温度很低，整个体系呈现低温状态，所以称为低温等离子体。低温等离子体降解污染物是利用这些高能电子、自由基等活性粒子和废气中的污染物作用，使污染物分子在极短的时间内发生分解，并发生后续的各种反应以达到降解污染物的目的</w:t>
            </w:r>
            <w:r>
              <w:rPr>
                <w:rFonts w:hint="eastAsia"/>
                <w:bCs/>
                <w:color w:val="auto"/>
                <w:sz w:val="24"/>
                <w:u w:val="single"/>
              </w:rPr>
              <w:t>。</w:t>
            </w:r>
          </w:p>
          <w:p>
            <w:pPr>
              <w:widowControl/>
              <w:snapToGrid w:val="0"/>
              <w:spacing w:line="360" w:lineRule="auto"/>
              <w:ind w:firstLine="482"/>
              <w:rPr>
                <w:rFonts w:hAnsi="宋体"/>
                <w:color w:val="000000"/>
                <w:kern w:val="0"/>
                <w:sz w:val="24"/>
              </w:rPr>
            </w:pPr>
            <w:r>
              <w:rPr>
                <w:rFonts w:hint="eastAsia"/>
                <w:color w:val="000000"/>
                <w:sz w:val="24"/>
              </w:rPr>
              <w:t>UV光氧催化+低温等离子处理装置对有机废气的处理效率按80%计算，</w:t>
            </w:r>
            <w:r>
              <w:rPr>
                <w:rFonts w:hint="eastAsia" w:hAnsi="宋体"/>
                <w:bCs/>
                <w:color w:val="000000"/>
                <w:sz w:val="24"/>
              </w:rPr>
              <w:t>经处理后</w:t>
            </w:r>
            <w:r>
              <w:rPr>
                <w:rFonts w:hint="eastAsia"/>
                <w:color w:val="000000" w:themeColor="text1"/>
                <w:sz w:val="24"/>
                <w14:textFill>
                  <w14:solidFill>
                    <w14:schemeClr w14:val="tx1"/>
                  </w14:solidFill>
                </w14:textFill>
              </w:rPr>
              <w:t>甲醛排放速率为0.003kg/h，排放浓度为0.6mg/m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；非甲烷总烃排放速率为0.02kg/h，排放浓度为4mg/m</w:t>
            </w:r>
            <w:r>
              <w:rPr>
                <w:rFonts w:hint="eastAsia"/>
                <w:color w:val="000000" w:themeColor="text1"/>
                <w:sz w:val="24"/>
                <w:vertAlign w:val="superscript"/>
                <w14:textFill>
                  <w14:solidFill>
                    <w14:schemeClr w14:val="tx1"/>
                  </w14:solidFill>
                </w14:textFill>
              </w:rPr>
              <w:t>3</w:t>
            </w:r>
            <w:r>
              <w:rPr>
                <w:rFonts w:hint="eastAsia"/>
                <w:color w:val="000000"/>
                <w:kern w:val="0"/>
                <w:sz w:val="24"/>
              </w:rPr>
              <w:t>，</w:t>
            </w:r>
            <w:r>
              <w:rPr>
                <w:rFonts w:hint="eastAsia"/>
                <w:color w:val="000000" w:themeColor="text1"/>
                <w:sz w:val="24"/>
                <w14:textFill>
                  <w14:solidFill>
                    <w14:schemeClr w14:val="tx1"/>
                  </w14:solidFill>
                </w14:textFill>
              </w:rPr>
              <w:t>可以满足</w:t>
            </w:r>
            <w:r>
              <w:rPr>
                <w:rFonts w:hint="eastAsia"/>
                <w:color w:val="000000"/>
                <w:sz w:val="24"/>
              </w:rPr>
              <w:t>《大气污染物综合排放标准》（GB16297-1996）表2二级标准</w:t>
            </w:r>
            <w:r>
              <w:rPr>
                <w:rFonts w:hint="eastAsia"/>
                <w:color w:val="000000" w:themeColor="text1"/>
                <w:sz w:val="24"/>
                <w14:textFill>
                  <w14:solidFill>
                    <w14:schemeClr w14:val="tx1"/>
                  </w14:solidFill>
                </w14:textFill>
              </w:rPr>
              <w:t>要求及河南省环境污染防治攻坚战领导小组《关于全省开展工业企业挥发性有机物专项治理工作中排放建议值的通知》（豫环攻坚办[2017]162号）中“木材加工业”建议排放浓度限值要求</w:t>
            </w:r>
            <w:r>
              <w:rPr>
                <w:rFonts w:hint="eastAsia" w:hAnsi="宋体"/>
                <w:color w:val="000000"/>
                <w:kern w:val="0"/>
                <w:sz w:val="24"/>
              </w:rPr>
              <w:t>，处理措施可行。</w:t>
            </w:r>
          </w:p>
          <w:p>
            <w:pPr>
              <w:widowControl/>
              <w:snapToGrid w:val="0"/>
              <w:spacing w:line="360" w:lineRule="auto"/>
              <w:ind w:firstLine="480" w:firstLineChars="200"/>
              <w:rPr>
                <w:sz w:val="24"/>
                <w:szCs w:val="24"/>
              </w:rPr>
            </w:pPr>
            <w:r>
              <w:rPr>
                <w:rFonts w:hint="eastAsia"/>
                <w:sz w:val="24"/>
                <w:szCs w:val="24"/>
              </w:rPr>
              <w:t>（2）模温机（导热油炉）液化石油气燃烧废气治理</w:t>
            </w:r>
            <w:r>
              <w:rPr>
                <w:rFonts w:hint="eastAsia"/>
                <w:color w:val="000000" w:themeColor="text1"/>
                <w:sz w:val="24"/>
                <w14:textFill>
                  <w14:solidFill>
                    <w14:schemeClr w14:val="tx1"/>
                  </w14:solidFill>
                </w14:textFill>
              </w:rPr>
              <w:t>措施</w:t>
            </w:r>
          </w:p>
          <w:p>
            <w:pPr>
              <w:widowControl/>
              <w:autoSpaceDE w:val="0"/>
              <w:autoSpaceDN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模温机（导热油炉）液化石油气燃烧机加装低氮燃烧器，燃烧废气经1根8m高排气筒排放。</w:t>
            </w:r>
          </w:p>
          <w:p>
            <w:pPr>
              <w:widowControl/>
              <w:snapToGrid w:val="0"/>
              <w:spacing w:line="360" w:lineRule="auto"/>
              <w:ind w:firstLine="480" w:firstLineChars="200"/>
              <w:rPr>
                <w:color w:val="000000"/>
                <w:sz w:val="24"/>
              </w:rPr>
            </w:pPr>
            <w:r>
              <w:rPr>
                <w:rFonts w:hint="eastAsia"/>
                <w:color w:val="000000"/>
                <w:sz w:val="24"/>
              </w:rPr>
              <w:t>低氮燃烧器</w:t>
            </w:r>
            <w:r>
              <w:rPr>
                <w:color w:val="000000"/>
                <w:sz w:val="24"/>
              </w:rPr>
              <w:t>工作原理：</w:t>
            </w:r>
            <w:r>
              <w:rPr>
                <w:rFonts w:hint="eastAsia"/>
                <w:color w:val="000000"/>
                <w:sz w:val="24"/>
              </w:rPr>
              <w:t>天然气中含氮量很低，燃烧温度高，NOx来源主要为热力型NOx，实际燃烧过程中，由于燃烧室内的温度分布是不均匀的，如果有局部高温区，则在这些区域会生成较多的NOx，它可能会对整个燃烧室内的NOx生成起关键作用。因此在炉膛内为了抑制NOx生成，除了降低炉内平均温度外，还必须是炉内温度分布均匀化，避免局部高温</w:t>
            </w:r>
            <w:r>
              <w:rPr>
                <w:color w:val="000000"/>
                <w:sz w:val="24"/>
              </w:rPr>
              <w:t>。</w:t>
            </w:r>
          </w:p>
          <w:p>
            <w:pPr>
              <w:adjustRightInd w:val="0"/>
              <w:snapToGrid w:val="0"/>
              <w:spacing w:line="360" w:lineRule="auto"/>
              <w:ind w:firstLine="480" w:firstLineChars="200"/>
              <w:rPr>
                <w:rFonts w:hAnsi="宋体"/>
                <w:color w:val="000000"/>
                <w:kern w:val="0"/>
                <w:sz w:val="24"/>
              </w:rPr>
            </w:pPr>
            <w:r>
              <w:rPr>
                <w:rFonts w:hint="eastAsia" w:hAnsi="宋体"/>
                <w:color w:val="000000"/>
                <w:kern w:val="0"/>
                <w:sz w:val="24"/>
              </w:rPr>
              <w:t>低氮燃烧器对NOx的去除效率按80%计算，则经处理后的导热油炉天然气燃烧废气各污染物排放浓度分别为：</w:t>
            </w:r>
            <w:r>
              <w:rPr>
                <w:rFonts w:hint="eastAsia"/>
                <w:color w:val="000000"/>
                <w:sz w:val="24"/>
              </w:rPr>
              <w:t>颗粒物：</w:t>
            </w:r>
            <w:r>
              <w:rPr>
                <w:rFonts w:hint="eastAsia" w:hAnsi="宋体"/>
                <w:color w:val="000000"/>
                <w:kern w:val="0"/>
                <w:sz w:val="24"/>
              </w:rPr>
              <w:t>3.5mg/m</w:t>
            </w:r>
            <w:r>
              <w:rPr>
                <w:rFonts w:hint="eastAsia" w:hAnsi="宋体"/>
                <w:color w:val="000000"/>
                <w:kern w:val="0"/>
                <w:sz w:val="24"/>
                <w:vertAlign w:val="superscript"/>
              </w:rPr>
              <w:t>3</w:t>
            </w:r>
            <w:r>
              <w:rPr>
                <w:rFonts w:hint="eastAsia" w:hAnsi="宋体"/>
                <w:color w:val="000000"/>
                <w:kern w:val="0"/>
                <w:sz w:val="24"/>
              </w:rPr>
              <w:t>，SO</w:t>
            </w:r>
            <w:r>
              <w:rPr>
                <w:rFonts w:hint="eastAsia" w:hAnsi="宋体"/>
                <w:color w:val="000000"/>
                <w:kern w:val="0"/>
                <w:sz w:val="24"/>
                <w:vertAlign w:val="subscript"/>
              </w:rPr>
              <w:t>2</w:t>
            </w:r>
            <w:r>
              <w:rPr>
                <w:rFonts w:hint="eastAsia" w:hAnsi="宋体"/>
                <w:color w:val="000000"/>
                <w:kern w:val="0"/>
                <w:sz w:val="24"/>
              </w:rPr>
              <w:t>：1.4mg/m</w:t>
            </w:r>
            <w:r>
              <w:rPr>
                <w:rFonts w:hint="eastAsia" w:hAnsi="宋体"/>
                <w:color w:val="000000"/>
                <w:kern w:val="0"/>
                <w:sz w:val="24"/>
                <w:vertAlign w:val="superscript"/>
              </w:rPr>
              <w:t>3</w:t>
            </w:r>
            <w:r>
              <w:rPr>
                <w:rFonts w:hint="eastAsia" w:hAnsi="宋体"/>
                <w:color w:val="000000"/>
                <w:kern w:val="0"/>
                <w:sz w:val="24"/>
              </w:rPr>
              <w:t>，NO</w:t>
            </w:r>
            <w:r>
              <w:rPr>
                <w:rFonts w:hint="eastAsia" w:hAnsi="宋体"/>
                <w:color w:val="000000"/>
                <w:kern w:val="0"/>
                <w:sz w:val="24"/>
                <w:vertAlign w:val="subscript"/>
              </w:rPr>
              <w:t>X</w:t>
            </w:r>
            <w:r>
              <w:rPr>
                <w:rFonts w:hint="eastAsia" w:hAnsi="宋体"/>
                <w:color w:val="000000"/>
                <w:kern w:val="0"/>
                <w:sz w:val="24"/>
              </w:rPr>
              <w:t>：41.8mg/m</w:t>
            </w:r>
            <w:r>
              <w:rPr>
                <w:rFonts w:hint="eastAsia" w:hAnsi="宋体"/>
                <w:color w:val="000000"/>
                <w:kern w:val="0"/>
                <w:sz w:val="24"/>
                <w:vertAlign w:val="superscript"/>
              </w:rPr>
              <w:t>3</w:t>
            </w:r>
            <w:r>
              <w:rPr>
                <w:rFonts w:hint="eastAsia" w:hAnsi="宋体"/>
                <w:color w:val="000000"/>
                <w:kern w:val="0"/>
                <w:sz w:val="24"/>
              </w:rPr>
              <w:t>，各污染物排放浓度可以满足</w:t>
            </w:r>
            <w:r>
              <w:rPr>
                <w:rFonts w:hint="eastAsia"/>
                <w:color w:val="000000"/>
                <w:sz w:val="24"/>
              </w:rPr>
              <w:t>《锅炉大气污染物排放标准》（DB41/2089-2021）要求，</w:t>
            </w:r>
            <w:r>
              <w:rPr>
                <w:color w:val="000000"/>
                <w:sz w:val="24"/>
              </w:rPr>
              <w:t>处理措施可行。</w:t>
            </w:r>
          </w:p>
          <w:p>
            <w:pPr>
              <w:widowControl/>
              <w:autoSpaceDE w:val="0"/>
              <w:autoSpaceDN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2.3环境影响预测与评价</w:t>
            </w:r>
          </w:p>
          <w:p>
            <w:pPr>
              <w:widowControl/>
              <w:autoSpaceDE w:val="0"/>
              <w:autoSpaceDN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①评价因子及评价标准</w:t>
            </w:r>
          </w:p>
          <w:p>
            <w:pPr>
              <w:widowControl/>
              <w:adjustRightInd w:val="0"/>
              <w:snapToGrid w:val="0"/>
              <w:spacing w:line="360" w:lineRule="auto"/>
              <w:ind w:firstLine="480" w:firstLineChars="200"/>
              <w:rPr>
                <w:rFonts w:hAnsi="宋体"/>
                <w:color w:val="000000"/>
                <w:sz w:val="24"/>
                <w:lang w:val="en-GB"/>
              </w:rPr>
            </w:pPr>
            <w:r>
              <w:rPr>
                <w:rFonts w:hint="eastAsia" w:hAnsi="宋体"/>
                <w:bCs/>
                <w:color w:val="000000"/>
                <w:sz w:val="24"/>
              </w:rPr>
              <w:t>根据项目的污染特征和当地大气环境质量状况，本次评价选取的评价因子和评价标准详见下表</w:t>
            </w:r>
            <w:r>
              <w:rPr>
                <w:rFonts w:hint="eastAsia" w:hAnsi="宋体"/>
                <w:color w:val="000000"/>
                <w:sz w:val="24"/>
                <w:lang w:val="en-GB"/>
              </w:rPr>
              <w:t>。</w:t>
            </w:r>
          </w:p>
          <w:p>
            <w:pPr>
              <w:snapToGrid w:val="0"/>
              <w:spacing w:line="360" w:lineRule="auto"/>
              <w:jc w:val="center"/>
              <w:rPr>
                <w:b/>
                <w:sz w:val="24"/>
              </w:rPr>
            </w:pPr>
            <w:r>
              <w:rPr>
                <w:b/>
                <w:sz w:val="24"/>
              </w:rPr>
              <w:t>表</w:t>
            </w:r>
            <w:r>
              <w:rPr>
                <w:rFonts w:hint="eastAsia"/>
                <w:b/>
                <w:sz w:val="24"/>
              </w:rPr>
              <w:t>4-5</w:t>
            </w:r>
            <w:r>
              <w:rPr>
                <w:b/>
                <w:sz w:val="24"/>
              </w:rPr>
              <w:t xml:space="preserve">  </w:t>
            </w:r>
            <w:r>
              <w:rPr>
                <w:rFonts w:hint="eastAsia"/>
                <w:b/>
                <w:sz w:val="24"/>
              </w:rPr>
              <w:t xml:space="preserve">       评价因子和评价标准</w:t>
            </w:r>
            <w:r>
              <w:rPr>
                <w:b/>
                <w:sz w:val="24"/>
              </w:rPr>
              <w:t xml:space="preserve"> </w:t>
            </w:r>
          </w:p>
          <w:tbl>
            <w:tblPr>
              <w:tblStyle w:val="30"/>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63"/>
              <w:gridCol w:w="1921"/>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401" w:type="pct"/>
                  <w:vAlign w:val="center"/>
                </w:tcPr>
                <w:p>
                  <w:pPr>
                    <w:pStyle w:val="115"/>
                    <w:spacing w:line="320" w:lineRule="exact"/>
                    <w:ind w:firstLine="0" w:firstLineChars="0"/>
                    <w:jc w:val="center"/>
                    <w:rPr>
                      <w:szCs w:val="21"/>
                    </w:rPr>
                  </w:pPr>
                  <w:r>
                    <w:rPr>
                      <w:szCs w:val="21"/>
                    </w:rPr>
                    <w:t>序号</w:t>
                  </w:r>
                </w:p>
              </w:tc>
              <w:tc>
                <w:tcPr>
                  <w:tcW w:w="1046" w:type="pct"/>
                  <w:vAlign w:val="center"/>
                </w:tcPr>
                <w:p>
                  <w:pPr>
                    <w:pStyle w:val="115"/>
                    <w:spacing w:line="320" w:lineRule="exact"/>
                    <w:ind w:firstLine="0" w:firstLineChars="0"/>
                    <w:jc w:val="center"/>
                    <w:rPr>
                      <w:szCs w:val="21"/>
                    </w:rPr>
                  </w:pPr>
                  <w:r>
                    <w:rPr>
                      <w:szCs w:val="21"/>
                    </w:rPr>
                    <w:t>评价因子</w:t>
                  </w:r>
                </w:p>
              </w:tc>
              <w:tc>
                <w:tcPr>
                  <w:tcW w:w="1208" w:type="pct"/>
                  <w:vAlign w:val="center"/>
                </w:tcPr>
                <w:p>
                  <w:pPr>
                    <w:pStyle w:val="115"/>
                    <w:spacing w:line="320" w:lineRule="exact"/>
                    <w:ind w:firstLine="0" w:firstLineChars="0"/>
                    <w:jc w:val="center"/>
                    <w:rPr>
                      <w:szCs w:val="21"/>
                    </w:rPr>
                  </w:pPr>
                  <w:r>
                    <w:rPr>
                      <w:rFonts w:hint="eastAsia"/>
                      <w:szCs w:val="21"/>
                    </w:rPr>
                    <w:t>1</w:t>
                  </w:r>
                  <w:r>
                    <w:rPr>
                      <w:szCs w:val="21"/>
                    </w:rPr>
                    <w:t>小时</w:t>
                  </w:r>
                  <w:r>
                    <w:rPr>
                      <w:rFonts w:hint="eastAsia"/>
                      <w:szCs w:val="21"/>
                    </w:rPr>
                    <w:t>平均值（ug/m</w:t>
                  </w:r>
                  <w:r>
                    <w:rPr>
                      <w:rFonts w:hint="eastAsia"/>
                      <w:szCs w:val="21"/>
                      <w:vertAlign w:val="superscript"/>
                    </w:rPr>
                    <w:t>3</w:t>
                  </w:r>
                  <w:r>
                    <w:rPr>
                      <w:rFonts w:hint="eastAsia"/>
                      <w:szCs w:val="21"/>
                    </w:rPr>
                    <w:t>）</w:t>
                  </w:r>
                </w:p>
              </w:tc>
              <w:tc>
                <w:tcPr>
                  <w:tcW w:w="2345" w:type="pct"/>
                  <w:vAlign w:val="center"/>
                </w:tcPr>
                <w:p>
                  <w:pPr>
                    <w:pStyle w:val="115"/>
                    <w:spacing w:line="320" w:lineRule="exact"/>
                    <w:ind w:firstLine="0" w:firstLineChars="0"/>
                    <w:jc w:val="center"/>
                    <w:rPr>
                      <w:szCs w:val="21"/>
                    </w:rPr>
                  </w:pPr>
                  <w:r>
                    <w:rPr>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01" w:type="pct"/>
                  <w:vAlign w:val="center"/>
                </w:tcPr>
                <w:p>
                  <w:pPr>
                    <w:pStyle w:val="115"/>
                    <w:spacing w:line="320" w:lineRule="exact"/>
                    <w:ind w:firstLine="0" w:firstLineChars="0"/>
                    <w:jc w:val="center"/>
                    <w:rPr>
                      <w:szCs w:val="21"/>
                    </w:rPr>
                  </w:pPr>
                  <w:r>
                    <w:rPr>
                      <w:rFonts w:hint="eastAsia"/>
                      <w:szCs w:val="21"/>
                    </w:rPr>
                    <w:t>1</w:t>
                  </w:r>
                </w:p>
              </w:tc>
              <w:tc>
                <w:tcPr>
                  <w:tcW w:w="1046" w:type="pct"/>
                  <w:vAlign w:val="center"/>
                </w:tcPr>
                <w:p>
                  <w:pPr>
                    <w:pStyle w:val="115"/>
                    <w:spacing w:line="320" w:lineRule="exact"/>
                    <w:ind w:firstLine="0" w:firstLineChars="0"/>
                    <w:jc w:val="center"/>
                    <w:rPr>
                      <w:szCs w:val="21"/>
                    </w:rPr>
                  </w:pPr>
                  <w:r>
                    <w:rPr>
                      <w:rFonts w:hint="eastAsia"/>
                      <w:szCs w:val="21"/>
                    </w:rPr>
                    <w:t>PM</w:t>
                  </w:r>
                  <w:r>
                    <w:rPr>
                      <w:rFonts w:hint="eastAsia"/>
                      <w:szCs w:val="21"/>
                      <w:vertAlign w:val="subscript"/>
                    </w:rPr>
                    <w:t>10</w:t>
                  </w:r>
                </w:p>
              </w:tc>
              <w:tc>
                <w:tcPr>
                  <w:tcW w:w="1208" w:type="pct"/>
                  <w:vAlign w:val="center"/>
                </w:tcPr>
                <w:p>
                  <w:pPr>
                    <w:pStyle w:val="115"/>
                    <w:spacing w:line="320" w:lineRule="exact"/>
                    <w:ind w:firstLine="0" w:firstLineChars="0"/>
                    <w:jc w:val="center"/>
                    <w:rPr>
                      <w:szCs w:val="21"/>
                    </w:rPr>
                  </w:pPr>
                  <w:r>
                    <w:rPr>
                      <w:rFonts w:hint="eastAsia"/>
                      <w:szCs w:val="21"/>
                    </w:rPr>
                    <w:t>450</w:t>
                  </w:r>
                </w:p>
              </w:tc>
              <w:tc>
                <w:tcPr>
                  <w:tcW w:w="2345" w:type="pct"/>
                  <w:vMerge w:val="restart"/>
                  <w:vAlign w:val="center"/>
                </w:tcPr>
                <w:p>
                  <w:pPr>
                    <w:pStyle w:val="115"/>
                    <w:spacing w:line="320" w:lineRule="exact"/>
                    <w:ind w:firstLine="0" w:firstLineChars="0"/>
                    <w:jc w:val="center"/>
                    <w:rPr>
                      <w:szCs w:val="21"/>
                    </w:rPr>
                  </w:pPr>
                  <w:r>
                    <w:rPr>
                      <w:rFonts w:hint="eastAsia"/>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01" w:type="pct"/>
                  <w:vAlign w:val="center"/>
                </w:tcPr>
                <w:p>
                  <w:pPr>
                    <w:pStyle w:val="115"/>
                    <w:spacing w:line="320" w:lineRule="exact"/>
                    <w:ind w:firstLine="0" w:firstLineChars="0"/>
                    <w:jc w:val="center"/>
                    <w:rPr>
                      <w:szCs w:val="21"/>
                    </w:rPr>
                  </w:pPr>
                  <w:r>
                    <w:rPr>
                      <w:rFonts w:hint="eastAsia"/>
                      <w:szCs w:val="21"/>
                    </w:rPr>
                    <w:t>2</w:t>
                  </w:r>
                </w:p>
              </w:tc>
              <w:tc>
                <w:tcPr>
                  <w:tcW w:w="1046" w:type="pct"/>
                  <w:vAlign w:val="center"/>
                </w:tcPr>
                <w:p>
                  <w:pPr>
                    <w:pStyle w:val="115"/>
                    <w:spacing w:line="320" w:lineRule="exact"/>
                    <w:ind w:firstLine="0" w:firstLineChars="0"/>
                    <w:jc w:val="center"/>
                    <w:rPr>
                      <w:szCs w:val="21"/>
                    </w:rPr>
                  </w:pPr>
                  <w:r>
                    <w:rPr>
                      <w:rFonts w:hint="eastAsia"/>
                      <w:szCs w:val="21"/>
                    </w:rPr>
                    <w:t>SO</w:t>
                  </w:r>
                  <w:r>
                    <w:rPr>
                      <w:rFonts w:hint="eastAsia"/>
                      <w:szCs w:val="21"/>
                      <w:vertAlign w:val="subscript"/>
                    </w:rPr>
                    <w:t>2</w:t>
                  </w:r>
                </w:p>
              </w:tc>
              <w:tc>
                <w:tcPr>
                  <w:tcW w:w="1208" w:type="pct"/>
                  <w:vAlign w:val="center"/>
                </w:tcPr>
                <w:p>
                  <w:pPr>
                    <w:pStyle w:val="115"/>
                    <w:spacing w:line="320" w:lineRule="exact"/>
                    <w:ind w:firstLine="0" w:firstLineChars="0"/>
                    <w:jc w:val="center"/>
                    <w:rPr>
                      <w:szCs w:val="21"/>
                    </w:rPr>
                  </w:pPr>
                  <w:r>
                    <w:rPr>
                      <w:rFonts w:hint="eastAsia"/>
                      <w:szCs w:val="21"/>
                    </w:rPr>
                    <w:t>200</w:t>
                  </w:r>
                </w:p>
              </w:tc>
              <w:tc>
                <w:tcPr>
                  <w:tcW w:w="2345" w:type="pct"/>
                  <w:vMerge w:val="continue"/>
                  <w:vAlign w:val="center"/>
                </w:tcPr>
                <w:p>
                  <w:pPr>
                    <w:pStyle w:val="115"/>
                    <w:spacing w:line="32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01" w:type="pct"/>
                  <w:vAlign w:val="center"/>
                </w:tcPr>
                <w:p>
                  <w:pPr>
                    <w:pStyle w:val="115"/>
                    <w:spacing w:line="320" w:lineRule="exact"/>
                    <w:ind w:firstLine="0" w:firstLineChars="0"/>
                    <w:jc w:val="center"/>
                    <w:rPr>
                      <w:szCs w:val="21"/>
                    </w:rPr>
                  </w:pPr>
                  <w:r>
                    <w:rPr>
                      <w:rFonts w:hint="eastAsia"/>
                      <w:szCs w:val="21"/>
                    </w:rPr>
                    <w:t>3</w:t>
                  </w:r>
                </w:p>
              </w:tc>
              <w:tc>
                <w:tcPr>
                  <w:tcW w:w="1046" w:type="pct"/>
                  <w:vAlign w:val="center"/>
                </w:tcPr>
                <w:p>
                  <w:pPr>
                    <w:pStyle w:val="115"/>
                    <w:spacing w:line="320" w:lineRule="exact"/>
                    <w:ind w:firstLine="0" w:firstLineChars="0"/>
                    <w:jc w:val="center"/>
                    <w:rPr>
                      <w:szCs w:val="21"/>
                    </w:rPr>
                  </w:pPr>
                  <w:r>
                    <w:rPr>
                      <w:rFonts w:hint="eastAsia"/>
                      <w:szCs w:val="21"/>
                    </w:rPr>
                    <w:t>NOx</w:t>
                  </w:r>
                </w:p>
              </w:tc>
              <w:tc>
                <w:tcPr>
                  <w:tcW w:w="1208" w:type="pct"/>
                  <w:vAlign w:val="center"/>
                </w:tcPr>
                <w:p>
                  <w:pPr>
                    <w:pStyle w:val="115"/>
                    <w:spacing w:line="320" w:lineRule="exact"/>
                    <w:ind w:firstLine="0" w:firstLineChars="0"/>
                    <w:jc w:val="center"/>
                    <w:rPr>
                      <w:szCs w:val="21"/>
                    </w:rPr>
                  </w:pPr>
                  <w:r>
                    <w:rPr>
                      <w:rFonts w:hint="eastAsia"/>
                      <w:szCs w:val="21"/>
                    </w:rPr>
                    <w:t>250</w:t>
                  </w:r>
                </w:p>
              </w:tc>
              <w:tc>
                <w:tcPr>
                  <w:tcW w:w="2345" w:type="pct"/>
                  <w:vMerge w:val="continue"/>
                  <w:vAlign w:val="center"/>
                </w:tcPr>
                <w:p>
                  <w:pPr>
                    <w:pStyle w:val="115"/>
                    <w:spacing w:line="320" w:lineRule="exac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01" w:type="pct"/>
                  <w:vAlign w:val="center"/>
                </w:tcPr>
                <w:p>
                  <w:pPr>
                    <w:pStyle w:val="115"/>
                    <w:spacing w:line="320" w:lineRule="exact"/>
                    <w:ind w:firstLine="0" w:firstLineChars="0"/>
                    <w:jc w:val="center"/>
                    <w:rPr>
                      <w:szCs w:val="21"/>
                    </w:rPr>
                  </w:pPr>
                  <w:r>
                    <w:rPr>
                      <w:rFonts w:hint="eastAsia"/>
                      <w:szCs w:val="21"/>
                    </w:rPr>
                    <w:t>4</w:t>
                  </w:r>
                </w:p>
              </w:tc>
              <w:tc>
                <w:tcPr>
                  <w:tcW w:w="1046" w:type="pct"/>
                  <w:vAlign w:val="center"/>
                </w:tcPr>
                <w:p>
                  <w:pPr>
                    <w:pStyle w:val="115"/>
                    <w:spacing w:line="320" w:lineRule="exact"/>
                    <w:ind w:firstLine="0" w:firstLineChars="0"/>
                    <w:jc w:val="center"/>
                    <w:rPr>
                      <w:szCs w:val="21"/>
                    </w:rPr>
                  </w:pPr>
                  <w:r>
                    <w:rPr>
                      <w:rFonts w:hint="eastAsia"/>
                      <w:szCs w:val="21"/>
                    </w:rPr>
                    <w:t>甲醛</w:t>
                  </w:r>
                </w:p>
              </w:tc>
              <w:tc>
                <w:tcPr>
                  <w:tcW w:w="1208" w:type="pct"/>
                  <w:vAlign w:val="center"/>
                </w:tcPr>
                <w:p>
                  <w:pPr>
                    <w:pStyle w:val="115"/>
                    <w:spacing w:line="320" w:lineRule="exact"/>
                    <w:ind w:firstLine="0" w:firstLineChars="0"/>
                    <w:jc w:val="center"/>
                    <w:rPr>
                      <w:szCs w:val="21"/>
                    </w:rPr>
                  </w:pPr>
                  <w:r>
                    <w:rPr>
                      <w:rFonts w:hint="eastAsia"/>
                      <w:szCs w:val="21"/>
                    </w:rPr>
                    <w:t>50</w:t>
                  </w:r>
                </w:p>
              </w:tc>
              <w:tc>
                <w:tcPr>
                  <w:tcW w:w="2345" w:type="pct"/>
                  <w:vAlign w:val="center"/>
                </w:tcPr>
                <w:p>
                  <w:pPr>
                    <w:pStyle w:val="115"/>
                    <w:spacing w:line="320" w:lineRule="exact"/>
                    <w:ind w:firstLine="0" w:firstLineChars="0"/>
                    <w:jc w:val="center"/>
                    <w:rPr>
                      <w:szCs w:val="21"/>
                    </w:rPr>
                  </w:pPr>
                  <w:r>
                    <w:rPr>
                      <w:rFonts w:hint="eastAsia"/>
                      <w:szCs w:val="21"/>
                    </w:rPr>
                    <w:t>《环境影响评价技术导则 大气环境》（HJ2.2-2018）附录D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01" w:type="pct"/>
                  <w:vAlign w:val="center"/>
                </w:tcPr>
                <w:p>
                  <w:pPr>
                    <w:pStyle w:val="115"/>
                    <w:spacing w:line="320" w:lineRule="exact"/>
                    <w:ind w:firstLine="0" w:firstLineChars="0"/>
                    <w:jc w:val="center"/>
                    <w:rPr>
                      <w:szCs w:val="21"/>
                    </w:rPr>
                  </w:pPr>
                  <w:r>
                    <w:rPr>
                      <w:rFonts w:hint="eastAsia"/>
                      <w:szCs w:val="21"/>
                    </w:rPr>
                    <w:t>5</w:t>
                  </w:r>
                </w:p>
              </w:tc>
              <w:tc>
                <w:tcPr>
                  <w:tcW w:w="1046" w:type="pct"/>
                  <w:vAlign w:val="center"/>
                </w:tcPr>
                <w:p>
                  <w:pPr>
                    <w:pStyle w:val="115"/>
                    <w:spacing w:line="320" w:lineRule="exact"/>
                    <w:ind w:firstLine="0" w:firstLineChars="0"/>
                    <w:jc w:val="center"/>
                    <w:rPr>
                      <w:szCs w:val="21"/>
                    </w:rPr>
                  </w:pPr>
                  <w:r>
                    <w:rPr>
                      <w:rFonts w:hint="eastAsia"/>
                      <w:szCs w:val="21"/>
                    </w:rPr>
                    <w:t>非甲烷总烃</w:t>
                  </w:r>
                </w:p>
              </w:tc>
              <w:tc>
                <w:tcPr>
                  <w:tcW w:w="1208" w:type="pct"/>
                  <w:vAlign w:val="center"/>
                </w:tcPr>
                <w:p>
                  <w:pPr>
                    <w:pStyle w:val="115"/>
                    <w:spacing w:line="320" w:lineRule="exact"/>
                    <w:ind w:firstLine="0" w:firstLineChars="0"/>
                    <w:jc w:val="center"/>
                    <w:rPr>
                      <w:szCs w:val="21"/>
                    </w:rPr>
                  </w:pPr>
                  <w:r>
                    <w:rPr>
                      <w:rFonts w:hint="eastAsia"/>
                      <w:szCs w:val="21"/>
                    </w:rPr>
                    <w:t>2000</w:t>
                  </w:r>
                </w:p>
              </w:tc>
              <w:tc>
                <w:tcPr>
                  <w:tcW w:w="2345" w:type="pct"/>
                  <w:vAlign w:val="center"/>
                </w:tcPr>
                <w:p>
                  <w:pPr>
                    <w:pStyle w:val="115"/>
                    <w:spacing w:line="320" w:lineRule="exact"/>
                    <w:ind w:firstLine="0" w:firstLineChars="0"/>
                    <w:jc w:val="center"/>
                    <w:rPr>
                      <w:szCs w:val="21"/>
                    </w:rPr>
                  </w:pPr>
                  <w:r>
                    <w:rPr>
                      <w:rFonts w:hint="eastAsia"/>
                      <w:szCs w:val="21"/>
                    </w:rPr>
                    <w:t>《大气污染物综合排放标准》（GB16297-1996）详解</w:t>
                  </w:r>
                </w:p>
              </w:tc>
            </w:tr>
          </w:tbl>
          <w:p>
            <w:pPr>
              <w:widowControl/>
              <w:autoSpaceDE w:val="0"/>
              <w:autoSpaceDN w:val="0"/>
              <w:snapToGrid w:val="0"/>
              <w:spacing w:line="360" w:lineRule="auto"/>
              <w:ind w:firstLine="480" w:firstLineChars="200"/>
              <w:rPr>
                <w:rFonts w:ascii="宋体" w:hAnsi="宋体"/>
                <w:bCs/>
                <w:color w:val="000000"/>
                <w:sz w:val="24"/>
              </w:rPr>
            </w:pPr>
            <w:r>
              <w:rPr>
                <w:rFonts w:hint="eastAsia" w:ascii="宋体" w:hAnsi="宋体"/>
                <w:bCs/>
                <w:color w:val="000000"/>
                <w:sz w:val="24"/>
              </w:rPr>
              <w:t>②污染源排放源强</w:t>
            </w:r>
          </w:p>
          <w:p>
            <w:pPr>
              <w:widowControl/>
              <w:autoSpaceDE w:val="0"/>
              <w:autoSpaceDN w:val="0"/>
              <w:snapToGrid w:val="0"/>
              <w:spacing w:line="360" w:lineRule="auto"/>
              <w:ind w:firstLine="480" w:firstLineChars="200"/>
              <w:rPr>
                <w:color w:val="000000"/>
                <w:sz w:val="24"/>
              </w:rPr>
            </w:pPr>
            <w:r>
              <w:rPr>
                <w:rFonts w:hint="eastAsia"/>
                <w:color w:val="000000"/>
                <w:sz w:val="24"/>
              </w:rPr>
              <w:t>估算模型参数见表4-6。</w:t>
            </w:r>
          </w:p>
          <w:p>
            <w:pPr>
              <w:widowControl/>
              <w:autoSpaceDE w:val="0"/>
              <w:autoSpaceDN w:val="0"/>
              <w:snapToGrid w:val="0"/>
              <w:spacing w:line="360" w:lineRule="auto"/>
              <w:jc w:val="center"/>
              <w:rPr>
                <w:b/>
                <w:bCs/>
                <w:color w:val="000000"/>
                <w:kern w:val="0"/>
                <w:sz w:val="24"/>
              </w:rPr>
            </w:pPr>
            <w:r>
              <w:rPr>
                <w:b/>
                <w:bCs/>
                <w:color w:val="000000"/>
                <w:kern w:val="0"/>
                <w:sz w:val="24"/>
              </w:rPr>
              <w:t>表</w:t>
            </w:r>
            <w:r>
              <w:rPr>
                <w:rFonts w:hint="eastAsia"/>
                <w:b/>
                <w:bCs/>
                <w:color w:val="000000"/>
                <w:kern w:val="0"/>
                <w:sz w:val="24"/>
              </w:rPr>
              <w:t xml:space="preserve">4-6 </w:t>
            </w:r>
            <w:r>
              <w:rPr>
                <w:b/>
                <w:bCs/>
                <w:color w:val="000000"/>
                <w:kern w:val="0"/>
                <w:sz w:val="24"/>
              </w:rPr>
              <w:t xml:space="preserve">         估算模型参数表</w:t>
            </w:r>
          </w:p>
          <w:tbl>
            <w:tblPr>
              <w:tblStyle w:val="30"/>
              <w:tblW w:w="81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3394"/>
              <w:gridCol w:w="2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jc w:val="center"/>
              </w:trPr>
              <w:tc>
                <w:tcPr>
                  <w:tcW w:w="5354" w:type="dxa"/>
                  <w:gridSpan w:val="2"/>
                  <w:tcBorders>
                    <w:top w:val="single" w:color="auto" w:sz="6" w:space="0"/>
                    <w:left w:val="single" w:color="auto" w:sz="6" w:space="0"/>
                  </w:tcBorders>
                  <w:vAlign w:val="center"/>
                </w:tcPr>
                <w:p>
                  <w:pPr>
                    <w:spacing w:line="360" w:lineRule="exact"/>
                    <w:jc w:val="center"/>
                    <w:rPr>
                      <w:color w:val="000000"/>
                    </w:rPr>
                  </w:pPr>
                  <w:r>
                    <w:rPr>
                      <w:color w:val="000000"/>
                    </w:rPr>
                    <w:t>参数</w:t>
                  </w:r>
                </w:p>
                <w:p>
                  <w:pPr>
                    <w:spacing w:line="360" w:lineRule="exact"/>
                    <w:jc w:val="center"/>
                    <w:rPr>
                      <w:color w:val="000000"/>
                    </w:rPr>
                  </w:pPr>
                  <w:r>
                    <w:rPr>
                      <w:color w:val="000000"/>
                    </w:rPr>
                    <w:t>项目</w:t>
                  </w:r>
                </w:p>
              </w:tc>
              <w:tc>
                <w:tcPr>
                  <w:tcW w:w="2768" w:type="dxa"/>
                  <w:tcBorders>
                    <w:top w:val="single" w:color="auto" w:sz="6" w:space="0"/>
                    <w:right w:val="single" w:color="auto" w:sz="6" w:space="0"/>
                  </w:tcBorders>
                  <w:vAlign w:val="center"/>
                </w:tcPr>
                <w:p>
                  <w:pPr>
                    <w:spacing w:line="360" w:lineRule="exact"/>
                    <w:jc w:val="center"/>
                    <w:rPr>
                      <w:color w:val="000000"/>
                    </w:rPr>
                  </w:pPr>
                  <w:r>
                    <w:rPr>
                      <w:color w:val="000000"/>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0" w:type="dxa"/>
                  <w:vMerge w:val="restart"/>
                  <w:tcBorders>
                    <w:left w:val="single" w:color="auto" w:sz="6" w:space="0"/>
                  </w:tcBorders>
                  <w:vAlign w:val="center"/>
                </w:tcPr>
                <w:p>
                  <w:pPr>
                    <w:spacing w:line="360" w:lineRule="exact"/>
                    <w:jc w:val="center"/>
                    <w:rPr>
                      <w:color w:val="000000"/>
                    </w:rPr>
                  </w:pPr>
                  <w:r>
                    <w:rPr>
                      <w:color w:val="000000"/>
                    </w:rPr>
                    <w:t>城市/农村选项</w:t>
                  </w:r>
                </w:p>
              </w:tc>
              <w:tc>
                <w:tcPr>
                  <w:tcW w:w="3394" w:type="dxa"/>
                  <w:vAlign w:val="center"/>
                </w:tcPr>
                <w:p>
                  <w:pPr>
                    <w:spacing w:line="360" w:lineRule="exact"/>
                    <w:jc w:val="center"/>
                    <w:rPr>
                      <w:color w:val="000000"/>
                    </w:rPr>
                  </w:pPr>
                  <w:r>
                    <w:rPr>
                      <w:color w:val="000000"/>
                      <w:kern w:val="0"/>
                      <w:lang w:val="zh-CN"/>
                    </w:rPr>
                    <w:t>城市</w:t>
                  </w:r>
                  <w:r>
                    <w:rPr>
                      <w:color w:val="000000"/>
                      <w:kern w:val="0"/>
                    </w:rPr>
                    <w:t>/农村</w:t>
                  </w:r>
                </w:p>
              </w:tc>
              <w:tc>
                <w:tcPr>
                  <w:tcW w:w="2768" w:type="dxa"/>
                  <w:tcBorders>
                    <w:right w:val="single" w:color="auto" w:sz="6" w:space="0"/>
                  </w:tcBorders>
                  <w:vAlign w:val="center"/>
                </w:tcPr>
                <w:p>
                  <w:pPr>
                    <w:spacing w:line="360" w:lineRule="exact"/>
                    <w:jc w:val="center"/>
                    <w:rPr>
                      <w:color w:val="000000"/>
                    </w:rPr>
                  </w:pPr>
                  <w:r>
                    <w:rPr>
                      <w:color w:val="000000"/>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jc w:val="center"/>
              </w:trPr>
              <w:tc>
                <w:tcPr>
                  <w:tcW w:w="1960" w:type="dxa"/>
                  <w:vMerge w:val="continue"/>
                  <w:tcBorders>
                    <w:left w:val="single" w:color="auto" w:sz="6" w:space="0"/>
                    <w:bottom w:val="single" w:color="auto" w:sz="6" w:space="0"/>
                  </w:tcBorders>
                  <w:vAlign w:val="center"/>
                </w:tcPr>
                <w:p>
                  <w:pPr>
                    <w:widowControl/>
                    <w:spacing w:line="360" w:lineRule="exact"/>
                    <w:jc w:val="left"/>
                    <w:rPr>
                      <w:color w:val="000000"/>
                    </w:rPr>
                  </w:pPr>
                </w:p>
              </w:tc>
              <w:tc>
                <w:tcPr>
                  <w:tcW w:w="3394" w:type="dxa"/>
                  <w:vAlign w:val="center"/>
                </w:tcPr>
                <w:p>
                  <w:pPr>
                    <w:spacing w:line="360" w:lineRule="exact"/>
                    <w:jc w:val="center"/>
                    <w:rPr>
                      <w:color w:val="000000"/>
                    </w:rPr>
                  </w:pPr>
                  <w:r>
                    <w:rPr>
                      <w:color w:val="000000"/>
                      <w:kern w:val="0"/>
                      <w:lang w:val="zh-CN"/>
                    </w:rPr>
                    <w:t>人口数（城市选项时）</w:t>
                  </w:r>
                </w:p>
              </w:tc>
              <w:tc>
                <w:tcPr>
                  <w:tcW w:w="2768" w:type="dxa"/>
                  <w:tcBorders>
                    <w:bottom w:val="single" w:color="auto" w:sz="6" w:space="0"/>
                    <w:right w:val="single" w:color="auto" w:sz="6" w:space="0"/>
                  </w:tcBorders>
                  <w:vAlign w:val="center"/>
                </w:tcPr>
                <w:p>
                  <w:pPr>
                    <w:spacing w:line="360" w:lineRule="exact"/>
                    <w:jc w:val="center"/>
                    <w:rPr>
                      <w:color w:val="000000"/>
                    </w:rPr>
                  </w:pPr>
                  <w:r>
                    <w:rPr>
                      <w:color w:val="00000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jc w:val="center"/>
              </w:trPr>
              <w:tc>
                <w:tcPr>
                  <w:tcW w:w="5354" w:type="dxa"/>
                  <w:gridSpan w:val="2"/>
                  <w:tcBorders>
                    <w:left w:val="single" w:color="auto" w:sz="6" w:space="0"/>
                    <w:bottom w:val="single" w:color="auto" w:sz="6" w:space="0"/>
                  </w:tcBorders>
                  <w:vAlign w:val="center"/>
                </w:tcPr>
                <w:p>
                  <w:pPr>
                    <w:spacing w:line="360" w:lineRule="exact"/>
                    <w:jc w:val="center"/>
                    <w:rPr>
                      <w:color w:val="000000"/>
                    </w:rPr>
                  </w:pPr>
                  <w:r>
                    <w:rPr>
                      <w:color w:val="000000"/>
                    </w:rPr>
                    <w:t>最高环境温度/℃</w:t>
                  </w:r>
                </w:p>
              </w:tc>
              <w:tc>
                <w:tcPr>
                  <w:tcW w:w="2768" w:type="dxa"/>
                  <w:tcBorders>
                    <w:top w:val="single" w:color="auto" w:sz="6" w:space="0"/>
                    <w:right w:val="single" w:color="auto" w:sz="6" w:space="0"/>
                  </w:tcBorders>
                  <w:vAlign w:val="center"/>
                </w:tcPr>
                <w:p>
                  <w:pPr>
                    <w:spacing w:line="360" w:lineRule="exact"/>
                    <w:jc w:val="center"/>
                    <w:rPr>
                      <w:color w:val="000000"/>
                    </w:rPr>
                  </w:pPr>
                  <w:r>
                    <w:rPr>
                      <w:rFonts w:hint="eastAsia"/>
                      <w:color w:val="000000"/>
                    </w:rPr>
                    <w:t>41.3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jc w:val="center"/>
              </w:trPr>
              <w:tc>
                <w:tcPr>
                  <w:tcW w:w="5354" w:type="dxa"/>
                  <w:gridSpan w:val="2"/>
                  <w:tcBorders>
                    <w:top w:val="single" w:color="auto" w:sz="6" w:space="0"/>
                    <w:left w:val="single" w:color="auto" w:sz="6" w:space="0"/>
                  </w:tcBorders>
                  <w:vAlign w:val="center"/>
                </w:tcPr>
                <w:p>
                  <w:pPr>
                    <w:spacing w:line="360" w:lineRule="exact"/>
                    <w:jc w:val="center"/>
                    <w:rPr>
                      <w:color w:val="000000"/>
                    </w:rPr>
                  </w:pPr>
                  <w:r>
                    <w:rPr>
                      <w:color w:val="000000"/>
                    </w:rPr>
                    <w:t>最低环境温度/℃</w:t>
                  </w:r>
                </w:p>
              </w:tc>
              <w:tc>
                <w:tcPr>
                  <w:tcW w:w="2768" w:type="dxa"/>
                  <w:tcBorders>
                    <w:right w:val="single" w:color="auto" w:sz="6" w:space="0"/>
                  </w:tcBorders>
                  <w:vAlign w:val="center"/>
                </w:tcPr>
                <w:p>
                  <w:pPr>
                    <w:spacing w:line="360" w:lineRule="exact"/>
                    <w:jc w:val="center"/>
                    <w:rPr>
                      <w:color w:val="000000"/>
                    </w:rPr>
                  </w:pPr>
                  <w:r>
                    <w:rPr>
                      <w:rFonts w:hint="eastAsia"/>
                      <w:color w:val="000000"/>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jc w:val="center"/>
              </w:trPr>
              <w:tc>
                <w:tcPr>
                  <w:tcW w:w="5354" w:type="dxa"/>
                  <w:gridSpan w:val="2"/>
                  <w:tcBorders>
                    <w:left w:val="single" w:color="auto" w:sz="6" w:space="0"/>
                  </w:tcBorders>
                  <w:vAlign w:val="center"/>
                </w:tcPr>
                <w:p>
                  <w:pPr>
                    <w:spacing w:line="360" w:lineRule="exact"/>
                    <w:jc w:val="center"/>
                    <w:rPr>
                      <w:color w:val="000000"/>
                    </w:rPr>
                  </w:pPr>
                  <w:r>
                    <w:rPr>
                      <w:color w:val="000000"/>
                    </w:rPr>
                    <w:t>土地利用类型</w:t>
                  </w:r>
                </w:p>
              </w:tc>
              <w:tc>
                <w:tcPr>
                  <w:tcW w:w="2768" w:type="dxa"/>
                  <w:tcBorders>
                    <w:right w:val="single" w:color="auto" w:sz="6" w:space="0"/>
                  </w:tcBorders>
                  <w:vAlign w:val="center"/>
                </w:tcPr>
                <w:p>
                  <w:pPr>
                    <w:spacing w:line="360" w:lineRule="exact"/>
                    <w:jc w:val="center"/>
                    <w:rPr>
                      <w:color w:val="000000"/>
                    </w:rPr>
                  </w:pPr>
                  <w:r>
                    <w:rPr>
                      <w:color w:val="000000"/>
                    </w:rPr>
                    <w:t>农作地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4" w:type="dxa"/>
                  <w:gridSpan w:val="2"/>
                  <w:tcBorders>
                    <w:left w:val="single" w:color="auto" w:sz="6" w:space="0"/>
                  </w:tcBorders>
                  <w:vAlign w:val="center"/>
                </w:tcPr>
                <w:p>
                  <w:pPr>
                    <w:spacing w:line="360" w:lineRule="exact"/>
                    <w:jc w:val="center"/>
                    <w:rPr>
                      <w:color w:val="000000"/>
                    </w:rPr>
                  </w:pPr>
                  <w:r>
                    <w:rPr>
                      <w:color w:val="000000"/>
                    </w:rPr>
                    <w:t>区域湿度条件</w:t>
                  </w:r>
                </w:p>
              </w:tc>
              <w:tc>
                <w:tcPr>
                  <w:tcW w:w="2768" w:type="dxa"/>
                  <w:tcBorders>
                    <w:bottom w:val="single" w:color="auto" w:sz="6" w:space="0"/>
                    <w:right w:val="single" w:color="auto" w:sz="6" w:space="0"/>
                  </w:tcBorders>
                  <w:vAlign w:val="center"/>
                </w:tcPr>
                <w:p>
                  <w:pPr>
                    <w:spacing w:line="360" w:lineRule="exact"/>
                    <w:jc w:val="center"/>
                    <w:rPr>
                      <w:color w:val="000000"/>
                    </w:rPr>
                  </w:pPr>
                  <w:r>
                    <w:rPr>
                      <w:color w:val="000000"/>
                    </w:rPr>
                    <w:t>中等湿润气候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0" w:type="dxa"/>
                  <w:vMerge w:val="restart"/>
                  <w:tcBorders>
                    <w:left w:val="single" w:color="auto" w:sz="6" w:space="0"/>
                  </w:tcBorders>
                  <w:vAlign w:val="center"/>
                </w:tcPr>
                <w:p>
                  <w:pPr>
                    <w:spacing w:line="360" w:lineRule="exact"/>
                    <w:jc w:val="center"/>
                    <w:rPr>
                      <w:color w:val="000000"/>
                    </w:rPr>
                  </w:pPr>
                  <w:r>
                    <w:rPr>
                      <w:color w:val="000000"/>
                    </w:rPr>
                    <w:t>是否考虑地形</w:t>
                  </w:r>
                </w:p>
              </w:tc>
              <w:tc>
                <w:tcPr>
                  <w:tcW w:w="3394" w:type="dxa"/>
                  <w:vAlign w:val="center"/>
                </w:tcPr>
                <w:p>
                  <w:pPr>
                    <w:spacing w:line="360" w:lineRule="exact"/>
                    <w:jc w:val="center"/>
                    <w:rPr>
                      <w:color w:val="000000"/>
                    </w:rPr>
                  </w:pPr>
                  <w:r>
                    <w:rPr>
                      <w:color w:val="000000"/>
                      <w:kern w:val="0"/>
                      <w:lang w:val="zh-CN"/>
                    </w:rPr>
                    <w:t>考虑地形</w:t>
                  </w:r>
                </w:p>
              </w:tc>
              <w:tc>
                <w:tcPr>
                  <w:tcW w:w="2768" w:type="dxa"/>
                  <w:tcBorders>
                    <w:top w:val="single" w:color="auto" w:sz="6" w:space="0"/>
                    <w:right w:val="single" w:color="auto" w:sz="6" w:space="0"/>
                  </w:tcBorders>
                  <w:vAlign w:val="center"/>
                </w:tcPr>
                <w:p>
                  <w:pPr>
                    <w:spacing w:line="360" w:lineRule="exact"/>
                    <w:jc w:val="center"/>
                    <w:rPr>
                      <w:color w:val="000000"/>
                    </w:rPr>
                  </w:pPr>
                  <w:r>
                    <w:rPr>
                      <w:color w:val="000000"/>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0" w:type="dxa"/>
                  <w:vMerge w:val="continue"/>
                  <w:tcBorders>
                    <w:left w:val="single" w:color="auto" w:sz="6" w:space="0"/>
                  </w:tcBorders>
                  <w:vAlign w:val="center"/>
                </w:tcPr>
                <w:p>
                  <w:pPr>
                    <w:widowControl/>
                    <w:spacing w:line="360" w:lineRule="exact"/>
                    <w:jc w:val="left"/>
                    <w:rPr>
                      <w:color w:val="000000"/>
                    </w:rPr>
                  </w:pPr>
                </w:p>
              </w:tc>
              <w:tc>
                <w:tcPr>
                  <w:tcW w:w="3394" w:type="dxa"/>
                  <w:vAlign w:val="center"/>
                </w:tcPr>
                <w:p>
                  <w:pPr>
                    <w:spacing w:line="360" w:lineRule="exact"/>
                    <w:jc w:val="center"/>
                    <w:rPr>
                      <w:color w:val="000000"/>
                      <w:kern w:val="0"/>
                      <w:lang w:val="zh-CN"/>
                    </w:rPr>
                  </w:pPr>
                  <w:r>
                    <w:rPr>
                      <w:color w:val="000000"/>
                      <w:kern w:val="0"/>
                      <w:lang w:val="zh-CN"/>
                    </w:rPr>
                    <w:t>地形数据分辨率</w:t>
                  </w:r>
                  <w:r>
                    <w:rPr>
                      <w:color w:val="000000"/>
                      <w:kern w:val="0"/>
                    </w:rPr>
                    <w:t>/m</w:t>
                  </w:r>
                </w:p>
              </w:tc>
              <w:tc>
                <w:tcPr>
                  <w:tcW w:w="2768" w:type="dxa"/>
                  <w:tcBorders>
                    <w:right w:val="single" w:color="auto" w:sz="6" w:space="0"/>
                  </w:tcBorders>
                  <w:vAlign w:val="center"/>
                </w:tcPr>
                <w:p>
                  <w:pPr>
                    <w:spacing w:line="360" w:lineRule="exact"/>
                    <w:jc w:val="center"/>
                    <w:rPr>
                      <w:color w:val="000000"/>
                    </w:rPr>
                  </w:pPr>
                  <w:r>
                    <w:rPr>
                      <w:rFonts w:hint="eastAsia"/>
                      <w:color w:val="000000"/>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0" w:type="dxa"/>
                  <w:vMerge w:val="restart"/>
                  <w:tcBorders>
                    <w:left w:val="single" w:color="auto" w:sz="6" w:space="0"/>
                  </w:tcBorders>
                  <w:vAlign w:val="center"/>
                </w:tcPr>
                <w:p>
                  <w:pPr>
                    <w:spacing w:line="360" w:lineRule="exact"/>
                    <w:jc w:val="center"/>
                    <w:rPr>
                      <w:color w:val="000000"/>
                    </w:rPr>
                  </w:pPr>
                  <w:r>
                    <w:rPr>
                      <w:color w:val="000000"/>
                    </w:rPr>
                    <w:t>是否考虑岸线熏烟</w:t>
                  </w:r>
                </w:p>
              </w:tc>
              <w:tc>
                <w:tcPr>
                  <w:tcW w:w="3394" w:type="dxa"/>
                  <w:vAlign w:val="center"/>
                </w:tcPr>
                <w:p>
                  <w:pPr>
                    <w:spacing w:line="360" w:lineRule="exact"/>
                    <w:jc w:val="center"/>
                    <w:rPr>
                      <w:color w:val="000000"/>
                      <w:kern w:val="0"/>
                      <w:lang w:val="zh-CN"/>
                    </w:rPr>
                  </w:pPr>
                  <w:r>
                    <w:rPr>
                      <w:color w:val="000000"/>
                      <w:kern w:val="0"/>
                      <w:lang w:val="zh-CN"/>
                    </w:rPr>
                    <w:t>考虑岸线熏烟</w:t>
                  </w:r>
                </w:p>
              </w:tc>
              <w:tc>
                <w:tcPr>
                  <w:tcW w:w="2768" w:type="dxa"/>
                  <w:tcBorders>
                    <w:right w:val="single" w:color="auto" w:sz="6" w:space="0"/>
                  </w:tcBorders>
                  <w:vAlign w:val="center"/>
                </w:tcPr>
                <w:p>
                  <w:pPr>
                    <w:spacing w:line="360" w:lineRule="exact"/>
                    <w:jc w:val="center"/>
                    <w:rPr>
                      <w:color w:val="000000"/>
                    </w:rPr>
                  </w:pPr>
                  <w:r>
                    <w:rPr>
                      <w:color w:val="000000"/>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jc w:val="center"/>
              </w:trPr>
              <w:tc>
                <w:tcPr>
                  <w:tcW w:w="1960" w:type="dxa"/>
                  <w:vMerge w:val="continue"/>
                  <w:tcBorders>
                    <w:left w:val="single" w:color="auto" w:sz="6" w:space="0"/>
                  </w:tcBorders>
                  <w:vAlign w:val="center"/>
                </w:tcPr>
                <w:p>
                  <w:pPr>
                    <w:widowControl/>
                    <w:spacing w:line="360" w:lineRule="exact"/>
                    <w:jc w:val="left"/>
                    <w:rPr>
                      <w:color w:val="000000"/>
                    </w:rPr>
                  </w:pPr>
                </w:p>
              </w:tc>
              <w:tc>
                <w:tcPr>
                  <w:tcW w:w="3394" w:type="dxa"/>
                  <w:vAlign w:val="center"/>
                </w:tcPr>
                <w:p>
                  <w:pPr>
                    <w:spacing w:line="360" w:lineRule="exact"/>
                    <w:jc w:val="center"/>
                    <w:rPr>
                      <w:color w:val="000000"/>
                      <w:kern w:val="0"/>
                      <w:lang w:val="zh-CN"/>
                    </w:rPr>
                  </w:pPr>
                  <w:r>
                    <w:rPr>
                      <w:color w:val="000000"/>
                      <w:kern w:val="0"/>
                      <w:lang w:val="zh-CN"/>
                    </w:rPr>
                    <w:t>岸线距离</w:t>
                  </w:r>
                  <w:r>
                    <w:rPr>
                      <w:color w:val="000000"/>
                      <w:kern w:val="0"/>
                    </w:rPr>
                    <w:t>/km</w:t>
                  </w:r>
                </w:p>
              </w:tc>
              <w:tc>
                <w:tcPr>
                  <w:tcW w:w="2768" w:type="dxa"/>
                  <w:tcBorders>
                    <w:right w:val="single" w:color="auto" w:sz="6" w:space="0"/>
                  </w:tcBorders>
                  <w:vAlign w:val="center"/>
                </w:tcPr>
                <w:p>
                  <w:pPr>
                    <w:spacing w:line="360" w:lineRule="exact"/>
                    <w:jc w:val="center"/>
                    <w:rPr>
                      <w:color w:val="000000"/>
                    </w:rPr>
                  </w:pPr>
                  <w:r>
                    <w:rPr>
                      <w:color w:val="00000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0" w:type="dxa"/>
                  <w:vMerge w:val="continue"/>
                  <w:tcBorders>
                    <w:left w:val="single" w:color="auto" w:sz="6" w:space="0"/>
                    <w:bottom w:val="single" w:color="auto" w:sz="6" w:space="0"/>
                  </w:tcBorders>
                  <w:vAlign w:val="center"/>
                </w:tcPr>
                <w:p>
                  <w:pPr>
                    <w:widowControl/>
                    <w:spacing w:line="360" w:lineRule="exact"/>
                    <w:jc w:val="left"/>
                    <w:rPr>
                      <w:color w:val="000000"/>
                    </w:rPr>
                  </w:pPr>
                </w:p>
              </w:tc>
              <w:tc>
                <w:tcPr>
                  <w:tcW w:w="3394" w:type="dxa"/>
                  <w:tcBorders>
                    <w:bottom w:val="single" w:color="auto" w:sz="6" w:space="0"/>
                  </w:tcBorders>
                  <w:vAlign w:val="center"/>
                </w:tcPr>
                <w:p>
                  <w:pPr>
                    <w:spacing w:line="360" w:lineRule="exact"/>
                    <w:jc w:val="center"/>
                    <w:rPr>
                      <w:color w:val="000000"/>
                      <w:kern w:val="0"/>
                      <w:lang w:val="zh-CN"/>
                    </w:rPr>
                  </w:pPr>
                  <w:r>
                    <w:rPr>
                      <w:color w:val="000000"/>
                      <w:kern w:val="0"/>
                      <w:lang w:val="zh-CN"/>
                    </w:rPr>
                    <w:t>岸线方向</w:t>
                  </w:r>
                  <w:r>
                    <w:rPr>
                      <w:color w:val="000000"/>
                      <w:kern w:val="0"/>
                    </w:rPr>
                    <w:t>/°</w:t>
                  </w:r>
                </w:p>
              </w:tc>
              <w:tc>
                <w:tcPr>
                  <w:tcW w:w="2768" w:type="dxa"/>
                  <w:tcBorders>
                    <w:bottom w:val="single" w:color="auto" w:sz="6" w:space="0"/>
                    <w:right w:val="single" w:color="auto" w:sz="6" w:space="0"/>
                  </w:tcBorders>
                  <w:vAlign w:val="center"/>
                </w:tcPr>
                <w:p>
                  <w:pPr>
                    <w:spacing w:line="360" w:lineRule="exact"/>
                    <w:jc w:val="center"/>
                    <w:rPr>
                      <w:color w:val="000000"/>
                    </w:rPr>
                  </w:pPr>
                  <w:r>
                    <w:rPr>
                      <w:color w:val="000000"/>
                    </w:rPr>
                    <w:t>/</w:t>
                  </w:r>
                </w:p>
              </w:tc>
            </w:tr>
          </w:tbl>
          <w:p>
            <w:pPr>
              <w:widowControl/>
              <w:autoSpaceDE w:val="0"/>
              <w:autoSpaceDN w:val="0"/>
              <w:snapToGrid w:val="0"/>
              <w:spacing w:line="360" w:lineRule="auto"/>
              <w:ind w:firstLine="480" w:firstLineChars="200"/>
              <w:rPr>
                <w:color w:val="000000"/>
                <w:sz w:val="24"/>
              </w:rPr>
            </w:pPr>
            <w:r>
              <w:rPr>
                <w:rFonts w:hint="eastAsia"/>
                <w:color w:val="000000"/>
                <w:sz w:val="24"/>
              </w:rPr>
              <w:t>污染源参数见表4-7~4-8。</w:t>
            </w:r>
          </w:p>
          <w:p>
            <w:pPr>
              <w:widowControl/>
              <w:autoSpaceDE w:val="0"/>
              <w:autoSpaceDN w:val="0"/>
              <w:snapToGrid w:val="0"/>
              <w:spacing w:line="360" w:lineRule="auto"/>
              <w:jc w:val="center"/>
              <w:rPr>
                <w:b/>
                <w:bCs/>
                <w:color w:val="000000"/>
                <w:kern w:val="0"/>
                <w:sz w:val="24"/>
              </w:rPr>
            </w:pPr>
            <w:r>
              <w:rPr>
                <w:b/>
                <w:bCs/>
                <w:color w:val="000000"/>
                <w:kern w:val="0"/>
                <w:sz w:val="24"/>
              </w:rPr>
              <w:t>表</w:t>
            </w:r>
            <w:r>
              <w:rPr>
                <w:rFonts w:hint="eastAsia"/>
                <w:b/>
                <w:bCs/>
                <w:color w:val="000000"/>
                <w:kern w:val="0"/>
                <w:sz w:val="24"/>
              </w:rPr>
              <w:t>4-7</w:t>
            </w:r>
            <w:r>
              <w:rPr>
                <w:b/>
                <w:bCs/>
                <w:color w:val="000000"/>
                <w:kern w:val="0"/>
                <w:sz w:val="24"/>
              </w:rPr>
              <w:t xml:space="preserve">        项目有组织</w:t>
            </w:r>
            <w:r>
              <w:rPr>
                <w:rFonts w:hint="eastAsia"/>
                <w:b/>
                <w:bCs/>
                <w:color w:val="000000"/>
                <w:kern w:val="0"/>
                <w:sz w:val="24"/>
              </w:rPr>
              <w:t>点</w:t>
            </w:r>
            <w:r>
              <w:rPr>
                <w:b/>
                <w:bCs/>
                <w:color w:val="000000"/>
                <w:kern w:val="0"/>
                <w:sz w:val="24"/>
              </w:rPr>
              <w:t>源</w:t>
            </w:r>
            <w:r>
              <w:rPr>
                <w:rFonts w:hint="eastAsia"/>
                <w:b/>
                <w:bCs/>
                <w:color w:val="000000"/>
                <w:kern w:val="0"/>
                <w:sz w:val="24"/>
              </w:rPr>
              <w:t>参数</w:t>
            </w:r>
            <w:r>
              <w:rPr>
                <w:b/>
                <w:bCs/>
                <w:color w:val="000000"/>
                <w:kern w:val="0"/>
                <w:sz w:val="24"/>
              </w:rPr>
              <w:t>一览表</w:t>
            </w:r>
          </w:p>
          <w:tbl>
            <w:tblPr>
              <w:tblStyle w:val="3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0"/>
              <w:gridCol w:w="851"/>
              <w:gridCol w:w="709"/>
              <w:gridCol w:w="567"/>
              <w:gridCol w:w="567"/>
              <w:gridCol w:w="708"/>
              <w:gridCol w:w="426"/>
              <w:gridCol w:w="708"/>
              <w:gridCol w:w="426"/>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961"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bCs/>
                      <w:color w:val="000000"/>
                      <w:spacing w:val="-10"/>
                      <w:szCs w:val="21"/>
                    </w:rPr>
                  </w:pPr>
                  <w:r>
                    <w:rPr>
                      <w:color w:val="000000"/>
                      <w:szCs w:val="21"/>
                    </w:rPr>
                    <w:t>点源名称</w:t>
                  </w:r>
                </w:p>
              </w:tc>
              <w:tc>
                <w:tcPr>
                  <w:tcW w:w="1701" w:type="dxa"/>
                  <w:gridSpan w:val="2"/>
                  <w:tcBorders>
                    <w:top w:val="single" w:color="auto" w:sz="4" w:space="0"/>
                    <w:left w:val="single" w:color="auto" w:sz="4" w:space="0"/>
                    <w:right w:val="single" w:color="auto" w:sz="4" w:space="0"/>
                  </w:tcBorders>
                  <w:vAlign w:val="center"/>
                </w:tcPr>
                <w:p>
                  <w:pPr>
                    <w:adjustRightInd w:val="0"/>
                    <w:snapToGrid w:val="0"/>
                    <w:spacing w:line="360" w:lineRule="exact"/>
                    <w:jc w:val="center"/>
                    <w:rPr>
                      <w:bCs/>
                      <w:color w:val="000000"/>
                      <w:spacing w:val="-10"/>
                      <w:szCs w:val="21"/>
                    </w:rPr>
                  </w:pPr>
                  <w:r>
                    <w:rPr>
                      <w:rFonts w:hint="eastAsia"/>
                      <w:color w:val="000000"/>
                      <w:szCs w:val="21"/>
                    </w:rPr>
                    <w:t>排气筒底部中心坐标</w:t>
                  </w:r>
                </w:p>
              </w:tc>
              <w:tc>
                <w:tcPr>
                  <w:tcW w:w="709"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排气筒</w:t>
                  </w:r>
                  <w:r>
                    <w:rPr>
                      <w:rFonts w:hint="eastAsia"/>
                      <w:color w:val="000000"/>
                      <w:szCs w:val="21"/>
                    </w:rPr>
                    <w:t>底部海拔</w:t>
                  </w:r>
                  <w:r>
                    <w:rPr>
                      <w:color w:val="000000"/>
                      <w:szCs w:val="21"/>
                    </w:rPr>
                    <w:t>高度</w:t>
                  </w:r>
                  <w:r>
                    <w:rPr>
                      <w:rFonts w:hint="eastAsia"/>
                      <w:color w:val="000000"/>
                      <w:szCs w:val="21"/>
                    </w:rPr>
                    <w:t>/m</w:t>
                  </w:r>
                </w:p>
              </w:tc>
              <w:tc>
                <w:tcPr>
                  <w:tcW w:w="567"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bCs/>
                      <w:color w:val="000000"/>
                      <w:spacing w:val="-10"/>
                      <w:szCs w:val="21"/>
                    </w:rPr>
                  </w:pPr>
                  <w:r>
                    <w:rPr>
                      <w:color w:val="000000"/>
                      <w:szCs w:val="21"/>
                    </w:rPr>
                    <w:t>排气筒</w:t>
                  </w:r>
                  <w:r>
                    <w:rPr>
                      <w:rFonts w:hint="eastAsia"/>
                      <w:color w:val="000000"/>
                      <w:szCs w:val="21"/>
                    </w:rPr>
                    <w:t>高度/m</w:t>
                  </w:r>
                </w:p>
              </w:tc>
              <w:tc>
                <w:tcPr>
                  <w:tcW w:w="567"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排气筒出口内径/</w:t>
                  </w:r>
                  <w:r>
                    <w:rPr>
                      <w:color w:val="000000"/>
                      <w:szCs w:val="21"/>
                    </w:rPr>
                    <w:t>m</w:t>
                  </w:r>
                </w:p>
              </w:tc>
              <w:tc>
                <w:tcPr>
                  <w:tcW w:w="708"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烟气流速m/s</w:t>
                  </w:r>
                </w:p>
              </w:tc>
              <w:tc>
                <w:tcPr>
                  <w:tcW w:w="426"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烟气温度/℃</w:t>
                  </w:r>
                </w:p>
              </w:tc>
              <w:tc>
                <w:tcPr>
                  <w:tcW w:w="708" w:type="dxa"/>
                  <w:vMerge w:val="restart"/>
                  <w:tcBorders>
                    <w:top w:val="single" w:color="auto" w:sz="4" w:space="0"/>
                    <w:left w:val="single" w:color="auto" w:sz="4" w:space="0"/>
                    <w:right w:val="single" w:color="auto" w:sz="4" w:space="0"/>
                  </w:tcBorders>
                  <w:vAlign w:val="center"/>
                </w:tcPr>
                <w:p>
                  <w:pPr>
                    <w:spacing w:line="360" w:lineRule="exact"/>
                    <w:jc w:val="center"/>
                    <w:rPr>
                      <w:bCs/>
                      <w:color w:val="000000"/>
                      <w:spacing w:val="-10"/>
                      <w:szCs w:val="21"/>
                    </w:rPr>
                  </w:pPr>
                  <w:r>
                    <w:rPr>
                      <w:color w:val="000000"/>
                      <w:szCs w:val="21"/>
                    </w:rPr>
                    <w:t>年排放小时数</w:t>
                  </w:r>
                  <w:r>
                    <w:rPr>
                      <w:rFonts w:hint="eastAsia"/>
                      <w:color w:val="000000"/>
                      <w:szCs w:val="21"/>
                    </w:rPr>
                    <w:t>/</w:t>
                  </w:r>
                  <w:r>
                    <w:rPr>
                      <w:color w:val="000000"/>
                      <w:szCs w:val="21"/>
                    </w:rPr>
                    <w:t>h</w:t>
                  </w:r>
                </w:p>
              </w:tc>
              <w:tc>
                <w:tcPr>
                  <w:tcW w:w="426" w:type="dxa"/>
                  <w:vMerge w:val="restart"/>
                  <w:vAlign w:val="center"/>
                </w:tcPr>
                <w:p>
                  <w:pPr>
                    <w:adjustRightInd w:val="0"/>
                    <w:snapToGrid w:val="0"/>
                    <w:spacing w:line="360" w:lineRule="exact"/>
                    <w:jc w:val="center"/>
                    <w:rPr>
                      <w:color w:val="000000"/>
                      <w:szCs w:val="21"/>
                    </w:rPr>
                  </w:pPr>
                  <w:r>
                    <w:rPr>
                      <w:color w:val="000000"/>
                      <w:szCs w:val="21"/>
                    </w:rPr>
                    <w:t>排放工况</w:t>
                  </w:r>
                </w:p>
              </w:tc>
              <w:tc>
                <w:tcPr>
                  <w:tcW w:w="1417" w:type="dxa"/>
                  <w:gridSpan w:val="2"/>
                  <w:vMerge w:val="restart"/>
                  <w:vAlign w:val="center"/>
                </w:tcPr>
                <w:p>
                  <w:pPr>
                    <w:adjustRightInd w:val="0"/>
                    <w:snapToGrid w:val="0"/>
                    <w:spacing w:line="360" w:lineRule="exact"/>
                    <w:jc w:val="center"/>
                    <w:rPr>
                      <w:color w:val="000000"/>
                      <w:szCs w:val="21"/>
                    </w:rPr>
                  </w:pPr>
                  <w:r>
                    <w:rPr>
                      <w:rFonts w:hint="eastAsia"/>
                      <w:color w:val="000000"/>
                      <w:szCs w:val="21"/>
                    </w:rPr>
                    <w:t>污染物排放速率/</w:t>
                  </w:r>
                  <w:r>
                    <w:rPr>
                      <w:color w:val="000000"/>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61" w:type="dxa"/>
                  <w:vMerge w:val="continue"/>
                  <w:tcBorders>
                    <w:left w:val="single" w:color="auto" w:sz="4" w:space="0"/>
                    <w:right w:val="single" w:color="auto" w:sz="4" w:space="0"/>
                  </w:tcBorders>
                  <w:vAlign w:val="center"/>
                </w:tcPr>
                <w:p>
                  <w:pPr>
                    <w:adjustRightInd w:val="0"/>
                    <w:snapToGrid w:val="0"/>
                    <w:spacing w:line="360" w:lineRule="exact"/>
                    <w:jc w:val="center"/>
                    <w:rPr>
                      <w:color w:val="000000"/>
                      <w:szCs w:val="21"/>
                    </w:rPr>
                  </w:pPr>
                </w:p>
              </w:tc>
              <w:tc>
                <w:tcPr>
                  <w:tcW w:w="850"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color w:val="000000"/>
                      <w:szCs w:val="21"/>
                    </w:rPr>
                  </w:pPr>
                  <w:r>
                    <w:rPr>
                      <w:rFonts w:hint="eastAsia"/>
                      <w:color w:val="000000"/>
                      <w:szCs w:val="21"/>
                    </w:rPr>
                    <w:t>经度</w:t>
                  </w:r>
                </w:p>
              </w:tc>
              <w:tc>
                <w:tcPr>
                  <w:tcW w:w="851"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color w:val="000000"/>
                      <w:szCs w:val="21"/>
                    </w:rPr>
                  </w:pPr>
                  <w:r>
                    <w:rPr>
                      <w:rFonts w:hint="eastAsia"/>
                      <w:color w:val="000000"/>
                      <w:szCs w:val="21"/>
                    </w:rPr>
                    <w:t>纬度</w:t>
                  </w:r>
                </w:p>
              </w:tc>
              <w:tc>
                <w:tcPr>
                  <w:tcW w:w="709" w:type="dxa"/>
                  <w:vMerge w:val="continue"/>
                  <w:tcBorders>
                    <w:left w:val="single" w:color="auto" w:sz="4" w:space="0"/>
                    <w:right w:val="single" w:color="auto" w:sz="4" w:space="0"/>
                  </w:tcBorders>
                  <w:vAlign w:val="center"/>
                </w:tcPr>
                <w:p>
                  <w:pPr>
                    <w:adjustRightInd w:val="0"/>
                    <w:snapToGrid w:val="0"/>
                    <w:spacing w:line="360" w:lineRule="exact"/>
                    <w:jc w:val="center"/>
                    <w:rPr>
                      <w:color w:val="000000"/>
                      <w:szCs w:val="21"/>
                    </w:rPr>
                  </w:pPr>
                </w:p>
              </w:tc>
              <w:tc>
                <w:tcPr>
                  <w:tcW w:w="567" w:type="dxa"/>
                  <w:vMerge w:val="continue"/>
                  <w:tcBorders>
                    <w:left w:val="single" w:color="auto" w:sz="4" w:space="0"/>
                    <w:right w:val="single" w:color="auto" w:sz="4" w:space="0"/>
                  </w:tcBorders>
                  <w:vAlign w:val="center"/>
                </w:tcPr>
                <w:p>
                  <w:pPr>
                    <w:adjustRightInd w:val="0"/>
                    <w:snapToGrid w:val="0"/>
                    <w:spacing w:line="360" w:lineRule="exact"/>
                    <w:jc w:val="center"/>
                    <w:rPr>
                      <w:color w:val="000000"/>
                      <w:szCs w:val="21"/>
                    </w:rPr>
                  </w:pPr>
                </w:p>
              </w:tc>
              <w:tc>
                <w:tcPr>
                  <w:tcW w:w="567"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426"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426" w:type="dxa"/>
                  <w:vMerge w:val="continue"/>
                  <w:vAlign w:val="center"/>
                </w:tcPr>
                <w:p>
                  <w:pPr>
                    <w:adjustRightInd w:val="0"/>
                    <w:snapToGrid w:val="0"/>
                    <w:spacing w:line="360" w:lineRule="exact"/>
                    <w:jc w:val="center"/>
                    <w:rPr>
                      <w:color w:val="000000"/>
                      <w:szCs w:val="21"/>
                    </w:rPr>
                  </w:pPr>
                </w:p>
              </w:tc>
              <w:tc>
                <w:tcPr>
                  <w:tcW w:w="1417" w:type="dxa"/>
                  <w:gridSpan w:val="2"/>
                  <w:vMerge w:val="continue"/>
                  <w:vAlign w:val="center"/>
                </w:tcPr>
                <w:p>
                  <w:pPr>
                    <w:adjustRightInd w:val="0"/>
                    <w:snapToGrid w:val="0"/>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热压工序</w:t>
                  </w:r>
                  <w:r>
                    <w:rPr>
                      <w:color w:val="000000"/>
                      <w:szCs w:val="21"/>
                    </w:rPr>
                    <w:t>排气筒</w:t>
                  </w:r>
                </w:p>
              </w:tc>
              <w:tc>
                <w:tcPr>
                  <w:tcW w:w="850"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color w:val="000000"/>
                      <w:szCs w:val="21"/>
                    </w:rPr>
                    <w:t>112°27′33.23″</w:t>
                  </w:r>
                </w:p>
              </w:tc>
              <w:tc>
                <w:tcPr>
                  <w:tcW w:w="851"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color w:val="000000"/>
                      <w:szCs w:val="21"/>
                    </w:rPr>
                    <w:t>32°29′35.53″</w:t>
                  </w:r>
                </w:p>
              </w:tc>
              <w:tc>
                <w:tcPr>
                  <w:tcW w:w="709"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937</w:t>
                  </w:r>
                </w:p>
              </w:tc>
              <w:tc>
                <w:tcPr>
                  <w:tcW w:w="567"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15</w:t>
                  </w:r>
                </w:p>
              </w:tc>
              <w:tc>
                <w:tcPr>
                  <w:tcW w:w="567"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0.4</w:t>
                  </w:r>
                </w:p>
              </w:tc>
              <w:tc>
                <w:tcPr>
                  <w:tcW w:w="708"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11.05</w:t>
                  </w:r>
                </w:p>
              </w:tc>
              <w:tc>
                <w:tcPr>
                  <w:tcW w:w="426"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25</w:t>
                  </w:r>
                </w:p>
              </w:tc>
              <w:tc>
                <w:tcPr>
                  <w:tcW w:w="708"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1600</w:t>
                  </w:r>
                </w:p>
              </w:tc>
              <w:tc>
                <w:tcPr>
                  <w:tcW w:w="426" w:type="dxa"/>
                  <w:vMerge w:val="restart"/>
                  <w:vAlign w:val="center"/>
                </w:tcPr>
                <w:p>
                  <w:pPr>
                    <w:spacing w:line="360" w:lineRule="exact"/>
                    <w:jc w:val="center"/>
                    <w:rPr>
                      <w:color w:val="000000"/>
                      <w:szCs w:val="21"/>
                    </w:rPr>
                  </w:pPr>
                  <w:r>
                    <w:rPr>
                      <w:color w:val="000000"/>
                      <w:szCs w:val="21"/>
                    </w:rPr>
                    <w:t>正常</w:t>
                  </w:r>
                </w:p>
              </w:tc>
              <w:tc>
                <w:tcPr>
                  <w:tcW w:w="708" w:type="dxa"/>
                  <w:vAlign w:val="center"/>
                </w:tcPr>
                <w:p>
                  <w:pPr>
                    <w:spacing w:line="360" w:lineRule="exact"/>
                    <w:jc w:val="center"/>
                    <w:rPr>
                      <w:color w:val="000000"/>
                      <w:szCs w:val="21"/>
                    </w:rPr>
                  </w:pPr>
                  <w:r>
                    <w:rPr>
                      <w:rFonts w:hint="eastAsia"/>
                      <w:color w:val="000000"/>
                      <w:szCs w:val="21"/>
                    </w:rPr>
                    <w:t>甲醛</w:t>
                  </w:r>
                </w:p>
              </w:tc>
              <w:tc>
                <w:tcPr>
                  <w:tcW w:w="709" w:type="dxa"/>
                  <w:vAlign w:val="center"/>
                </w:tcPr>
                <w:p>
                  <w:pPr>
                    <w:spacing w:line="360" w:lineRule="exact"/>
                    <w:jc w:val="center"/>
                    <w:rPr>
                      <w:color w:val="000000"/>
                      <w:szCs w:val="21"/>
                    </w:rPr>
                  </w:pPr>
                  <w:r>
                    <w:rPr>
                      <w:rFonts w:hint="eastAsia"/>
                      <w:color w:val="000000"/>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961"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850"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709"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567"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567"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426"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426" w:type="dxa"/>
                  <w:vMerge w:val="continue"/>
                  <w:vAlign w:val="center"/>
                </w:tcPr>
                <w:p>
                  <w:pPr>
                    <w:spacing w:line="360" w:lineRule="exact"/>
                    <w:jc w:val="center"/>
                    <w:rPr>
                      <w:color w:val="000000"/>
                      <w:szCs w:val="21"/>
                    </w:rPr>
                  </w:pPr>
                </w:p>
              </w:tc>
              <w:tc>
                <w:tcPr>
                  <w:tcW w:w="708" w:type="dxa"/>
                  <w:vAlign w:val="center"/>
                </w:tcPr>
                <w:p>
                  <w:pPr>
                    <w:spacing w:line="360" w:lineRule="exact"/>
                    <w:jc w:val="center"/>
                    <w:rPr>
                      <w:color w:val="000000"/>
                      <w:szCs w:val="21"/>
                    </w:rPr>
                  </w:pPr>
                  <w:r>
                    <w:rPr>
                      <w:rFonts w:hint="eastAsia"/>
                      <w:color w:val="000000"/>
                      <w:szCs w:val="21"/>
                    </w:rPr>
                    <w:t>非甲烷总烃</w:t>
                  </w:r>
                </w:p>
              </w:tc>
              <w:tc>
                <w:tcPr>
                  <w:tcW w:w="709" w:type="dxa"/>
                  <w:vAlign w:val="center"/>
                </w:tcPr>
                <w:p>
                  <w:pPr>
                    <w:spacing w:line="360" w:lineRule="exact"/>
                    <w:jc w:val="center"/>
                    <w:rPr>
                      <w:color w:val="000000"/>
                      <w:szCs w:val="21"/>
                    </w:rPr>
                  </w:pPr>
                  <w:r>
                    <w:rPr>
                      <w:rFonts w:hint="eastAsia"/>
                      <w:color w:val="00000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液化石油气燃烧废气排气筒</w:t>
                  </w:r>
                </w:p>
              </w:tc>
              <w:tc>
                <w:tcPr>
                  <w:tcW w:w="850"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color w:val="000000"/>
                      <w:szCs w:val="21"/>
                    </w:rPr>
                    <w:t>112°</w:t>
                  </w:r>
                  <w:r>
                    <w:rPr>
                      <w:rFonts w:hint="eastAsia"/>
                      <w:color w:val="000000"/>
                      <w:szCs w:val="21"/>
                    </w:rPr>
                    <w:t>19</w:t>
                  </w:r>
                  <w:r>
                    <w:rPr>
                      <w:color w:val="000000"/>
                      <w:szCs w:val="21"/>
                    </w:rPr>
                    <w:t>′</w:t>
                  </w:r>
                  <w:r>
                    <w:rPr>
                      <w:rFonts w:hint="eastAsia"/>
                      <w:color w:val="000000"/>
                      <w:szCs w:val="21"/>
                    </w:rPr>
                    <w:t>51.67</w:t>
                  </w:r>
                  <w:r>
                    <w:rPr>
                      <w:color w:val="000000"/>
                      <w:szCs w:val="21"/>
                    </w:rPr>
                    <w:t>″</w:t>
                  </w:r>
                </w:p>
              </w:tc>
              <w:tc>
                <w:tcPr>
                  <w:tcW w:w="851"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color w:val="000000"/>
                      <w:szCs w:val="21"/>
                    </w:rPr>
                    <w:t>32°</w:t>
                  </w:r>
                  <w:r>
                    <w:rPr>
                      <w:rFonts w:hint="eastAsia"/>
                      <w:color w:val="000000"/>
                      <w:szCs w:val="21"/>
                    </w:rPr>
                    <w:t>30</w:t>
                  </w:r>
                  <w:r>
                    <w:rPr>
                      <w:color w:val="000000"/>
                      <w:szCs w:val="21"/>
                    </w:rPr>
                    <w:t>′</w:t>
                  </w:r>
                  <w:r>
                    <w:rPr>
                      <w:rFonts w:hint="eastAsia"/>
                      <w:color w:val="000000"/>
                      <w:szCs w:val="21"/>
                    </w:rPr>
                    <w:t>36.97</w:t>
                  </w:r>
                  <w:r>
                    <w:rPr>
                      <w:color w:val="000000"/>
                      <w:szCs w:val="21"/>
                    </w:rPr>
                    <w:t>″</w:t>
                  </w:r>
                </w:p>
              </w:tc>
              <w:tc>
                <w:tcPr>
                  <w:tcW w:w="709"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937</w:t>
                  </w:r>
                </w:p>
              </w:tc>
              <w:tc>
                <w:tcPr>
                  <w:tcW w:w="567"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8</w:t>
                  </w:r>
                </w:p>
              </w:tc>
              <w:tc>
                <w:tcPr>
                  <w:tcW w:w="567"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0.1</w:t>
                  </w:r>
                </w:p>
              </w:tc>
              <w:tc>
                <w:tcPr>
                  <w:tcW w:w="708"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5.41</w:t>
                  </w:r>
                </w:p>
              </w:tc>
              <w:tc>
                <w:tcPr>
                  <w:tcW w:w="426"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30</w:t>
                  </w:r>
                </w:p>
              </w:tc>
              <w:tc>
                <w:tcPr>
                  <w:tcW w:w="708" w:type="dxa"/>
                  <w:vMerge w:val="restart"/>
                  <w:tcBorders>
                    <w:top w:val="single" w:color="auto" w:sz="4" w:space="0"/>
                    <w:left w:val="single" w:color="auto" w:sz="4" w:space="0"/>
                    <w:right w:val="single" w:color="auto" w:sz="4" w:space="0"/>
                  </w:tcBorders>
                  <w:vAlign w:val="center"/>
                </w:tcPr>
                <w:p>
                  <w:pPr>
                    <w:spacing w:line="360" w:lineRule="exact"/>
                    <w:jc w:val="center"/>
                    <w:rPr>
                      <w:color w:val="000000"/>
                      <w:szCs w:val="21"/>
                    </w:rPr>
                  </w:pPr>
                  <w:r>
                    <w:rPr>
                      <w:rFonts w:hint="eastAsia"/>
                      <w:color w:val="000000"/>
                      <w:szCs w:val="21"/>
                    </w:rPr>
                    <w:t>1600</w:t>
                  </w:r>
                </w:p>
              </w:tc>
              <w:tc>
                <w:tcPr>
                  <w:tcW w:w="426" w:type="dxa"/>
                  <w:vMerge w:val="restart"/>
                  <w:vAlign w:val="center"/>
                </w:tcPr>
                <w:p>
                  <w:pPr>
                    <w:spacing w:line="360" w:lineRule="exact"/>
                    <w:jc w:val="center"/>
                    <w:rPr>
                      <w:color w:val="000000"/>
                      <w:szCs w:val="21"/>
                    </w:rPr>
                  </w:pPr>
                  <w:r>
                    <w:rPr>
                      <w:color w:val="000000"/>
                      <w:szCs w:val="21"/>
                    </w:rPr>
                    <w:t>正常</w:t>
                  </w:r>
                </w:p>
              </w:tc>
              <w:tc>
                <w:tcPr>
                  <w:tcW w:w="708" w:type="dxa"/>
                  <w:vAlign w:val="center"/>
                </w:tcPr>
                <w:p>
                  <w:pPr>
                    <w:spacing w:line="360" w:lineRule="exact"/>
                    <w:jc w:val="center"/>
                    <w:rPr>
                      <w:color w:val="000000"/>
                      <w:szCs w:val="21"/>
                    </w:rPr>
                  </w:pPr>
                  <w:r>
                    <w:rPr>
                      <w:rFonts w:hint="eastAsia"/>
                      <w:color w:val="000000"/>
                      <w:szCs w:val="21"/>
                    </w:rPr>
                    <w:t>PM</w:t>
                  </w:r>
                  <w:r>
                    <w:rPr>
                      <w:rFonts w:hint="eastAsia"/>
                      <w:color w:val="000000"/>
                      <w:szCs w:val="21"/>
                      <w:vertAlign w:val="subscript"/>
                    </w:rPr>
                    <w:t>10</w:t>
                  </w:r>
                </w:p>
              </w:tc>
              <w:tc>
                <w:tcPr>
                  <w:tcW w:w="709" w:type="dxa"/>
                  <w:vAlign w:val="center"/>
                </w:tcPr>
                <w:p>
                  <w:pPr>
                    <w:spacing w:line="360" w:lineRule="exact"/>
                    <w:jc w:val="center"/>
                    <w:rPr>
                      <w:color w:val="000000"/>
                      <w:szCs w:val="21"/>
                    </w:rPr>
                  </w:pPr>
                  <w:r>
                    <w:rPr>
                      <w:rFonts w:hint="eastAsia"/>
                      <w:color w:val="000000"/>
                      <w:szCs w:val="21"/>
                    </w:rPr>
                    <w:t>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961"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850"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851"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709"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567"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567"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426"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right w:val="single" w:color="auto" w:sz="4" w:space="0"/>
                  </w:tcBorders>
                  <w:vAlign w:val="center"/>
                </w:tcPr>
                <w:p>
                  <w:pPr>
                    <w:spacing w:line="360" w:lineRule="exact"/>
                    <w:jc w:val="center"/>
                    <w:rPr>
                      <w:color w:val="000000"/>
                      <w:szCs w:val="21"/>
                    </w:rPr>
                  </w:pPr>
                </w:p>
              </w:tc>
              <w:tc>
                <w:tcPr>
                  <w:tcW w:w="426" w:type="dxa"/>
                  <w:vMerge w:val="continue"/>
                  <w:vAlign w:val="center"/>
                </w:tcPr>
                <w:p>
                  <w:pPr>
                    <w:spacing w:line="360" w:lineRule="exact"/>
                    <w:jc w:val="center"/>
                    <w:rPr>
                      <w:color w:val="000000"/>
                      <w:szCs w:val="21"/>
                    </w:rPr>
                  </w:pPr>
                </w:p>
              </w:tc>
              <w:tc>
                <w:tcPr>
                  <w:tcW w:w="708" w:type="dxa"/>
                  <w:vAlign w:val="center"/>
                </w:tcPr>
                <w:p>
                  <w:pPr>
                    <w:spacing w:line="360" w:lineRule="exact"/>
                    <w:jc w:val="center"/>
                    <w:outlineLvl w:val="0"/>
                    <w:rPr>
                      <w:color w:val="000000"/>
                      <w:szCs w:val="21"/>
                    </w:rPr>
                  </w:pPr>
                  <w:r>
                    <w:rPr>
                      <w:rFonts w:hint="eastAsia"/>
                      <w:color w:val="000000"/>
                      <w:szCs w:val="21"/>
                    </w:rPr>
                    <w:t>SO</w:t>
                  </w:r>
                  <w:r>
                    <w:rPr>
                      <w:rFonts w:hint="eastAsia"/>
                      <w:color w:val="000000"/>
                      <w:szCs w:val="21"/>
                      <w:vertAlign w:val="subscript"/>
                    </w:rPr>
                    <w:t>2</w:t>
                  </w:r>
                </w:p>
              </w:tc>
              <w:tc>
                <w:tcPr>
                  <w:tcW w:w="709" w:type="dxa"/>
                  <w:vAlign w:val="center"/>
                </w:tcPr>
                <w:p>
                  <w:pPr>
                    <w:spacing w:line="360" w:lineRule="exact"/>
                    <w:jc w:val="center"/>
                    <w:rPr>
                      <w:color w:val="000000"/>
                      <w:szCs w:val="21"/>
                    </w:rPr>
                  </w:pPr>
                  <w:r>
                    <w:rPr>
                      <w:rFonts w:hint="eastAsia"/>
                      <w:color w:val="000000"/>
                      <w:szCs w:val="21"/>
                    </w:rPr>
                    <w:t>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850"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709"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567"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567"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426"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708" w:type="dxa"/>
                  <w:vMerge w:val="continue"/>
                  <w:tcBorders>
                    <w:left w:val="single" w:color="auto" w:sz="4" w:space="0"/>
                    <w:bottom w:val="single" w:color="auto" w:sz="4" w:space="0"/>
                    <w:right w:val="single" w:color="auto" w:sz="4" w:space="0"/>
                  </w:tcBorders>
                  <w:vAlign w:val="center"/>
                </w:tcPr>
                <w:p>
                  <w:pPr>
                    <w:spacing w:line="360" w:lineRule="exact"/>
                    <w:jc w:val="center"/>
                    <w:rPr>
                      <w:color w:val="000000"/>
                      <w:szCs w:val="21"/>
                    </w:rPr>
                  </w:pPr>
                </w:p>
              </w:tc>
              <w:tc>
                <w:tcPr>
                  <w:tcW w:w="426" w:type="dxa"/>
                  <w:vMerge w:val="continue"/>
                  <w:vAlign w:val="center"/>
                </w:tcPr>
                <w:p>
                  <w:pPr>
                    <w:spacing w:line="360" w:lineRule="exact"/>
                    <w:jc w:val="center"/>
                    <w:rPr>
                      <w:color w:val="000000"/>
                      <w:szCs w:val="21"/>
                    </w:rPr>
                  </w:pPr>
                </w:p>
              </w:tc>
              <w:tc>
                <w:tcPr>
                  <w:tcW w:w="708" w:type="dxa"/>
                  <w:vAlign w:val="center"/>
                </w:tcPr>
                <w:p>
                  <w:pPr>
                    <w:spacing w:line="360" w:lineRule="exact"/>
                    <w:jc w:val="center"/>
                    <w:outlineLvl w:val="0"/>
                    <w:rPr>
                      <w:color w:val="000000"/>
                      <w:szCs w:val="21"/>
                    </w:rPr>
                  </w:pPr>
                  <w:r>
                    <w:rPr>
                      <w:rFonts w:hint="eastAsia"/>
                      <w:color w:val="000000"/>
                      <w:szCs w:val="21"/>
                    </w:rPr>
                    <w:t>NOx</w:t>
                  </w:r>
                </w:p>
              </w:tc>
              <w:tc>
                <w:tcPr>
                  <w:tcW w:w="709" w:type="dxa"/>
                  <w:vAlign w:val="center"/>
                </w:tcPr>
                <w:p>
                  <w:pPr>
                    <w:spacing w:line="360" w:lineRule="exact"/>
                    <w:jc w:val="center"/>
                    <w:rPr>
                      <w:color w:val="000000"/>
                      <w:szCs w:val="21"/>
                    </w:rPr>
                  </w:pPr>
                  <w:r>
                    <w:rPr>
                      <w:rFonts w:hint="eastAsia"/>
                      <w:color w:val="000000"/>
                      <w:szCs w:val="21"/>
                    </w:rPr>
                    <w:t>0.0064</w:t>
                  </w:r>
                </w:p>
              </w:tc>
            </w:tr>
          </w:tbl>
          <w:p>
            <w:pPr>
              <w:widowControl/>
              <w:autoSpaceDE w:val="0"/>
              <w:autoSpaceDN w:val="0"/>
              <w:snapToGrid w:val="0"/>
              <w:spacing w:line="360" w:lineRule="auto"/>
              <w:jc w:val="center"/>
              <w:rPr>
                <w:b/>
                <w:bCs/>
                <w:color w:val="000000"/>
                <w:kern w:val="0"/>
                <w:sz w:val="24"/>
              </w:rPr>
            </w:pPr>
            <w:r>
              <w:rPr>
                <w:b/>
                <w:bCs/>
                <w:color w:val="000000"/>
                <w:kern w:val="0"/>
                <w:sz w:val="24"/>
              </w:rPr>
              <w:t>表</w:t>
            </w:r>
            <w:r>
              <w:rPr>
                <w:rFonts w:hint="eastAsia"/>
                <w:b/>
                <w:bCs/>
                <w:color w:val="000000"/>
                <w:kern w:val="0"/>
                <w:sz w:val="24"/>
              </w:rPr>
              <w:t>4-8</w:t>
            </w:r>
            <w:r>
              <w:rPr>
                <w:b/>
                <w:bCs/>
                <w:color w:val="000000"/>
                <w:kern w:val="0"/>
                <w:sz w:val="24"/>
              </w:rPr>
              <w:t xml:space="preserve">         项目无组织</w:t>
            </w:r>
            <w:r>
              <w:rPr>
                <w:rFonts w:hint="eastAsia"/>
                <w:b/>
                <w:bCs/>
                <w:color w:val="000000"/>
                <w:kern w:val="0"/>
                <w:sz w:val="24"/>
              </w:rPr>
              <w:t>面</w:t>
            </w:r>
            <w:r>
              <w:rPr>
                <w:b/>
                <w:bCs/>
                <w:color w:val="000000"/>
                <w:kern w:val="0"/>
                <w:sz w:val="24"/>
              </w:rPr>
              <w:t>源</w:t>
            </w:r>
            <w:r>
              <w:rPr>
                <w:rFonts w:hint="eastAsia"/>
                <w:b/>
                <w:bCs/>
                <w:color w:val="000000"/>
                <w:kern w:val="0"/>
                <w:sz w:val="24"/>
              </w:rPr>
              <w:t>参数</w:t>
            </w:r>
            <w:r>
              <w:rPr>
                <w:b/>
                <w:bCs/>
                <w:color w:val="000000"/>
                <w:kern w:val="0"/>
                <w:sz w:val="24"/>
              </w:rPr>
              <w:t>一览表</w:t>
            </w:r>
          </w:p>
          <w:tbl>
            <w:tblPr>
              <w:tblStyle w:val="30"/>
              <w:tblW w:w="812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51"/>
              <w:gridCol w:w="737"/>
              <w:gridCol w:w="709"/>
              <w:gridCol w:w="709"/>
              <w:gridCol w:w="710"/>
              <w:gridCol w:w="820"/>
              <w:gridCol w:w="851"/>
              <w:gridCol w:w="56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right"/>
              </w:trPr>
              <w:tc>
                <w:tcPr>
                  <w:tcW w:w="1247" w:type="dxa"/>
                  <w:tcBorders>
                    <w:top w:val="single" w:color="auto" w:sz="6" w:space="0"/>
                  </w:tcBorders>
                  <w:vAlign w:val="center"/>
                </w:tcPr>
                <w:p>
                  <w:pPr>
                    <w:widowControl/>
                    <w:spacing w:line="360" w:lineRule="exact"/>
                    <w:jc w:val="center"/>
                    <w:rPr>
                      <w:color w:val="000000"/>
                      <w:kern w:val="0"/>
                      <w:szCs w:val="21"/>
                    </w:rPr>
                  </w:pPr>
                  <w:r>
                    <w:rPr>
                      <w:rFonts w:hint="eastAsia"/>
                      <w:color w:val="000000"/>
                      <w:kern w:val="0"/>
                      <w:szCs w:val="21"/>
                    </w:rPr>
                    <w:t>面源</w:t>
                  </w:r>
                  <w:r>
                    <w:rPr>
                      <w:color w:val="000000"/>
                      <w:kern w:val="0"/>
                      <w:szCs w:val="21"/>
                    </w:rPr>
                    <w:t>名称</w:t>
                  </w:r>
                </w:p>
              </w:tc>
              <w:tc>
                <w:tcPr>
                  <w:tcW w:w="851" w:type="dxa"/>
                  <w:tcBorders>
                    <w:top w:val="single" w:color="auto" w:sz="6" w:space="0"/>
                  </w:tcBorders>
                  <w:vAlign w:val="center"/>
                </w:tcPr>
                <w:p>
                  <w:pPr>
                    <w:adjustRightInd w:val="0"/>
                    <w:snapToGrid w:val="0"/>
                    <w:spacing w:line="360" w:lineRule="exact"/>
                    <w:jc w:val="center"/>
                    <w:rPr>
                      <w:color w:val="000000"/>
                      <w:kern w:val="0"/>
                      <w:szCs w:val="21"/>
                    </w:rPr>
                  </w:pPr>
                  <w:r>
                    <w:rPr>
                      <w:color w:val="000000"/>
                      <w:kern w:val="0"/>
                      <w:szCs w:val="21"/>
                    </w:rPr>
                    <w:t>污染</w:t>
                  </w:r>
                  <w:r>
                    <w:rPr>
                      <w:rFonts w:hint="eastAsia"/>
                      <w:color w:val="000000"/>
                      <w:kern w:val="0"/>
                      <w:szCs w:val="21"/>
                    </w:rPr>
                    <w:t>物</w:t>
                  </w:r>
                </w:p>
              </w:tc>
              <w:tc>
                <w:tcPr>
                  <w:tcW w:w="737" w:type="dxa"/>
                  <w:tcBorders>
                    <w:right w:val="single" w:color="auto" w:sz="2" w:space="0"/>
                  </w:tcBorders>
                  <w:vAlign w:val="center"/>
                </w:tcPr>
                <w:p>
                  <w:pPr>
                    <w:widowControl/>
                    <w:spacing w:line="360" w:lineRule="exact"/>
                    <w:jc w:val="center"/>
                    <w:rPr>
                      <w:color w:val="000000"/>
                      <w:kern w:val="0"/>
                      <w:szCs w:val="21"/>
                    </w:rPr>
                  </w:pPr>
                  <w:r>
                    <w:rPr>
                      <w:color w:val="000000"/>
                      <w:kern w:val="0"/>
                      <w:szCs w:val="21"/>
                    </w:rPr>
                    <w:t>面源</w:t>
                  </w:r>
                  <w:r>
                    <w:rPr>
                      <w:rFonts w:hint="eastAsia"/>
                      <w:color w:val="000000"/>
                      <w:kern w:val="0"/>
                      <w:szCs w:val="21"/>
                    </w:rPr>
                    <w:t>海拔高度/</w:t>
                  </w:r>
                  <w:r>
                    <w:rPr>
                      <w:color w:val="000000"/>
                      <w:kern w:val="0"/>
                      <w:szCs w:val="21"/>
                    </w:rPr>
                    <w:t>m</w:t>
                  </w:r>
                </w:p>
              </w:tc>
              <w:tc>
                <w:tcPr>
                  <w:tcW w:w="709" w:type="dxa"/>
                  <w:tcBorders>
                    <w:right w:val="single" w:color="auto" w:sz="2" w:space="0"/>
                  </w:tcBorders>
                  <w:vAlign w:val="center"/>
                </w:tcPr>
                <w:p>
                  <w:pPr>
                    <w:widowControl/>
                    <w:spacing w:line="360" w:lineRule="exact"/>
                    <w:jc w:val="center"/>
                    <w:rPr>
                      <w:color w:val="000000"/>
                      <w:kern w:val="0"/>
                      <w:szCs w:val="21"/>
                    </w:rPr>
                  </w:pPr>
                  <w:r>
                    <w:rPr>
                      <w:color w:val="000000"/>
                      <w:kern w:val="0"/>
                      <w:szCs w:val="21"/>
                    </w:rPr>
                    <w:t>面源</w:t>
                  </w:r>
                  <w:r>
                    <w:rPr>
                      <w:rFonts w:hint="eastAsia"/>
                      <w:color w:val="000000"/>
                      <w:kern w:val="0"/>
                      <w:szCs w:val="21"/>
                    </w:rPr>
                    <w:t>长</w:t>
                  </w:r>
                  <w:r>
                    <w:rPr>
                      <w:color w:val="000000"/>
                      <w:kern w:val="0"/>
                      <w:szCs w:val="21"/>
                    </w:rPr>
                    <w:t>度</w:t>
                  </w:r>
                  <w:r>
                    <w:rPr>
                      <w:rFonts w:hint="eastAsia"/>
                      <w:color w:val="000000"/>
                      <w:kern w:val="0"/>
                      <w:szCs w:val="21"/>
                    </w:rPr>
                    <w:t>/</w:t>
                  </w:r>
                  <w:r>
                    <w:rPr>
                      <w:color w:val="000000"/>
                      <w:kern w:val="0"/>
                      <w:szCs w:val="21"/>
                    </w:rPr>
                    <w:t>m</w:t>
                  </w:r>
                </w:p>
              </w:tc>
              <w:tc>
                <w:tcPr>
                  <w:tcW w:w="709" w:type="dxa"/>
                  <w:tcBorders>
                    <w:right w:val="single" w:color="auto" w:sz="4" w:space="0"/>
                  </w:tcBorders>
                  <w:vAlign w:val="center"/>
                </w:tcPr>
                <w:p>
                  <w:pPr>
                    <w:widowControl/>
                    <w:spacing w:line="360" w:lineRule="exact"/>
                    <w:jc w:val="center"/>
                    <w:rPr>
                      <w:color w:val="000000"/>
                      <w:kern w:val="0"/>
                      <w:szCs w:val="21"/>
                    </w:rPr>
                  </w:pPr>
                  <w:r>
                    <w:rPr>
                      <w:color w:val="000000"/>
                      <w:kern w:val="0"/>
                      <w:szCs w:val="21"/>
                    </w:rPr>
                    <w:t>面源</w:t>
                  </w:r>
                  <w:r>
                    <w:rPr>
                      <w:rFonts w:hint="eastAsia"/>
                      <w:color w:val="000000"/>
                      <w:kern w:val="0"/>
                      <w:szCs w:val="21"/>
                    </w:rPr>
                    <w:t>宽</w:t>
                  </w:r>
                  <w:r>
                    <w:rPr>
                      <w:color w:val="000000"/>
                      <w:kern w:val="0"/>
                      <w:szCs w:val="21"/>
                    </w:rPr>
                    <w:t>度</w:t>
                  </w:r>
                  <w:r>
                    <w:rPr>
                      <w:rFonts w:hint="eastAsia"/>
                      <w:color w:val="000000"/>
                      <w:kern w:val="0"/>
                      <w:szCs w:val="21"/>
                    </w:rPr>
                    <w:t>/</w:t>
                  </w:r>
                  <w:r>
                    <w:rPr>
                      <w:color w:val="000000"/>
                      <w:kern w:val="0"/>
                      <w:szCs w:val="21"/>
                    </w:rPr>
                    <w:t>m</w:t>
                  </w:r>
                </w:p>
              </w:tc>
              <w:tc>
                <w:tcPr>
                  <w:tcW w:w="710" w:type="dxa"/>
                  <w:tcBorders>
                    <w:right w:val="single" w:color="auto" w:sz="4" w:space="0"/>
                  </w:tcBorders>
                  <w:vAlign w:val="center"/>
                </w:tcPr>
                <w:p>
                  <w:pPr>
                    <w:widowControl/>
                    <w:spacing w:line="360" w:lineRule="exact"/>
                    <w:jc w:val="center"/>
                    <w:rPr>
                      <w:color w:val="000000"/>
                      <w:kern w:val="0"/>
                      <w:szCs w:val="21"/>
                    </w:rPr>
                  </w:pPr>
                  <w:r>
                    <w:rPr>
                      <w:rFonts w:hint="eastAsia"/>
                      <w:color w:val="000000"/>
                      <w:kern w:val="0"/>
                      <w:szCs w:val="21"/>
                    </w:rPr>
                    <w:t>与正北方向夹角/°</w:t>
                  </w:r>
                </w:p>
              </w:tc>
              <w:tc>
                <w:tcPr>
                  <w:tcW w:w="820" w:type="dxa"/>
                  <w:tcBorders>
                    <w:right w:val="single" w:color="auto" w:sz="2" w:space="0"/>
                  </w:tcBorders>
                  <w:vAlign w:val="center"/>
                </w:tcPr>
                <w:p>
                  <w:pPr>
                    <w:widowControl/>
                    <w:spacing w:line="360" w:lineRule="exact"/>
                    <w:jc w:val="center"/>
                    <w:rPr>
                      <w:color w:val="000000"/>
                      <w:kern w:val="0"/>
                      <w:szCs w:val="21"/>
                    </w:rPr>
                  </w:pPr>
                  <w:r>
                    <w:rPr>
                      <w:color w:val="000000"/>
                      <w:kern w:val="0"/>
                      <w:szCs w:val="21"/>
                    </w:rPr>
                    <w:t>面源有效排放高度</w:t>
                  </w:r>
                  <w:r>
                    <w:rPr>
                      <w:rFonts w:hint="eastAsia"/>
                      <w:color w:val="000000"/>
                      <w:kern w:val="0"/>
                      <w:szCs w:val="21"/>
                    </w:rPr>
                    <w:t>/</w:t>
                  </w:r>
                  <w:r>
                    <w:rPr>
                      <w:color w:val="000000"/>
                      <w:kern w:val="0"/>
                      <w:szCs w:val="21"/>
                    </w:rPr>
                    <w:t>m</w:t>
                  </w:r>
                </w:p>
              </w:tc>
              <w:tc>
                <w:tcPr>
                  <w:tcW w:w="851" w:type="dxa"/>
                  <w:tcBorders>
                    <w:right w:val="single" w:color="auto" w:sz="2" w:space="0"/>
                  </w:tcBorders>
                  <w:vAlign w:val="center"/>
                </w:tcPr>
                <w:p>
                  <w:pPr>
                    <w:widowControl/>
                    <w:spacing w:line="360" w:lineRule="exact"/>
                    <w:jc w:val="center"/>
                    <w:rPr>
                      <w:color w:val="000000"/>
                      <w:kern w:val="0"/>
                      <w:szCs w:val="21"/>
                    </w:rPr>
                  </w:pPr>
                  <w:r>
                    <w:rPr>
                      <w:color w:val="000000"/>
                      <w:kern w:val="0"/>
                      <w:szCs w:val="21"/>
                    </w:rPr>
                    <w:t>年最大排放小时数</w:t>
                  </w:r>
                  <w:r>
                    <w:rPr>
                      <w:rFonts w:hint="eastAsia"/>
                      <w:color w:val="000000"/>
                      <w:kern w:val="0"/>
                      <w:szCs w:val="21"/>
                    </w:rPr>
                    <w:t>/</w:t>
                  </w:r>
                  <w:r>
                    <w:rPr>
                      <w:color w:val="000000"/>
                      <w:kern w:val="0"/>
                      <w:szCs w:val="21"/>
                    </w:rPr>
                    <w:t>h</w:t>
                  </w:r>
                </w:p>
              </w:tc>
              <w:tc>
                <w:tcPr>
                  <w:tcW w:w="567" w:type="dxa"/>
                  <w:tcBorders>
                    <w:right w:val="single" w:color="auto" w:sz="2" w:space="0"/>
                  </w:tcBorders>
                  <w:vAlign w:val="center"/>
                </w:tcPr>
                <w:p>
                  <w:pPr>
                    <w:widowControl/>
                    <w:spacing w:line="360" w:lineRule="exact"/>
                    <w:jc w:val="center"/>
                    <w:rPr>
                      <w:color w:val="000000"/>
                      <w:kern w:val="0"/>
                      <w:szCs w:val="21"/>
                    </w:rPr>
                  </w:pPr>
                  <w:r>
                    <w:rPr>
                      <w:color w:val="000000"/>
                      <w:kern w:val="0"/>
                      <w:szCs w:val="21"/>
                    </w:rPr>
                    <w:t>排放工况</w:t>
                  </w:r>
                </w:p>
              </w:tc>
              <w:tc>
                <w:tcPr>
                  <w:tcW w:w="925" w:type="dxa"/>
                  <w:tcBorders>
                    <w:top w:val="single" w:color="auto" w:sz="6" w:space="0"/>
                    <w:left w:val="single" w:color="auto" w:sz="2" w:space="0"/>
                  </w:tcBorders>
                  <w:vAlign w:val="center"/>
                </w:tcPr>
                <w:p>
                  <w:pPr>
                    <w:widowControl/>
                    <w:spacing w:line="360" w:lineRule="exact"/>
                    <w:jc w:val="center"/>
                    <w:rPr>
                      <w:color w:val="000000"/>
                      <w:kern w:val="0"/>
                      <w:szCs w:val="21"/>
                    </w:rPr>
                  </w:pPr>
                  <w:r>
                    <w:rPr>
                      <w:rFonts w:hint="eastAsia"/>
                      <w:color w:val="000000"/>
                      <w:kern w:val="0"/>
                      <w:szCs w:val="21"/>
                    </w:rPr>
                    <w:t>污染物</w:t>
                  </w:r>
                  <w:r>
                    <w:rPr>
                      <w:color w:val="000000"/>
                      <w:kern w:val="0"/>
                      <w:szCs w:val="21"/>
                    </w:rPr>
                    <w:t>排放</w:t>
                  </w:r>
                  <w:r>
                    <w:rPr>
                      <w:rFonts w:hint="eastAsia"/>
                      <w:color w:val="000000"/>
                      <w:kern w:val="0"/>
                      <w:szCs w:val="21"/>
                    </w:rPr>
                    <w:t>速率/</w:t>
                  </w:r>
                  <w:r>
                    <w:rPr>
                      <w:color w:val="000000"/>
                      <w:kern w:val="0"/>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right"/>
              </w:trPr>
              <w:tc>
                <w:tcPr>
                  <w:tcW w:w="1247" w:type="dxa"/>
                  <w:vMerge w:val="restart"/>
                  <w:vAlign w:val="center"/>
                </w:tcPr>
                <w:p>
                  <w:pPr>
                    <w:spacing w:line="360" w:lineRule="exact"/>
                    <w:jc w:val="center"/>
                    <w:rPr>
                      <w:color w:val="000000"/>
                      <w:szCs w:val="21"/>
                    </w:rPr>
                  </w:pPr>
                  <w:r>
                    <w:rPr>
                      <w:rFonts w:hint="eastAsia"/>
                      <w:color w:val="000000"/>
                      <w:szCs w:val="21"/>
                    </w:rPr>
                    <w:t>生产车间（热压</w:t>
                  </w:r>
                </w:p>
                <w:p>
                  <w:pPr>
                    <w:spacing w:line="360" w:lineRule="exact"/>
                    <w:jc w:val="center"/>
                    <w:rPr>
                      <w:color w:val="000000"/>
                      <w:kern w:val="0"/>
                      <w:szCs w:val="21"/>
                    </w:rPr>
                  </w:pPr>
                  <w:r>
                    <w:rPr>
                      <w:rFonts w:hint="eastAsia"/>
                      <w:color w:val="000000"/>
                      <w:szCs w:val="21"/>
                    </w:rPr>
                    <w:t>工序）</w:t>
                  </w:r>
                </w:p>
              </w:tc>
              <w:tc>
                <w:tcPr>
                  <w:tcW w:w="851" w:type="dxa"/>
                  <w:vAlign w:val="center"/>
                </w:tcPr>
                <w:p>
                  <w:pPr>
                    <w:widowControl/>
                    <w:spacing w:line="360" w:lineRule="exact"/>
                    <w:jc w:val="center"/>
                    <w:rPr>
                      <w:color w:val="000000"/>
                      <w:kern w:val="0"/>
                      <w:szCs w:val="21"/>
                    </w:rPr>
                  </w:pPr>
                  <w:r>
                    <w:rPr>
                      <w:rFonts w:hint="eastAsia"/>
                      <w:color w:val="000000"/>
                      <w:kern w:val="0"/>
                      <w:szCs w:val="21"/>
                    </w:rPr>
                    <w:t>甲醛</w:t>
                  </w:r>
                </w:p>
              </w:tc>
              <w:tc>
                <w:tcPr>
                  <w:tcW w:w="737" w:type="dxa"/>
                  <w:vMerge w:val="restart"/>
                  <w:tcBorders>
                    <w:right w:val="single" w:color="auto" w:sz="2" w:space="0"/>
                  </w:tcBorders>
                  <w:vAlign w:val="center"/>
                </w:tcPr>
                <w:p>
                  <w:pPr>
                    <w:widowControl/>
                    <w:spacing w:line="360" w:lineRule="exact"/>
                    <w:jc w:val="center"/>
                    <w:rPr>
                      <w:color w:val="000000"/>
                      <w:kern w:val="0"/>
                      <w:szCs w:val="21"/>
                    </w:rPr>
                  </w:pPr>
                  <w:r>
                    <w:rPr>
                      <w:rFonts w:hint="eastAsia"/>
                      <w:color w:val="000000"/>
                      <w:kern w:val="0"/>
                      <w:szCs w:val="21"/>
                    </w:rPr>
                    <w:t>937</w:t>
                  </w:r>
                </w:p>
              </w:tc>
              <w:tc>
                <w:tcPr>
                  <w:tcW w:w="709" w:type="dxa"/>
                  <w:vMerge w:val="restart"/>
                  <w:tcBorders>
                    <w:right w:val="single" w:color="auto" w:sz="2" w:space="0"/>
                  </w:tcBorders>
                  <w:vAlign w:val="center"/>
                </w:tcPr>
                <w:p>
                  <w:pPr>
                    <w:widowControl/>
                    <w:spacing w:line="360" w:lineRule="exact"/>
                    <w:jc w:val="center"/>
                    <w:rPr>
                      <w:color w:val="000000"/>
                      <w:kern w:val="0"/>
                      <w:szCs w:val="21"/>
                    </w:rPr>
                  </w:pPr>
                  <w:r>
                    <w:rPr>
                      <w:rFonts w:hint="eastAsia"/>
                      <w:color w:val="000000"/>
                      <w:kern w:val="0"/>
                      <w:szCs w:val="21"/>
                    </w:rPr>
                    <w:t>30</w:t>
                  </w:r>
                </w:p>
              </w:tc>
              <w:tc>
                <w:tcPr>
                  <w:tcW w:w="709" w:type="dxa"/>
                  <w:vMerge w:val="restart"/>
                  <w:tcBorders>
                    <w:right w:val="single" w:color="auto" w:sz="4" w:space="0"/>
                  </w:tcBorders>
                  <w:vAlign w:val="center"/>
                </w:tcPr>
                <w:p>
                  <w:pPr>
                    <w:widowControl/>
                    <w:spacing w:line="360" w:lineRule="exact"/>
                    <w:jc w:val="center"/>
                    <w:rPr>
                      <w:color w:val="000000"/>
                      <w:kern w:val="0"/>
                      <w:szCs w:val="21"/>
                    </w:rPr>
                  </w:pPr>
                  <w:r>
                    <w:rPr>
                      <w:rFonts w:hint="eastAsia"/>
                      <w:color w:val="000000"/>
                      <w:kern w:val="0"/>
                      <w:szCs w:val="21"/>
                    </w:rPr>
                    <w:t>16.5</w:t>
                  </w:r>
                </w:p>
              </w:tc>
              <w:tc>
                <w:tcPr>
                  <w:tcW w:w="710" w:type="dxa"/>
                  <w:vMerge w:val="restart"/>
                  <w:tcBorders>
                    <w:right w:val="single" w:color="auto" w:sz="4" w:space="0"/>
                  </w:tcBorders>
                  <w:vAlign w:val="center"/>
                </w:tcPr>
                <w:p>
                  <w:pPr>
                    <w:spacing w:line="360" w:lineRule="exact"/>
                    <w:jc w:val="center"/>
                    <w:rPr>
                      <w:color w:val="000000"/>
                      <w:kern w:val="0"/>
                      <w:szCs w:val="21"/>
                      <w:highlight w:val="yellow"/>
                    </w:rPr>
                  </w:pPr>
                  <w:r>
                    <w:rPr>
                      <w:rFonts w:hint="eastAsia"/>
                      <w:color w:val="000000"/>
                      <w:kern w:val="0"/>
                      <w:szCs w:val="21"/>
                    </w:rPr>
                    <w:t>10</w:t>
                  </w:r>
                </w:p>
              </w:tc>
              <w:tc>
                <w:tcPr>
                  <w:tcW w:w="820" w:type="dxa"/>
                  <w:vMerge w:val="restart"/>
                  <w:tcBorders>
                    <w:right w:val="single" w:color="auto" w:sz="2" w:space="0"/>
                  </w:tcBorders>
                  <w:vAlign w:val="center"/>
                </w:tcPr>
                <w:p>
                  <w:pPr>
                    <w:widowControl/>
                    <w:spacing w:line="360" w:lineRule="exact"/>
                    <w:jc w:val="center"/>
                    <w:rPr>
                      <w:color w:val="000000"/>
                      <w:kern w:val="0"/>
                      <w:szCs w:val="21"/>
                    </w:rPr>
                  </w:pPr>
                  <w:r>
                    <w:rPr>
                      <w:rFonts w:hint="eastAsia"/>
                      <w:color w:val="000000"/>
                      <w:kern w:val="0"/>
                      <w:szCs w:val="21"/>
                    </w:rPr>
                    <w:t>8</w:t>
                  </w:r>
                </w:p>
              </w:tc>
              <w:tc>
                <w:tcPr>
                  <w:tcW w:w="851" w:type="dxa"/>
                  <w:vMerge w:val="restart"/>
                  <w:tcBorders>
                    <w:right w:val="single" w:color="auto" w:sz="2" w:space="0"/>
                  </w:tcBorders>
                  <w:vAlign w:val="center"/>
                </w:tcPr>
                <w:p>
                  <w:pPr>
                    <w:spacing w:line="360" w:lineRule="exact"/>
                    <w:jc w:val="center"/>
                    <w:rPr>
                      <w:color w:val="000000"/>
                      <w:kern w:val="0"/>
                      <w:szCs w:val="21"/>
                    </w:rPr>
                  </w:pPr>
                  <w:r>
                    <w:rPr>
                      <w:rFonts w:hint="eastAsia"/>
                      <w:color w:val="000000"/>
                      <w:kern w:val="0"/>
                      <w:szCs w:val="21"/>
                    </w:rPr>
                    <w:t>1600</w:t>
                  </w:r>
                </w:p>
              </w:tc>
              <w:tc>
                <w:tcPr>
                  <w:tcW w:w="567" w:type="dxa"/>
                  <w:vMerge w:val="restart"/>
                  <w:tcBorders>
                    <w:right w:val="single" w:color="auto" w:sz="2" w:space="0"/>
                  </w:tcBorders>
                  <w:vAlign w:val="center"/>
                </w:tcPr>
                <w:p>
                  <w:pPr>
                    <w:spacing w:line="360" w:lineRule="exact"/>
                    <w:jc w:val="center"/>
                    <w:rPr>
                      <w:color w:val="000000"/>
                      <w:kern w:val="0"/>
                      <w:szCs w:val="21"/>
                    </w:rPr>
                  </w:pPr>
                  <w:r>
                    <w:rPr>
                      <w:color w:val="000000"/>
                      <w:kern w:val="0"/>
                      <w:szCs w:val="21"/>
                    </w:rPr>
                    <w:t>正常</w:t>
                  </w:r>
                </w:p>
              </w:tc>
              <w:tc>
                <w:tcPr>
                  <w:tcW w:w="925" w:type="dxa"/>
                  <w:tcBorders>
                    <w:left w:val="single" w:color="auto" w:sz="2" w:space="0"/>
                  </w:tcBorders>
                  <w:vAlign w:val="center"/>
                </w:tcPr>
                <w:p>
                  <w:pPr>
                    <w:spacing w:line="360" w:lineRule="exact"/>
                    <w:jc w:val="center"/>
                    <w:rPr>
                      <w:color w:val="000000"/>
                      <w:kern w:val="0"/>
                      <w:szCs w:val="21"/>
                    </w:rPr>
                  </w:pPr>
                  <w:r>
                    <w:rPr>
                      <w:rFonts w:hint="eastAsia"/>
                      <w:color w:val="000000"/>
                      <w:kern w:val="0"/>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right"/>
              </w:trPr>
              <w:tc>
                <w:tcPr>
                  <w:tcW w:w="1247" w:type="dxa"/>
                  <w:vMerge w:val="continue"/>
                  <w:vAlign w:val="center"/>
                </w:tcPr>
                <w:p>
                  <w:pPr>
                    <w:spacing w:line="360" w:lineRule="exact"/>
                    <w:jc w:val="center"/>
                    <w:rPr>
                      <w:color w:val="000000"/>
                      <w:szCs w:val="21"/>
                    </w:rPr>
                  </w:pPr>
                </w:p>
              </w:tc>
              <w:tc>
                <w:tcPr>
                  <w:tcW w:w="851" w:type="dxa"/>
                  <w:vAlign w:val="center"/>
                </w:tcPr>
                <w:p>
                  <w:pPr>
                    <w:widowControl/>
                    <w:spacing w:line="360" w:lineRule="exact"/>
                    <w:jc w:val="center"/>
                    <w:rPr>
                      <w:color w:val="000000"/>
                      <w:kern w:val="0"/>
                      <w:szCs w:val="21"/>
                    </w:rPr>
                  </w:pPr>
                  <w:r>
                    <w:rPr>
                      <w:rFonts w:hint="eastAsia"/>
                      <w:color w:val="000000"/>
                      <w:kern w:val="0"/>
                      <w:szCs w:val="21"/>
                    </w:rPr>
                    <w:t>非甲烷总烃</w:t>
                  </w:r>
                </w:p>
              </w:tc>
              <w:tc>
                <w:tcPr>
                  <w:tcW w:w="737" w:type="dxa"/>
                  <w:vMerge w:val="continue"/>
                  <w:tcBorders>
                    <w:right w:val="single" w:color="auto" w:sz="2" w:space="0"/>
                  </w:tcBorders>
                  <w:vAlign w:val="center"/>
                </w:tcPr>
                <w:p>
                  <w:pPr>
                    <w:widowControl/>
                    <w:spacing w:line="360" w:lineRule="exact"/>
                    <w:jc w:val="center"/>
                    <w:rPr>
                      <w:color w:val="000000"/>
                      <w:kern w:val="0"/>
                      <w:szCs w:val="21"/>
                    </w:rPr>
                  </w:pPr>
                </w:p>
              </w:tc>
              <w:tc>
                <w:tcPr>
                  <w:tcW w:w="709" w:type="dxa"/>
                  <w:vMerge w:val="continue"/>
                  <w:tcBorders>
                    <w:right w:val="single" w:color="auto" w:sz="2" w:space="0"/>
                  </w:tcBorders>
                  <w:vAlign w:val="center"/>
                </w:tcPr>
                <w:p>
                  <w:pPr>
                    <w:widowControl/>
                    <w:spacing w:line="360" w:lineRule="exact"/>
                    <w:jc w:val="center"/>
                    <w:rPr>
                      <w:color w:val="000000"/>
                      <w:kern w:val="0"/>
                      <w:szCs w:val="21"/>
                    </w:rPr>
                  </w:pPr>
                </w:p>
              </w:tc>
              <w:tc>
                <w:tcPr>
                  <w:tcW w:w="709" w:type="dxa"/>
                  <w:vMerge w:val="continue"/>
                  <w:tcBorders>
                    <w:right w:val="single" w:color="auto" w:sz="4" w:space="0"/>
                  </w:tcBorders>
                  <w:vAlign w:val="center"/>
                </w:tcPr>
                <w:p>
                  <w:pPr>
                    <w:widowControl/>
                    <w:spacing w:line="360" w:lineRule="exact"/>
                    <w:jc w:val="center"/>
                    <w:rPr>
                      <w:color w:val="000000"/>
                      <w:kern w:val="0"/>
                      <w:szCs w:val="21"/>
                    </w:rPr>
                  </w:pPr>
                </w:p>
              </w:tc>
              <w:tc>
                <w:tcPr>
                  <w:tcW w:w="710" w:type="dxa"/>
                  <w:vMerge w:val="continue"/>
                  <w:tcBorders>
                    <w:right w:val="single" w:color="auto" w:sz="4" w:space="0"/>
                  </w:tcBorders>
                  <w:vAlign w:val="center"/>
                </w:tcPr>
                <w:p>
                  <w:pPr>
                    <w:spacing w:line="360" w:lineRule="exact"/>
                    <w:jc w:val="center"/>
                    <w:rPr>
                      <w:color w:val="000000"/>
                      <w:kern w:val="0"/>
                      <w:szCs w:val="21"/>
                    </w:rPr>
                  </w:pPr>
                </w:p>
              </w:tc>
              <w:tc>
                <w:tcPr>
                  <w:tcW w:w="820" w:type="dxa"/>
                  <w:vMerge w:val="continue"/>
                  <w:tcBorders>
                    <w:right w:val="single" w:color="auto" w:sz="2" w:space="0"/>
                  </w:tcBorders>
                  <w:vAlign w:val="center"/>
                </w:tcPr>
                <w:p>
                  <w:pPr>
                    <w:widowControl/>
                    <w:spacing w:line="360" w:lineRule="exact"/>
                    <w:jc w:val="center"/>
                    <w:rPr>
                      <w:color w:val="000000"/>
                      <w:kern w:val="0"/>
                      <w:szCs w:val="21"/>
                    </w:rPr>
                  </w:pPr>
                </w:p>
              </w:tc>
              <w:tc>
                <w:tcPr>
                  <w:tcW w:w="851" w:type="dxa"/>
                  <w:vMerge w:val="continue"/>
                  <w:tcBorders>
                    <w:right w:val="single" w:color="auto" w:sz="2" w:space="0"/>
                  </w:tcBorders>
                  <w:vAlign w:val="center"/>
                </w:tcPr>
                <w:p>
                  <w:pPr>
                    <w:spacing w:line="360" w:lineRule="exact"/>
                    <w:jc w:val="center"/>
                    <w:rPr>
                      <w:color w:val="000000"/>
                      <w:kern w:val="0"/>
                      <w:szCs w:val="21"/>
                    </w:rPr>
                  </w:pPr>
                </w:p>
              </w:tc>
              <w:tc>
                <w:tcPr>
                  <w:tcW w:w="567" w:type="dxa"/>
                  <w:vMerge w:val="continue"/>
                  <w:tcBorders>
                    <w:right w:val="single" w:color="auto" w:sz="2" w:space="0"/>
                  </w:tcBorders>
                  <w:vAlign w:val="center"/>
                </w:tcPr>
                <w:p>
                  <w:pPr>
                    <w:spacing w:line="360" w:lineRule="exact"/>
                    <w:jc w:val="center"/>
                    <w:rPr>
                      <w:color w:val="000000"/>
                      <w:kern w:val="0"/>
                      <w:szCs w:val="21"/>
                    </w:rPr>
                  </w:pPr>
                </w:p>
              </w:tc>
              <w:tc>
                <w:tcPr>
                  <w:tcW w:w="925" w:type="dxa"/>
                  <w:tcBorders>
                    <w:left w:val="single" w:color="auto" w:sz="2" w:space="0"/>
                  </w:tcBorders>
                  <w:vAlign w:val="center"/>
                </w:tcPr>
                <w:p>
                  <w:pPr>
                    <w:spacing w:line="360" w:lineRule="exact"/>
                    <w:jc w:val="center"/>
                    <w:rPr>
                      <w:color w:val="000000"/>
                      <w:kern w:val="0"/>
                      <w:szCs w:val="21"/>
                    </w:rPr>
                  </w:pPr>
                  <w:r>
                    <w:rPr>
                      <w:rFonts w:hint="eastAsia"/>
                      <w:color w:val="000000"/>
                      <w:kern w:val="0"/>
                      <w:szCs w:val="21"/>
                    </w:rPr>
                    <w:t>0.011</w:t>
                  </w:r>
                </w:p>
              </w:tc>
            </w:tr>
          </w:tbl>
          <w:p>
            <w:pPr>
              <w:widowControl/>
              <w:autoSpaceDE w:val="0"/>
              <w:autoSpaceDN w:val="0"/>
              <w:snapToGrid w:val="0"/>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③</w:t>
            </w:r>
            <w:r>
              <w:rPr>
                <w:bCs/>
                <w:color w:val="000000" w:themeColor="text1"/>
                <w:sz w:val="24"/>
                <w14:textFill>
                  <w14:solidFill>
                    <w14:schemeClr w14:val="tx1"/>
                  </w14:solidFill>
                </w14:textFill>
              </w:rPr>
              <w:t>评价工作等级确定</w:t>
            </w:r>
          </w:p>
          <w:p>
            <w:pPr>
              <w:widowControl/>
              <w:autoSpaceDE w:val="0"/>
              <w:autoSpaceDN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根据《环境影响评价技术导则 大气环境》（HJ2.2-2018）规定的评价工作级别的划分原则和方法，选择推荐模式中的估算模式AERSCREEN计算项目有组织及无组织废气排放源，在简单地形情况下的最大影响程度和最远影响范围，从而确定评价等级，环境空气评价等级计算结果见下表。</w:t>
            </w:r>
          </w:p>
          <w:p>
            <w:pPr>
              <w:adjustRightInd w:val="0"/>
              <w:snapToGrid w:val="0"/>
              <w:spacing w:line="360" w:lineRule="auto"/>
              <w:ind w:left="71" w:leftChars="34"/>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表4-9       估算模式计算结果及评价结果</w:t>
            </w:r>
          </w:p>
          <w:tbl>
            <w:tblPr>
              <w:tblStyle w:val="30"/>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16"/>
              <w:gridCol w:w="992"/>
              <w:gridCol w:w="1384"/>
              <w:gridCol w:w="638"/>
              <w:gridCol w:w="1195"/>
              <w:gridCol w:w="85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6" w:type="dxa"/>
                  <w:gridSpan w:val="2"/>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排放源</w:t>
                  </w:r>
                </w:p>
              </w:tc>
              <w:tc>
                <w:tcPr>
                  <w:tcW w:w="992"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w:t>
                  </w:r>
                </w:p>
              </w:tc>
              <w:tc>
                <w:tcPr>
                  <w:tcW w:w="1384"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最大地面浓度出现的下风距离（m）</w:t>
                  </w:r>
                </w:p>
              </w:tc>
              <w:tc>
                <w:tcPr>
                  <w:tcW w:w="638"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个数</w:t>
                  </w:r>
                </w:p>
              </w:tc>
              <w:tc>
                <w:tcPr>
                  <w:tcW w:w="1195"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单个最大地面浓度（mg/m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851"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最大占标率（%）</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850"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w:t>
                  </w:r>
                </w:p>
              </w:tc>
              <w:tc>
                <w:tcPr>
                  <w:tcW w:w="1316" w:type="dxa"/>
                  <w:vMerge w:val="restart"/>
                  <w:vAlign w:val="center"/>
                </w:tcPr>
                <w:p>
                  <w:pPr>
                    <w:spacing w:line="360" w:lineRule="exact"/>
                    <w:jc w:val="center"/>
                    <w:rPr>
                      <w:color w:val="000000"/>
                      <w:szCs w:val="21"/>
                    </w:rPr>
                  </w:pPr>
                  <w:r>
                    <w:rPr>
                      <w:rFonts w:hint="eastAsia"/>
                      <w:color w:val="000000"/>
                      <w:szCs w:val="21"/>
                    </w:rPr>
                    <w:t>热压工序</w:t>
                  </w:r>
                  <w:r>
                    <w:rPr>
                      <w:color w:val="000000"/>
                      <w:szCs w:val="21"/>
                    </w:rPr>
                    <w:t>排气筒</w:t>
                  </w:r>
                </w:p>
              </w:tc>
              <w:tc>
                <w:tcPr>
                  <w:tcW w:w="992" w:type="dxa"/>
                  <w:vAlign w:val="center"/>
                </w:tcPr>
                <w:p>
                  <w:pPr>
                    <w:spacing w:line="360" w:lineRule="exact"/>
                    <w:jc w:val="center"/>
                    <w:rPr>
                      <w:color w:val="000000"/>
                      <w:szCs w:val="21"/>
                    </w:rPr>
                  </w:pPr>
                  <w:r>
                    <w:rPr>
                      <w:rFonts w:hint="eastAsia"/>
                      <w:color w:val="000000"/>
                      <w:szCs w:val="21"/>
                    </w:rPr>
                    <w:t>甲醛</w:t>
                  </w:r>
                </w:p>
              </w:tc>
              <w:tc>
                <w:tcPr>
                  <w:tcW w:w="1384" w:type="dxa"/>
                  <w:vMerge w:val="restart"/>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281m</w:t>
                  </w:r>
                </w:p>
              </w:tc>
              <w:tc>
                <w:tcPr>
                  <w:tcW w:w="638" w:type="dxa"/>
                  <w:vMerge w:val="restart"/>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195"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0.000146</w:t>
                  </w:r>
                </w:p>
              </w:tc>
              <w:tc>
                <w:tcPr>
                  <w:tcW w:w="851"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0.29</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0" w:type="dxa"/>
                  <w:vMerge w:val="continue"/>
                  <w:vAlign w:val="center"/>
                </w:tcPr>
                <w:p>
                  <w:pPr>
                    <w:spacing w:line="360" w:lineRule="exact"/>
                    <w:jc w:val="center"/>
                    <w:rPr>
                      <w:color w:val="000000" w:themeColor="text1"/>
                      <w:szCs w:val="21"/>
                      <w14:textFill>
                        <w14:solidFill>
                          <w14:schemeClr w14:val="tx1"/>
                        </w14:solidFill>
                      </w14:textFill>
                    </w:rPr>
                  </w:pPr>
                </w:p>
              </w:tc>
              <w:tc>
                <w:tcPr>
                  <w:tcW w:w="1316" w:type="dxa"/>
                  <w:vMerge w:val="continue"/>
                  <w:vAlign w:val="center"/>
                </w:tcPr>
                <w:p>
                  <w:pPr>
                    <w:spacing w:line="360" w:lineRule="exact"/>
                    <w:jc w:val="center"/>
                    <w:rPr>
                      <w:color w:val="000000" w:themeColor="text1"/>
                      <w:szCs w:val="21"/>
                      <w14:textFill>
                        <w14:solidFill>
                          <w14:schemeClr w14:val="tx1"/>
                        </w14:solidFill>
                      </w14:textFill>
                    </w:rPr>
                  </w:pPr>
                </w:p>
              </w:tc>
              <w:tc>
                <w:tcPr>
                  <w:tcW w:w="992" w:type="dxa"/>
                  <w:vAlign w:val="center"/>
                </w:tcPr>
                <w:p>
                  <w:pPr>
                    <w:spacing w:line="360" w:lineRule="exact"/>
                    <w:jc w:val="center"/>
                    <w:rPr>
                      <w:color w:val="000000"/>
                      <w:szCs w:val="21"/>
                    </w:rPr>
                  </w:pPr>
                  <w:r>
                    <w:rPr>
                      <w:rFonts w:hint="eastAsia"/>
                      <w:color w:val="000000"/>
                      <w:szCs w:val="21"/>
                    </w:rPr>
                    <w:t>非甲烷总烃</w:t>
                  </w:r>
                </w:p>
              </w:tc>
              <w:tc>
                <w:tcPr>
                  <w:tcW w:w="1384"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638"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1195"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0.000974</w:t>
                  </w:r>
                </w:p>
              </w:tc>
              <w:tc>
                <w:tcPr>
                  <w:tcW w:w="851"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0" w:type="dxa"/>
                  <w:vMerge w:val="continue"/>
                  <w:vAlign w:val="center"/>
                </w:tcPr>
                <w:p>
                  <w:pPr>
                    <w:spacing w:line="360" w:lineRule="exact"/>
                    <w:jc w:val="center"/>
                    <w:rPr>
                      <w:color w:val="000000" w:themeColor="text1"/>
                      <w:szCs w:val="21"/>
                      <w14:textFill>
                        <w14:solidFill>
                          <w14:schemeClr w14:val="tx1"/>
                        </w14:solidFill>
                      </w14:textFill>
                    </w:rPr>
                  </w:pPr>
                </w:p>
              </w:tc>
              <w:tc>
                <w:tcPr>
                  <w:tcW w:w="1316" w:type="dxa"/>
                  <w:vMerge w:val="restart"/>
                  <w:vAlign w:val="center"/>
                </w:tcPr>
                <w:p>
                  <w:pPr>
                    <w:spacing w:line="360" w:lineRule="exact"/>
                    <w:jc w:val="center"/>
                    <w:rPr>
                      <w:color w:val="000000"/>
                      <w:szCs w:val="21"/>
                    </w:rPr>
                  </w:pPr>
                  <w:r>
                    <w:rPr>
                      <w:rFonts w:hint="eastAsia"/>
                      <w:color w:val="000000"/>
                      <w:szCs w:val="21"/>
                    </w:rPr>
                    <w:t>液化石油气燃烧废气排气筒</w:t>
                  </w:r>
                </w:p>
              </w:tc>
              <w:tc>
                <w:tcPr>
                  <w:tcW w:w="992" w:type="dxa"/>
                  <w:vAlign w:val="center"/>
                </w:tcPr>
                <w:p>
                  <w:pPr>
                    <w:spacing w:line="360" w:lineRule="exact"/>
                    <w:jc w:val="center"/>
                    <w:rPr>
                      <w:color w:val="000000"/>
                      <w:szCs w:val="21"/>
                    </w:rPr>
                  </w:pPr>
                  <w:r>
                    <w:rPr>
                      <w:rFonts w:hint="eastAsia"/>
                      <w:color w:val="000000"/>
                      <w:szCs w:val="21"/>
                    </w:rPr>
                    <w:t>PM</w:t>
                  </w:r>
                  <w:r>
                    <w:rPr>
                      <w:rFonts w:hint="eastAsia"/>
                      <w:color w:val="000000"/>
                      <w:szCs w:val="21"/>
                      <w:vertAlign w:val="subscript"/>
                    </w:rPr>
                    <w:t>10</w:t>
                  </w:r>
                </w:p>
              </w:tc>
              <w:tc>
                <w:tcPr>
                  <w:tcW w:w="1384" w:type="dxa"/>
                  <w:vMerge w:val="restart"/>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90m</w:t>
                  </w:r>
                </w:p>
              </w:tc>
              <w:tc>
                <w:tcPr>
                  <w:tcW w:w="638" w:type="dxa"/>
                  <w:vMerge w:val="restart"/>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195"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0.000223</w:t>
                  </w:r>
                </w:p>
              </w:tc>
              <w:tc>
                <w:tcPr>
                  <w:tcW w:w="851"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0" w:type="dxa"/>
                  <w:vMerge w:val="continue"/>
                  <w:vAlign w:val="center"/>
                </w:tcPr>
                <w:p>
                  <w:pPr>
                    <w:spacing w:line="360" w:lineRule="exact"/>
                    <w:jc w:val="center"/>
                    <w:rPr>
                      <w:color w:val="000000" w:themeColor="text1"/>
                      <w:szCs w:val="21"/>
                      <w14:textFill>
                        <w14:solidFill>
                          <w14:schemeClr w14:val="tx1"/>
                        </w14:solidFill>
                      </w14:textFill>
                    </w:rPr>
                  </w:pPr>
                </w:p>
              </w:tc>
              <w:tc>
                <w:tcPr>
                  <w:tcW w:w="1316" w:type="dxa"/>
                  <w:vMerge w:val="continue"/>
                  <w:vAlign w:val="center"/>
                </w:tcPr>
                <w:p>
                  <w:pPr>
                    <w:spacing w:line="360" w:lineRule="exact"/>
                    <w:jc w:val="center"/>
                    <w:rPr>
                      <w:color w:val="000000" w:themeColor="text1"/>
                      <w:szCs w:val="21"/>
                      <w14:textFill>
                        <w14:solidFill>
                          <w14:schemeClr w14:val="tx1"/>
                        </w14:solidFill>
                      </w14:textFill>
                    </w:rPr>
                  </w:pPr>
                </w:p>
              </w:tc>
              <w:tc>
                <w:tcPr>
                  <w:tcW w:w="992" w:type="dxa"/>
                  <w:vAlign w:val="center"/>
                </w:tcPr>
                <w:p>
                  <w:pPr>
                    <w:spacing w:line="360" w:lineRule="exact"/>
                    <w:jc w:val="center"/>
                    <w:outlineLvl w:val="0"/>
                    <w:rPr>
                      <w:color w:val="000000"/>
                      <w:szCs w:val="21"/>
                    </w:rPr>
                  </w:pPr>
                  <w:r>
                    <w:rPr>
                      <w:rFonts w:hint="eastAsia"/>
                      <w:color w:val="000000"/>
                      <w:szCs w:val="21"/>
                    </w:rPr>
                    <w:t>SO</w:t>
                  </w:r>
                  <w:r>
                    <w:rPr>
                      <w:rFonts w:hint="eastAsia"/>
                      <w:color w:val="000000"/>
                      <w:szCs w:val="21"/>
                      <w:vertAlign w:val="subscript"/>
                    </w:rPr>
                    <w:t>2</w:t>
                  </w:r>
                </w:p>
              </w:tc>
              <w:tc>
                <w:tcPr>
                  <w:tcW w:w="1384"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638"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1195"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0.000088</w:t>
                  </w:r>
                </w:p>
              </w:tc>
              <w:tc>
                <w:tcPr>
                  <w:tcW w:w="851"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0" w:type="dxa"/>
                  <w:vMerge w:val="continue"/>
                  <w:vAlign w:val="center"/>
                </w:tcPr>
                <w:p>
                  <w:pPr>
                    <w:spacing w:line="360" w:lineRule="exact"/>
                    <w:jc w:val="center"/>
                    <w:rPr>
                      <w:color w:val="000000" w:themeColor="text1"/>
                      <w:szCs w:val="21"/>
                      <w14:textFill>
                        <w14:solidFill>
                          <w14:schemeClr w14:val="tx1"/>
                        </w14:solidFill>
                      </w14:textFill>
                    </w:rPr>
                  </w:pPr>
                </w:p>
              </w:tc>
              <w:tc>
                <w:tcPr>
                  <w:tcW w:w="1316" w:type="dxa"/>
                  <w:vMerge w:val="continue"/>
                  <w:vAlign w:val="center"/>
                </w:tcPr>
                <w:p>
                  <w:pPr>
                    <w:spacing w:line="360" w:lineRule="exact"/>
                    <w:jc w:val="center"/>
                    <w:rPr>
                      <w:color w:val="000000" w:themeColor="text1"/>
                      <w:szCs w:val="21"/>
                      <w14:textFill>
                        <w14:solidFill>
                          <w14:schemeClr w14:val="tx1"/>
                        </w14:solidFill>
                      </w14:textFill>
                    </w:rPr>
                  </w:pPr>
                </w:p>
              </w:tc>
              <w:tc>
                <w:tcPr>
                  <w:tcW w:w="992" w:type="dxa"/>
                  <w:vAlign w:val="center"/>
                </w:tcPr>
                <w:p>
                  <w:pPr>
                    <w:spacing w:line="360" w:lineRule="exact"/>
                    <w:jc w:val="center"/>
                    <w:outlineLvl w:val="0"/>
                    <w:rPr>
                      <w:color w:val="000000"/>
                      <w:szCs w:val="21"/>
                    </w:rPr>
                  </w:pPr>
                  <w:r>
                    <w:rPr>
                      <w:rFonts w:hint="eastAsia"/>
                      <w:color w:val="000000"/>
                      <w:szCs w:val="21"/>
                    </w:rPr>
                    <w:t>NOx</w:t>
                  </w:r>
                </w:p>
              </w:tc>
              <w:tc>
                <w:tcPr>
                  <w:tcW w:w="1384"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638"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1195"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0.002692</w:t>
                  </w:r>
                </w:p>
              </w:tc>
              <w:tc>
                <w:tcPr>
                  <w:tcW w:w="851"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1.35</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50"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w:t>
                  </w:r>
                </w:p>
              </w:tc>
              <w:tc>
                <w:tcPr>
                  <w:tcW w:w="1316"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szCs w:val="21"/>
                    </w:rPr>
                    <w:t>热压工序</w:t>
                  </w:r>
                </w:p>
              </w:tc>
              <w:tc>
                <w:tcPr>
                  <w:tcW w:w="992" w:type="dxa"/>
                  <w:vAlign w:val="center"/>
                </w:tcPr>
                <w:p>
                  <w:pPr>
                    <w:spacing w:line="360" w:lineRule="exact"/>
                    <w:jc w:val="center"/>
                    <w:rPr>
                      <w:color w:val="000000"/>
                      <w:szCs w:val="21"/>
                    </w:rPr>
                  </w:pPr>
                  <w:r>
                    <w:rPr>
                      <w:rFonts w:hint="eastAsia"/>
                      <w:color w:val="000000"/>
                      <w:szCs w:val="21"/>
                    </w:rPr>
                    <w:t>甲醛</w:t>
                  </w:r>
                </w:p>
              </w:tc>
              <w:tc>
                <w:tcPr>
                  <w:tcW w:w="1384"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81m</w:t>
                  </w:r>
                </w:p>
              </w:tc>
              <w:tc>
                <w:tcPr>
                  <w:tcW w:w="638" w:type="dxa"/>
                  <w:vMerge w:val="restart"/>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195"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0.001063</w:t>
                  </w:r>
                </w:p>
              </w:tc>
              <w:tc>
                <w:tcPr>
                  <w:tcW w:w="85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2.13</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50" w:type="dxa"/>
                  <w:vMerge w:val="continue"/>
                  <w:vAlign w:val="center"/>
                </w:tcPr>
                <w:p>
                  <w:pPr>
                    <w:spacing w:line="360" w:lineRule="exact"/>
                    <w:jc w:val="center"/>
                    <w:rPr>
                      <w:color w:val="000000" w:themeColor="text1"/>
                      <w:szCs w:val="21"/>
                      <w14:textFill>
                        <w14:solidFill>
                          <w14:schemeClr w14:val="tx1"/>
                        </w14:solidFill>
                      </w14:textFill>
                    </w:rPr>
                  </w:pPr>
                </w:p>
              </w:tc>
              <w:tc>
                <w:tcPr>
                  <w:tcW w:w="1316" w:type="dxa"/>
                  <w:vMerge w:val="continue"/>
                  <w:vAlign w:val="center"/>
                </w:tcPr>
                <w:p>
                  <w:pPr>
                    <w:spacing w:line="360" w:lineRule="exact"/>
                    <w:jc w:val="center"/>
                    <w:rPr>
                      <w:color w:val="000000" w:themeColor="text1"/>
                      <w:szCs w:val="21"/>
                      <w14:textFill>
                        <w14:solidFill>
                          <w14:schemeClr w14:val="tx1"/>
                        </w14:solidFill>
                      </w14:textFill>
                    </w:rPr>
                  </w:pPr>
                </w:p>
              </w:tc>
              <w:tc>
                <w:tcPr>
                  <w:tcW w:w="992" w:type="dxa"/>
                  <w:vAlign w:val="center"/>
                </w:tcPr>
                <w:p>
                  <w:pPr>
                    <w:spacing w:line="360" w:lineRule="exact"/>
                    <w:jc w:val="center"/>
                    <w:rPr>
                      <w:color w:val="000000"/>
                      <w:szCs w:val="21"/>
                    </w:rPr>
                  </w:pPr>
                  <w:r>
                    <w:rPr>
                      <w:rFonts w:hint="eastAsia"/>
                      <w:color w:val="000000"/>
                      <w:szCs w:val="21"/>
                    </w:rPr>
                    <w:t>非甲烷总烃</w:t>
                  </w:r>
                </w:p>
              </w:tc>
              <w:tc>
                <w:tcPr>
                  <w:tcW w:w="1384" w:type="dxa"/>
                  <w:vMerge w:val="continue"/>
                  <w:vAlign w:val="center"/>
                </w:tcPr>
                <w:p>
                  <w:pPr>
                    <w:spacing w:line="360" w:lineRule="exact"/>
                    <w:jc w:val="center"/>
                    <w:rPr>
                      <w:color w:val="000000" w:themeColor="text1"/>
                      <w:szCs w:val="21"/>
                      <w14:textFill>
                        <w14:solidFill>
                          <w14:schemeClr w14:val="tx1"/>
                        </w14:solidFill>
                      </w14:textFill>
                    </w:rPr>
                  </w:pPr>
                </w:p>
              </w:tc>
              <w:tc>
                <w:tcPr>
                  <w:tcW w:w="638" w:type="dxa"/>
                  <w:vMerge w:val="continue"/>
                  <w:vAlign w:val="center"/>
                </w:tcPr>
                <w:p>
                  <w:pPr>
                    <w:tabs>
                      <w:tab w:val="left" w:pos="0"/>
                      <w:tab w:val="left" w:pos="540"/>
                    </w:tabs>
                    <w:spacing w:line="360" w:lineRule="exact"/>
                    <w:jc w:val="center"/>
                    <w:rPr>
                      <w:color w:val="000000" w:themeColor="text1"/>
                      <w:szCs w:val="21"/>
                      <w14:textFill>
                        <w14:solidFill>
                          <w14:schemeClr w14:val="tx1"/>
                        </w14:solidFill>
                      </w14:textFill>
                    </w:rPr>
                  </w:pPr>
                </w:p>
              </w:tc>
              <w:tc>
                <w:tcPr>
                  <w:tcW w:w="1195"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0.005847</w:t>
                  </w:r>
                </w:p>
              </w:tc>
              <w:tc>
                <w:tcPr>
                  <w:tcW w:w="85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0.29</w:t>
                  </w:r>
                </w:p>
              </w:tc>
              <w:tc>
                <w:tcPr>
                  <w:tcW w:w="783" w:type="dxa"/>
                  <w:vAlign w:val="center"/>
                </w:tcPr>
                <w:p>
                  <w:pPr>
                    <w:tabs>
                      <w:tab w:val="left" w:pos="0"/>
                      <w:tab w:val="left" w:pos="54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三级</w:t>
                  </w:r>
                </w:p>
              </w:tc>
            </w:tr>
          </w:tbl>
          <w:p>
            <w:pPr>
              <w:adjustRightInd w:val="0"/>
              <w:snapToGrid w:val="0"/>
              <w:spacing w:line="360" w:lineRule="auto"/>
              <w:ind w:firstLine="470" w:firstLineChars="196"/>
              <w:rPr>
                <w:bCs/>
                <w:color w:val="000000"/>
                <w:sz w:val="24"/>
              </w:rPr>
            </w:pPr>
            <w:r>
              <w:rPr>
                <w:rFonts w:hint="eastAsia"/>
                <w:bCs/>
                <w:color w:val="000000" w:themeColor="text1"/>
                <w:sz w:val="24"/>
                <w14:textFill>
                  <w14:solidFill>
                    <w14:schemeClr w14:val="tx1"/>
                  </w14:solidFill>
                </w14:textFill>
              </w:rPr>
              <w:t>由计算结果可知，NOx的最大占标率为1.35%，甲醛的最大占标率为2.13%</w:t>
            </w:r>
            <w:r>
              <w:rPr>
                <w:rFonts w:hint="eastAsia"/>
                <w:bCs/>
                <w:color w:val="000000"/>
                <w:sz w:val="24"/>
              </w:rPr>
              <w:t>，两者最大占标率均大于1%小于10%，根据《环境影响评价技术导则 大气环境》（HJ2.2-2018），本次环境空气评价工作等级确定为二级。</w:t>
            </w:r>
          </w:p>
          <w:p>
            <w:pPr>
              <w:widowControl/>
              <w:autoSpaceDE w:val="0"/>
              <w:autoSpaceDN w:val="0"/>
              <w:snapToGrid w:val="0"/>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④</w:t>
            </w:r>
            <w:r>
              <w:rPr>
                <w:rFonts w:hint="eastAsia"/>
                <w:bCs/>
                <w:color w:val="000000" w:themeColor="text1"/>
                <w:sz w:val="24"/>
                <w14:textFill>
                  <w14:solidFill>
                    <w14:schemeClr w14:val="tx1"/>
                  </w14:solidFill>
                </w14:textFill>
              </w:rPr>
              <w:t>评价</w:t>
            </w:r>
            <w:r>
              <w:rPr>
                <w:bCs/>
                <w:color w:val="000000" w:themeColor="text1"/>
                <w:sz w:val="24"/>
                <w14:textFill>
                  <w14:solidFill>
                    <w14:schemeClr w14:val="tx1"/>
                  </w14:solidFill>
                </w14:textFill>
              </w:rPr>
              <w:t>范围</w:t>
            </w:r>
            <w:r>
              <w:rPr>
                <w:rFonts w:hint="eastAsia"/>
                <w:bCs/>
                <w:color w:val="000000" w:themeColor="text1"/>
                <w:sz w:val="24"/>
                <w14:textFill>
                  <w14:solidFill>
                    <w14:schemeClr w14:val="tx1"/>
                  </w14:solidFill>
                </w14:textFill>
              </w:rPr>
              <w:t>的确定</w:t>
            </w:r>
          </w:p>
          <w:p>
            <w:pPr>
              <w:widowControl/>
              <w:adjustRightInd w:val="0"/>
              <w:snapToGrid w:val="0"/>
              <w:spacing w:line="360" w:lineRule="auto"/>
              <w:ind w:firstLine="480" w:firstLineChars="200"/>
              <w:rPr>
                <w:bCs/>
                <w:color w:val="000000"/>
                <w:sz w:val="24"/>
              </w:rPr>
            </w:pPr>
            <w:r>
              <w:rPr>
                <w:rFonts w:hint="eastAsia"/>
                <w:bCs/>
                <w:color w:val="000000"/>
                <w:sz w:val="24"/>
              </w:rPr>
              <w:t>根据《环境影响评价技术导则 大气环境》（HJ2.2-2018），二级评价项目大气环境影响评价范围边长取5km，因此确定本次评价范围以项目厂址为中心，边长5km的矩形区域，评价范围面积约为25km</w:t>
            </w:r>
            <w:r>
              <w:rPr>
                <w:rFonts w:hint="eastAsia"/>
                <w:bCs/>
                <w:color w:val="000000"/>
                <w:sz w:val="24"/>
                <w:vertAlign w:val="superscript"/>
              </w:rPr>
              <w:t>2</w:t>
            </w:r>
            <w:r>
              <w:rPr>
                <w:rFonts w:hint="eastAsia"/>
                <w:bCs/>
                <w:color w:val="000000"/>
                <w:sz w:val="24"/>
              </w:rPr>
              <w:t>。</w:t>
            </w:r>
          </w:p>
          <w:p>
            <w:pPr>
              <w:widowControl/>
              <w:autoSpaceDE w:val="0"/>
              <w:autoSpaceDN w:val="0"/>
              <w:snapToGrid w:val="0"/>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⑤</w:t>
            </w:r>
            <w:r>
              <w:rPr>
                <w:rFonts w:hint="eastAsia"/>
                <w:bCs/>
                <w:color w:val="000000" w:themeColor="text1"/>
                <w:sz w:val="24"/>
                <w14:textFill>
                  <w14:solidFill>
                    <w14:schemeClr w14:val="tx1"/>
                  </w14:solidFill>
                </w14:textFill>
              </w:rPr>
              <w:t>估算结果</w:t>
            </w:r>
          </w:p>
          <w:p>
            <w:pPr>
              <w:widowControl/>
              <w:autoSpaceDE w:val="0"/>
              <w:autoSpaceDN w:val="0"/>
              <w:snapToGrid w:val="0"/>
              <w:spacing w:line="360" w:lineRule="auto"/>
              <w:ind w:firstLine="480" w:firstLineChars="200"/>
              <w:rPr>
                <w:color w:val="000000"/>
                <w:sz w:val="24"/>
              </w:rPr>
            </w:pPr>
            <w:r>
              <w:rPr>
                <w:rFonts w:hint="eastAsia"/>
                <w:color w:val="000000"/>
                <w:sz w:val="24"/>
              </w:rPr>
              <w:t>本项目</w:t>
            </w:r>
            <w:r>
              <w:rPr>
                <w:color w:val="000000"/>
                <w:sz w:val="24"/>
              </w:rPr>
              <w:t>废气</w:t>
            </w:r>
            <w:r>
              <w:rPr>
                <w:rFonts w:hint="eastAsia"/>
                <w:color w:val="000000"/>
                <w:sz w:val="24"/>
              </w:rPr>
              <w:t>估算</w:t>
            </w:r>
            <w:r>
              <w:rPr>
                <w:color w:val="000000"/>
                <w:sz w:val="24"/>
              </w:rPr>
              <w:t>结果见下表。</w:t>
            </w:r>
          </w:p>
          <w:p>
            <w:pPr>
              <w:adjustRightInd w:val="0"/>
              <w:snapToGrid w:val="0"/>
              <w:spacing w:line="360" w:lineRule="auto"/>
              <w:ind w:left="71" w:leftChars="34"/>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表</w:t>
            </w:r>
            <w:r>
              <w:rPr>
                <w:rFonts w:hint="eastAsia"/>
                <w:b/>
                <w:bCs/>
                <w:color w:val="000000" w:themeColor="text1"/>
                <w:kern w:val="0"/>
                <w:sz w:val="24"/>
                <w14:textFill>
                  <w14:solidFill>
                    <w14:schemeClr w14:val="tx1"/>
                  </w14:solidFill>
                </w14:textFill>
              </w:rPr>
              <w:t>4-10</w:t>
            </w:r>
            <w:r>
              <w:rPr>
                <w:b/>
                <w:bCs/>
                <w:color w:val="000000" w:themeColor="text1"/>
                <w:kern w:val="0"/>
                <w:sz w:val="24"/>
                <w14:textFill>
                  <w14:solidFill>
                    <w14:schemeClr w14:val="tx1"/>
                  </w14:solidFill>
                </w14:textFill>
              </w:rPr>
              <w:t xml:space="preserve">  </w:t>
            </w:r>
            <w:r>
              <w:rPr>
                <w:rFonts w:hint="eastAsia"/>
                <w:b/>
                <w:bCs/>
                <w:color w:val="000000" w:themeColor="text1"/>
                <w:kern w:val="0"/>
                <w:sz w:val="24"/>
                <w14:textFill>
                  <w14:solidFill>
                    <w14:schemeClr w14:val="tx1"/>
                  </w14:solidFill>
                </w14:textFill>
              </w:rPr>
              <w:t xml:space="preserve"> </w:t>
            </w:r>
            <w:r>
              <w:rPr>
                <w:b/>
                <w:bCs/>
                <w:color w:val="000000" w:themeColor="text1"/>
                <w:kern w:val="0"/>
                <w:sz w:val="24"/>
                <w14:textFill>
                  <w14:solidFill>
                    <w14:schemeClr w14:val="tx1"/>
                  </w14:solidFill>
                </w14:textFill>
              </w:rPr>
              <w:t xml:space="preserve"> </w:t>
            </w:r>
            <w:r>
              <w:rPr>
                <w:rFonts w:hint="eastAsia"/>
                <w:b/>
                <w:bCs/>
                <w:color w:val="000000" w:themeColor="text1"/>
                <w:kern w:val="0"/>
                <w:sz w:val="24"/>
                <w14:textFill>
                  <w14:solidFill>
                    <w14:schemeClr w14:val="tx1"/>
                  </w14:solidFill>
                </w14:textFill>
              </w:rPr>
              <w:t xml:space="preserve"> </w:t>
            </w:r>
            <w:r>
              <w:rPr>
                <w:b/>
                <w:bCs/>
                <w:color w:val="000000" w:themeColor="text1"/>
                <w:kern w:val="0"/>
                <w:sz w:val="24"/>
                <w14:textFill>
                  <w14:solidFill>
                    <w14:schemeClr w14:val="tx1"/>
                  </w14:solidFill>
                </w14:textFill>
              </w:rPr>
              <w:t>本项目</w:t>
            </w:r>
            <w:r>
              <w:rPr>
                <w:rFonts w:hint="eastAsia"/>
                <w:b/>
                <w:bCs/>
                <w:color w:val="000000" w:themeColor="text1"/>
                <w:kern w:val="0"/>
                <w:sz w:val="24"/>
                <w14:textFill>
                  <w14:solidFill>
                    <w14:schemeClr w14:val="tx1"/>
                  </w14:solidFill>
                </w14:textFill>
              </w:rPr>
              <w:t>有组织排放废气</w:t>
            </w:r>
            <w:r>
              <w:rPr>
                <w:b/>
                <w:bCs/>
                <w:color w:val="000000" w:themeColor="text1"/>
                <w:kern w:val="0"/>
                <w:sz w:val="24"/>
                <w14:textFill>
                  <w14:solidFill>
                    <w14:schemeClr w14:val="tx1"/>
                  </w14:solidFill>
                </w14:textFill>
              </w:rPr>
              <w:t>估算结果一览表</w:t>
            </w:r>
          </w:p>
          <w:tbl>
            <w:tblPr>
              <w:tblStyle w:val="30"/>
              <w:tblW w:w="4992" w:type="pct"/>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70"/>
              <w:gridCol w:w="1842"/>
              <w:gridCol w:w="1273"/>
              <w:gridCol w:w="1984"/>
              <w:gridCol w:w="119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vMerge w:val="restar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color w:val="000000"/>
                      <w:szCs w:val="21"/>
                    </w:rPr>
                    <w:t>下风向距离（m）</w:t>
                  </w:r>
                </w:p>
              </w:tc>
              <w:tc>
                <w:tcPr>
                  <w:tcW w:w="3902" w:type="pct"/>
                  <w:gridSpan w:val="4"/>
                  <w:tcBorders>
                    <w:top w:val="single" w:color="auto" w:sz="4" w:space="0"/>
                    <w:left w:val="single" w:color="auto" w:sz="4" w:space="0"/>
                    <w:bottom w:val="single" w:color="auto" w:sz="4" w:space="0"/>
                    <w:right w:val="single" w:color="auto" w:sz="4" w:space="0"/>
                  </w:tcBorders>
                  <w:vAlign w:val="center"/>
                </w:tcPr>
                <w:p>
                  <w:pPr>
                    <w:pStyle w:val="76"/>
                    <w:spacing w:line="360" w:lineRule="exact"/>
                    <w:ind w:left="407"/>
                    <w:rPr>
                      <w:color w:val="000000"/>
                      <w:szCs w:val="21"/>
                    </w:rPr>
                  </w:pPr>
                  <w:r>
                    <w:rPr>
                      <w:rFonts w:hint="eastAsia"/>
                      <w:color w:val="000000"/>
                      <w:szCs w:val="21"/>
                    </w:rPr>
                    <w:t>热压工序排气筒</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vMerge w:val="continue"/>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p>
              </w:tc>
              <w:tc>
                <w:tcPr>
                  <w:tcW w:w="1932" w:type="pct"/>
                  <w:gridSpan w:val="2"/>
                  <w:tcBorders>
                    <w:top w:val="single" w:color="auto" w:sz="4" w:space="0"/>
                    <w:left w:val="single" w:color="auto" w:sz="4" w:space="0"/>
                    <w:bottom w:val="single" w:color="auto" w:sz="4" w:space="0"/>
                    <w:right w:val="single" w:color="auto" w:sz="4" w:space="0"/>
                  </w:tcBorders>
                  <w:vAlign w:val="center"/>
                </w:tcPr>
                <w:p>
                  <w:pPr>
                    <w:pStyle w:val="76"/>
                    <w:spacing w:line="360" w:lineRule="exact"/>
                    <w:ind w:left="407"/>
                    <w:rPr>
                      <w:color w:val="000000"/>
                      <w:szCs w:val="21"/>
                    </w:rPr>
                  </w:pPr>
                  <w:r>
                    <w:rPr>
                      <w:rFonts w:hint="eastAsia"/>
                      <w:color w:val="000000"/>
                      <w:szCs w:val="21"/>
                    </w:rPr>
                    <w:t>甲醛</w:t>
                  </w:r>
                </w:p>
              </w:tc>
              <w:tc>
                <w:tcPr>
                  <w:tcW w:w="1970" w:type="pct"/>
                  <w:gridSpan w:val="2"/>
                  <w:tcBorders>
                    <w:top w:val="single" w:color="auto" w:sz="4" w:space="0"/>
                    <w:left w:val="single" w:color="auto" w:sz="4" w:space="0"/>
                    <w:bottom w:val="single" w:color="auto" w:sz="4" w:space="0"/>
                    <w:right w:val="single" w:color="auto" w:sz="4" w:space="0"/>
                  </w:tcBorders>
                </w:tcPr>
                <w:p>
                  <w:pPr>
                    <w:pStyle w:val="76"/>
                    <w:spacing w:line="360" w:lineRule="exact"/>
                    <w:ind w:left="407"/>
                    <w:rPr>
                      <w:color w:val="000000"/>
                      <w:szCs w:val="21"/>
                    </w:rPr>
                  </w:pPr>
                  <w:r>
                    <w:rPr>
                      <w:rFonts w:hint="eastAsia"/>
                      <w:color w:val="000000"/>
                      <w:szCs w:val="21"/>
                    </w:rPr>
                    <w:t>非甲烷总烃</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81" w:hRule="exact"/>
                <w:jc w:val="center"/>
              </w:trPr>
              <w:tc>
                <w:tcPr>
                  <w:tcW w:w="1098" w:type="pct"/>
                  <w:vMerge w:val="continue"/>
                  <w:tcBorders>
                    <w:top w:val="single" w:color="auto" w:sz="4" w:space="0"/>
                    <w:left w:val="single" w:color="auto" w:sz="4" w:space="0"/>
                    <w:bottom w:val="single" w:color="auto" w:sz="4" w:space="0"/>
                    <w:right w:val="single" w:color="auto" w:sz="4" w:space="0"/>
                  </w:tcBorders>
                  <w:vAlign w:val="center"/>
                </w:tcPr>
                <w:p>
                  <w:pPr>
                    <w:pStyle w:val="76"/>
                    <w:spacing w:line="360" w:lineRule="exact"/>
                    <w:ind w:left="407"/>
                    <w:rPr>
                      <w:color w:val="000000"/>
                      <w:szCs w:val="21"/>
                    </w:rPr>
                  </w:pPr>
                </w:p>
              </w:tc>
              <w:tc>
                <w:tcPr>
                  <w:tcW w:w="1142"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rFonts w:hint="eastAsia"/>
                      <w:color w:val="000000"/>
                      <w:szCs w:val="21"/>
                    </w:rPr>
                    <w:t>落地</w:t>
                  </w:r>
                  <w:r>
                    <w:rPr>
                      <w:color w:val="000000"/>
                      <w:szCs w:val="21"/>
                    </w:rPr>
                    <w:t>浓度mg/m</w:t>
                  </w:r>
                  <w:r>
                    <w:rPr>
                      <w:color w:val="000000"/>
                      <w:szCs w:val="21"/>
                      <w:vertAlign w:val="superscript"/>
                    </w:rPr>
                    <w:t>3</w:t>
                  </w:r>
                </w:p>
              </w:tc>
              <w:tc>
                <w:tcPr>
                  <w:tcW w:w="790"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color w:val="000000"/>
                      <w:szCs w:val="21"/>
                    </w:rPr>
                    <w:t>占标率%</w:t>
                  </w:r>
                </w:p>
              </w:tc>
              <w:tc>
                <w:tcPr>
                  <w:tcW w:w="1230"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rFonts w:hint="eastAsia"/>
                      <w:color w:val="000000"/>
                      <w:szCs w:val="21"/>
                    </w:rPr>
                    <w:t>落地</w:t>
                  </w:r>
                  <w:r>
                    <w:rPr>
                      <w:color w:val="000000"/>
                      <w:szCs w:val="21"/>
                    </w:rPr>
                    <w:t>浓度mg/m</w:t>
                  </w:r>
                  <w:r>
                    <w:rPr>
                      <w:color w:val="000000"/>
                      <w:szCs w:val="21"/>
                      <w:vertAlign w:val="superscript"/>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color w:val="000000"/>
                      <w:szCs w:val="21"/>
                    </w:rPr>
                    <w:t>占标率%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100</w:t>
                  </w:r>
                </w:p>
              </w:tc>
              <w:tc>
                <w:tcPr>
                  <w:tcW w:w="1142" w:type="pct"/>
                  <w:tcBorders>
                    <w:top w:val="single" w:color="000000" w:sz="8" w:space="0"/>
                    <w:bottom w:val="single" w:color="000000" w:sz="8" w:space="0"/>
                  </w:tcBorders>
                </w:tcPr>
                <w:p>
                  <w:pPr>
                    <w:spacing w:line="360" w:lineRule="exact"/>
                    <w:jc w:val="center"/>
                    <w:rPr>
                      <w:color w:val="000000"/>
                      <w:szCs w:val="21"/>
                    </w:rPr>
                  </w:pPr>
                  <w:r>
                    <w:rPr>
                      <w:color w:val="000000"/>
                      <w:szCs w:val="21"/>
                    </w:rPr>
                    <w:t>0.0001124</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0.22</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0.0007492</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200</w:t>
                  </w:r>
                </w:p>
              </w:tc>
              <w:tc>
                <w:tcPr>
                  <w:tcW w:w="1142" w:type="pct"/>
                  <w:tcBorders>
                    <w:top w:val="single" w:color="000000" w:sz="8" w:space="0"/>
                    <w:bottom w:val="single" w:color="000000" w:sz="8" w:space="0"/>
                  </w:tcBorders>
                </w:tcPr>
                <w:p>
                  <w:pPr>
                    <w:spacing w:line="360" w:lineRule="exact"/>
                    <w:jc w:val="center"/>
                    <w:rPr>
                      <w:color w:val="000000"/>
                      <w:szCs w:val="21"/>
                    </w:rPr>
                  </w:pPr>
                  <w:r>
                    <w:rPr>
                      <w:color w:val="000000"/>
                      <w:szCs w:val="21"/>
                    </w:rPr>
                    <w:t>0.0001375</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0.28</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0.0009167</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left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300</w:t>
                  </w:r>
                </w:p>
              </w:tc>
              <w:tc>
                <w:tcPr>
                  <w:tcW w:w="1142" w:type="pct"/>
                </w:tcPr>
                <w:p>
                  <w:pPr>
                    <w:spacing w:line="360" w:lineRule="exact"/>
                    <w:jc w:val="center"/>
                    <w:rPr>
                      <w:color w:val="000000"/>
                      <w:szCs w:val="21"/>
                    </w:rPr>
                  </w:pPr>
                  <w:r>
                    <w:rPr>
                      <w:color w:val="000000"/>
                      <w:szCs w:val="21"/>
                    </w:rPr>
                    <w:t>0.0001452</w:t>
                  </w:r>
                </w:p>
              </w:tc>
              <w:tc>
                <w:tcPr>
                  <w:tcW w:w="790" w:type="pct"/>
                  <w:tcBorders>
                    <w:left w:val="single" w:color="000000" w:sz="8" w:space="0"/>
                    <w:right w:val="single" w:color="auto" w:sz="4" w:space="0"/>
                  </w:tcBorders>
                </w:tcPr>
                <w:p>
                  <w:pPr>
                    <w:spacing w:line="360" w:lineRule="exact"/>
                    <w:jc w:val="center"/>
                    <w:rPr>
                      <w:color w:val="000000"/>
                      <w:szCs w:val="21"/>
                    </w:rPr>
                  </w:pPr>
                  <w:r>
                    <w:rPr>
                      <w:color w:val="000000"/>
                      <w:szCs w:val="21"/>
                    </w:rPr>
                    <w:t>0.29</w:t>
                  </w:r>
                </w:p>
              </w:tc>
              <w:tc>
                <w:tcPr>
                  <w:tcW w:w="1230" w:type="pct"/>
                  <w:tcBorders>
                    <w:left w:val="single" w:color="000000" w:sz="8" w:space="0"/>
                    <w:right w:val="single" w:color="auto" w:sz="4" w:space="0"/>
                  </w:tcBorders>
                </w:tcPr>
                <w:p>
                  <w:pPr>
                    <w:spacing w:line="360" w:lineRule="exact"/>
                    <w:jc w:val="center"/>
                    <w:rPr>
                      <w:color w:val="000000"/>
                      <w:szCs w:val="21"/>
                    </w:rPr>
                  </w:pPr>
                  <w:r>
                    <w:rPr>
                      <w:color w:val="000000"/>
                      <w:szCs w:val="21"/>
                    </w:rPr>
                    <w:t>0.0009678</w:t>
                  </w:r>
                </w:p>
              </w:tc>
              <w:tc>
                <w:tcPr>
                  <w:tcW w:w="740" w:type="pct"/>
                  <w:tcBorders>
                    <w:left w:val="single" w:color="000000" w:sz="8" w:space="0"/>
                    <w:right w:val="single" w:color="auto" w:sz="4" w:space="0"/>
                  </w:tcBorders>
                </w:tcPr>
                <w:p>
                  <w:pPr>
                    <w:spacing w:line="360" w:lineRule="exact"/>
                    <w:jc w:val="center"/>
                    <w:rPr>
                      <w:color w:val="000000"/>
                      <w:szCs w:val="21"/>
                    </w:rPr>
                  </w:pPr>
                  <w:r>
                    <w:rPr>
                      <w:color w:val="000000"/>
                      <w:szCs w:val="21"/>
                    </w:rPr>
                    <w:t>0.05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auto" w:sz="4"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400</w:t>
                  </w:r>
                </w:p>
              </w:tc>
              <w:tc>
                <w:tcPr>
                  <w:tcW w:w="1142" w:type="pct"/>
                  <w:tcBorders>
                    <w:top w:val="single" w:color="000000" w:sz="8" w:space="0"/>
                    <w:bottom w:val="single" w:color="auto" w:sz="4" w:space="0"/>
                  </w:tcBorders>
                </w:tcPr>
                <w:p>
                  <w:pPr>
                    <w:spacing w:line="360" w:lineRule="exact"/>
                    <w:jc w:val="center"/>
                    <w:rPr>
                      <w:color w:val="000000"/>
                      <w:szCs w:val="21"/>
                    </w:rPr>
                  </w:pPr>
                  <w:r>
                    <w:rPr>
                      <w:color w:val="000000"/>
                      <w:szCs w:val="21"/>
                    </w:rPr>
                    <w:t>0.0001242</w:t>
                  </w:r>
                </w:p>
              </w:tc>
              <w:tc>
                <w:tcPr>
                  <w:tcW w:w="790" w:type="pct"/>
                  <w:tcBorders>
                    <w:top w:val="single" w:color="000000" w:sz="8" w:space="0"/>
                    <w:left w:val="single" w:color="000000" w:sz="8" w:space="0"/>
                    <w:bottom w:val="single" w:color="auto" w:sz="4" w:space="0"/>
                    <w:right w:val="single" w:color="auto" w:sz="4" w:space="0"/>
                  </w:tcBorders>
                </w:tcPr>
                <w:p>
                  <w:pPr>
                    <w:spacing w:line="360" w:lineRule="exact"/>
                    <w:jc w:val="center"/>
                    <w:rPr>
                      <w:color w:val="000000"/>
                      <w:szCs w:val="21"/>
                    </w:rPr>
                  </w:pPr>
                  <w:r>
                    <w:rPr>
                      <w:color w:val="000000"/>
                      <w:szCs w:val="21"/>
                    </w:rPr>
                    <w:t>0.25</w:t>
                  </w:r>
                </w:p>
              </w:tc>
              <w:tc>
                <w:tcPr>
                  <w:tcW w:w="1230" w:type="pct"/>
                  <w:tcBorders>
                    <w:top w:val="single" w:color="000000" w:sz="8" w:space="0"/>
                    <w:left w:val="single" w:color="000000" w:sz="8" w:space="0"/>
                    <w:bottom w:val="single" w:color="auto" w:sz="4" w:space="0"/>
                    <w:right w:val="single" w:color="auto" w:sz="4" w:space="0"/>
                  </w:tcBorders>
                </w:tcPr>
                <w:p>
                  <w:pPr>
                    <w:spacing w:line="360" w:lineRule="exact"/>
                    <w:jc w:val="center"/>
                    <w:rPr>
                      <w:color w:val="000000"/>
                      <w:szCs w:val="21"/>
                    </w:rPr>
                  </w:pPr>
                  <w:r>
                    <w:rPr>
                      <w:color w:val="000000"/>
                      <w:szCs w:val="21"/>
                    </w:rPr>
                    <w:t>0.0008278</w:t>
                  </w:r>
                </w:p>
              </w:tc>
              <w:tc>
                <w:tcPr>
                  <w:tcW w:w="740" w:type="pct"/>
                  <w:tcBorders>
                    <w:top w:val="single" w:color="000000" w:sz="8" w:space="0"/>
                    <w:left w:val="single" w:color="000000" w:sz="8" w:space="0"/>
                    <w:bottom w:val="single" w:color="auto" w:sz="4" w:space="0"/>
                    <w:right w:val="single" w:color="auto" w:sz="4" w:space="0"/>
                  </w:tcBorders>
                </w:tcPr>
                <w:p>
                  <w:pPr>
                    <w:spacing w:line="360" w:lineRule="exact"/>
                    <w:jc w:val="center"/>
                    <w:rPr>
                      <w:color w:val="000000"/>
                      <w:szCs w:val="21"/>
                    </w:rPr>
                  </w:pPr>
                  <w:r>
                    <w:rPr>
                      <w:color w:val="000000"/>
                      <w:szCs w:val="21"/>
                    </w:rPr>
                    <w:t>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color w:val="000000"/>
                      <w:szCs w:val="21"/>
                    </w:rPr>
                    <w:t>500</w:t>
                  </w:r>
                </w:p>
              </w:tc>
              <w:tc>
                <w:tcPr>
                  <w:tcW w:w="1142"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0.0001244</w:t>
                  </w:r>
                </w:p>
              </w:tc>
              <w:tc>
                <w:tcPr>
                  <w:tcW w:w="790"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0.25</w:t>
                  </w:r>
                </w:p>
              </w:tc>
              <w:tc>
                <w:tcPr>
                  <w:tcW w:w="1230"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0.0008293</w:t>
                  </w:r>
                </w:p>
              </w:tc>
              <w:tc>
                <w:tcPr>
                  <w:tcW w:w="740"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color w:val="000000"/>
                      <w:szCs w:val="21"/>
                    </w:rPr>
                    <w:t>600</w:t>
                  </w:r>
                </w:p>
              </w:tc>
              <w:tc>
                <w:tcPr>
                  <w:tcW w:w="1142"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0.0001197</w:t>
                  </w:r>
                </w:p>
              </w:tc>
              <w:tc>
                <w:tcPr>
                  <w:tcW w:w="790"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0.24</w:t>
                  </w:r>
                </w:p>
              </w:tc>
              <w:tc>
                <w:tcPr>
                  <w:tcW w:w="1230"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0.0007981</w:t>
                  </w:r>
                </w:p>
              </w:tc>
              <w:tc>
                <w:tcPr>
                  <w:tcW w:w="740"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auto" w:sz="4"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700</w:t>
                  </w:r>
                </w:p>
              </w:tc>
              <w:tc>
                <w:tcPr>
                  <w:tcW w:w="1142" w:type="pct"/>
                  <w:tcBorders>
                    <w:top w:val="single" w:color="auto" w:sz="4" w:space="0"/>
                    <w:bottom w:val="single" w:color="000000" w:sz="8" w:space="0"/>
                  </w:tcBorders>
                </w:tcPr>
                <w:p>
                  <w:pPr>
                    <w:spacing w:line="360" w:lineRule="exact"/>
                    <w:jc w:val="center"/>
                    <w:rPr>
                      <w:color w:val="000000"/>
                      <w:szCs w:val="21"/>
                    </w:rPr>
                  </w:pPr>
                  <w:r>
                    <w:rPr>
                      <w:color w:val="000000"/>
                      <w:szCs w:val="21"/>
                    </w:rPr>
                    <w:t>0.0001099</w:t>
                  </w:r>
                </w:p>
              </w:tc>
              <w:tc>
                <w:tcPr>
                  <w:tcW w:w="790" w:type="pct"/>
                  <w:tcBorders>
                    <w:top w:val="single" w:color="auto" w:sz="4"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0.22</w:t>
                  </w:r>
                </w:p>
              </w:tc>
              <w:tc>
                <w:tcPr>
                  <w:tcW w:w="1230" w:type="pct"/>
                  <w:tcBorders>
                    <w:top w:val="single" w:color="auto" w:sz="4"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0.0007326</w:t>
                  </w:r>
                </w:p>
              </w:tc>
              <w:tc>
                <w:tcPr>
                  <w:tcW w:w="740" w:type="pct"/>
                  <w:tcBorders>
                    <w:top w:val="single" w:color="auto" w:sz="4"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800</w:t>
                  </w:r>
                </w:p>
              </w:tc>
              <w:tc>
                <w:tcPr>
                  <w:tcW w:w="1142" w:type="pct"/>
                  <w:tcBorders>
                    <w:top w:val="single" w:color="000000" w:sz="8" w:space="0"/>
                    <w:bottom w:val="single" w:color="000000" w:sz="8" w:space="0"/>
                  </w:tcBorders>
                </w:tcPr>
                <w:p>
                  <w:pPr>
                    <w:spacing w:line="360" w:lineRule="exact"/>
                    <w:jc w:val="center"/>
                    <w:rPr>
                      <w:color w:val="000000"/>
                      <w:szCs w:val="21"/>
                    </w:rPr>
                  </w:pPr>
                  <w:r>
                    <w:rPr>
                      <w:color w:val="000000"/>
                      <w:szCs w:val="21"/>
                    </w:rPr>
                    <w:t>0.0001047</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0.21</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0.0006982</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left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900</w:t>
                  </w:r>
                </w:p>
              </w:tc>
              <w:tc>
                <w:tcPr>
                  <w:tcW w:w="1142" w:type="pct"/>
                </w:tcPr>
                <w:p>
                  <w:pPr>
                    <w:spacing w:line="360" w:lineRule="exact"/>
                    <w:jc w:val="center"/>
                    <w:rPr>
                      <w:color w:val="000000"/>
                      <w:szCs w:val="21"/>
                    </w:rPr>
                  </w:pPr>
                  <w:r>
                    <w:rPr>
                      <w:color w:val="000000"/>
                      <w:szCs w:val="21"/>
                    </w:rPr>
                    <w:t>0.0001019</w:t>
                  </w:r>
                </w:p>
              </w:tc>
              <w:tc>
                <w:tcPr>
                  <w:tcW w:w="790" w:type="pct"/>
                  <w:tcBorders>
                    <w:left w:val="single" w:color="000000" w:sz="8" w:space="0"/>
                    <w:right w:val="single" w:color="auto" w:sz="4" w:space="0"/>
                  </w:tcBorders>
                </w:tcPr>
                <w:p>
                  <w:pPr>
                    <w:spacing w:line="360" w:lineRule="exact"/>
                    <w:jc w:val="center"/>
                    <w:rPr>
                      <w:color w:val="000000"/>
                      <w:szCs w:val="21"/>
                    </w:rPr>
                  </w:pPr>
                  <w:r>
                    <w:rPr>
                      <w:color w:val="000000"/>
                      <w:szCs w:val="21"/>
                    </w:rPr>
                    <w:t>0.20</w:t>
                  </w:r>
                </w:p>
              </w:tc>
              <w:tc>
                <w:tcPr>
                  <w:tcW w:w="1230" w:type="pct"/>
                  <w:tcBorders>
                    <w:left w:val="single" w:color="000000" w:sz="8" w:space="0"/>
                    <w:right w:val="single" w:color="auto" w:sz="4" w:space="0"/>
                  </w:tcBorders>
                </w:tcPr>
                <w:p>
                  <w:pPr>
                    <w:spacing w:line="360" w:lineRule="exact"/>
                    <w:jc w:val="center"/>
                    <w:rPr>
                      <w:color w:val="000000"/>
                      <w:szCs w:val="21"/>
                    </w:rPr>
                  </w:pPr>
                  <w:r>
                    <w:rPr>
                      <w:color w:val="000000"/>
                      <w:szCs w:val="21"/>
                    </w:rPr>
                    <w:t>0.000679</w:t>
                  </w:r>
                </w:p>
              </w:tc>
              <w:tc>
                <w:tcPr>
                  <w:tcW w:w="740" w:type="pct"/>
                  <w:tcBorders>
                    <w:left w:val="single" w:color="000000" w:sz="8" w:space="0"/>
                    <w:right w:val="single" w:color="auto" w:sz="4" w:space="0"/>
                  </w:tcBorders>
                </w:tcPr>
                <w:p>
                  <w:pPr>
                    <w:spacing w:line="360" w:lineRule="exact"/>
                    <w:jc w:val="center"/>
                    <w:rPr>
                      <w:color w:val="000000"/>
                      <w:szCs w:val="21"/>
                    </w:rPr>
                  </w:pPr>
                  <w:r>
                    <w:rPr>
                      <w:color w:val="000000"/>
                      <w:szCs w:val="21"/>
                    </w:rPr>
                    <w:t>0.03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1000</w:t>
                  </w:r>
                </w:p>
              </w:tc>
              <w:tc>
                <w:tcPr>
                  <w:tcW w:w="1142" w:type="pct"/>
                  <w:tcBorders>
                    <w:top w:val="single" w:color="000000" w:sz="8" w:space="0"/>
                    <w:bottom w:val="single" w:color="000000" w:sz="8" w:space="0"/>
                  </w:tcBorders>
                </w:tcPr>
                <w:p>
                  <w:pPr>
                    <w:spacing w:line="360" w:lineRule="exact"/>
                    <w:jc w:val="center"/>
                    <w:rPr>
                      <w:color w:val="000000"/>
                      <w:szCs w:val="21"/>
                    </w:rPr>
                  </w:pPr>
                  <w:r>
                    <w:rPr>
                      <w:rFonts w:hint="eastAsia"/>
                      <w:color w:val="000000"/>
                      <w:szCs w:val="21"/>
                    </w:rPr>
                    <w:t>0.000099</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0.20</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0.0006587</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szCs w:val="21"/>
                    </w:rPr>
                  </w:pPr>
                  <w:r>
                    <w:rPr>
                      <w:rFonts w:hint="eastAsia"/>
                      <w:color w:val="000000"/>
                      <w:szCs w:val="21"/>
                    </w:rPr>
                    <w:t>1500</w:t>
                  </w:r>
                </w:p>
              </w:tc>
              <w:tc>
                <w:tcPr>
                  <w:tcW w:w="1142" w:type="pct"/>
                  <w:tcBorders>
                    <w:top w:val="single" w:color="000000" w:sz="8" w:space="0"/>
                    <w:bottom w:val="single" w:color="000000" w:sz="8" w:space="0"/>
                  </w:tcBorders>
                </w:tcPr>
                <w:p>
                  <w:pPr>
                    <w:spacing w:line="360" w:lineRule="exact"/>
                    <w:jc w:val="center"/>
                    <w:rPr>
                      <w:color w:val="000000"/>
                      <w:szCs w:val="21"/>
                    </w:rPr>
                  </w:pPr>
                  <w:r>
                    <w:rPr>
                      <w:rFonts w:hint="eastAsia"/>
                      <w:color w:val="000000"/>
                      <w:szCs w:val="21"/>
                    </w:rPr>
                    <w:t>0.000096</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0.19</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0.000638</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szCs w:val="21"/>
                    </w:rPr>
                  </w:pPr>
                  <w:r>
                    <w:rPr>
                      <w:rFonts w:hint="eastAsia"/>
                      <w:color w:val="000000"/>
                      <w:szCs w:val="21"/>
                    </w:rPr>
                    <w:t>2000</w:t>
                  </w:r>
                </w:p>
              </w:tc>
              <w:tc>
                <w:tcPr>
                  <w:tcW w:w="1142" w:type="pct"/>
                  <w:tcBorders>
                    <w:top w:val="single" w:color="000000" w:sz="8" w:space="0"/>
                    <w:bottom w:val="single" w:color="000000" w:sz="8" w:space="0"/>
                  </w:tcBorders>
                </w:tcPr>
                <w:p>
                  <w:pPr>
                    <w:spacing w:line="360" w:lineRule="exact"/>
                    <w:jc w:val="center"/>
                    <w:rPr>
                      <w:color w:val="000000"/>
                      <w:szCs w:val="21"/>
                    </w:rPr>
                  </w:pPr>
                  <w:r>
                    <w:rPr>
                      <w:rFonts w:hint="eastAsia"/>
                      <w:color w:val="000000"/>
                      <w:szCs w:val="21"/>
                    </w:rPr>
                    <w:t>0.000081</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0.16</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0.000539</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szCs w:val="21"/>
                    </w:rPr>
                  </w:pPr>
                  <w:r>
                    <w:rPr>
                      <w:rFonts w:hint="eastAsia"/>
                      <w:color w:val="000000"/>
                      <w:szCs w:val="21"/>
                    </w:rPr>
                    <w:t>2500</w:t>
                  </w:r>
                </w:p>
              </w:tc>
              <w:tc>
                <w:tcPr>
                  <w:tcW w:w="1142" w:type="pct"/>
                  <w:tcBorders>
                    <w:top w:val="single" w:color="000000" w:sz="8" w:space="0"/>
                    <w:bottom w:val="single" w:color="000000" w:sz="8" w:space="0"/>
                  </w:tcBorders>
                </w:tcPr>
                <w:p>
                  <w:pPr>
                    <w:spacing w:line="360" w:lineRule="exact"/>
                    <w:jc w:val="center"/>
                    <w:rPr>
                      <w:color w:val="000000"/>
                      <w:szCs w:val="21"/>
                    </w:rPr>
                  </w:pPr>
                  <w:r>
                    <w:rPr>
                      <w:rFonts w:hint="eastAsia"/>
                      <w:color w:val="000000"/>
                      <w:szCs w:val="21"/>
                    </w:rPr>
                    <w:t>0.000067</w:t>
                  </w:r>
                </w:p>
              </w:tc>
              <w:tc>
                <w:tcPr>
                  <w:tcW w:w="79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0.13</w:t>
                  </w:r>
                </w:p>
              </w:tc>
              <w:tc>
                <w:tcPr>
                  <w:tcW w:w="123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0.000448</w:t>
                  </w:r>
                </w:p>
              </w:tc>
              <w:tc>
                <w:tcPr>
                  <w:tcW w:w="740"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lang w:val="en-GB"/>
                    </w:rPr>
                  </w:pPr>
                  <w:r>
                    <w:rPr>
                      <w:rFonts w:hint="eastAsia"/>
                      <w:color w:val="000000"/>
                      <w:lang w:val="en-GB"/>
                    </w:rPr>
                    <w:t>最大</w:t>
                  </w:r>
                  <w:r>
                    <w:rPr>
                      <w:color w:val="000000"/>
                      <w:lang w:val="en-GB"/>
                    </w:rPr>
                    <w:t>落地</w:t>
                  </w:r>
                  <w:r>
                    <w:rPr>
                      <w:color w:val="000000"/>
                      <w:szCs w:val="21"/>
                    </w:rPr>
                    <w:t>浓度</w:t>
                  </w:r>
                </w:p>
              </w:tc>
              <w:tc>
                <w:tcPr>
                  <w:tcW w:w="1932" w:type="pct"/>
                  <w:gridSpan w:val="2"/>
                  <w:tcBorders>
                    <w:top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szCs w:val="21"/>
                    </w:rPr>
                    <w:t>0.000146</w:t>
                  </w:r>
                  <w:r>
                    <w:rPr>
                      <w:rFonts w:hint="eastAsia"/>
                      <w:color w:val="000000"/>
                      <w:lang w:val="en-GB"/>
                    </w:rPr>
                    <w:t>mg/m</w:t>
                  </w:r>
                  <w:r>
                    <w:rPr>
                      <w:rFonts w:hint="eastAsia"/>
                      <w:color w:val="000000"/>
                      <w:vertAlign w:val="superscript"/>
                      <w:lang w:val="en-GB"/>
                    </w:rPr>
                    <w:t>3</w:t>
                  </w:r>
                </w:p>
              </w:tc>
              <w:tc>
                <w:tcPr>
                  <w:tcW w:w="1970" w:type="pct"/>
                  <w:gridSpan w:val="2"/>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0.000974</w:t>
                  </w:r>
                  <w:r>
                    <w:rPr>
                      <w:rFonts w:hint="eastAsia"/>
                      <w:color w:val="000000"/>
                      <w:lang w:val="en-GB"/>
                    </w:rPr>
                    <w:t>mg/m</w:t>
                  </w:r>
                  <w:r>
                    <w:rPr>
                      <w:rFonts w:hint="eastAsia"/>
                      <w:color w:val="000000"/>
                      <w:vertAlign w:val="superscript"/>
                      <w:lang w:val="en-GB"/>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lang w:val="en-GB"/>
                    </w:rPr>
                  </w:pPr>
                  <w:r>
                    <w:rPr>
                      <w:rFonts w:hint="eastAsia"/>
                      <w:color w:val="000000"/>
                      <w:lang w:val="en-GB"/>
                    </w:rPr>
                    <w:t>最大</w:t>
                  </w:r>
                  <w:r>
                    <w:rPr>
                      <w:color w:val="000000"/>
                      <w:lang w:val="en-GB"/>
                    </w:rPr>
                    <w:t>占标率</w:t>
                  </w:r>
                </w:p>
              </w:tc>
              <w:tc>
                <w:tcPr>
                  <w:tcW w:w="1932" w:type="pct"/>
                  <w:gridSpan w:val="2"/>
                  <w:tcBorders>
                    <w:top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lang w:val="en-GB"/>
                    </w:rPr>
                    <w:t>0.29%</w:t>
                  </w:r>
                </w:p>
              </w:tc>
              <w:tc>
                <w:tcPr>
                  <w:tcW w:w="1970" w:type="pct"/>
                  <w:gridSpan w:val="2"/>
                  <w:tcBorders>
                    <w:top w:val="single" w:color="000000" w:sz="8" w:space="0"/>
                    <w:left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lang w:val="en-GB"/>
                    </w:rPr>
                    <w:t>0.05%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98"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lang w:val="en-GB"/>
                    </w:rPr>
                  </w:pPr>
                  <w:r>
                    <w:rPr>
                      <w:color w:val="000000"/>
                      <w:lang w:val="en-GB"/>
                    </w:rPr>
                    <w:t>出现距离</w:t>
                  </w:r>
                </w:p>
              </w:tc>
              <w:tc>
                <w:tcPr>
                  <w:tcW w:w="1932" w:type="pct"/>
                  <w:gridSpan w:val="2"/>
                  <w:tcBorders>
                    <w:top w:val="single" w:color="000000" w:sz="8" w:space="0"/>
                    <w:bottom w:val="single" w:color="000000" w:sz="8" w:space="0"/>
                    <w:right w:val="single" w:color="auto" w:sz="4" w:space="0"/>
                  </w:tcBorders>
                  <w:vAlign w:val="center"/>
                </w:tcPr>
                <w:p>
                  <w:pPr>
                    <w:adjustRightInd w:val="0"/>
                    <w:snapToGrid w:val="0"/>
                    <w:spacing w:line="360" w:lineRule="exact"/>
                    <w:jc w:val="center"/>
                    <w:rPr>
                      <w:color w:val="000000"/>
                      <w:lang w:val="en-GB"/>
                    </w:rPr>
                  </w:pPr>
                  <w:r>
                    <w:rPr>
                      <w:rFonts w:hint="eastAsia"/>
                      <w:color w:val="000000"/>
                      <w:lang w:val="en-GB"/>
                    </w:rPr>
                    <w:t>281m</w:t>
                  </w:r>
                </w:p>
              </w:tc>
              <w:tc>
                <w:tcPr>
                  <w:tcW w:w="1970" w:type="pct"/>
                  <w:gridSpan w:val="2"/>
                  <w:tcBorders>
                    <w:top w:val="single" w:color="000000" w:sz="8" w:space="0"/>
                    <w:left w:val="single" w:color="000000" w:sz="8" w:space="0"/>
                    <w:bottom w:val="single" w:color="000000" w:sz="8" w:space="0"/>
                    <w:right w:val="single" w:color="auto" w:sz="4" w:space="0"/>
                  </w:tcBorders>
                  <w:vAlign w:val="center"/>
                </w:tcPr>
                <w:p>
                  <w:pPr>
                    <w:adjustRightInd w:val="0"/>
                    <w:snapToGrid w:val="0"/>
                    <w:spacing w:line="360" w:lineRule="exact"/>
                    <w:jc w:val="center"/>
                    <w:rPr>
                      <w:color w:val="000000"/>
                      <w:lang w:val="en-GB"/>
                    </w:rPr>
                  </w:pPr>
                  <w:r>
                    <w:rPr>
                      <w:rFonts w:hint="eastAsia"/>
                      <w:color w:val="000000"/>
                      <w:lang w:val="en-GB"/>
                    </w:rPr>
                    <w:t>281m</w:t>
                  </w:r>
                </w:p>
              </w:tc>
            </w:tr>
          </w:tbl>
          <w:p>
            <w:pPr>
              <w:pStyle w:val="62"/>
              <w:snapToGrid w:val="0"/>
              <w:spacing w:line="360" w:lineRule="auto"/>
              <w:ind w:left="-25" w:firstLine="482"/>
              <w:jc w:val="center"/>
              <w:rPr>
                <w:rFonts w:ascii="Times New Roman" w:hAnsi="Times New Roman" w:eastAsia="黑体"/>
                <w:color w:val="000000"/>
                <w:sz w:val="20"/>
                <w:szCs w:val="24"/>
                <w:u w:val="single"/>
              </w:rPr>
            </w:pPr>
            <w:r>
              <w:rPr>
                <w:rFonts w:ascii="Times New Roman" w:hAnsi="Times New Roman"/>
                <w:b/>
                <w:bCs/>
                <w:color w:val="000000"/>
                <w:kern w:val="0"/>
              </w:rPr>
              <w:t>表</w:t>
            </w:r>
            <w:r>
              <w:rPr>
                <w:rFonts w:hint="eastAsia" w:ascii="Times New Roman" w:hAnsi="Times New Roman"/>
                <w:b/>
                <w:bCs/>
                <w:color w:val="000000"/>
                <w:kern w:val="0"/>
              </w:rPr>
              <w:t>4-11</w:t>
            </w:r>
            <w:r>
              <w:rPr>
                <w:rFonts w:ascii="Times New Roman" w:hAnsi="Times New Roman"/>
                <w:b/>
                <w:bCs/>
                <w:color w:val="000000"/>
                <w:kern w:val="0"/>
              </w:rPr>
              <w:t xml:space="preserve">     项目有组织废气下风向轴向浓度估算结果一览表</w:t>
            </w:r>
            <w:r>
              <w:rPr>
                <w:rFonts w:ascii="Times New Roman" w:hAnsi="Times New Roman" w:eastAsia="黑体"/>
                <w:color w:val="000000"/>
                <w:szCs w:val="24"/>
                <w:u w:val="single"/>
              </w:rPr>
              <w:t xml:space="preserve"> </w:t>
            </w:r>
            <w:r>
              <w:rPr>
                <w:rFonts w:ascii="Times New Roman" w:hAnsi="Times New Roman" w:eastAsia="黑体"/>
                <w:color w:val="000000"/>
                <w:szCs w:val="24"/>
              </w:rPr>
              <w:t xml:space="preserve">  </w:t>
            </w:r>
          </w:p>
          <w:tbl>
            <w:tblPr>
              <w:tblStyle w:val="30"/>
              <w:tblW w:w="811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71"/>
              <w:gridCol w:w="879"/>
              <w:gridCol w:w="1277"/>
              <w:gridCol w:w="855"/>
              <w:gridCol w:w="134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right"/>
              </w:trPr>
              <w:tc>
                <w:tcPr>
                  <w:tcW w:w="964" w:type="pct"/>
                  <w:vMerge w:val="restart"/>
                  <w:shd w:val="clear" w:color="auto" w:fill="auto"/>
                  <w:vAlign w:val="center"/>
                </w:tcPr>
                <w:p>
                  <w:pPr>
                    <w:adjustRightInd w:val="0"/>
                    <w:snapToGrid w:val="0"/>
                    <w:spacing w:line="360" w:lineRule="exact"/>
                    <w:jc w:val="center"/>
                    <w:rPr>
                      <w:color w:val="000000"/>
                    </w:rPr>
                  </w:pPr>
                  <w:r>
                    <w:rPr>
                      <w:color w:val="000000"/>
                    </w:rPr>
                    <w:t>距离D（m）</w:t>
                  </w:r>
                </w:p>
              </w:tc>
              <w:tc>
                <w:tcPr>
                  <w:tcW w:w="4036" w:type="pct"/>
                  <w:gridSpan w:val="6"/>
                  <w:vAlign w:val="center"/>
                </w:tcPr>
                <w:p>
                  <w:pPr>
                    <w:widowControl/>
                    <w:spacing w:line="360" w:lineRule="exact"/>
                    <w:jc w:val="center"/>
                    <w:rPr>
                      <w:color w:val="000000"/>
                    </w:rPr>
                  </w:pPr>
                  <w:r>
                    <w:rPr>
                      <w:rFonts w:hint="eastAsia"/>
                      <w:color w:val="000000"/>
                    </w:rPr>
                    <w:t>液化石油气燃烧废气排气筒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right"/>
              </w:trPr>
              <w:tc>
                <w:tcPr>
                  <w:tcW w:w="964" w:type="pct"/>
                  <w:vMerge w:val="continue"/>
                  <w:shd w:val="clear" w:color="auto" w:fill="auto"/>
                  <w:vAlign w:val="center"/>
                </w:tcPr>
                <w:p>
                  <w:pPr>
                    <w:adjustRightInd w:val="0"/>
                    <w:snapToGrid w:val="0"/>
                    <w:spacing w:line="360" w:lineRule="exact"/>
                    <w:jc w:val="center"/>
                    <w:rPr>
                      <w:color w:val="000000"/>
                    </w:rPr>
                  </w:pPr>
                </w:p>
              </w:tc>
              <w:tc>
                <w:tcPr>
                  <w:tcW w:w="1326" w:type="pct"/>
                  <w:gridSpan w:val="2"/>
                  <w:vAlign w:val="center"/>
                </w:tcPr>
                <w:p>
                  <w:pPr>
                    <w:widowControl/>
                    <w:spacing w:line="360" w:lineRule="exact"/>
                    <w:jc w:val="center"/>
                    <w:rPr>
                      <w:color w:val="000000"/>
                    </w:rPr>
                  </w:pPr>
                  <w:r>
                    <w:rPr>
                      <w:rFonts w:hint="eastAsia"/>
                      <w:color w:val="000000"/>
                    </w:rPr>
                    <w:t>PM</w:t>
                  </w:r>
                  <w:r>
                    <w:rPr>
                      <w:rFonts w:hint="eastAsia"/>
                      <w:color w:val="000000"/>
                      <w:vertAlign w:val="subscript"/>
                    </w:rPr>
                    <w:t>10</w:t>
                  </w:r>
                </w:p>
              </w:tc>
              <w:tc>
                <w:tcPr>
                  <w:tcW w:w="1314" w:type="pct"/>
                  <w:gridSpan w:val="2"/>
                  <w:vAlign w:val="center"/>
                </w:tcPr>
                <w:p>
                  <w:pPr>
                    <w:widowControl/>
                    <w:spacing w:line="360" w:lineRule="exact"/>
                    <w:jc w:val="center"/>
                    <w:rPr>
                      <w:color w:val="000000"/>
                    </w:rPr>
                  </w:pPr>
                  <w:r>
                    <w:rPr>
                      <w:rFonts w:hint="eastAsia"/>
                      <w:color w:val="000000"/>
                    </w:rPr>
                    <w:t>SO</w:t>
                  </w:r>
                  <w:r>
                    <w:rPr>
                      <w:rFonts w:hint="eastAsia"/>
                      <w:color w:val="000000"/>
                      <w:vertAlign w:val="subscript"/>
                    </w:rPr>
                    <w:t>2</w:t>
                  </w:r>
                </w:p>
              </w:tc>
              <w:tc>
                <w:tcPr>
                  <w:tcW w:w="1396" w:type="pct"/>
                  <w:gridSpan w:val="2"/>
                  <w:vAlign w:val="center"/>
                </w:tcPr>
                <w:p>
                  <w:pPr>
                    <w:widowControl/>
                    <w:spacing w:line="360" w:lineRule="exact"/>
                    <w:jc w:val="center"/>
                    <w:rPr>
                      <w:color w:val="000000"/>
                    </w:rPr>
                  </w:pPr>
                  <w:r>
                    <w:rPr>
                      <w:rFonts w:hint="eastAsia"/>
                      <w:color w:val="000000"/>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vMerge w:val="continue"/>
                  <w:shd w:val="clear" w:color="auto" w:fill="auto"/>
                  <w:vAlign w:val="center"/>
                </w:tcPr>
                <w:p>
                  <w:pPr>
                    <w:adjustRightInd w:val="0"/>
                    <w:snapToGrid w:val="0"/>
                    <w:spacing w:line="360" w:lineRule="exact"/>
                    <w:jc w:val="center"/>
                    <w:rPr>
                      <w:color w:val="000000"/>
                    </w:rPr>
                  </w:pPr>
                </w:p>
              </w:tc>
              <w:tc>
                <w:tcPr>
                  <w:tcW w:w="784" w:type="pct"/>
                  <w:vAlign w:val="center"/>
                </w:tcPr>
                <w:p>
                  <w:pPr>
                    <w:jc w:val="center"/>
                    <w:rPr>
                      <w:color w:val="000000"/>
                    </w:rPr>
                  </w:pPr>
                  <w:r>
                    <w:rPr>
                      <w:rFonts w:hint="eastAsia" w:hAnsi="宋体"/>
                      <w:color w:val="000000"/>
                    </w:rPr>
                    <w:t>落地浓度（mg/m</w:t>
                  </w:r>
                  <w:r>
                    <w:rPr>
                      <w:rFonts w:hint="eastAsia" w:hAnsi="宋体"/>
                      <w:color w:val="000000"/>
                      <w:vertAlign w:val="superscript"/>
                    </w:rPr>
                    <w:t>3</w:t>
                  </w:r>
                  <w:r>
                    <w:rPr>
                      <w:rFonts w:hint="eastAsia" w:hAnsi="宋体"/>
                      <w:color w:val="000000"/>
                    </w:rPr>
                    <w:t>）</w:t>
                  </w:r>
                </w:p>
              </w:tc>
              <w:tc>
                <w:tcPr>
                  <w:tcW w:w="542" w:type="pct"/>
                  <w:vAlign w:val="center"/>
                </w:tcPr>
                <w:p>
                  <w:pPr>
                    <w:jc w:val="center"/>
                    <w:rPr>
                      <w:color w:val="000000"/>
                    </w:rPr>
                  </w:pPr>
                  <w:r>
                    <w:rPr>
                      <w:color w:val="000000"/>
                    </w:rPr>
                    <w:t>占标率%</w:t>
                  </w:r>
                </w:p>
              </w:tc>
              <w:tc>
                <w:tcPr>
                  <w:tcW w:w="787" w:type="pct"/>
                  <w:vAlign w:val="center"/>
                </w:tcPr>
                <w:p>
                  <w:pPr>
                    <w:jc w:val="center"/>
                    <w:rPr>
                      <w:color w:val="000000"/>
                    </w:rPr>
                  </w:pPr>
                  <w:r>
                    <w:rPr>
                      <w:rFonts w:hint="eastAsia" w:hAnsi="宋体"/>
                      <w:color w:val="000000"/>
                    </w:rPr>
                    <w:t>落地浓度（mg/m</w:t>
                  </w:r>
                  <w:r>
                    <w:rPr>
                      <w:rFonts w:hint="eastAsia" w:hAnsi="宋体"/>
                      <w:color w:val="000000"/>
                      <w:vertAlign w:val="superscript"/>
                    </w:rPr>
                    <w:t>3</w:t>
                  </w:r>
                  <w:r>
                    <w:rPr>
                      <w:rFonts w:hint="eastAsia" w:hAnsi="宋体"/>
                      <w:color w:val="000000"/>
                    </w:rPr>
                    <w:t>）</w:t>
                  </w:r>
                </w:p>
              </w:tc>
              <w:tc>
                <w:tcPr>
                  <w:tcW w:w="527" w:type="pct"/>
                  <w:vAlign w:val="center"/>
                </w:tcPr>
                <w:p>
                  <w:pPr>
                    <w:jc w:val="center"/>
                    <w:rPr>
                      <w:color w:val="000000"/>
                    </w:rPr>
                  </w:pPr>
                  <w:r>
                    <w:rPr>
                      <w:color w:val="000000"/>
                    </w:rPr>
                    <w:t>占标率%</w:t>
                  </w:r>
                </w:p>
              </w:tc>
              <w:tc>
                <w:tcPr>
                  <w:tcW w:w="826" w:type="pct"/>
                  <w:vAlign w:val="center"/>
                </w:tcPr>
                <w:p>
                  <w:pPr>
                    <w:jc w:val="center"/>
                    <w:rPr>
                      <w:color w:val="000000"/>
                    </w:rPr>
                  </w:pPr>
                  <w:r>
                    <w:rPr>
                      <w:rFonts w:hint="eastAsia" w:hAnsi="宋体"/>
                      <w:color w:val="000000"/>
                    </w:rPr>
                    <w:t>落地浓度（mg/m</w:t>
                  </w:r>
                  <w:r>
                    <w:rPr>
                      <w:rFonts w:hint="eastAsia" w:hAnsi="宋体"/>
                      <w:color w:val="000000"/>
                      <w:vertAlign w:val="superscript"/>
                    </w:rPr>
                    <w:t>3</w:t>
                  </w:r>
                  <w:r>
                    <w:rPr>
                      <w:rFonts w:hint="eastAsia" w:hAnsi="宋体"/>
                      <w:color w:val="000000"/>
                    </w:rPr>
                    <w:t>）</w:t>
                  </w:r>
                </w:p>
              </w:tc>
              <w:tc>
                <w:tcPr>
                  <w:tcW w:w="570" w:type="pct"/>
                  <w:vAlign w:val="center"/>
                </w:tcPr>
                <w:p>
                  <w:pPr>
                    <w:jc w:val="center"/>
                    <w:rPr>
                      <w:color w:val="000000"/>
                    </w:rPr>
                  </w:pPr>
                  <w:r>
                    <w:rPr>
                      <w:color w:val="000000"/>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100</w:t>
                  </w:r>
                </w:p>
              </w:tc>
              <w:tc>
                <w:tcPr>
                  <w:tcW w:w="784" w:type="pct"/>
                </w:tcPr>
                <w:p>
                  <w:pPr>
                    <w:spacing w:line="360" w:lineRule="exact"/>
                    <w:jc w:val="center"/>
                    <w:rPr>
                      <w:color w:val="000000"/>
                      <w:szCs w:val="21"/>
                    </w:rPr>
                  </w:pPr>
                  <w:r>
                    <w:rPr>
                      <w:color w:val="000000"/>
                      <w:szCs w:val="21"/>
                    </w:rPr>
                    <w:t>0.0002191</w:t>
                  </w:r>
                </w:p>
              </w:tc>
              <w:tc>
                <w:tcPr>
                  <w:tcW w:w="542" w:type="pct"/>
                </w:tcPr>
                <w:p>
                  <w:pPr>
                    <w:spacing w:line="360" w:lineRule="exact"/>
                    <w:jc w:val="center"/>
                    <w:rPr>
                      <w:color w:val="000000"/>
                      <w:szCs w:val="21"/>
                    </w:rPr>
                  </w:pPr>
                  <w:r>
                    <w:rPr>
                      <w:color w:val="000000"/>
                      <w:szCs w:val="21"/>
                    </w:rPr>
                    <w:t>0.05</w:t>
                  </w:r>
                </w:p>
              </w:tc>
              <w:tc>
                <w:tcPr>
                  <w:tcW w:w="787" w:type="pct"/>
                </w:tcPr>
                <w:p>
                  <w:pPr>
                    <w:spacing w:line="360" w:lineRule="exact"/>
                    <w:jc w:val="center"/>
                    <w:rPr>
                      <w:color w:val="000000"/>
                      <w:szCs w:val="21"/>
                    </w:rPr>
                  </w:pPr>
                  <w:r>
                    <w:rPr>
                      <w:rFonts w:hint="eastAsia"/>
                      <w:color w:val="000000"/>
                      <w:szCs w:val="21"/>
                    </w:rPr>
                    <w:t>0.000087</w:t>
                  </w:r>
                </w:p>
              </w:tc>
              <w:tc>
                <w:tcPr>
                  <w:tcW w:w="527" w:type="pct"/>
                </w:tcPr>
                <w:p>
                  <w:pPr>
                    <w:spacing w:line="360" w:lineRule="exact"/>
                    <w:jc w:val="center"/>
                    <w:rPr>
                      <w:color w:val="000000"/>
                      <w:szCs w:val="21"/>
                    </w:rPr>
                  </w:pPr>
                  <w:r>
                    <w:rPr>
                      <w:color w:val="000000"/>
                      <w:szCs w:val="21"/>
                    </w:rPr>
                    <w:t>0.02</w:t>
                  </w:r>
                </w:p>
              </w:tc>
              <w:tc>
                <w:tcPr>
                  <w:tcW w:w="826" w:type="pct"/>
                </w:tcPr>
                <w:p>
                  <w:pPr>
                    <w:spacing w:line="360" w:lineRule="exact"/>
                    <w:jc w:val="center"/>
                    <w:rPr>
                      <w:color w:val="000000"/>
                      <w:szCs w:val="21"/>
                    </w:rPr>
                  </w:pPr>
                  <w:r>
                    <w:rPr>
                      <w:color w:val="000000"/>
                      <w:szCs w:val="21"/>
                    </w:rPr>
                    <w:t>0.002646</w:t>
                  </w:r>
                </w:p>
              </w:tc>
              <w:tc>
                <w:tcPr>
                  <w:tcW w:w="570" w:type="pct"/>
                </w:tcPr>
                <w:p>
                  <w:pPr>
                    <w:spacing w:line="360" w:lineRule="exact"/>
                    <w:jc w:val="center"/>
                    <w:rPr>
                      <w:color w:val="000000"/>
                      <w:szCs w:val="21"/>
                    </w:rPr>
                  </w:pPr>
                  <w:r>
                    <w:rPr>
                      <w:color w:val="000000"/>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200</w:t>
                  </w:r>
                </w:p>
              </w:tc>
              <w:tc>
                <w:tcPr>
                  <w:tcW w:w="784" w:type="pct"/>
                </w:tcPr>
                <w:p>
                  <w:pPr>
                    <w:spacing w:line="360" w:lineRule="exact"/>
                    <w:jc w:val="center"/>
                    <w:rPr>
                      <w:color w:val="000000"/>
                      <w:szCs w:val="21"/>
                    </w:rPr>
                  </w:pPr>
                  <w:r>
                    <w:rPr>
                      <w:color w:val="000000"/>
                      <w:szCs w:val="21"/>
                    </w:rPr>
                    <w:t>0.0001866</w:t>
                  </w:r>
                </w:p>
              </w:tc>
              <w:tc>
                <w:tcPr>
                  <w:tcW w:w="542" w:type="pct"/>
                </w:tcPr>
                <w:p>
                  <w:pPr>
                    <w:spacing w:line="360" w:lineRule="exact"/>
                    <w:jc w:val="center"/>
                    <w:rPr>
                      <w:color w:val="000000"/>
                      <w:szCs w:val="21"/>
                    </w:rPr>
                  </w:pPr>
                  <w:r>
                    <w:rPr>
                      <w:color w:val="000000"/>
                      <w:szCs w:val="21"/>
                    </w:rPr>
                    <w:t>0.04</w:t>
                  </w:r>
                </w:p>
              </w:tc>
              <w:tc>
                <w:tcPr>
                  <w:tcW w:w="787" w:type="pct"/>
                </w:tcPr>
                <w:p>
                  <w:pPr>
                    <w:spacing w:line="360" w:lineRule="exact"/>
                    <w:jc w:val="center"/>
                    <w:rPr>
                      <w:color w:val="000000"/>
                      <w:szCs w:val="21"/>
                    </w:rPr>
                  </w:pPr>
                  <w:r>
                    <w:rPr>
                      <w:rFonts w:hint="eastAsia"/>
                      <w:color w:val="000000"/>
                      <w:szCs w:val="21"/>
                    </w:rPr>
                    <w:t>0.000074</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0.002254</w:t>
                  </w:r>
                </w:p>
              </w:tc>
              <w:tc>
                <w:tcPr>
                  <w:tcW w:w="570" w:type="pct"/>
                </w:tcPr>
                <w:p>
                  <w:pPr>
                    <w:spacing w:line="360" w:lineRule="exact"/>
                    <w:jc w:val="center"/>
                    <w:rPr>
                      <w:color w:val="000000"/>
                      <w:szCs w:val="21"/>
                    </w:rPr>
                  </w:pPr>
                  <w:r>
                    <w:rPr>
                      <w:color w:val="00000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300</w:t>
                  </w:r>
                </w:p>
              </w:tc>
              <w:tc>
                <w:tcPr>
                  <w:tcW w:w="784" w:type="pct"/>
                </w:tcPr>
                <w:p>
                  <w:pPr>
                    <w:spacing w:line="360" w:lineRule="exact"/>
                    <w:jc w:val="center"/>
                    <w:rPr>
                      <w:color w:val="000000"/>
                      <w:szCs w:val="21"/>
                    </w:rPr>
                  </w:pPr>
                  <w:r>
                    <w:rPr>
                      <w:color w:val="000000"/>
                      <w:szCs w:val="21"/>
                    </w:rPr>
                    <w:t>0.0001248</w:t>
                  </w:r>
                </w:p>
              </w:tc>
              <w:tc>
                <w:tcPr>
                  <w:tcW w:w="542" w:type="pct"/>
                </w:tcPr>
                <w:p>
                  <w:pPr>
                    <w:spacing w:line="360" w:lineRule="exact"/>
                    <w:jc w:val="center"/>
                    <w:rPr>
                      <w:color w:val="000000"/>
                      <w:szCs w:val="21"/>
                    </w:rPr>
                  </w:pPr>
                  <w:r>
                    <w:rPr>
                      <w:color w:val="000000"/>
                      <w:szCs w:val="21"/>
                    </w:rPr>
                    <w:t>0.03</w:t>
                  </w:r>
                </w:p>
              </w:tc>
              <w:tc>
                <w:tcPr>
                  <w:tcW w:w="787" w:type="pct"/>
                </w:tcPr>
                <w:p>
                  <w:pPr>
                    <w:spacing w:line="360" w:lineRule="exact"/>
                    <w:jc w:val="center"/>
                    <w:rPr>
                      <w:color w:val="000000"/>
                      <w:szCs w:val="21"/>
                    </w:rPr>
                  </w:pPr>
                  <w:r>
                    <w:rPr>
                      <w:rFonts w:hint="eastAsia"/>
                      <w:color w:val="000000"/>
                      <w:szCs w:val="21"/>
                    </w:rPr>
                    <w:t>0.000049</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0.001507</w:t>
                  </w:r>
                </w:p>
              </w:tc>
              <w:tc>
                <w:tcPr>
                  <w:tcW w:w="570" w:type="pct"/>
                </w:tcPr>
                <w:p>
                  <w:pPr>
                    <w:spacing w:line="360" w:lineRule="exact"/>
                    <w:jc w:val="center"/>
                    <w:rPr>
                      <w:color w:val="000000"/>
                      <w:szCs w:val="21"/>
                    </w:rPr>
                  </w:pPr>
                  <w:r>
                    <w:rPr>
                      <w:color w:val="00000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400</w:t>
                  </w:r>
                </w:p>
              </w:tc>
              <w:tc>
                <w:tcPr>
                  <w:tcW w:w="784" w:type="pct"/>
                </w:tcPr>
                <w:p>
                  <w:pPr>
                    <w:spacing w:line="360" w:lineRule="exact"/>
                    <w:jc w:val="center"/>
                    <w:rPr>
                      <w:color w:val="000000"/>
                      <w:szCs w:val="21"/>
                    </w:rPr>
                  </w:pPr>
                  <w:r>
                    <w:rPr>
                      <w:color w:val="000000"/>
                      <w:szCs w:val="21"/>
                    </w:rPr>
                    <w:t>0.000108</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0.000043</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0.001305</w:t>
                  </w:r>
                </w:p>
              </w:tc>
              <w:tc>
                <w:tcPr>
                  <w:tcW w:w="570" w:type="pct"/>
                </w:tcPr>
                <w:p>
                  <w:pPr>
                    <w:spacing w:line="360" w:lineRule="exact"/>
                    <w:jc w:val="center"/>
                    <w:rPr>
                      <w:color w:val="000000"/>
                      <w:szCs w:val="21"/>
                    </w:rPr>
                  </w:pPr>
                  <w:r>
                    <w:rPr>
                      <w:color w:val="000000"/>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500</w:t>
                  </w:r>
                </w:p>
              </w:tc>
              <w:tc>
                <w:tcPr>
                  <w:tcW w:w="784" w:type="pct"/>
                </w:tcPr>
                <w:p>
                  <w:pPr>
                    <w:spacing w:line="360" w:lineRule="exact"/>
                    <w:jc w:val="center"/>
                    <w:rPr>
                      <w:color w:val="000000"/>
                      <w:szCs w:val="21"/>
                    </w:rPr>
                  </w:pPr>
                  <w:r>
                    <w:rPr>
                      <w:color w:val="000000"/>
                      <w:szCs w:val="21"/>
                    </w:rPr>
                    <w:t>0.0001121</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0.000044</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0.001353</w:t>
                  </w:r>
                </w:p>
              </w:tc>
              <w:tc>
                <w:tcPr>
                  <w:tcW w:w="570" w:type="pct"/>
                </w:tcPr>
                <w:p>
                  <w:pPr>
                    <w:spacing w:line="360" w:lineRule="exact"/>
                    <w:jc w:val="center"/>
                    <w:rPr>
                      <w:color w:val="000000"/>
                      <w:szCs w:val="21"/>
                    </w:rPr>
                  </w:pPr>
                  <w:r>
                    <w:rPr>
                      <w:color w:val="000000"/>
                      <w:szCs w:val="21"/>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600</w:t>
                  </w:r>
                </w:p>
              </w:tc>
              <w:tc>
                <w:tcPr>
                  <w:tcW w:w="784" w:type="pct"/>
                </w:tcPr>
                <w:p>
                  <w:pPr>
                    <w:spacing w:line="360" w:lineRule="exact"/>
                    <w:jc w:val="center"/>
                    <w:rPr>
                      <w:color w:val="000000"/>
                      <w:szCs w:val="21"/>
                    </w:rPr>
                  </w:pPr>
                  <w:r>
                    <w:rPr>
                      <w:color w:val="000000"/>
                      <w:szCs w:val="21"/>
                    </w:rPr>
                    <w:t>0.0001055</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0.000042</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0.001274</w:t>
                  </w:r>
                </w:p>
              </w:tc>
              <w:tc>
                <w:tcPr>
                  <w:tcW w:w="570" w:type="pct"/>
                </w:tcPr>
                <w:p>
                  <w:pPr>
                    <w:spacing w:line="360" w:lineRule="exact"/>
                    <w:jc w:val="center"/>
                    <w:rPr>
                      <w:color w:val="000000"/>
                      <w:szCs w:val="21"/>
                    </w:rPr>
                  </w:pPr>
                  <w:r>
                    <w:rPr>
                      <w:color w:val="000000"/>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700</w:t>
                  </w:r>
                </w:p>
              </w:tc>
              <w:tc>
                <w:tcPr>
                  <w:tcW w:w="784" w:type="pct"/>
                </w:tcPr>
                <w:p>
                  <w:pPr>
                    <w:spacing w:line="360" w:lineRule="exact"/>
                    <w:jc w:val="center"/>
                    <w:rPr>
                      <w:color w:val="000000"/>
                      <w:szCs w:val="21"/>
                    </w:rPr>
                  </w:pPr>
                  <w:r>
                    <w:rPr>
                      <w:rFonts w:hint="eastAsia"/>
                      <w:color w:val="000000"/>
                      <w:szCs w:val="21"/>
                    </w:rPr>
                    <w:t>0.000096</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0.000038</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0.001155</w:t>
                  </w:r>
                </w:p>
              </w:tc>
              <w:tc>
                <w:tcPr>
                  <w:tcW w:w="570" w:type="pct"/>
                </w:tcPr>
                <w:p>
                  <w:pPr>
                    <w:spacing w:line="360" w:lineRule="exact"/>
                    <w:jc w:val="center"/>
                    <w:rPr>
                      <w:color w:val="000000"/>
                      <w:szCs w:val="21"/>
                    </w:rPr>
                  </w:pPr>
                  <w:r>
                    <w:rPr>
                      <w:color w:val="000000"/>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800</w:t>
                  </w:r>
                </w:p>
              </w:tc>
              <w:tc>
                <w:tcPr>
                  <w:tcW w:w="784" w:type="pct"/>
                </w:tcPr>
                <w:p>
                  <w:pPr>
                    <w:spacing w:line="360" w:lineRule="exact"/>
                    <w:jc w:val="center"/>
                    <w:rPr>
                      <w:color w:val="000000"/>
                      <w:szCs w:val="21"/>
                    </w:rPr>
                  </w:pPr>
                  <w:r>
                    <w:rPr>
                      <w:rFonts w:hint="eastAsia"/>
                      <w:color w:val="000000"/>
                      <w:szCs w:val="21"/>
                    </w:rPr>
                    <w:t>0.000085</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0.000034</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0.001031</w:t>
                  </w:r>
                </w:p>
              </w:tc>
              <w:tc>
                <w:tcPr>
                  <w:tcW w:w="570" w:type="pct"/>
                </w:tcPr>
                <w:p>
                  <w:pPr>
                    <w:spacing w:line="360" w:lineRule="exact"/>
                    <w:jc w:val="center"/>
                    <w:rPr>
                      <w:color w:val="000000"/>
                      <w:szCs w:val="21"/>
                    </w:rPr>
                  </w:pPr>
                  <w:r>
                    <w:rPr>
                      <w:color w:val="000000"/>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900</w:t>
                  </w:r>
                </w:p>
              </w:tc>
              <w:tc>
                <w:tcPr>
                  <w:tcW w:w="784" w:type="pct"/>
                </w:tcPr>
                <w:p>
                  <w:pPr>
                    <w:spacing w:line="360" w:lineRule="exact"/>
                    <w:jc w:val="center"/>
                    <w:rPr>
                      <w:color w:val="000000"/>
                      <w:szCs w:val="21"/>
                    </w:rPr>
                  </w:pPr>
                  <w:r>
                    <w:rPr>
                      <w:rFonts w:hint="eastAsia"/>
                      <w:color w:val="000000"/>
                      <w:szCs w:val="21"/>
                    </w:rPr>
                    <w:t>0.000076</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0.00003</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0.0009205</w:t>
                  </w:r>
                </w:p>
              </w:tc>
              <w:tc>
                <w:tcPr>
                  <w:tcW w:w="570" w:type="pct"/>
                </w:tcPr>
                <w:p>
                  <w:pPr>
                    <w:spacing w:line="360" w:lineRule="exact"/>
                    <w:jc w:val="center"/>
                    <w:rPr>
                      <w:color w:val="000000"/>
                      <w:szCs w:val="21"/>
                    </w:rPr>
                  </w:pPr>
                  <w:r>
                    <w:rPr>
                      <w:color w:val="000000"/>
                      <w:szCs w:val="21"/>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Ansi="宋体"/>
                      <w:color w:val="000000"/>
                    </w:rPr>
                    <w:t>1000</w:t>
                  </w:r>
                </w:p>
              </w:tc>
              <w:tc>
                <w:tcPr>
                  <w:tcW w:w="784" w:type="pct"/>
                </w:tcPr>
                <w:p>
                  <w:pPr>
                    <w:spacing w:line="360" w:lineRule="exact"/>
                    <w:jc w:val="center"/>
                    <w:rPr>
                      <w:color w:val="000000"/>
                      <w:szCs w:val="21"/>
                    </w:rPr>
                  </w:pPr>
                  <w:r>
                    <w:rPr>
                      <w:rFonts w:hint="eastAsia"/>
                      <w:color w:val="000000"/>
                      <w:szCs w:val="21"/>
                    </w:rPr>
                    <w:t>0.000068</w:t>
                  </w:r>
                </w:p>
              </w:tc>
              <w:tc>
                <w:tcPr>
                  <w:tcW w:w="542" w:type="pct"/>
                </w:tcPr>
                <w:p>
                  <w:pPr>
                    <w:spacing w:line="360" w:lineRule="exact"/>
                    <w:jc w:val="center"/>
                    <w:rPr>
                      <w:color w:val="000000"/>
                      <w:szCs w:val="21"/>
                    </w:rPr>
                  </w:pPr>
                  <w:r>
                    <w:rPr>
                      <w:color w:val="000000"/>
                      <w:szCs w:val="21"/>
                    </w:rPr>
                    <w:t>0.02</w:t>
                  </w:r>
                </w:p>
              </w:tc>
              <w:tc>
                <w:tcPr>
                  <w:tcW w:w="787" w:type="pct"/>
                </w:tcPr>
                <w:p>
                  <w:pPr>
                    <w:spacing w:line="360" w:lineRule="exact"/>
                    <w:jc w:val="center"/>
                    <w:rPr>
                      <w:color w:val="000000"/>
                      <w:szCs w:val="21"/>
                    </w:rPr>
                  </w:pPr>
                  <w:r>
                    <w:rPr>
                      <w:rFonts w:hint="eastAsia"/>
                      <w:color w:val="000000"/>
                      <w:szCs w:val="21"/>
                    </w:rPr>
                    <w:t>0.000027</w:t>
                  </w:r>
                </w:p>
              </w:tc>
              <w:tc>
                <w:tcPr>
                  <w:tcW w:w="527" w:type="pct"/>
                </w:tcPr>
                <w:p>
                  <w:pPr>
                    <w:spacing w:line="360" w:lineRule="exact"/>
                    <w:jc w:val="center"/>
                    <w:rPr>
                      <w:color w:val="000000"/>
                      <w:szCs w:val="21"/>
                    </w:rPr>
                  </w:pPr>
                  <w:r>
                    <w:rPr>
                      <w:color w:val="000000"/>
                      <w:szCs w:val="21"/>
                    </w:rPr>
                    <w:t>0.01</w:t>
                  </w:r>
                </w:p>
              </w:tc>
              <w:tc>
                <w:tcPr>
                  <w:tcW w:w="826" w:type="pct"/>
                </w:tcPr>
                <w:p>
                  <w:pPr>
                    <w:spacing w:line="360" w:lineRule="exact"/>
                    <w:jc w:val="center"/>
                    <w:rPr>
                      <w:color w:val="000000"/>
                      <w:szCs w:val="21"/>
                    </w:rPr>
                  </w:pPr>
                  <w:r>
                    <w:rPr>
                      <w:color w:val="000000"/>
                      <w:szCs w:val="21"/>
                    </w:rPr>
                    <w:t>0.0008239</w:t>
                  </w:r>
                </w:p>
              </w:tc>
              <w:tc>
                <w:tcPr>
                  <w:tcW w:w="570" w:type="pct"/>
                </w:tcPr>
                <w:p>
                  <w:pPr>
                    <w:spacing w:line="360" w:lineRule="exact"/>
                    <w:jc w:val="center"/>
                    <w:rPr>
                      <w:color w:val="000000"/>
                      <w:szCs w:val="21"/>
                    </w:rPr>
                  </w:pPr>
                  <w:r>
                    <w:rPr>
                      <w:color w:val="000000"/>
                      <w:szCs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int="eastAsia" w:hAnsi="宋体"/>
                      <w:color w:val="000000"/>
                    </w:rPr>
                    <w:t>1500</w:t>
                  </w:r>
                </w:p>
              </w:tc>
              <w:tc>
                <w:tcPr>
                  <w:tcW w:w="784" w:type="pct"/>
                  <w:vAlign w:val="center"/>
                </w:tcPr>
                <w:p>
                  <w:pPr>
                    <w:spacing w:line="360" w:lineRule="exact"/>
                    <w:jc w:val="center"/>
                    <w:rPr>
                      <w:color w:val="000000"/>
                      <w:szCs w:val="21"/>
                    </w:rPr>
                  </w:pPr>
                  <w:r>
                    <w:rPr>
                      <w:rFonts w:hint="eastAsia"/>
                      <w:color w:val="000000"/>
                      <w:szCs w:val="21"/>
                    </w:rPr>
                    <w:t>0.000042</w:t>
                  </w:r>
                </w:p>
              </w:tc>
              <w:tc>
                <w:tcPr>
                  <w:tcW w:w="542" w:type="pct"/>
                  <w:vAlign w:val="center"/>
                </w:tcPr>
                <w:p>
                  <w:pPr>
                    <w:spacing w:line="360" w:lineRule="exact"/>
                    <w:jc w:val="center"/>
                    <w:rPr>
                      <w:color w:val="000000"/>
                      <w:szCs w:val="21"/>
                    </w:rPr>
                  </w:pPr>
                  <w:r>
                    <w:rPr>
                      <w:rFonts w:hint="eastAsia"/>
                      <w:color w:val="000000"/>
                      <w:szCs w:val="21"/>
                    </w:rPr>
                    <w:t>0.01</w:t>
                  </w:r>
                </w:p>
              </w:tc>
              <w:tc>
                <w:tcPr>
                  <w:tcW w:w="787" w:type="pct"/>
                  <w:vAlign w:val="center"/>
                </w:tcPr>
                <w:p>
                  <w:pPr>
                    <w:spacing w:line="360" w:lineRule="exact"/>
                    <w:jc w:val="center"/>
                    <w:rPr>
                      <w:color w:val="000000"/>
                      <w:szCs w:val="21"/>
                    </w:rPr>
                  </w:pPr>
                  <w:r>
                    <w:rPr>
                      <w:rFonts w:hint="eastAsia"/>
                      <w:color w:val="000000"/>
                      <w:szCs w:val="21"/>
                    </w:rPr>
                    <w:t>0.000017</w:t>
                  </w:r>
                </w:p>
              </w:tc>
              <w:tc>
                <w:tcPr>
                  <w:tcW w:w="527" w:type="pct"/>
                  <w:vAlign w:val="center"/>
                </w:tcPr>
                <w:p>
                  <w:pPr>
                    <w:jc w:val="center"/>
                    <w:rPr>
                      <w:color w:val="000000"/>
                      <w:szCs w:val="21"/>
                    </w:rPr>
                  </w:pPr>
                  <w:r>
                    <w:rPr>
                      <w:rFonts w:hint="eastAsia"/>
                      <w:color w:val="000000"/>
                      <w:szCs w:val="21"/>
                    </w:rPr>
                    <w:t>0</w:t>
                  </w:r>
                </w:p>
              </w:tc>
              <w:tc>
                <w:tcPr>
                  <w:tcW w:w="826" w:type="pct"/>
                  <w:vAlign w:val="center"/>
                </w:tcPr>
                <w:p>
                  <w:pPr>
                    <w:spacing w:line="360" w:lineRule="exact"/>
                    <w:jc w:val="center"/>
                    <w:rPr>
                      <w:color w:val="000000"/>
                      <w:szCs w:val="21"/>
                    </w:rPr>
                  </w:pPr>
                  <w:r>
                    <w:rPr>
                      <w:rFonts w:hint="eastAsia"/>
                      <w:color w:val="000000"/>
                      <w:szCs w:val="21"/>
                    </w:rPr>
                    <w:t>0.000512</w:t>
                  </w:r>
                </w:p>
              </w:tc>
              <w:tc>
                <w:tcPr>
                  <w:tcW w:w="570" w:type="pct"/>
                  <w:vAlign w:val="center"/>
                </w:tcPr>
                <w:p>
                  <w:pPr>
                    <w:spacing w:line="360" w:lineRule="exact"/>
                    <w:jc w:val="center"/>
                    <w:rPr>
                      <w:color w:val="000000"/>
                      <w:szCs w:val="21"/>
                    </w:rPr>
                  </w:pPr>
                  <w:r>
                    <w:rPr>
                      <w:rFonts w:hint="eastAsia"/>
                      <w:color w:val="000000"/>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int="eastAsia" w:hAnsi="宋体"/>
                      <w:color w:val="000000"/>
                    </w:rPr>
                    <w:t>2000</w:t>
                  </w:r>
                </w:p>
              </w:tc>
              <w:tc>
                <w:tcPr>
                  <w:tcW w:w="784" w:type="pct"/>
                  <w:vAlign w:val="center"/>
                </w:tcPr>
                <w:p>
                  <w:pPr>
                    <w:spacing w:line="360" w:lineRule="exact"/>
                    <w:jc w:val="center"/>
                    <w:rPr>
                      <w:color w:val="000000"/>
                      <w:szCs w:val="21"/>
                    </w:rPr>
                  </w:pPr>
                  <w:r>
                    <w:rPr>
                      <w:rFonts w:hint="eastAsia"/>
                      <w:color w:val="000000"/>
                      <w:szCs w:val="21"/>
                    </w:rPr>
                    <w:t>0.000029</w:t>
                  </w:r>
                </w:p>
              </w:tc>
              <w:tc>
                <w:tcPr>
                  <w:tcW w:w="542" w:type="pct"/>
                  <w:vAlign w:val="center"/>
                </w:tcPr>
                <w:p>
                  <w:pPr>
                    <w:spacing w:line="360" w:lineRule="exact"/>
                    <w:jc w:val="center"/>
                    <w:rPr>
                      <w:color w:val="000000"/>
                      <w:szCs w:val="21"/>
                    </w:rPr>
                  </w:pPr>
                  <w:r>
                    <w:rPr>
                      <w:rFonts w:hint="eastAsia"/>
                      <w:color w:val="000000"/>
                      <w:szCs w:val="21"/>
                    </w:rPr>
                    <w:t>0.01</w:t>
                  </w:r>
                </w:p>
              </w:tc>
              <w:tc>
                <w:tcPr>
                  <w:tcW w:w="787" w:type="pct"/>
                  <w:vAlign w:val="center"/>
                </w:tcPr>
                <w:p>
                  <w:pPr>
                    <w:spacing w:line="360" w:lineRule="exact"/>
                    <w:jc w:val="center"/>
                    <w:rPr>
                      <w:color w:val="000000"/>
                      <w:szCs w:val="21"/>
                    </w:rPr>
                  </w:pPr>
                  <w:r>
                    <w:rPr>
                      <w:rFonts w:hint="eastAsia"/>
                      <w:color w:val="000000"/>
                      <w:szCs w:val="21"/>
                    </w:rPr>
                    <w:t>0.000012</w:t>
                  </w:r>
                </w:p>
              </w:tc>
              <w:tc>
                <w:tcPr>
                  <w:tcW w:w="527" w:type="pct"/>
                  <w:vAlign w:val="center"/>
                </w:tcPr>
                <w:p>
                  <w:pPr>
                    <w:jc w:val="center"/>
                    <w:rPr>
                      <w:color w:val="000000"/>
                      <w:szCs w:val="21"/>
                    </w:rPr>
                  </w:pPr>
                  <w:r>
                    <w:rPr>
                      <w:rFonts w:hint="eastAsia"/>
                      <w:color w:val="000000"/>
                      <w:szCs w:val="21"/>
                    </w:rPr>
                    <w:t>0</w:t>
                  </w:r>
                </w:p>
              </w:tc>
              <w:tc>
                <w:tcPr>
                  <w:tcW w:w="826" w:type="pct"/>
                  <w:vAlign w:val="center"/>
                </w:tcPr>
                <w:p>
                  <w:pPr>
                    <w:spacing w:line="360" w:lineRule="exact"/>
                    <w:jc w:val="center"/>
                    <w:rPr>
                      <w:color w:val="000000"/>
                      <w:szCs w:val="21"/>
                    </w:rPr>
                  </w:pPr>
                  <w:r>
                    <w:rPr>
                      <w:rFonts w:hint="eastAsia"/>
                      <w:color w:val="000000"/>
                      <w:szCs w:val="21"/>
                    </w:rPr>
                    <w:t>0.000352</w:t>
                  </w:r>
                </w:p>
              </w:tc>
              <w:tc>
                <w:tcPr>
                  <w:tcW w:w="570" w:type="pct"/>
                  <w:vAlign w:val="center"/>
                </w:tcPr>
                <w:p>
                  <w:pPr>
                    <w:spacing w:line="360" w:lineRule="exact"/>
                    <w:jc w:val="center"/>
                    <w:rPr>
                      <w:color w:val="000000"/>
                      <w:szCs w:val="21"/>
                    </w:rPr>
                  </w:pPr>
                  <w:r>
                    <w:rPr>
                      <w:rFonts w:hint="eastAsia"/>
                      <w:color w:val="000000"/>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rFonts w:hAnsi="宋体"/>
                      <w:color w:val="000000"/>
                    </w:rPr>
                  </w:pPr>
                  <w:r>
                    <w:rPr>
                      <w:rFonts w:hint="eastAsia" w:hAnsi="宋体"/>
                      <w:color w:val="000000"/>
                    </w:rPr>
                    <w:t>2500</w:t>
                  </w:r>
                </w:p>
              </w:tc>
              <w:tc>
                <w:tcPr>
                  <w:tcW w:w="784" w:type="pct"/>
                  <w:vAlign w:val="center"/>
                </w:tcPr>
                <w:p>
                  <w:pPr>
                    <w:spacing w:line="360" w:lineRule="exact"/>
                    <w:jc w:val="center"/>
                    <w:rPr>
                      <w:color w:val="000000"/>
                      <w:szCs w:val="21"/>
                    </w:rPr>
                  </w:pPr>
                  <w:r>
                    <w:rPr>
                      <w:rFonts w:hint="eastAsia"/>
                      <w:color w:val="000000"/>
                      <w:szCs w:val="21"/>
                    </w:rPr>
                    <w:t>0.000022</w:t>
                  </w:r>
                </w:p>
              </w:tc>
              <w:tc>
                <w:tcPr>
                  <w:tcW w:w="542" w:type="pct"/>
                  <w:vAlign w:val="center"/>
                </w:tcPr>
                <w:p>
                  <w:pPr>
                    <w:spacing w:line="360" w:lineRule="exact"/>
                    <w:jc w:val="center"/>
                    <w:rPr>
                      <w:color w:val="000000"/>
                      <w:szCs w:val="21"/>
                    </w:rPr>
                  </w:pPr>
                  <w:r>
                    <w:rPr>
                      <w:rFonts w:hint="eastAsia"/>
                      <w:color w:val="000000"/>
                      <w:szCs w:val="21"/>
                    </w:rPr>
                    <w:t>0.00</w:t>
                  </w:r>
                </w:p>
              </w:tc>
              <w:tc>
                <w:tcPr>
                  <w:tcW w:w="787" w:type="pct"/>
                  <w:vAlign w:val="center"/>
                </w:tcPr>
                <w:p>
                  <w:pPr>
                    <w:spacing w:line="360" w:lineRule="exact"/>
                    <w:jc w:val="center"/>
                    <w:rPr>
                      <w:color w:val="000000"/>
                      <w:szCs w:val="21"/>
                    </w:rPr>
                  </w:pPr>
                  <w:r>
                    <w:rPr>
                      <w:rFonts w:hint="eastAsia"/>
                      <w:color w:val="000000"/>
                      <w:szCs w:val="21"/>
                    </w:rPr>
                    <w:t>0.000009</w:t>
                  </w:r>
                </w:p>
              </w:tc>
              <w:tc>
                <w:tcPr>
                  <w:tcW w:w="527" w:type="pct"/>
                  <w:vAlign w:val="center"/>
                </w:tcPr>
                <w:p>
                  <w:pPr>
                    <w:jc w:val="center"/>
                    <w:rPr>
                      <w:color w:val="000000"/>
                      <w:szCs w:val="21"/>
                    </w:rPr>
                  </w:pPr>
                  <w:r>
                    <w:rPr>
                      <w:rFonts w:hint="eastAsia"/>
                      <w:color w:val="000000"/>
                      <w:szCs w:val="21"/>
                    </w:rPr>
                    <w:t>0</w:t>
                  </w:r>
                </w:p>
              </w:tc>
              <w:tc>
                <w:tcPr>
                  <w:tcW w:w="826" w:type="pct"/>
                  <w:vAlign w:val="center"/>
                </w:tcPr>
                <w:p>
                  <w:pPr>
                    <w:spacing w:line="360" w:lineRule="exact"/>
                    <w:jc w:val="center"/>
                    <w:rPr>
                      <w:color w:val="000000"/>
                      <w:szCs w:val="21"/>
                    </w:rPr>
                  </w:pPr>
                  <w:r>
                    <w:rPr>
                      <w:rFonts w:hint="eastAsia"/>
                      <w:color w:val="000000"/>
                      <w:szCs w:val="21"/>
                    </w:rPr>
                    <w:t>0.000263</w:t>
                  </w:r>
                </w:p>
              </w:tc>
              <w:tc>
                <w:tcPr>
                  <w:tcW w:w="570" w:type="pct"/>
                  <w:vAlign w:val="center"/>
                </w:tcPr>
                <w:p>
                  <w:pPr>
                    <w:spacing w:line="360" w:lineRule="exact"/>
                    <w:jc w:val="center"/>
                    <w:rPr>
                      <w:color w:val="000000"/>
                      <w:szCs w:val="21"/>
                    </w:rPr>
                  </w:pPr>
                  <w:r>
                    <w:rPr>
                      <w:rFonts w:hint="eastAsia"/>
                      <w:color w:val="000000"/>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color w:val="000000"/>
                    </w:rPr>
                  </w:pPr>
                  <w:r>
                    <w:rPr>
                      <w:rFonts w:hint="eastAsia"/>
                      <w:color w:val="000000"/>
                    </w:rPr>
                    <w:t>最大落地浓度</w:t>
                  </w:r>
                </w:p>
              </w:tc>
              <w:tc>
                <w:tcPr>
                  <w:tcW w:w="1326" w:type="pct"/>
                  <w:gridSpan w:val="2"/>
                  <w:vAlign w:val="center"/>
                </w:tcPr>
                <w:p>
                  <w:pPr>
                    <w:spacing w:line="360" w:lineRule="exact"/>
                    <w:jc w:val="center"/>
                    <w:rPr>
                      <w:color w:val="000000"/>
                    </w:rPr>
                  </w:pPr>
                  <w:r>
                    <w:rPr>
                      <w:rFonts w:hint="eastAsia"/>
                      <w:color w:val="000000"/>
                    </w:rPr>
                    <w:t>0.000223mg/m</w:t>
                  </w:r>
                  <w:r>
                    <w:rPr>
                      <w:rFonts w:hint="eastAsia"/>
                      <w:color w:val="000000"/>
                      <w:vertAlign w:val="superscript"/>
                    </w:rPr>
                    <w:t>3</w:t>
                  </w:r>
                </w:p>
              </w:tc>
              <w:tc>
                <w:tcPr>
                  <w:tcW w:w="1314" w:type="pct"/>
                  <w:gridSpan w:val="2"/>
                  <w:vAlign w:val="center"/>
                </w:tcPr>
                <w:p>
                  <w:pPr>
                    <w:widowControl/>
                    <w:spacing w:line="360" w:lineRule="exact"/>
                    <w:jc w:val="center"/>
                    <w:rPr>
                      <w:color w:val="000000"/>
                    </w:rPr>
                  </w:pPr>
                  <w:r>
                    <w:rPr>
                      <w:rFonts w:hint="eastAsia"/>
                      <w:color w:val="000000"/>
                      <w:kern w:val="0"/>
                      <w:szCs w:val="21"/>
                    </w:rPr>
                    <w:t>0.000088mg/m</w:t>
                  </w:r>
                  <w:r>
                    <w:rPr>
                      <w:rFonts w:hint="eastAsia"/>
                      <w:color w:val="000000"/>
                      <w:kern w:val="0"/>
                      <w:szCs w:val="21"/>
                      <w:vertAlign w:val="superscript"/>
                    </w:rPr>
                    <w:t>3</w:t>
                  </w:r>
                  <w:r>
                    <w:rPr>
                      <w:color w:val="000000"/>
                    </w:rPr>
                    <w:t xml:space="preserve"> </w:t>
                  </w:r>
                </w:p>
              </w:tc>
              <w:tc>
                <w:tcPr>
                  <w:tcW w:w="1396" w:type="pct"/>
                  <w:gridSpan w:val="2"/>
                  <w:vAlign w:val="center"/>
                </w:tcPr>
                <w:p>
                  <w:pPr>
                    <w:widowControl/>
                    <w:spacing w:line="360" w:lineRule="exact"/>
                    <w:jc w:val="center"/>
                    <w:rPr>
                      <w:color w:val="000000"/>
                    </w:rPr>
                  </w:pPr>
                  <w:r>
                    <w:rPr>
                      <w:rFonts w:hint="eastAsia"/>
                      <w:color w:val="000000"/>
                    </w:rPr>
                    <w:t>0.002692</w:t>
                  </w:r>
                  <w:r>
                    <w:rPr>
                      <w:rFonts w:hint="eastAsia"/>
                      <w:color w:val="000000"/>
                      <w:kern w:val="0"/>
                      <w:szCs w:val="21"/>
                    </w:rPr>
                    <w:t>mg/m</w:t>
                  </w:r>
                  <w:r>
                    <w:rPr>
                      <w:rFonts w:hint="eastAsia"/>
                      <w:color w:val="000000"/>
                      <w:kern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color w:val="000000"/>
                    </w:rPr>
                  </w:pPr>
                  <w:r>
                    <w:rPr>
                      <w:rFonts w:hint="eastAsia"/>
                      <w:color w:val="000000"/>
                    </w:rPr>
                    <w:t>出现距离</w:t>
                  </w:r>
                </w:p>
              </w:tc>
              <w:tc>
                <w:tcPr>
                  <w:tcW w:w="1326" w:type="pct"/>
                  <w:gridSpan w:val="2"/>
                  <w:vAlign w:val="center"/>
                </w:tcPr>
                <w:p>
                  <w:pPr>
                    <w:spacing w:line="360" w:lineRule="exact"/>
                    <w:jc w:val="center"/>
                    <w:rPr>
                      <w:rFonts w:hAnsi="宋体"/>
                      <w:color w:val="000000"/>
                    </w:rPr>
                  </w:pPr>
                  <w:r>
                    <w:rPr>
                      <w:rFonts w:hint="eastAsia" w:hAnsi="宋体"/>
                      <w:color w:val="000000"/>
                    </w:rPr>
                    <w:t>90m</w:t>
                  </w:r>
                </w:p>
              </w:tc>
              <w:tc>
                <w:tcPr>
                  <w:tcW w:w="1314" w:type="pct"/>
                  <w:gridSpan w:val="2"/>
                  <w:vAlign w:val="center"/>
                </w:tcPr>
                <w:p>
                  <w:pPr>
                    <w:widowControl/>
                    <w:spacing w:line="360" w:lineRule="exact"/>
                    <w:jc w:val="center"/>
                    <w:rPr>
                      <w:color w:val="000000"/>
                    </w:rPr>
                  </w:pPr>
                  <w:r>
                    <w:rPr>
                      <w:rFonts w:hint="eastAsia" w:hAnsi="宋体"/>
                      <w:color w:val="000000"/>
                    </w:rPr>
                    <w:t>90m</w:t>
                  </w:r>
                </w:p>
              </w:tc>
              <w:tc>
                <w:tcPr>
                  <w:tcW w:w="1396" w:type="pct"/>
                  <w:gridSpan w:val="2"/>
                  <w:vAlign w:val="center"/>
                </w:tcPr>
                <w:p>
                  <w:pPr>
                    <w:widowControl/>
                    <w:spacing w:line="360" w:lineRule="exact"/>
                    <w:jc w:val="center"/>
                    <w:rPr>
                      <w:color w:val="000000"/>
                    </w:rPr>
                  </w:pPr>
                  <w:r>
                    <w:rPr>
                      <w:rFonts w:hint="eastAsia" w:hAnsi="宋体"/>
                      <w:color w:val="000000"/>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964" w:type="pct"/>
                  <w:shd w:val="clear" w:color="auto" w:fill="auto"/>
                  <w:vAlign w:val="center"/>
                </w:tcPr>
                <w:p>
                  <w:pPr>
                    <w:spacing w:line="360" w:lineRule="exact"/>
                    <w:jc w:val="center"/>
                    <w:rPr>
                      <w:color w:val="000000"/>
                    </w:rPr>
                  </w:pPr>
                  <w:r>
                    <w:rPr>
                      <w:rFonts w:hint="eastAsia"/>
                      <w:color w:val="000000"/>
                    </w:rPr>
                    <w:t>占标率</w:t>
                  </w:r>
                </w:p>
              </w:tc>
              <w:tc>
                <w:tcPr>
                  <w:tcW w:w="1326" w:type="pct"/>
                  <w:gridSpan w:val="2"/>
                  <w:vAlign w:val="center"/>
                </w:tcPr>
                <w:p>
                  <w:pPr>
                    <w:spacing w:line="360" w:lineRule="exact"/>
                    <w:jc w:val="center"/>
                    <w:rPr>
                      <w:rFonts w:hAnsi="宋体"/>
                      <w:color w:val="000000"/>
                    </w:rPr>
                  </w:pPr>
                  <w:r>
                    <w:rPr>
                      <w:rFonts w:hint="eastAsia"/>
                      <w:color w:val="000000"/>
                    </w:rPr>
                    <w:t>0.05%</w:t>
                  </w:r>
                </w:p>
              </w:tc>
              <w:tc>
                <w:tcPr>
                  <w:tcW w:w="1314" w:type="pct"/>
                  <w:gridSpan w:val="2"/>
                  <w:vAlign w:val="center"/>
                </w:tcPr>
                <w:p>
                  <w:pPr>
                    <w:widowControl/>
                    <w:spacing w:line="360" w:lineRule="exact"/>
                    <w:jc w:val="center"/>
                    <w:rPr>
                      <w:color w:val="000000"/>
                    </w:rPr>
                  </w:pPr>
                  <w:r>
                    <w:rPr>
                      <w:rFonts w:hint="eastAsia"/>
                      <w:color w:val="000000"/>
                    </w:rPr>
                    <w:t>0.02%</w:t>
                  </w:r>
                </w:p>
              </w:tc>
              <w:tc>
                <w:tcPr>
                  <w:tcW w:w="1396" w:type="pct"/>
                  <w:gridSpan w:val="2"/>
                  <w:vAlign w:val="center"/>
                </w:tcPr>
                <w:p>
                  <w:pPr>
                    <w:widowControl/>
                    <w:spacing w:line="360" w:lineRule="exact"/>
                    <w:jc w:val="center"/>
                    <w:rPr>
                      <w:color w:val="000000"/>
                    </w:rPr>
                  </w:pPr>
                  <w:r>
                    <w:rPr>
                      <w:rFonts w:hint="eastAsia"/>
                      <w:color w:val="000000"/>
                    </w:rPr>
                    <w:t>1.35%</w:t>
                  </w:r>
                </w:p>
              </w:tc>
            </w:tr>
          </w:tbl>
          <w:p>
            <w:pPr>
              <w:adjustRightInd w:val="0"/>
              <w:snapToGrid w:val="0"/>
              <w:spacing w:line="360" w:lineRule="auto"/>
              <w:ind w:left="71" w:leftChars="34"/>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表</w:t>
            </w:r>
            <w:r>
              <w:rPr>
                <w:rFonts w:hint="eastAsia"/>
                <w:b/>
                <w:bCs/>
                <w:color w:val="000000" w:themeColor="text1"/>
                <w:kern w:val="0"/>
                <w:sz w:val="24"/>
                <w14:textFill>
                  <w14:solidFill>
                    <w14:schemeClr w14:val="tx1"/>
                  </w14:solidFill>
                </w14:textFill>
              </w:rPr>
              <w:t>4-12</w:t>
            </w:r>
            <w:r>
              <w:rPr>
                <w:b/>
                <w:bCs/>
                <w:color w:val="000000" w:themeColor="text1"/>
                <w:kern w:val="0"/>
                <w:sz w:val="24"/>
                <w14:textFill>
                  <w14:solidFill>
                    <w14:schemeClr w14:val="tx1"/>
                  </w14:solidFill>
                </w14:textFill>
              </w:rPr>
              <w:t xml:space="preserve"> </w:t>
            </w:r>
            <w:r>
              <w:rPr>
                <w:rFonts w:hint="eastAsia"/>
                <w:b/>
                <w:bCs/>
                <w:color w:val="000000" w:themeColor="text1"/>
                <w:kern w:val="0"/>
                <w:sz w:val="24"/>
                <w14:textFill>
                  <w14:solidFill>
                    <w14:schemeClr w14:val="tx1"/>
                  </w14:solidFill>
                </w14:textFill>
              </w:rPr>
              <w:t xml:space="preserve"> </w:t>
            </w:r>
            <w:r>
              <w:rPr>
                <w:b/>
                <w:bCs/>
                <w:color w:val="000000" w:themeColor="text1"/>
                <w:kern w:val="0"/>
                <w:sz w:val="24"/>
                <w14:textFill>
                  <w14:solidFill>
                    <w14:schemeClr w14:val="tx1"/>
                  </w14:solidFill>
                </w14:textFill>
              </w:rPr>
              <w:t xml:space="preserve"> </w:t>
            </w:r>
            <w:r>
              <w:rPr>
                <w:rFonts w:hint="eastAsia"/>
                <w:b/>
                <w:bCs/>
                <w:color w:val="000000" w:themeColor="text1"/>
                <w:kern w:val="0"/>
                <w:sz w:val="24"/>
                <w14:textFill>
                  <w14:solidFill>
                    <w14:schemeClr w14:val="tx1"/>
                  </w14:solidFill>
                </w14:textFill>
              </w:rPr>
              <w:t xml:space="preserve">  </w:t>
            </w:r>
            <w:r>
              <w:rPr>
                <w:b/>
                <w:bCs/>
                <w:color w:val="000000" w:themeColor="text1"/>
                <w:kern w:val="0"/>
                <w:sz w:val="24"/>
                <w14:textFill>
                  <w14:solidFill>
                    <w14:schemeClr w14:val="tx1"/>
                  </w14:solidFill>
                </w14:textFill>
              </w:rPr>
              <w:t xml:space="preserve"> 本项目</w:t>
            </w:r>
            <w:r>
              <w:rPr>
                <w:rFonts w:hint="eastAsia"/>
                <w:b/>
                <w:bCs/>
                <w:color w:val="000000" w:themeColor="text1"/>
                <w:kern w:val="0"/>
                <w:sz w:val="24"/>
                <w14:textFill>
                  <w14:solidFill>
                    <w14:schemeClr w14:val="tx1"/>
                  </w14:solidFill>
                </w14:textFill>
              </w:rPr>
              <w:t>无组织排放废气</w:t>
            </w:r>
            <w:r>
              <w:rPr>
                <w:b/>
                <w:bCs/>
                <w:color w:val="000000" w:themeColor="text1"/>
                <w:kern w:val="0"/>
                <w:sz w:val="24"/>
                <w14:textFill>
                  <w14:solidFill>
                    <w14:schemeClr w14:val="tx1"/>
                  </w14:solidFill>
                </w14:textFill>
              </w:rPr>
              <w:t>估算结果一览表</w:t>
            </w:r>
          </w:p>
          <w:tbl>
            <w:tblPr>
              <w:tblStyle w:val="30"/>
              <w:tblW w:w="8093" w:type="dxa"/>
              <w:jc w:val="right"/>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33"/>
              <w:gridCol w:w="1891"/>
              <w:gridCol w:w="1559"/>
              <w:gridCol w:w="1560"/>
              <w:gridCol w:w="135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vMerge w:val="restar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color w:val="000000"/>
                      <w:szCs w:val="21"/>
                    </w:rPr>
                    <w:t>下风向距离（m）</w:t>
                  </w:r>
                </w:p>
              </w:tc>
              <w:tc>
                <w:tcPr>
                  <w:tcW w:w="3929" w:type="pct"/>
                  <w:gridSpan w:val="4"/>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r>
                    <w:rPr>
                      <w:rFonts w:hint="eastAsia"/>
                      <w:color w:val="000000"/>
                      <w:szCs w:val="21"/>
                    </w:rPr>
                    <w:t>（热压工序）</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57" w:hRule="exact"/>
                <w:jc w:val="right"/>
              </w:trPr>
              <w:tc>
                <w:tcPr>
                  <w:tcW w:w="1071" w:type="pct"/>
                  <w:vMerge w:val="continue"/>
                  <w:tcBorders>
                    <w:top w:val="single" w:color="auto" w:sz="4" w:space="0"/>
                    <w:left w:val="single" w:color="auto" w:sz="4" w:space="0"/>
                    <w:bottom w:val="single" w:color="auto" w:sz="4" w:space="0"/>
                    <w:right w:val="single" w:color="auto" w:sz="4" w:space="0"/>
                  </w:tcBorders>
                  <w:vAlign w:val="center"/>
                </w:tcPr>
                <w:p>
                  <w:pPr>
                    <w:pStyle w:val="76"/>
                    <w:spacing w:line="360" w:lineRule="exact"/>
                    <w:ind w:left="407"/>
                    <w:rPr>
                      <w:color w:val="000000"/>
                      <w:szCs w:val="21"/>
                    </w:rPr>
                  </w:pPr>
                </w:p>
              </w:tc>
              <w:tc>
                <w:tcPr>
                  <w:tcW w:w="2131" w:type="pct"/>
                  <w:gridSpan w:val="2"/>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rFonts w:hint="eastAsia"/>
                      <w:color w:val="000000"/>
                      <w:szCs w:val="21"/>
                    </w:rPr>
                    <w:t>甲醛</w:t>
                  </w:r>
                </w:p>
              </w:tc>
              <w:tc>
                <w:tcPr>
                  <w:tcW w:w="1798" w:type="pct"/>
                  <w:gridSpan w:val="2"/>
                  <w:tcBorders>
                    <w:top w:val="single" w:color="auto" w:sz="4" w:space="0"/>
                    <w:left w:val="single" w:color="auto" w:sz="4" w:space="0"/>
                    <w:bottom w:val="single" w:color="auto" w:sz="4" w:space="0"/>
                    <w:right w:val="single" w:color="auto" w:sz="4" w:space="0"/>
                  </w:tcBorders>
                </w:tcPr>
                <w:p>
                  <w:pPr>
                    <w:pStyle w:val="76"/>
                    <w:spacing w:line="360" w:lineRule="exact"/>
                    <w:rPr>
                      <w:color w:val="000000"/>
                      <w:szCs w:val="21"/>
                    </w:rPr>
                  </w:pPr>
                  <w:r>
                    <w:rPr>
                      <w:rFonts w:hint="eastAsia"/>
                      <w:color w:val="000000"/>
                      <w:szCs w:val="21"/>
                    </w:rPr>
                    <w:t>非甲烷总烃</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5" w:hRule="exact"/>
                <w:jc w:val="right"/>
              </w:trPr>
              <w:tc>
                <w:tcPr>
                  <w:tcW w:w="1071" w:type="pct"/>
                  <w:vMerge w:val="continue"/>
                  <w:tcBorders>
                    <w:top w:val="single" w:color="auto" w:sz="4" w:space="0"/>
                    <w:left w:val="single" w:color="auto" w:sz="4" w:space="0"/>
                    <w:bottom w:val="single" w:color="auto" w:sz="4" w:space="0"/>
                    <w:right w:val="single" w:color="auto" w:sz="4" w:space="0"/>
                  </w:tcBorders>
                  <w:vAlign w:val="center"/>
                </w:tcPr>
                <w:p>
                  <w:pPr>
                    <w:pStyle w:val="76"/>
                    <w:spacing w:line="360" w:lineRule="exact"/>
                    <w:ind w:left="407"/>
                    <w:rPr>
                      <w:color w:val="000000"/>
                      <w:szCs w:val="21"/>
                    </w:rPr>
                  </w:pPr>
                </w:p>
              </w:tc>
              <w:tc>
                <w:tcPr>
                  <w:tcW w:w="1168"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rFonts w:hint="eastAsia"/>
                      <w:color w:val="000000"/>
                      <w:szCs w:val="21"/>
                    </w:rPr>
                    <w:t>落地</w:t>
                  </w:r>
                  <w:r>
                    <w:rPr>
                      <w:color w:val="000000"/>
                      <w:szCs w:val="21"/>
                    </w:rPr>
                    <w:t>浓度（mg/m</w:t>
                  </w:r>
                  <w:r>
                    <w:rPr>
                      <w:color w:val="000000"/>
                      <w:szCs w:val="21"/>
                      <w:vertAlign w:val="superscript"/>
                    </w:rPr>
                    <w:t>3</w:t>
                  </w:r>
                  <w:r>
                    <w:rPr>
                      <w:color w:val="000000"/>
                      <w:szCs w:val="21"/>
                    </w:rPr>
                    <w:t>）</w:t>
                  </w:r>
                </w:p>
              </w:tc>
              <w:tc>
                <w:tcPr>
                  <w:tcW w:w="963"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color w:val="000000"/>
                      <w:szCs w:val="21"/>
                    </w:rPr>
                    <w:t>占标率（%）</w:t>
                  </w:r>
                </w:p>
              </w:tc>
              <w:tc>
                <w:tcPr>
                  <w:tcW w:w="964"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rFonts w:hint="eastAsia"/>
                      <w:color w:val="000000"/>
                      <w:szCs w:val="21"/>
                    </w:rPr>
                    <w:t>落地</w:t>
                  </w:r>
                  <w:r>
                    <w:rPr>
                      <w:color w:val="000000"/>
                      <w:szCs w:val="21"/>
                    </w:rPr>
                    <w:t>浓度（mg/m</w:t>
                  </w:r>
                  <w:r>
                    <w:rPr>
                      <w:color w:val="000000"/>
                      <w:szCs w:val="21"/>
                      <w:vertAlign w:val="superscript"/>
                    </w:rPr>
                    <w:t>3</w:t>
                  </w:r>
                  <w:r>
                    <w:rPr>
                      <w:color w:val="000000"/>
                      <w:szCs w:val="21"/>
                    </w:rPr>
                    <w:t>）</w:t>
                  </w:r>
                </w:p>
              </w:tc>
              <w:tc>
                <w:tcPr>
                  <w:tcW w:w="834" w:type="pct"/>
                  <w:tcBorders>
                    <w:top w:val="single" w:color="auto" w:sz="4" w:space="0"/>
                    <w:left w:val="single" w:color="auto" w:sz="4" w:space="0"/>
                    <w:bottom w:val="single" w:color="auto" w:sz="4" w:space="0"/>
                    <w:right w:val="single" w:color="auto" w:sz="4" w:space="0"/>
                  </w:tcBorders>
                  <w:vAlign w:val="center"/>
                </w:tcPr>
                <w:p>
                  <w:pPr>
                    <w:pStyle w:val="76"/>
                    <w:spacing w:line="360" w:lineRule="exact"/>
                    <w:rPr>
                      <w:color w:val="000000"/>
                      <w:szCs w:val="21"/>
                    </w:rPr>
                  </w:pPr>
                  <w:r>
                    <w:rPr>
                      <w:color w:val="000000"/>
                      <w:szCs w:val="21"/>
                    </w:rPr>
                    <w:t>占标率（%）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100</w:t>
                  </w:r>
                </w:p>
              </w:tc>
              <w:tc>
                <w:tcPr>
                  <w:tcW w:w="1168" w:type="pct"/>
                  <w:tcBorders>
                    <w:top w:val="single" w:color="000000" w:sz="8" w:space="0"/>
                    <w:bottom w:val="single" w:color="000000" w:sz="8" w:space="0"/>
                  </w:tcBorders>
                </w:tcPr>
                <w:p>
                  <w:pPr>
                    <w:spacing w:line="360" w:lineRule="exact"/>
                    <w:jc w:val="center"/>
                    <w:rPr>
                      <w:color w:val="000000"/>
                      <w:szCs w:val="21"/>
                    </w:rPr>
                  </w:pPr>
                  <w:r>
                    <w:rPr>
                      <w:color w:val="000000"/>
                      <w:szCs w:val="21"/>
                    </w:rPr>
                    <w:t>0.0009917</w:t>
                  </w:r>
                </w:p>
              </w:tc>
              <w:tc>
                <w:tcPr>
                  <w:tcW w:w="963"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1.98</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0.005454</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200</w:t>
                  </w:r>
                </w:p>
              </w:tc>
              <w:tc>
                <w:tcPr>
                  <w:tcW w:w="1168" w:type="pct"/>
                  <w:tcBorders>
                    <w:top w:val="single" w:color="000000" w:sz="8" w:space="0"/>
                    <w:bottom w:val="single" w:color="000000" w:sz="8" w:space="0"/>
                  </w:tcBorders>
                </w:tcPr>
                <w:p>
                  <w:pPr>
                    <w:spacing w:line="360" w:lineRule="exact"/>
                    <w:jc w:val="center"/>
                    <w:rPr>
                      <w:color w:val="000000"/>
                      <w:szCs w:val="21"/>
                    </w:rPr>
                  </w:pPr>
                  <w:r>
                    <w:rPr>
                      <w:color w:val="000000"/>
                      <w:szCs w:val="21"/>
                    </w:rPr>
                    <w:t>0.0009852</w:t>
                  </w:r>
                </w:p>
              </w:tc>
              <w:tc>
                <w:tcPr>
                  <w:tcW w:w="963"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1.97</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0.005419</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0.27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left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300</w:t>
                  </w:r>
                </w:p>
              </w:tc>
              <w:tc>
                <w:tcPr>
                  <w:tcW w:w="1168" w:type="pct"/>
                </w:tcPr>
                <w:p>
                  <w:pPr>
                    <w:spacing w:line="360" w:lineRule="exact"/>
                    <w:jc w:val="center"/>
                    <w:rPr>
                      <w:color w:val="000000"/>
                      <w:szCs w:val="21"/>
                    </w:rPr>
                  </w:pPr>
                  <w:r>
                    <w:rPr>
                      <w:color w:val="000000"/>
                      <w:szCs w:val="21"/>
                    </w:rPr>
                    <w:t>0.0009314</w:t>
                  </w:r>
                </w:p>
              </w:tc>
              <w:tc>
                <w:tcPr>
                  <w:tcW w:w="963" w:type="pct"/>
                  <w:tcBorders>
                    <w:left w:val="single" w:color="000000" w:sz="8" w:space="0"/>
                    <w:right w:val="single" w:color="auto" w:sz="4" w:space="0"/>
                  </w:tcBorders>
                </w:tcPr>
                <w:p>
                  <w:pPr>
                    <w:spacing w:line="360" w:lineRule="exact"/>
                    <w:jc w:val="center"/>
                    <w:rPr>
                      <w:color w:val="000000"/>
                      <w:szCs w:val="21"/>
                    </w:rPr>
                  </w:pPr>
                  <w:r>
                    <w:rPr>
                      <w:color w:val="000000"/>
                      <w:szCs w:val="21"/>
                    </w:rPr>
                    <w:t>1.86</w:t>
                  </w:r>
                </w:p>
              </w:tc>
              <w:tc>
                <w:tcPr>
                  <w:tcW w:w="964" w:type="pct"/>
                  <w:tcBorders>
                    <w:left w:val="single" w:color="000000" w:sz="8" w:space="0"/>
                    <w:right w:val="single" w:color="auto" w:sz="4" w:space="0"/>
                  </w:tcBorders>
                </w:tcPr>
                <w:p>
                  <w:pPr>
                    <w:spacing w:line="360" w:lineRule="exact"/>
                    <w:jc w:val="center"/>
                    <w:rPr>
                      <w:color w:val="000000"/>
                      <w:szCs w:val="21"/>
                    </w:rPr>
                  </w:pPr>
                  <w:r>
                    <w:rPr>
                      <w:color w:val="000000"/>
                      <w:szCs w:val="21"/>
                    </w:rPr>
                    <w:t>0.005123</w:t>
                  </w:r>
                </w:p>
              </w:tc>
              <w:tc>
                <w:tcPr>
                  <w:tcW w:w="834" w:type="pct"/>
                  <w:tcBorders>
                    <w:left w:val="single" w:color="000000" w:sz="8" w:space="0"/>
                    <w:right w:val="single" w:color="auto" w:sz="4" w:space="0"/>
                  </w:tcBorders>
                </w:tcPr>
                <w:p>
                  <w:pPr>
                    <w:spacing w:line="360" w:lineRule="exact"/>
                    <w:jc w:val="center"/>
                    <w:rPr>
                      <w:color w:val="000000"/>
                      <w:szCs w:val="21"/>
                    </w:rPr>
                  </w:pPr>
                  <w:r>
                    <w:rPr>
                      <w:color w:val="000000"/>
                      <w:szCs w:val="21"/>
                    </w:rPr>
                    <w:t>0.26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auto" w:sz="4"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400</w:t>
                  </w:r>
                </w:p>
              </w:tc>
              <w:tc>
                <w:tcPr>
                  <w:tcW w:w="1168" w:type="pct"/>
                  <w:tcBorders>
                    <w:top w:val="single" w:color="000000" w:sz="8" w:space="0"/>
                    <w:bottom w:val="single" w:color="auto" w:sz="4" w:space="0"/>
                  </w:tcBorders>
                </w:tcPr>
                <w:p>
                  <w:pPr>
                    <w:spacing w:line="360" w:lineRule="exact"/>
                    <w:jc w:val="center"/>
                    <w:rPr>
                      <w:color w:val="000000"/>
                      <w:szCs w:val="21"/>
                    </w:rPr>
                  </w:pPr>
                  <w:r>
                    <w:rPr>
                      <w:color w:val="000000"/>
                      <w:szCs w:val="21"/>
                    </w:rPr>
                    <w:t>0.0008538</w:t>
                  </w:r>
                </w:p>
              </w:tc>
              <w:tc>
                <w:tcPr>
                  <w:tcW w:w="963" w:type="pct"/>
                  <w:tcBorders>
                    <w:top w:val="single" w:color="000000" w:sz="8" w:space="0"/>
                    <w:left w:val="single" w:color="000000" w:sz="8" w:space="0"/>
                    <w:bottom w:val="single" w:color="auto" w:sz="4" w:space="0"/>
                    <w:right w:val="single" w:color="auto" w:sz="4" w:space="0"/>
                  </w:tcBorders>
                </w:tcPr>
                <w:p>
                  <w:pPr>
                    <w:spacing w:line="360" w:lineRule="exact"/>
                    <w:jc w:val="center"/>
                    <w:rPr>
                      <w:color w:val="000000"/>
                      <w:szCs w:val="21"/>
                    </w:rPr>
                  </w:pPr>
                  <w:r>
                    <w:rPr>
                      <w:color w:val="000000"/>
                      <w:szCs w:val="21"/>
                    </w:rPr>
                    <w:t>1.71</w:t>
                  </w:r>
                </w:p>
              </w:tc>
              <w:tc>
                <w:tcPr>
                  <w:tcW w:w="964" w:type="pct"/>
                  <w:tcBorders>
                    <w:top w:val="single" w:color="000000" w:sz="8" w:space="0"/>
                    <w:left w:val="single" w:color="000000" w:sz="8" w:space="0"/>
                    <w:bottom w:val="single" w:color="auto" w:sz="4" w:space="0"/>
                    <w:right w:val="single" w:color="auto" w:sz="4" w:space="0"/>
                  </w:tcBorders>
                </w:tcPr>
                <w:p>
                  <w:pPr>
                    <w:spacing w:line="360" w:lineRule="exact"/>
                    <w:jc w:val="center"/>
                    <w:rPr>
                      <w:color w:val="000000"/>
                      <w:szCs w:val="21"/>
                    </w:rPr>
                  </w:pPr>
                  <w:r>
                    <w:rPr>
                      <w:color w:val="000000"/>
                      <w:szCs w:val="21"/>
                    </w:rPr>
                    <w:t>0.004696</w:t>
                  </w:r>
                </w:p>
              </w:tc>
              <w:tc>
                <w:tcPr>
                  <w:tcW w:w="834" w:type="pct"/>
                  <w:tcBorders>
                    <w:top w:val="single" w:color="000000" w:sz="8" w:space="0"/>
                    <w:left w:val="single" w:color="000000" w:sz="8" w:space="0"/>
                    <w:bottom w:val="single" w:color="auto" w:sz="4" w:space="0"/>
                    <w:right w:val="single" w:color="auto" w:sz="4" w:space="0"/>
                  </w:tcBorders>
                </w:tcPr>
                <w:p>
                  <w:pPr>
                    <w:spacing w:line="360" w:lineRule="exact"/>
                    <w:jc w:val="center"/>
                    <w:rPr>
                      <w:color w:val="000000"/>
                      <w:szCs w:val="21"/>
                    </w:rPr>
                  </w:pPr>
                  <w:r>
                    <w:rPr>
                      <w:color w:val="000000"/>
                      <w:szCs w:val="21"/>
                    </w:rPr>
                    <w:t>0.23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color w:val="000000"/>
                      <w:szCs w:val="21"/>
                    </w:rPr>
                    <w:t>500</w:t>
                  </w:r>
                </w:p>
              </w:tc>
              <w:tc>
                <w:tcPr>
                  <w:tcW w:w="1168"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0.0007187</w:t>
                  </w:r>
                </w:p>
              </w:tc>
              <w:tc>
                <w:tcPr>
                  <w:tcW w:w="963"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1.44</w:t>
                  </w:r>
                </w:p>
              </w:tc>
              <w:tc>
                <w:tcPr>
                  <w:tcW w:w="964"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0.003953</w:t>
                  </w:r>
                </w:p>
              </w:tc>
              <w:tc>
                <w:tcPr>
                  <w:tcW w:w="834"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0.20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color w:val="000000"/>
                      <w:szCs w:val="21"/>
                    </w:rPr>
                    <w:t>600</w:t>
                  </w:r>
                </w:p>
              </w:tc>
              <w:tc>
                <w:tcPr>
                  <w:tcW w:w="1168"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0.0005963</w:t>
                  </w:r>
                </w:p>
              </w:tc>
              <w:tc>
                <w:tcPr>
                  <w:tcW w:w="963"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1.19</w:t>
                  </w:r>
                </w:p>
              </w:tc>
              <w:tc>
                <w:tcPr>
                  <w:tcW w:w="964"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0.00328</w:t>
                  </w:r>
                </w:p>
              </w:tc>
              <w:tc>
                <w:tcPr>
                  <w:tcW w:w="834" w:type="pct"/>
                  <w:tcBorders>
                    <w:top w:val="single" w:color="auto" w:sz="4" w:space="0"/>
                    <w:left w:val="single" w:color="auto" w:sz="4" w:space="0"/>
                    <w:bottom w:val="single" w:color="auto" w:sz="4" w:space="0"/>
                    <w:right w:val="single" w:color="auto" w:sz="4" w:space="0"/>
                  </w:tcBorders>
                </w:tcPr>
                <w:p>
                  <w:pPr>
                    <w:spacing w:line="360" w:lineRule="exact"/>
                    <w:jc w:val="center"/>
                    <w:rPr>
                      <w:color w:val="000000"/>
                      <w:szCs w:val="21"/>
                    </w:rPr>
                  </w:pPr>
                  <w:r>
                    <w:rPr>
                      <w:color w:val="000000"/>
                      <w:szCs w:val="21"/>
                    </w:rPr>
                    <w:t>0.16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auto" w:sz="4"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700</w:t>
                  </w:r>
                </w:p>
              </w:tc>
              <w:tc>
                <w:tcPr>
                  <w:tcW w:w="1168" w:type="pct"/>
                  <w:tcBorders>
                    <w:top w:val="single" w:color="auto" w:sz="4" w:space="0"/>
                    <w:bottom w:val="single" w:color="000000" w:sz="8" w:space="0"/>
                  </w:tcBorders>
                </w:tcPr>
                <w:p>
                  <w:pPr>
                    <w:spacing w:line="360" w:lineRule="exact"/>
                    <w:jc w:val="center"/>
                    <w:rPr>
                      <w:color w:val="000000"/>
                      <w:szCs w:val="21"/>
                    </w:rPr>
                  </w:pPr>
                  <w:r>
                    <w:rPr>
                      <w:color w:val="000000"/>
                      <w:szCs w:val="21"/>
                    </w:rPr>
                    <w:t>0.0004964</w:t>
                  </w:r>
                </w:p>
              </w:tc>
              <w:tc>
                <w:tcPr>
                  <w:tcW w:w="963" w:type="pct"/>
                  <w:tcBorders>
                    <w:top w:val="single" w:color="auto" w:sz="4"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0.99</w:t>
                  </w:r>
                </w:p>
              </w:tc>
              <w:tc>
                <w:tcPr>
                  <w:tcW w:w="964" w:type="pct"/>
                  <w:tcBorders>
                    <w:top w:val="single" w:color="auto" w:sz="4"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0.00273</w:t>
                  </w:r>
                </w:p>
              </w:tc>
              <w:tc>
                <w:tcPr>
                  <w:tcW w:w="834" w:type="pct"/>
                  <w:tcBorders>
                    <w:top w:val="single" w:color="auto" w:sz="4"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0.14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800</w:t>
                  </w:r>
                </w:p>
              </w:tc>
              <w:tc>
                <w:tcPr>
                  <w:tcW w:w="1168" w:type="pct"/>
                  <w:tcBorders>
                    <w:top w:val="single" w:color="000000" w:sz="8" w:space="0"/>
                    <w:bottom w:val="single" w:color="000000" w:sz="8" w:space="0"/>
                  </w:tcBorders>
                </w:tcPr>
                <w:p>
                  <w:pPr>
                    <w:spacing w:line="360" w:lineRule="exact"/>
                    <w:jc w:val="center"/>
                    <w:rPr>
                      <w:color w:val="000000"/>
                      <w:szCs w:val="21"/>
                    </w:rPr>
                  </w:pPr>
                  <w:r>
                    <w:rPr>
                      <w:color w:val="000000"/>
                      <w:szCs w:val="21"/>
                    </w:rPr>
                    <w:t>0.0004212</w:t>
                  </w:r>
                </w:p>
              </w:tc>
              <w:tc>
                <w:tcPr>
                  <w:tcW w:w="963"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0.84</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0.002317</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0.12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left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900</w:t>
                  </w:r>
                </w:p>
              </w:tc>
              <w:tc>
                <w:tcPr>
                  <w:tcW w:w="1168" w:type="pct"/>
                </w:tcPr>
                <w:p>
                  <w:pPr>
                    <w:spacing w:line="360" w:lineRule="exact"/>
                    <w:jc w:val="center"/>
                    <w:rPr>
                      <w:color w:val="000000"/>
                      <w:szCs w:val="21"/>
                    </w:rPr>
                  </w:pPr>
                  <w:r>
                    <w:rPr>
                      <w:color w:val="000000"/>
                      <w:szCs w:val="21"/>
                    </w:rPr>
                    <w:t>0.0003614</w:t>
                  </w:r>
                </w:p>
              </w:tc>
              <w:tc>
                <w:tcPr>
                  <w:tcW w:w="963" w:type="pct"/>
                  <w:tcBorders>
                    <w:left w:val="single" w:color="000000" w:sz="8" w:space="0"/>
                    <w:right w:val="single" w:color="auto" w:sz="4" w:space="0"/>
                  </w:tcBorders>
                </w:tcPr>
                <w:p>
                  <w:pPr>
                    <w:spacing w:line="360" w:lineRule="exact"/>
                    <w:jc w:val="center"/>
                    <w:rPr>
                      <w:color w:val="000000"/>
                      <w:szCs w:val="21"/>
                    </w:rPr>
                  </w:pPr>
                  <w:r>
                    <w:rPr>
                      <w:color w:val="000000"/>
                      <w:szCs w:val="21"/>
                    </w:rPr>
                    <w:t>0.72</w:t>
                  </w:r>
                </w:p>
              </w:tc>
              <w:tc>
                <w:tcPr>
                  <w:tcW w:w="964" w:type="pct"/>
                  <w:tcBorders>
                    <w:left w:val="single" w:color="000000" w:sz="8" w:space="0"/>
                    <w:right w:val="single" w:color="auto" w:sz="4" w:space="0"/>
                  </w:tcBorders>
                </w:tcPr>
                <w:p>
                  <w:pPr>
                    <w:spacing w:line="360" w:lineRule="exact"/>
                    <w:jc w:val="center"/>
                    <w:rPr>
                      <w:color w:val="000000"/>
                      <w:szCs w:val="21"/>
                    </w:rPr>
                  </w:pPr>
                  <w:r>
                    <w:rPr>
                      <w:color w:val="000000"/>
                      <w:szCs w:val="21"/>
                    </w:rPr>
                    <w:t>0.001988</w:t>
                  </w:r>
                </w:p>
              </w:tc>
              <w:tc>
                <w:tcPr>
                  <w:tcW w:w="834" w:type="pct"/>
                  <w:tcBorders>
                    <w:left w:val="single" w:color="000000" w:sz="8" w:space="0"/>
                    <w:right w:val="single" w:color="auto" w:sz="4" w:space="0"/>
                  </w:tcBorders>
                </w:tcPr>
                <w:p>
                  <w:pPr>
                    <w:spacing w:line="360" w:lineRule="exact"/>
                    <w:jc w:val="center"/>
                    <w:rPr>
                      <w:color w:val="000000"/>
                      <w:szCs w:val="21"/>
                    </w:rPr>
                  </w:pPr>
                  <w:r>
                    <w:rPr>
                      <w:color w:val="000000"/>
                      <w:szCs w:val="21"/>
                    </w:rPr>
                    <w:t>0.10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szCs w:val="21"/>
                    </w:rPr>
                  </w:pPr>
                  <w:r>
                    <w:rPr>
                      <w:rFonts w:hint="eastAsia"/>
                      <w:color w:val="000000"/>
                      <w:szCs w:val="21"/>
                    </w:rPr>
                    <w:t>1000</w:t>
                  </w:r>
                </w:p>
              </w:tc>
              <w:tc>
                <w:tcPr>
                  <w:tcW w:w="1168" w:type="pct"/>
                  <w:tcBorders>
                    <w:top w:val="single" w:color="000000" w:sz="8" w:space="0"/>
                    <w:bottom w:val="single" w:color="000000" w:sz="8" w:space="0"/>
                  </w:tcBorders>
                </w:tcPr>
                <w:p>
                  <w:pPr>
                    <w:spacing w:line="360" w:lineRule="exact"/>
                    <w:jc w:val="center"/>
                    <w:rPr>
                      <w:color w:val="000000"/>
                      <w:szCs w:val="21"/>
                    </w:rPr>
                  </w:pPr>
                  <w:r>
                    <w:rPr>
                      <w:color w:val="000000"/>
                      <w:szCs w:val="21"/>
                    </w:rPr>
                    <w:t>0.000314</w:t>
                  </w:r>
                </w:p>
              </w:tc>
              <w:tc>
                <w:tcPr>
                  <w:tcW w:w="963"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0.63</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0.001727</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color w:val="000000"/>
                      <w:szCs w:val="21"/>
                    </w:rPr>
                    <w:t>0.09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szCs w:val="21"/>
                    </w:rPr>
                  </w:pPr>
                  <w:r>
                    <w:rPr>
                      <w:rFonts w:hint="eastAsia"/>
                      <w:color w:val="000000"/>
                      <w:szCs w:val="21"/>
                    </w:rPr>
                    <w:t>1500</w:t>
                  </w:r>
                </w:p>
              </w:tc>
              <w:tc>
                <w:tcPr>
                  <w:tcW w:w="1168" w:type="pct"/>
                  <w:tcBorders>
                    <w:top w:val="single" w:color="000000" w:sz="8" w:space="0"/>
                    <w:bottom w:val="single" w:color="000000" w:sz="8" w:space="0"/>
                  </w:tcBorders>
                  <w:vAlign w:val="center"/>
                </w:tcPr>
                <w:p>
                  <w:pPr>
                    <w:spacing w:line="360" w:lineRule="exact"/>
                    <w:jc w:val="center"/>
                    <w:rPr>
                      <w:color w:val="000000"/>
                      <w:szCs w:val="21"/>
                    </w:rPr>
                  </w:pPr>
                  <w:r>
                    <w:rPr>
                      <w:rFonts w:hint="eastAsia"/>
                      <w:color w:val="000000"/>
                      <w:szCs w:val="21"/>
                    </w:rPr>
                    <w:t>0.000180</w:t>
                  </w:r>
                </w:p>
              </w:tc>
              <w:tc>
                <w:tcPr>
                  <w:tcW w:w="963" w:type="pct"/>
                  <w:tcBorders>
                    <w:top w:val="single" w:color="000000" w:sz="8" w:space="0"/>
                    <w:left w:val="single" w:color="000000" w:sz="8" w:space="0"/>
                    <w:bottom w:val="single" w:color="000000" w:sz="8" w:space="0"/>
                    <w:right w:val="single" w:color="auto" w:sz="4" w:space="0"/>
                  </w:tcBorders>
                  <w:vAlign w:val="center"/>
                </w:tcPr>
                <w:p>
                  <w:pPr>
                    <w:spacing w:line="360" w:lineRule="exact"/>
                    <w:jc w:val="center"/>
                    <w:rPr>
                      <w:color w:val="000000"/>
                      <w:szCs w:val="21"/>
                    </w:rPr>
                  </w:pPr>
                  <w:r>
                    <w:rPr>
                      <w:rFonts w:hint="eastAsia"/>
                      <w:color w:val="000000"/>
                      <w:szCs w:val="21"/>
                    </w:rPr>
                    <w:t>0.36</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0.000992</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szCs w:val="21"/>
                    </w:rPr>
                  </w:pPr>
                  <w:r>
                    <w:rPr>
                      <w:rFonts w:hint="eastAsia"/>
                      <w:color w:val="000000"/>
                      <w:szCs w:val="21"/>
                    </w:rPr>
                    <w:t>2000</w:t>
                  </w:r>
                </w:p>
              </w:tc>
              <w:tc>
                <w:tcPr>
                  <w:tcW w:w="1168" w:type="pct"/>
                  <w:tcBorders>
                    <w:top w:val="single" w:color="000000" w:sz="8" w:space="0"/>
                    <w:bottom w:val="single" w:color="000000" w:sz="8" w:space="0"/>
                  </w:tcBorders>
                  <w:vAlign w:val="center"/>
                </w:tcPr>
                <w:p>
                  <w:pPr>
                    <w:spacing w:line="360" w:lineRule="exact"/>
                    <w:jc w:val="center"/>
                    <w:rPr>
                      <w:color w:val="000000"/>
                      <w:szCs w:val="21"/>
                    </w:rPr>
                  </w:pPr>
                  <w:r>
                    <w:rPr>
                      <w:rFonts w:hint="eastAsia"/>
                      <w:color w:val="000000"/>
                      <w:szCs w:val="21"/>
                    </w:rPr>
                    <w:t>0.000119</w:t>
                  </w:r>
                </w:p>
              </w:tc>
              <w:tc>
                <w:tcPr>
                  <w:tcW w:w="963" w:type="pct"/>
                  <w:tcBorders>
                    <w:top w:val="single" w:color="000000" w:sz="8" w:space="0"/>
                    <w:left w:val="single" w:color="000000" w:sz="8" w:space="0"/>
                    <w:bottom w:val="single" w:color="000000" w:sz="8" w:space="0"/>
                    <w:right w:val="single" w:color="auto" w:sz="4" w:space="0"/>
                  </w:tcBorders>
                  <w:vAlign w:val="center"/>
                </w:tcPr>
                <w:p>
                  <w:pPr>
                    <w:spacing w:line="360" w:lineRule="exact"/>
                    <w:jc w:val="center"/>
                    <w:rPr>
                      <w:color w:val="000000"/>
                      <w:szCs w:val="21"/>
                    </w:rPr>
                  </w:pPr>
                  <w:r>
                    <w:rPr>
                      <w:rFonts w:hint="eastAsia"/>
                      <w:color w:val="000000"/>
                      <w:szCs w:val="21"/>
                    </w:rPr>
                    <w:t>0.24</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0.000657</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szCs w:val="21"/>
                    </w:rPr>
                  </w:pPr>
                  <w:r>
                    <w:rPr>
                      <w:rFonts w:hint="eastAsia"/>
                      <w:color w:val="000000"/>
                      <w:szCs w:val="21"/>
                    </w:rPr>
                    <w:t>2500</w:t>
                  </w:r>
                </w:p>
              </w:tc>
              <w:tc>
                <w:tcPr>
                  <w:tcW w:w="1168" w:type="pct"/>
                  <w:tcBorders>
                    <w:top w:val="single" w:color="000000" w:sz="8" w:space="0"/>
                    <w:bottom w:val="single" w:color="000000" w:sz="8" w:space="0"/>
                  </w:tcBorders>
                  <w:vAlign w:val="center"/>
                </w:tcPr>
                <w:p>
                  <w:pPr>
                    <w:spacing w:line="360" w:lineRule="exact"/>
                    <w:jc w:val="center"/>
                    <w:rPr>
                      <w:color w:val="000000"/>
                      <w:szCs w:val="21"/>
                    </w:rPr>
                  </w:pPr>
                  <w:r>
                    <w:rPr>
                      <w:rFonts w:hint="eastAsia"/>
                      <w:color w:val="000000"/>
                      <w:szCs w:val="21"/>
                    </w:rPr>
                    <w:t>0.000088</w:t>
                  </w:r>
                </w:p>
              </w:tc>
              <w:tc>
                <w:tcPr>
                  <w:tcW w:w="963" w:type="pct"/>
                  <w:tcBorders>
                    <w:top w:val="single" w:color="000000" w:sz="8" w:space="0"/>
                    <w:left w:val="single" w:color="000000" w:sz="8" w:space="0"/>
                    <w:bottom w:val="single" w:color="000000" w:sz="8" w:space="0"/>
                    <w:right w:val="single" w:color="auto" w:sz="4" w:space="0"/>
                  </w:tcBorders>
                  <w:vAlign w:val="center"/>
                </w:tcPr>
                <w:p>
                  <w:pPr>
                    <w:spacing w:line="360" w:lineRule="exact"/>
                    <w:jc w:val="center"/>
                    <w:rPr>
                      <w:color w:val="000000"/>
                      <w:szCs w:val="21"/>
                    </w:rPr>
                  </w:pPr>
                  <w:r>
                    <w:rPr>
                      <w:rFonts w:hint="eastAsia"/>
                      <w:color w:val="000000"/>
                      <w:szCs w:val="21"/>
                    </w:rPr>
                    <w:t>0.18</w:t>
                  </w:r>
                </w:p>
              </w:tc>
              <w:tc>
                <w:tcPr>
                  <w:tcW w:w="96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0.000483</w:t>
                  </w:r>
                </w:p>
              </w:tc>
              <w:tc>
                <w:tcPr>
                  <w:tcW w:w="834" w:type="pct"/>
                  <w:tcBorders>
                    <w:top w:val="single" w:color="000000" w:sz="8" w:space="0"/>
                    <w:left w:val="single" w:color="000000" w:sz="8" w:space="0"/>
                    <w:bottom w:val="single" w:color="000000" w:sz="8" w:space="0"/>
                    <w:right w:val="single" w:color="auto" w:sz="4" w:space="0"/>
                  </w:tcBorders>
                </w:tcPr>
                <w:p>
                  <w:pPr>
                    <w:spacing w:line="360" w:lineRule="exact"/>
                    <w:jc w:val="center"/>
                    <w:rPr>
                      <w:color w:val="000000"/>
                      <w:szCs w:val="21"/>
                    </w:rPr>
                  </w:pPr>
                  <w:r>
                    <w:rPr>
                      <w:rFonts w:hint="eastAsia"/>
                      <w:color w:val="000000"/>
                      <w:szCs w:val="21"/>
                    </w:rPr>
                    <w:t>0.02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lang w:val="en-GB"/>
                    </w:rPr>
                  </w:pPr>
                  <w:r>
                    <w:rPr>
                      <w:rFonts w:hint="eastAsia"/>
                      <w:color w:val="000000"/>
                      <w:lang w:val="en-GB"/>
                    </w:rPr>
                    <w:t>最大</w:t>
                  </w:r>
                  <w:r>
                    <w:rPr>
                      <w:color w:val="000000"/>
                      <w:lang w:val="en-GB"/>
                    </w:rPr>
                    <w:t>落地</w:t>
                  </w:r>
                  <w:r>
                    <w:rPr>
                      <w:color w:val="000000"/>
                      <w:szCs w:val="21"/>
                    </w:rPr>
                    <w:t>浓度</w:t>
                  </w:r>
                </w:p>
              </w:tc>
              <w:tc>
                <w:tcPr>
                  <w:tcW w:w="2131" w:type="pct"/>
                  <w:gridSpan w:val="2"/>
                  <w:tcBorders>
                    <w:top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szCs w:val="21"/>
                    </w:rPr>
                    <w:t>0.001063</w:t>
                  </w:r>
                  <w:r>
                    <w:rPr>
                      <w:rFonts w:hint="eastAsia"/>
                      <w:color w:val="000000"/>
                      <w:lang w:val="en-GB"/>
                    </w:rPr>
                    <w:t>mg/m</w:t>
                  </w:r>
                  <w:r>
                    <w:rPr>
                      <w:rFonts w:hint="eastAsia"/>
                      <w:color w:val="000000"/>
                      <w:vertAlign w:val="superscript"/>
                      <w:lang w:val="en-GB"/>
                    </w:rPr>
                    <w:t>3</w:t>
                  </w:r>
                </w:p>
              </w:tc>
              <w:tc>
                <w:tcPr>
                  <w:tcW w:w="1798" w:type="pct"/>
                  <w:gridSpan w:val="2"/>
                  <w:tcBorders>
                    <w:top w:val="single" w:color="000000" w:sz="8" w:space="0"/>
                    <w:left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szCs w:val="21"/>
                    </w:rPr>
                    <w:t>0.005847</w:t>
                  </w:r>
                  <w:r>
                    <w:rPr>
                      <w:rFonts w:hint="eastAsia"/>
                      <w:color w:val="000000"/>
                      <w:lang w:val="en-GB"/>
                    </w:rPr>
                    <w:t>mg/m</w:t>
                  </w:r>
                  <w:r>
                    <w:rPr>
                      <w:rFonts w:hint="eastAsia"/>
                      <w:color w:val="000000"/>
                      <w:vertAlign w:val="superscript"/>
                      <w:lang w:val="en-GB"/>
                    </w:rPr>
                    <w:t>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lang w:val="en-GB"/>
                    </w:rPr>
                  </w:pPr>
                  <w:r>
                    <w:rPr>
                      <w:rFonts w:hint="eastAsia"/>
                      <w:color w:val="000000"/>
                      <w:lang w:val="en-GB"/>
                    </w:rPr>
                    <w:t>最大</w:t>
                  </w:r>
                  <w:r>
                    <w:rPr>
                      <w:color w:val="000000"/>
                      <w:lang w:val="en-GB"/>
                    </w:rPr>
                    <w:t>占标率</w:t>
                  </w:r>
                </w:p>
              </w:tc>
              <w:tc>
                <w:tcPr>
                  <w:tcW w:w="2131" w:type="pct"/>
                  <w:gridSpan w:val="2"/>
                  <w:tcBorders>
                    <w:top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lang w:val="en-GB"/>
                    </w:rPr>
                    <w:t>2.13%</w:t>
                  </w:r>
                </w:p>
              </w:tc>
              <w:tc>
                <w:tcPr>
                  <w:tcW w:w="1798" w:type="pct"/>
                  <w:gridSpan w:val="2"/>
                  <w:tcBorders>
                    <w:top w:val="single" w:color="000000" w:sz="8" w:space="0"/>
                    <w:left w:val="single" w:color="000000" w:sz="8" w:space="0"/>
                    <w:bottom w:val="single" w:color="000000" w:sz="8" w:space="0"/>
                    <w:right w:val="single" w:color="auto" w:sz="4" w:space="0"/>
                  </w:tcBorders>
                  <w:vAlign w:val="center"/>
                </w:tcPr>
                <w:p>
                  <w:pPr>
                    <w:spacing w:line="360" w:lineRule="exact"/>
                    <w:jc w:val="center"/>
                    <w:rPr>
                      <w:color w:val="000000"/>
                      <w:lang w:val="en-GB"/>
                    </w:rPr>
                  </w:pPr>
                  <w:r>
                    <w:rPr>
                      <w:rFonts w:hint="eastAsia"/>
                      <w:color w:val="000000"/>
                      <w:lang w:val="en-GB"/>
                    </w:rPr>
                    <w:t>0.29%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right"/>
              </w:trPr>
              <w:tc>
                <w:tcPr>
                  <w:tcW w:w="1071" w:type="pct"/>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color w:val="000000"/>
                      <w:lang w:val="en-GB"/>
                    </w:rPr>
                  </w:pPr>
                  <w:r>
                    <w:rPr>
                      <w:color w:val="000000"/>
                      <w:lang w:val="en-GB"/>
                    </w:rPr>
                    <w:t>出现距离</w:t>
                  </w:r>
                </w:p>
              </w:tc>
              <w:tc>
                <w:tcPr>
                  <w:tcW w:w="2131" w:type="pct"/>
                  <w:gridSpan w:val="2"/>
                  <w:tcBorders>
                    <w:top w:val="single" w:color="000000" w:sz="8" w:space="0"/>
                    <w:bottom w:val="single" w:color="000000" w:sz="8" w:space="0"/>
                    <w:right w:val="single" w:color="auto" w:sz="4" w:space="0"/>
                  </w:tcBorders>
                  <w:vAlign w:val="center"/>
                </w:tcPr>
                <w:p>
                  <w:pPr>
                    <w:adjustRightInd w:val="0"/>
                    <w:snapToGrid w:val="0"/>
                    <w:spacing w:line="360" w:lineRule="exact"/>
                    <w:jc w:val="center"/>
                    <w:rPr>
                      <w:color w:val="000000"/>
                      <w:lang w:val="en-GB"/>
                    </w:rPr>
                  </w:pPr>
                  <w:r>
                    <w:rPr>
                      <w:rFonts w:hint="eastAsia"/>
                      <w:color w:val="000000"/>
                      <w:lang w:val="en-GB"/>
                    </w:rPr>
                    <w:t>81m</w:t>
                  </w:r>
                </w:p>
              </w:tc>
              <w:tc>
                <w:tcPr>
                  <w:tcW w:w="1798" w:type="pct"/>
                  <w:gridSpan w:val="2"/>
                  <w:tcBorders>
                    <w:top w:val="single" w:color="000000" w:sz="8" w:space="0"/>
                    <w:left w:val="single" w:color="000000" w:sz="8" w:space="0"/>
                    <w:bottom w:val="single" w:color="000000" w:sz="8" w:space="0"/>
                    <w:right w:val="single" w:color="auto" w:sz="4" w:space="0"/>
                  </w:tcBorders>
                  <w:vAlign w:val="center"/>
                </w:tcPr>
                <w:p>
                  <w:pPr>
                    <w:adjustRightInd w:val="0"/>
                    <w:snapToGrid w:val="0"/>
                    <w:spacing w:line="360" w:lineRule="exact"/>
                    <w:jc w:val="center"/>
                    <w:rPr>
                      <w:color w:val="000000"/>
                      <w:lang w:val="en-GB"/>
                    </w:rPr>
                  </w:pPr>
                  <w:r>
                    <w:rPr>
                      <w:rFonts w:hint="eastAsia"/>
                      <w:color w:val="000000"/>
                      <w:lang w:val="en-GB"/>
                    </w:rPr>
                    <w:t>81m</w:t>
                  </w:r>
                </w:p>
              </w:tc>
            </w:tr>
          </w:tbl>
          <w:p>
            <w:pPr>
              <w:adjustRightInd w:val="0"/>
              <w:snapToGrid w:val="0"/>
              <w:spacing w:line="360" w:lineRule="auto"/>
              <w:ind w:firstLine="480" w:firstLineChars="200"/>
              <w:rPr>
                <w:color w:val="000000"/>
                <w:sz w:val="24"/>
              </w:rPr>
            </w:pPr>
            <w:r>
              <w:rPr>
                <w:rFonts w:hint="eastAsia"/>
                <w:bCs/>
                <w:color w:val="000000"/>
                <w:kern w:val="0"/>
                <w:sz w:val="24"/>
              </w:rPr>
              <w:t>根据预测结果，本</w:t>
            </w:r>
            <w:r>
              <w:rPr>
                <w:rFonts w:hint="eastAsia" w:ascii="宋体" w:hAnsi="宋体"/>
                <w:color w:val="000000" w:themeColor="text1"/>
                <w:sz w:val="24"/>
                <w14:textFill>
                  <w14:solidFill>
                    <w14:schemeClr w14:val="tx1"/>
                  </w14:solidFill>
                </w14:textFill>
              </w:rPr>
              <w:t>项目营运期</w:t>
            </w:r>
            <w:r>
              <w:rPr>
                <w:rFonts w:hint="eastAsia"/>
                <w:bCs/>
                <w:color w:val="000000"/>
                <w:kern w:val="0"/>
                <w:sz w:val="24"/>
              </w:rPr>
              <w:t>热压工序有组织废气下风向最大落地浓度出现距离为281m，其中甲醛浓度贡献值为0.000146</w:t>
            </w:r>
            <w:r>
              <w:rPr>
                <w:color w:val="000000"/>
                <w:sz w:val="24"/>
              </w:rPr>
              <w:t>mg/m</w:t>
            </w:r>
            <w:r>
              <w:rPr>
                <w:color w:val="000000"/>
                <w:sz w:val="24"/>
                <w:vertAlign w:val="superscript"/>
              </w:rPr>
              <w:t>3</w:t>
            </w:r>
            <w:r>
              <w:rPr>
                <w:rFonts w:hint="eastAsia"/>
                <w:color w:val="000000"/>
                <w:sz w:val="24"/>
              </w:rPr>
              <w:t>，占标率为0.29%，</w:t>
            </w:r>
            <w:r>
              <w:rPr>
                <w:rFonts w:hint="eastAsia"/>
                <w:bCs/>
                <w:color w:val="000000"/>
                <w:kern w:val="0"/>
                <w:sz w:val="24"/>
              </w:rPr>
              <w:t>非甲烷总烃浓度贡献值为0.000974</w:t>
            </w:r>
            <w:r>
              <w:rPr>
                <w:color w:val="000000"/>
                <w:sz w:val="24"/>
              </w:rPr>
              <w:t>mg/m</w:t>
            </w:r>
            <w:r>
              <w:rPr>
                <w:color w:val="000000"/>
                <w:sz w:val="24"/>
                <w:vertAlign w:val="superscript"/>
              </w:rPr>
              <w:t>3</w:t>
            </w:r>
            <w:r>
              <w:rPr>
                <w:rFonts w:hint="eastAsia"/>
                <w:color w:val="000000"/>
                <w:sz w:val="24"/>
              </w:rPr>
              <w:t>，占标率为0.05%；</w:t>
            </w:r>
            <w:r>
              <w:rPr>
                <w:rFonts w:hint="eastAsia"/>
                <w:bCs/>
                <w:color w:val="000000"/>
                <w:kern w:val="0"/>
                <w:sz w:val="24"/>
              </w:rPr>
              <w:t>液化石油气燃烧废气有组织废气下风向最大落地浓度出现距离为90m，</w:t>
            </w:r>
            <w:r>
              <w:rPr>
                <w:rFonts w:hint="eastAsia"/>
                <w:color w:val="000000"/>
                <w:sz w:val="24"/>
              </w:rPr>
              <w:t>其中PM</w:t>
            </w:r>
            <w:r>
              <w:rPr>
                <w:rFonts w:hint="eastAsia"/>
                <w:color w:val="000000"/>
                <w:sz w:val="24"/>
                <w:vertAlign w:val="subscript"/>
              </w:rPr>
              <w:t>10</w:t>
            </w:r>
            <w:r>
              <w:rPr>
                <w:rFonts w:hint="eastAsia"/>
                <w:bCs/>
                <w:color w:val="000000"/>
                <w:sz w:val="24"/>
              </w:rPr>
              <w:t>浓度</w:t>
            </w:r>
            <w:r>
              <w:rPr>
                <w:rFonts w:hint="eastAsia"/>
                <w:bCs/>
                <w:color w:val="000000"/>
                <w:kern w:val="0"/>
                <w:sz w:val="24"/>
              </w:rPr>
              <w:t>贡献值为0.000223</w:t>
            </w:r>
            <w:r>
              <w:rPr>
                <w:color w:val="000000"/>
                <w:sz w:val="24"/>
              </w:rPr>
              <w:t>mg/m</w:t>
            </w:r>
            <w:r>
              <w:rPr>
                <w:rFonts w:hint="eastAsia"/>
                <w:color w:val="000000"/>
                <w:sz w:val="24"/>
                <w:vertAlign w:val="superscript"/>
              </w:rPr>
              <w:t>3</w:t>
            </w:r>
            <w:r>
              <w:rPr>
                <w:rFonts w:hint="eastAsia"/>
                <w:color w:val="000000"/>
                <w:sz w:val="24"/>
              </w:rPr>
              <w:t>，占标率为0.05%；SO</w:t>
            </w:r>
            <w:r>
              <w:rPr>
                <w:rFonts w:hint="eastAsia"/>
                <w:color w:val="000000"/>
                <w:sz w:val="24"/>
                <w:vertAlign w:val="subscript"/>
              </w:rPr>
              <w:t>2</w:t>
            </w:r>
            <w:r>
              <w:rPr>
                <w:rFonts w:hint="eastAsia"/>
                <w:color w:val="000000"/>
                <w:sz w:val="24"/>
              </w:rPr>
              <w:t>浓度贡献值为0.000088</w:t>
            </w:r>
            <w:r>
              <w:rPr>
                <w:color w:val="000000"/>
                <w:sz w:val="24"/>
              </w:rPr>
              <w:t>mg/m</w:t>
            </w:r>
            <w:r>
              <w:rPr>
                <w:rFonts w:hint="eastAsia"/>
                <w:color w:val="000000"/>
                <w:sz w:val="24"/>
                <w:vertAlign w:val="superscript"/>
              </w:rPr>
              <w:t>3</w:t>
            </w:r>
            <w:r>
              <w:rPr>
                <w:rFonts w:hint="eastAsia"/>
                <w:color w:val="000000"/>
                <w:sz w:val="24"/>
              </w:rPr>
              <w:t>，占标率为0.02%；NO</w:t>
            </w:r>
            <w:r>
              <w:rPr>
                <w:rFonts w:hint="eastAsia"/>
                <w:color w:val="000000"/>
                <w:sz w:val="24"/>
                <w:vertAlign w:val="subscript"/>
              </w:rPr>
              <w:t>X</w:t>
            </w:r>
            <w:r>
              <w:rPr>
                <w:rFonts w:hint="eastAsia"/>
                <w:bCs/>
                <w:color w:val="000000"/>
                <w:kern w:val="0"/>
                <w:sz w:val="24"/>
              </w:rPr>
              <w:t>浓度贡献值为0.002692</w:t>
            </w:r>
            <w:r>
              <w:rPr>
                <w:color w:val="000000"/>
                <w:sz w:val="24"/>
              </w:rPr>
              <w:t>mg/m</w:t>
            </w:r>
            <w:r>
              <w:rPr>
                <w:rFonts w:hint="eastAsia"/>
                <w:color w:val="000000"/>
                <w:sz w:val="24"/>
                <w:vertAlign w:val="superscript"/>
              </w:rPr>
              <w:t>3</w:t>
            </w:r>
            <w:r>
              <w:rPr>
                <w:rFonts w:hint="eastAsia"/>
                <w:color w:val="000000"/>
                <w:sz w:val="24"/>
              </w:rPr>
              <w:t>，占标率为1.35%。项目各污染物对周围环境浓度贡献值较低</w:t>
            </w:r>
            <w:r>
              <w:rPr>
                <w:rFonts w:hint="eastAsia"/>
                <w:bCs/>
                <w:color w:val="000000"/>
                <w:kern w:val="0"/>
                <w:sz w:val="24"/>
              </w:rPr>
              <w:t>，可以满足</w:t>
            </w:r>
            <w:r>
              <w:rPr>
                <w:rFonts w:hint="eastAsia"/>
                <w:bCs/>
                <w:color w:val="000000"/>
                <w:sz w:val="24"/>
              </w:rPr>
              <w:t>相应标准</w:t>
            </w:r>
            <w:r>
              <w:rPr>
                <w:rFonts w:hint="eastAsia"/>
                <w:bCs/>
                <w:color w:val="000000"/>
                <w:kern w:val="0"/>
                <w:sz w:val="24"/>
              </w:rPr>
              <w:t>要求，预计</w:t>
            </w:r>
            <w:r>
              <w:rPr>
                <w:rFonts w:hint="eastAsia"/>
                <w:color w:val="000000"/>
                <w:sz w:val="24"/>
              </w:rPr>
              <w:t>对周边环境影响不大。</w:t>
            </w:r>
          </w:p>
          <w:p>
            <w:pPr>
              <w:adjustRightInd w:val="0"/>
              <w:snapToGrid w:val="0"/>
              <w:spacing w:line="360" w:lineRule="auto"/>
              <w:ind w:firstLine="480" w:firstLineChars="200"/>
              <w:rPr>
                <w:sz w:val="24"/>
              </w:rPr>
            </w:pPr>
            <w:r>
              <w:rPr>
                <w:rFonts w:hint="eastAsia"/>
                <w:sz w:val="24"/>
              </w:rPr>
              <w:t>面源生产车间无组织排放</w:t>
            </w:r>
            <w:r>
              <w:rPr>
                <w:rFonts w:hint="eastAsia"/>
                <w:bCs/>
                <w:color w:val="000000"/>
                <w:kern w:val="0"/>
                <w:sz w:val="24"/>
              </w:rPr>
              <w:t>废气下风向最大落地浓度出现距离为81m，其中甲醛的浓度贡献值为0.001063</w:t>
            </w:r>
            <w:r>
              <w:rPr>
                <w:color w:val="000000"/>
                <w:sz w:val="24"/>
              </w:rPr>
              <w:t>mg/m</w:t>
            </w:r>
            <w:r>
              <w:rPr>
                <w:color w:val="000000"/>
                <w:sz w:val="24"/>
                <w:vertAlign w:val="superscript"/>
              </w:rPr>
              <w:t>3</w:t>
            </w:r>
            <w:r>
              <w:rPr>
                <w:rFonts w:hint="eastAsia"/>
                <w:color w:val="000000"/>
                <w:sz w:val="24"/>
              </w:rPr>
              <w:t>，占标率为2.13%；非甲烷总烃的浓度贡献值为</w:t>
            </w:r>
            <w:r>
              <w:rPr>
                <w:rFonts w:hint="eastAsia"/>
                <w:bCs/>
                <w:color w:val="000000"/>
                <w:kern w:val="0"/>
                <w:sz w:val="24"/>
              </w:rPr>
              <w:t>0.005847</w:t>
            </w:r>
            <w:r>
              <w:rPr>
                <w:color w:val="000000"/>
                <w:sz w:val="24"/>
              </w:rPr>
              <w:t>mg/m</w:t>
            </w:r>
            <w:r>
              <w:rPr>
                <w:color w:val="000000"/>
                <w:sz w:val="24"/>
                <w:vertAlign w:val="superscript"/>
              </w:rPr>
              <w:t>3</w:t>
            </w:r>
            <w:r>
              <w:rPr>
                <w:rFonts w:hint="eastAsia"/>
                <w:color w:val="000000"/>
                <w:sz w:val="24"/>
              </w:rPr>
              <w:t>，占标率为0.29%，各污染物</w:t>
            </w:r>
            <w:r>
              <w:rPr>
                <w:rFonts w:hint="eastAsia"/>
                <w:bCs/>
                <w:color w:val="000000"/>
                <w:sz w:val="24"/>
              </w:rPr>
              <w:t>最大落地浓度贡献值较低，可以</w:t>
            </w:r>
            <w:r>
              <w:rPr>
                <w:rFonts w:hint="eastAsia"/>
                <w:color w:val="000000"/>
                <w:sz w:val="24"/>
              </w:rPr>
              <w:t>满足</w:t>
            </w:r>
            <w:r>
              <w:rPr>
                <w:rFonts w:hint="eastAsia" w:hAnsi="宋体"/>
                <w:color w:val="000000"/>
                <w:sz w:val="24"/>
              </w:rPr>
              <w:t>《大气污染物综合排放标准》（GB16297-1996）表2无组织排放限值要求以及</w:t>
            </w:r>
            <w:r>
              <w:rPr>
                <w:rFonts w:hint="eastAsia"/>
                <w:color w:val="000000"/>
                <w:sz w:val="24"/>
              </w:rPr>
              <w:t>河南省环境污染防治攻坚战领导小组《关</w:t>
            </w:r>
            <w:r>
              <w:rPr>
                <w:color w:val="000000"/>
                <w:sz w:val="24"/>
              </w:rPr>
              <w:t>于全省开展工业企业挥发性有机物专项治理工作中排放建议值的通知》（豫环攻坚办[2017]162号文）中</w:t>
            </w:r>
            <w:r>
              <w:rPr>
                <w:rFonts w:hint="eastAsia" w:hAnsi="宋体"/>
                <w:color w:val="000000"/>
                <w:sz w:val="24"/>
              </w:rPr>
              <w:t>工业企业边界无组织排放限值要求，预计对周围大气环境影响不大。</w:t>
            </w:r>
          </w:p>
          <w:p>
            <w:pPr>
              <w:widowControl/>
              <w:autoSpaceDE w:val="0"/>
              <w:autoSpaceDN w:val="0"/>
              <w:snapToGrid w:val="0"/>
              <w:spacing w:line="360" w:lineRule="auto"/>
              <w:ind w:firstLine="480" w:firstLineChars="200"/>
              <w:rPr>
                <w:sz w:val="24"/>
              </w:rPr>
            </w:pPr>
            <w:r>
              <w:rPr>
                <w:rFonts w:hint="eastAsia"/>
                <w:sz w:val="24"/>
              </w:rPr>
              <w:t>2.4污染物排放量核算</w:t>
            </w:r>
          </w:p>
          <w:p>
            <w:pPr>
              <w:widowControl/>
              <w:autoSpaceDE w:val="0"/>
              <w:autoSpaceDN w:val="0"/>
              <w:snapToGrid w:val="0"/>
              <w:spacing w:line="360" w:lineRule="auto"/>
              <w:ind w:firstLine="480" w:firstLineChars="200"/>
              <w:rPr>
                <w:sz w:val="24"/>
              </w:rPr>
            </w:pPr>
            <w:r>
              <w:rPr>
                <w:rFonts w:hint="eastAsia"/>
                <w:sz w:val="24"/>
              </w:rPr>
              <w:t>本项目大气污染物排放量核算表见下表。</w:t>
            </w:r>
          </w:p>
          <w:p>
            <w:pPr>
              <w:widowControl/>
              <w:adjustRightInd w:val="0"/>
              <w:snapToGrid w:val="0"/>
              <w:spacing w:line="360" w:lineRule="auto"/>
              <w:jc w:val="center"/>
              <w:rPr>
                <w:b/>
                <w:bCs/>
                <w:color w:val="000000"/>
                <w:kern w:val="0"/>
                <w:sz w:val="24"/>
              </w:rPr>
            </w:pPr>
            <w:r>
              <w:rPr>
                <w:rFonts w:hint="eastAsia"/>
                <w:b/>
                <w:bCs/>
                <w:color w:val="000000"/>
                <w:kern w:val="0"/>
                <w:sz w:val="24"/>
              </w:rPr>
              <w:t>表4-13        工程大气污染物有组织排放量核算表</w:t>
            </w:r>
          </w:p>
          <w:tbl>
            <w:tblPr>
              <w:tblStyle w:val="30"/>
              <w:tblW w:w="821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77"/>
              <w:gridCol w:w="979"/>
              <w:gridCol w:w="863"/>
              <w:gridCol w:w="1567"/>
              <w:gridCol w:w="1268"/>
              <w:gridCol w:w="135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708" w:type="dxa"/>
                  <w:vAlign w:val="center"/>
                </w:tcPr>
                <w:p>
                  <w:pPr>
                    <w:pStyle w:val="65"/>
                    <w:spacing w:line="320" w:lineRule="exact"/>
                    <w:rPr>
                      <w:color w:val="000000"/>
                      <w:szCs w:val="21"/>
                    </w:rPr>
                  </w:pPr>
                  <w:r>
                    <w:rPr>
                      <w:color w:val="000000"/>
                      <w:szCs w:val="21"/>
                    </w:rPr>
                    <w:t>序号</w:t>
                  </w:r>
                </w:p>
              </w:tc>
              <w:tc>
                <w:tcPr>
                  <w:tcW w:w="2456" w:type="dxa"/>
                  <w:gridSpan w:val="2"/>
                  <w:vAlign w:val="center"/>
                </w:tcPr>
                <w:p>
                  <w:pPr>
                    <w:pStyle w:val="65"/>
                    <w:spacing w:line="320" w:lineRule="exact"/>
                    <w:rPr>
                      <w:color w:val="000000"/>
                      <w:szCs w:val="21"/>
                    </w:rPr>
                  </w:pPr>
                  <w:r>
                    <w:rPr>
                      <w:color w:val="000000"/>
                      <w:szCs w:val="21"/>
                    </w:rPr>
                    <w:t>排放口编号</w:t>
                  </w:r>
                </w:p>
              </w:tc>
              <w:tc>
                <w:tcPr>
                  <w:tcW w:w="863" w:type="dxa"/>
                  <w:vAlign w:val="center"/>
                </w:tcPr>
                <w:p>
                  <w:pPr>
                    <w:pStyle w:val="65"/>
                    <w:spacing w:line="320" w:lineRule="exact"/>
                    <w:rPr>
                      <w:color w:val="000000"/>
                      <w:szCs w:val="21"/>
                    </w:rPr>
                  </w:pPr>
                  <w:r>
                    <w:rPr>
                      <w:color w:val="000000"/>
                      <w:szCs w:val="21"/>
                    </w:rPr>
                    <w:t>污染物</w:t>
                  </w:r>
                </w:p>
              </w:tc>
              <w:tc>
                <w:tcPr>
                  <w:tcW w:w="1567" w:type="dxa"/>
                  <w:vAlign w:val="center"/>
                </w:tcPr>
                <w:p>
                  <w:pPr>
                    <w:pStyle w:val="65"/>
                    <w:spacing w:line="320" w:lineRule="exact"/>
                    <w:rPr>
                      <w:color w:val="000000"/>
                      <w:szCs w:val="21"/>
                    </w:rPr>
                  </w:pPr>
                  <w:r>
                    <w:rPr>
                      <w:color w:val="000000"/>
                      <w:szCs w:val="21"/>
                    </w:rPr>
                    <w:t>核算排放浓度（mg/m</w:t>
                  </w:r>
                  <w:r>
                    <w:rPr>
                      <w:color w:val="000000"/>
                      <w:szCs w:val="21"/>
                      <w:vertAlign w:val="superscript"/>
                    </w:rPr>
                    <w:t>3</w:t>
                  </w:r>
                  <w:r>
                    <w:rPr>
                      <w:color w:val="000000"/>
                      <w:szCs w:val="21"/>
                    </w:rPr>
                    <w:t>）</w:t>
                  </w:r>
                </w:p>
              </w:tc>
              <w:tc>
                <w:tcPr>
                  <w:tcW w:w="1268" w:type="dxa"/>
                  <w:vAlign w:val="center"/>
                </w:tcPr>
                <w:p>
                  <w:pPr>
                    <w:pStyle w:val="65"/>
                    <w:spacing w:line="320" w:lineRule="exact"/>
                    <w:rPr>
                      <w:color w:val="000000"/>
                      <w:szCs w:val="21"/>
                    </w:rPr>
                  </w:pPr>
                  <w:r>
                    <w:rPr>
                      <w:color w:val="000000"/>
                      <w:szCs w:val="21"/>
                    </w:rPr>
                    <w:t>核算排放速率（kg/h）</w:t>
                  </w:r>
                </w:p>
              </w:tc>
              <w:tc>
                <w:tcPr>
                  <w:tcW w:w="1350" w:type="dxa"/>
                  <w:vAlign w:val="center"/>
                </w:tcPr>
                <w:p>
                  <w:pPr>
                    <w:pStyle w:val="65"/>
                    <w:spacing w:line="320" w:lineRule="exact"/>
                    <w:rPr>
                      <w:color w:val="000000"/>
                      <w:szCs w:val="21"/>
                    </w:rPr>
                  </w:pPr>
                  <w:r>
                    <w:rPr>
                      <w:color w:val="000000"/>
                      <w:szCs w:val="21"/>
                    </w:rPr>
                    <w:t>核算年排放量（t/a）</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05" w:hRule="atLeast"/>
                <w:jc w:val="center"/>
              </w:trPr>
              <w:tc>
                <w:tcPr>
                  <w:tcW w:w="708" w:type="dxa"/>
                  <w:vMerge w:val="restart"/>
                  <w:vAlign w:val="center"/>
                </w:tcPr>
                <w:p>
                  <w:pPr>
                    <w:pStyle w:val="65"/>
                    <w:spacing w:line="320" w:lineRule="exact"/>
                    <w:rPr>
                      <w:color w:val="000000"/>
                      <w:szCs w:val="21"/>
                    </w:rPr>
                  </w:pPr>
                  <w:r>
                    <w:rPr>
                      <w:color w:val="000000"/>
                      <w:szCs w:val="21"/>
                    </w:rPr>
                    <w:t>1</w:t>
                  </w:r>
                </w:p>
              </w:tc>
              <w:tc>
                <w:tcPr>
                  <w:tcW w:w="1477" w:type="dxa"/>
                  <w:vMerge w:val="restart"/>
                  <w:vAlign w:val="center"/>
                </w:tcPr>
                <w:p>
                  <w:pPr>
                    <w:spacing w:line="360" w:lineRule="exact"/>
                    <w:jc w:val="center"/>
                    <w:rPr>
                      <w:color w:val="000000"/>
                      <w:szCs w:val="21"/>
                    </w:rPr>
                  </w:pPr>
                  <w:r>
                    <w:rPr>
                      <w:rFonts w:hint="eastAsia"/>
                      <w:color w:val="000000"/>
                      <w:szCs w:val="21"/>
                    </w:rPr>
                    <w:t>热压工序</w:t>
                  </w:r>
                  <w:r>
                    <w:rPr>
                      <w:color w:val="000000"/>
                      <w:szCs w:val="21"/>
                    </w:rPr>
                    <w:t>排气筒</w:t>
                  </w:r>
                </w:p>
              </w:tc>
              <w:tc>
                <w:tcPr>
                  <w:tcW w:w="979" w:type="dxa"/>
                  <w:vMerge w:val="restart"/>
                  <w:vAlign w:val="center"/>
                </w:tcPr>
                <w:p>
                  <w:pPr>
                    <w:pStyle w:val="65"/>
                    <w:spacing w:line="320" w:lineRule="exact"/>
                    <w:rPr>
                      <w:color w:val="000000"/>
                      <w:szCs w:val="21"/>
                    </w:rPr>
                  </w:pPr>
                  <w:r>
                    <w:rPr>
                      <w:color w:val="000000"/>
                      <w:szCs w:val="21"/>
                    </w:rPr>
                    <w:t>DA001</w:t>
                  </w:r>
                </w:p>
              </w:tc>
              <w:tc>
                <w:tcPr>
                  <w:tcW w:w="863" w:type="dxa"/>
                  <w:vAlign w:val="center"/>
                </w:tcPr>
                <w:p>
                  <w:pPr>
                    <w:pStyle w:val="65"/>
                    <w:spacing w:line="320" w:lineRule="exact"/>
                    <w:rPr>
                      <w:color w:val="000000"/>
                      <w:szCs w:val="21"/>
                    </w:rPr>
                  </w:pPr>
                  <w:r>
                    <w:rPr>
                      <w:color w:val="000000"/>
                      <w:szCs w:val="21"/>
                    </w:rPr>
                    <w:t>甲醛</w:t>
                  </w:r>
                </w:p>
              </w:tc>
              <w:tc>
                <w:tcPr>
                  <w:tcW w:w="1567" w:type="dxa"/>
                  <w:vAlign w:val="center"/>
                </w:tcPr>
                <w:p>
                  <w:pPr>
                    <w:pStyle w:val="65"/>
                    <w:spacing w:line="320" w:lineRule="exact"/>
                    <w:rPr>
                      <w:color w:val="000000"/>
                      <w:szCs w:val="21"/>
                    </w:rPr>
                  </w:pPr>
                  <w:r>
                    <w:rPr>
                      <w:rFonts w:hint="eastAsia"/>
                      <w:color w:val="000000"/>
                      <w:szCs w:val="21"/>
                    </w:rPr>
                    <w:t>0.6</w:t>
                  </w:r>
                </w:p>
              </w:tc>
              <w:tc>
                <w:tcPr>
                  <w:tcW w:w="1268" w:type="dxa"/>
                  <w:vAlign w:val="center"/>
                </w:tcPr>
                <w:p>
                  <w:pPr>
                    <w:pStyle w:val="64"/>
                    <w:spacing w:line="320" w:lineRule="exact"/>
                    <w:rPr>
                      <w:color w:val="000000"/>
                    </w:rPr>
                  </w:pPr>
                  <w:r>
                    <w:rPr>
                      <w:rFonts w:hint="eastAsia"/>
                      <w:color w:val="000000"/>
                    </w:rPr>
                    <w:t>0.003</w:t>
                  </w:r>
                </w:p>
              </w:tc>
              <w:tc>
                <w:tcPr>
                  <w:tcW w:w="1350" w:type="dxa"/>
                  <w:vAlign w:val="center"/>
                </w:tcPr>
                <w:p>
                  <w:pPr>
                    <w:pStyle w:val="64"/>
                    <w:spacing w:line="320" w:lineRule="exact"/>
                    <w:rPr>
                      <w:color w:val="000000"/>
                    </w:rPr>
                  </w:pPr>
                  <w:r>
                    <w:rPr>
                      <w:rFonts w:hint="eastAsia"/>
                      <w:color w:val="000000"/>
                    </w:rPr>
                    <w:t>0.005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05" w:hRule="atLeast"/>
                <w:jc w:val="center"/>
              </w:trPr>
              <w:tc>
                <w:tcPr>
                  <w:tcW w:w="708" w:type="dxa"/>
                  <w:vMerge w:val="continue"/>
                  <w:vAlign w:val="center"/>
                </w:tcPr>
                <w:p>
                  <w:pPr>
                    <w:pStyle w:val="65"/>
                    <w:spacing w:line="320" w:lineRule="exact"/>
                    <w:rPr>
                      <w:color w:val="000000"/>
                      <w:szCs w:val="21"/>
                    </w:rPr>
                  </w:pPr>
                </w:p>
              </w:tc>
              <w:tc>
                <w:tcPr>
                  <w:tcW w:w="1477" w:type="dxa"/>
                  <w:vMerge w:val="continue"/>
                  <w:vAlign w:val="center"/>
                </w:tcPr>
                <w:p>
                  <w:pPr>
                    <w:spacing w:line="360" w:lineRule="exact"/>
                    <w:jc w:val="center"/>
                    <w:rPr>
                      <w:color w:val="000000"/>
                      <w:szCs w:val="21"/>
                    </w:rPr>
                  </w:pPr>
                </w:p>
              </w:tc>
              <w:tc>
                <w:tcPr>
                  <w:tcW w:w="979" w:type="dxa"/>
                  <w:vMerge w:val="continue"/>
                  <w:vAlign w:val="center"/>
                </w:tcPr>
                <w:p>
                  <w:pPr>
                    <w:pStyle w:val="65"/>
                    <w:spacing w:line="320" w:lineRule="exact"/>
                    <w:rPr>
                      <w:color w:val="000000"/>
                      <w:szCs w:val="21"/>
                    </w:rPr>
                  </w:pPr>
                </w:p>
              </w:tc>
              <w:tc>
                <w:tcPr>
                  <w:tcW w:w="863" w:type="dxa"/>
                  <w:vAlign w:val="center"/>
                </w:tcPr>
                <w:p>
                  <w:pPr>
                    <w:pStyle w:val="65"/>
                    <w:spacing w:line="320" w:lineRule="exact"/>
                    <w:rPr>
                      <w:color w:val="000000"/>
                      <w:szCs w:val="21"/>
                    </w:rPr>
                  </w:pPr>
                  <w:r>
                    <w:rPr>
                      <w:rFonts w:hint="eastAsia"/>
                      <w:color w:val="000000"/>
                      <w:szCs w:val="21"/>
                    </w:rPr>
                    <w:t>非甲烷总烃</w:t>
                  </w:r>
                </w:p>
              </w:tc>
              <w:tc>
                <w:tcPr>
                  <w:tcW w:w="1567" w:type="dxa"/>
                  <w:vAlign w:val="center"/>
                </w:tcPr>
                <w:p>
                  <w:pPr>
                    <w:pStyle w:val="65"/>
                    <w:spacing w:line="320" w:lineRule="exact"/>
                    <w:rPr>
                      <w:color w:val="000000"/>
                      <w:szCs w:val="21"/>
                    </w:rPr>
                  </w:pPr>
                  <w:r>
                    <w:rPr>
                      <w:rFonts w:hint="eastAsia"/>
                      <w:color w:val="000000"/>
                      <w:szCs w:val="21"/>
                    </w:rPr>
                    <w:t>4</w:t>
                  </w:r>
                </w:p>
              </w:tc>
              <w:tc>
                <w:tcPr>
                  <w:tcW w:w="1268" w:type="dxa"/>
                  <w:vAlign w:val="center"/>
                </w:tcPr>
                <w:p>
                  <w:pPr>
                    <w:pStyle w:val="64"/>
                    <w:spacing w:line="320" w:lineRule="exact"/>
                    <w:rPr>
                      <w:color w:val="000000"/>
                    </w:rPr>
                  </w:pPr>
                  <w:r>
                    <w:rPr>
                      <w:rFonts w:hint="eastAsia"/>
                      <w:color w:val="000000"/>
                    </w:rPr>
                    <w:t>0.02</w:t>
                  </w:r>
                </w:p>
              </w:tc>
              <w:tc>
                <w:tcPr>
                  <w:tcW w:w="1350" w:type="dxa"/>
                  <w:vAlign w:val="center"/>
                </w:tcPr>
                <w:p>
                  <w:pPr>
                    <w:pStyle w:val="64"/>
                    <w:spacing w:line="320" w:lineRule="exact"/>
                    <w:rPr>
                      <w:color w:val="000000"/>
                    </w:rPr>
                  </w:pPr>
                  <w:r>
                    <w:rPr>
                      <w:rFonts w:hint="eastAsia"/>
                      <w:color w:val="000000"/>
                    </w:rPr>
                    <w:t>0.032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08" w:type="dxa"/>
                  <w:vMerge w:val="restart"/>
                  <w:vAlign w:val="center"/>
                </w:tcPr>
                <w:p>
                  <w:pPr>
                    <w:pStyle w:val="65"/>
                    <w:spacing w:line="320" w:lineRule="exact"/>
                    <w:rPr>
                      <w:color w:val="000000"/>
                      <w:szCs w:val="21"/>
                    </w:rPr>
                  </w:pPr>
                  <w:r>
                    <w:rPr>
                      <w:rFonts w:hint="eastAsia"/>
                      <w:color w:val="000000"/>
                      <w:szCs w:val="21"/>
                    </w:rPr>
                    <w:t>2</w:t>
                  </w:r>
                </w:p>
              </w:tc>
              <w:tc>
                <w:tcPr>
                  <w:tcW w:w="1477" w:type="dxa"/>
                  <w:vMerge w:val="restart"/>
                  <w:vAlign w:val="center"/>
                </w:tcPr>
                <w:p>
                  <w:pPr>
                    <w:spacing w:line="360" w:lineRule="exact"/>
                    <w:jc w:val="center"/>
                    <w:rPr>
                      <w:color w:val="000000"/>
                      <w:szCs w:val="21"/>
                    </w:rPr>
                  </w:pPr>
                  <w:r>
                    <w:rPr>
                      <w:rFonts w:hint="eastAsia"/>
                      <w:color w:val="000000"/>
                      <w:szCs w:val="21"/>
                    </w:rPr>
                    <w:t>液化石油气燃烧废气排气筒</w:t>
                  </w:r>
                </w:p>
              </w:tc>
              <w:tc>
                <w:tcPr>
                  <w:tcW w:w="979" w:type="dxa"/>
                  <w:vMerge w:val="restart"/>
                  <w:vAlign w:val="center"/>
                </w:tcPr>
                <w:p>
                  <w:pPr>
                    <w:pStyle w:val="65"/>
                    <w:spacing w:line="360" w:lineRule="exact"/>
                    <w:rPr>
                      <w:color w:val="000000"/>
                      <w:szCs w:val="21"/>
                    </w:rPr>
                  </w:pPr>
                  <w:r>
                    <w:rPr>
                      <w:color w:val="000000"/>
                      <w:szCs w:val="21"/>
                    </w:rPr>
                    <w:t>DA00</w:t>
                  </w:r>
                  <w:r>
                    <w:rPr>
                      <w:rFonts w:hint="eastAsia"/>
                      <w:color w:val="000000"/>
                      <w:szCs w:val="21"/>
                    </w:rPr>
                    <w:t>2</w:t>
                  </w:r>
                </w:p>
              </w:tc>
              <w:tc>
                <w:tcPr>
                  <w:tcW w:w="863" w:type="dxa"/>
                  <w:vAlign w:val="center"/>
                </w:tcPr>
                <w:p>
                  <w:pPr>
                    <w:spacing w:line="360" w:lineRule="exact"/>
                    <w:jc w:val="center"/>
                    <w:rPr>
                      <w:color w:val="000000"/>
                      <w:szCs w:val="21"/>
                    </w:rPr>
                  </w:pPr>
                  <w:r>
                    <w:rPr>
                      <w:rFonts w:hint="eastAsia"/>
                      <w:color w:val="000000"/>
                      <w:szCs w:val="21"/>
                    </w:rPr>
                    <w:t>PM</w:t>
                  </w:r>
                  <w:r>
                    <w:rPr>
                      <w:rFonts w:hint="eastAsia"/>
                      <w:color w:val="000000"/>
                      <w:szCs w:val="21"/>
                      <w:vertAlign w:val="subscript"/>
                    </w:rPr>
                    <w:t>10</w:t>
                  </w:r>
                </w:p>
              </w:tc>
              <w:tc>
                <w:tcPr>
                  <w:tcW w:w="1567" w:type="dxa"/>
                  <w:vAlign w:val="center"/>
                </w:tcPr>
                <w:p>
                  <w:pPr>
                    <w:pStyle w:val="65"/>
                    <w:spacing w:line="360" w:lineRule="exact"/>
                    <w:rPr>
                      <w:color w:val="000000"/>
                      <w:szCs w:val="21"/>
                    </w:rPr>
                  </w:pPr>
                  <w:r>
                    <w:rPr>
                      <w:rFonts w:hint="eastAsia"/>
                      <w:color w:val="000000"/>
                      <w:szCs w:val="21"/>
                    </w:rPr>
                    <w:t>3.5</w:t>
                  </w:r>
                </w:p>
              </w:tc>
              <w:tc>
                <w:tcPr>
                  <w:tcW w:w="1268" w:type="dxa"/>
                  <w:vAlign w:val="center"/>
                </w:tcPr>
                <w:p>
                  <w:pPr>
                    <w:pStyle w:val="64"/>
                    <w:spacing w:line="360" w:lineRule="exact"/>
                    <w:rPr>
                      <w:color w:val="000000"/>
                    </w:rPr>
                  </w:pPr>
                  <w:r>
                    <w:rPr>
                      <w:rFonts w:hint="eastAsia"/>
                      <w:color w:val="000000"/>
                    </w:rPr>
                    <w:t>0.00053</w:t>
                  </w:r>
                </w:p>
              </w:tc>
              <w:tc>
                <w:tcPr>
                  <w:tcW w:w="1350" w:type="dxa"/>
                  <w:vAlign w:val="center"/>
                </w:tcPr>
                <w:p>
                  <w:pPr>
                    <w:pStyle w:val="64"/>
                    <w:spacing w:line="360" w:lineRule="exact"/>
                    <w:rPr>
                      <w:color w:val="000000"/>
                    </w:rPr>
                  </w:pPr>
                  <w:r>
                    <w:rPr>
                      <w:rFonts w:hint="eastAsia"/>
                      <w:color w:val="000000"/>
                    </w:rPr>
                    <w:t>0.00085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08" w:type="dxa"/>
                  <w:vMerge w:val="continue"/>
                  <w:vAlign w:val="center"/>
                </w:tcPr>
                <w:p>
                  <w:pPr>
                    <w:pStyle w:val="65"/>
                    <w:spacing w:line="320" w:lineRule="exact"/>
                    <w:rPr>
                      <w:color w:val="000000"/>
                      <w:szCs w:val="21"/>
                    </w:rPr>
                  </w:pPr>
                </w:p>
              </w:tc>
              <w:tc>
                <w:tcPr>
                  <w:tcW w:w="1477" w:type="dxa"/>
                  <w:vMerge w:val="continue"/>
                  <w:vAlign w:val="center"/>
                </w:tcPr>
                <w:p>
                  <w:pPr>
                    <w:spacing w:line="360" w:lineRule="exact"/>
                    <w:jc w:val="center"/>
                    <w:rPr>
                      <w:color w:val="000000"/>
                      <w:szCs w:val="21"/>
                    </w:rPr>
                  </w:pPr>
                </w:p>
              </w:tc>
              <w:tc>
                <w:tcPr>
                  <w:tcW w:w="979" w:type="dxa"/>
                  <w:vMerge w:val="continue"/>
                  <w:vAlign w:val="center"/>
                </w:tcPr>
                <w:p>
                  <w:pPr>
                    <w:pStyle w:val="65"/>
                    <w:spacing w:line="360" w:lineRule="exact"/>
                    <w:rPr>
                      <w:color w:val="000000"/>
                      <w:szCs w:val="21"/>
                    </w:rPr>
                  </w:pPr>
                </w:p>
              </w:tc>
              <w:tc>
                <w:tcPr>
                  <w:tcW w:w="863" w:type="dxa"/>
                  <w:vAlign w:val="center"/>
                </w:tcPr>
                <w:p>
                  <w:pPr>
                    <w:spacing w:line="360" w:lineRule="exact"/>
                    <w:jc w:val="center"/>
                    <w:outlineLvl w:val="0"/>
                    <w:rPr>
                      <w:color w:val="000000"/>
                      <w:szCs w:val="21"/>
                    </w:rPr>
                  </w:pPr>
                  <w:r>
                    <w:rPr>
                      <w:rFonts w:hint="eastAsia"/>
                      <w:color w:val="000000"/>
                      <w:szCs w:val="21"/>
                    </w:rPr>
                    <w:t>SO</w:t>
                  </w:r>
                  <w:r>
                    <w:rPr>
                      <w:rFonts w:hint="eastAsia"/>
                      <w:color w:val="000000"/>
                      <w:szCs w:val="21"/>
                      <w:vertAlign w:val="subscript"/>
                    </w:rPr>
                    <w:t>2</w:t>
                  </w:r>
                </w:p>
              </w:tc>
              <w:tc>
                <w:tcPr>
                  <w:tcW w:w="1567" w:type="dxa"/>
                  <w:vAlign w:val="center"/>
                </w:tcPr>
                <w:p>
                  <w:pPr>
                    <w:pStyle w:val="65"/>
                    <w:spacing w:line="360" w:lineRule="exact"/>
                    <w:rPr>
                      <w:color w:val="000000"/>
                      <w:szCs w:val="21"/>
                    </w:rPr>
                  </w:pPr>
                  <w:r>
                    <w:rPr>
                      <w:rFonts w:hint="eastAsia"/>
                      <w:color w:val="000000"/>
                      <w:szCs w:val="21"/>
                    </w:rPr>
                    <w:t>1.4</w:t>
                  </w:r>
                </w:p>
              </w:tc>
              <w:tc>
                <w:tcPr>
                  <w:tcW w:w="1268" w:type="dxa"/>
                  <w:vAlign w:val="center"/>
                </w:tcPr>
                <w:p>
                  <w:pPr>
                    <w:pStyle w:val="64"/>
                    <w:spacing w:line="360" w:lineRule="exact"/>
                    <w:rPr>
                      <w:color w:val="000000"/>
                    </w:rPr>
                  </w:pPr>
                  <w:r>
                    <w:rPr>
                      <w:rFonts w:hint="eastAsia"/>
                      <w:color w:val="000000"/>
                    </w:rPr>
                    <w:t>0.00021</w:t>
                  </w:r>
                </w:p>
              </w:tc>
              <w:tc>
                <w:tcPr>
                  <w:tcW w:w="1350" w:type="dxa"/>
                  <w:vAlign w:val="center"/>
                </w:tcPr>
                <w:p>
                  <w:pPr>
                    <w:pStyle w:val="64"/>
                    <w:spacing w:line="360" w:lineRule="exact"/>
                    <w:rPr>
                      <w:color w:val="000000"/>
                    </w:rPr>
                  </w:pPr>
                  <w:r>
                    <w:rPr>
                      <w:rFonts w:hint="eastAsia"/>
                      <w:color w:val="000000"/>
                    </w:rPr>
                    <w:t>0.00034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08" w:type="dxa"/>
                  <w:vMerge w:val="continue"/>
                  <w:vAlign w:val="center"/>
                </w:tcPr>
                <w:p>
                  <w:pPr>
                    <w:pStyle w:val="65"/>
                    <w:spacing w:line="320" w:lineRule="exact"/>
                    <w:rPr>
                      <w:color w:val="000000"/>
                      <w:szCs w:val="21"/>
                    </w:rPr>
                  </w:pPr>
                </w:p>
              </w:tc>
              <w:tc>
                <w:tcPr>
                  <w:tcW w:w="1477" w:type="dxa"/>
                  <w:vMerge w:val="continue"/>
                  <w:vAlign w:val="center"/>
                </w:tcPr>
                <w:p>
                  <w:pPr>
                    <w:spacing w:line="360" w:lineRule="exact"/>
                    <w:jc w:val="center"/>
                    <w:rPr>
                      <w:color w:val="000000"/>
                      <w:szCs w:val="21"/>
                    </w:rPr>
                  </w:pPr>
                </w:p>
              </w:tc>
              <w:tc>
                <w:tcPr>
                  <w:tcW w:w="979" w:type="dxa"/>
                  <w:vMerge w:val="continue"/>
                  <w:vAlign w:val="center"/>
                </w:tcPr>
                <w:p>
                  <w:pPr>
                    <w:pStyle w:val="65"/>
                    <w:spacing w:line="360" w:lineRule="exact"/>
                    <w:rPr>
                      <w:color w:val="000000"/>
                      <w:szCs w:val="21"/>
                    </w:rPr>
                  </w:pPr>
                </w:p>
              </w:tc>
              <w:tc>
                <w:tcPr>
                  <w:tcW w:w="863" w:type="dxa"/>
                  <w:vAlign w:val="center"/>
                </w:tcPr>
                <w:p>
                  <w:pPr>
                    <w:spacing w:line="360" w:lineRule="exact"/>
                    <w:jc w:val="center"/>
                    <w:outlineLvl w:val="0"/>
                    <w:rPr>
                      <w:color w:val="000000"/>
                      <w:szCs w:val="21"/>
                    </w:rPr>
                  </w:pPr>
                  <w:r>
                    <w:rPr>
                      <w:rFonts w:hint="eastAsia"/>
                      <w:color w:val="000000"/>
                      <w:szCs w:val="21"/>
                    </w:rPr>
                    <w:t>NOx</w:t>
                  </w:r>
                </w:p>
              </w:tc>
              <w:tc>
                <w:tcPr>
                  <w:tcW w:w="1567" w:type="dxa"/>
                  <w:vAlign w:val="center"/>
                </w:tcPr>
                <w:p>
                  <w:pPr>
                    <w:pStyle w:val="65"/>
                    <w:spacing w:line="360" w:lineRule="exact"/>
                    <w:rPr>
                      <w:color w:val="000000"/>
                      <w:szCs w:val="21"/>
                    </w:rPr>
                  </w:pPr>
                  <w:r>
                    <w:rPr>
                      <w:rFonts w:hint="eastAsia"/>
                      <w:color w:val="000000"/>
                      <w:szCs w:val="21"/>
                    </w:rPr>
                    <w:t>41.8</w:t>
                  </w:r>
                </w:p>
              </w:tc>
              <w:tc>
                <w:tcPr>
                  <w:tcW w:w="1268" w:type="dxa"/>
                  <w:vAlign w:val="center"/>
                </w:tcPr>
                <w:p>
                  <w:pPr>
                    <w:pStyle w:val="64"/>
                    <w:spacing w:line="360" w:lineRule="exact"/>
                    <w:rPr>
                      <w:color w:val="000000"/>
                    </w:rPr>
                  </w:pPr>
                  <w:r>
                    <w:rPr>
                      <w:rFonts w:hint="eastAsia"/>
                      <w:color w:val="000000"/>
                    </w:rPr>
                    <w:t>0.0064</w:t>
                  </w:r>
                </w:p>
              </w:tc>
              <w:tc>
                <w:tcPr>
                  <w:tcW w:w="1350" w:type="dxa"/>
                  <w:vAlign w:val="center"/>
                </w:tcPr>
                <w:p>
                  <w:pPr>
                    <w:pStyle w:val="64"/>
                    <w:spacing w:line="360" w:lineRule="exact"/>
                    <w:rPr>
                      <w:color w:val="000000"/>
                    </w:rPr>
                  </w:pPr>
                  <w:r>
                    <w:rPr>
                      <w:rFonts w:hint="eastAsia"/>
                      <w:color w:val="000000"/>
                    </w:rPr>
                    <w:t>0.0102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2185" w:type="dxa"/>
                  <w:gridSpan w:val="2"/>
                  <w:vMerge w:val="restart"/>
                  <w:tcBorders>
                    <w:right w:val="single" w:color="auto" w:sz="6" w:space="0"/>
                  </w:tcBorders>
                  <w:vAlign w:val="center"/>
                </w:tcPr>
                <w:p>
                  <w:pPr>
                    <w:pStyle w:val="65"/>
                    <w:spacing w:line="320" w:lineRule="exact"/>
                    <w:rPr>
                      <w:color w:val="000000"/>
                      <w:szCs w:val="21"/>
                    </w:rPr>
                  </w:pPr>
                  <w:r>
                    <w:rPr>
                      <w:color w:val="000000"/>
                      <w:szCs w:val="21"/>
                    </w:rPr>
                    <w:t>有组织排放合计</w:t>
                  </w:r>
                </w:p>
              </w:tc>
              <w:tc>
                <w:tcPr>
                  <w:tcW w:w="4677" w:type="dxa"/>
                  <w:gridSpan w:val="4"/>
                  <w:tcBorders>
                    <w:left w:val="single" w:color="auto" w:sz="6" w:space="0"/>
                  </w:tcBorders>
                  <w:vAlign w:val="center"/>
                </w:tcPr>
                <w:p>
                  <w:pPr>
                    <w:pStyle w:val="65"/>
                    <w:spacing w:line="320" w:lineRule="exact"/>
                    <w:rPr>
                      <w:color w:val="000000"/>
                      <w:szCs w:val="21"/>
                    </w:rPr>
                  </w:pPr>
                  <w:r>
                    <w:rPr>
                      <w:color w:val="000000"/>
                      <w:szCs w:val="21"/>
                    </w:rPr>
                    <w:t>甲醛</w:t>
                  </w:r>
                </w:p>
              </w:tc>
              <w:tc>
                <w:tcPr>
                  <w:tcW w:w="1350" w:type="dxa"/>
                  <w:vAlign w:val="center"/>
                </w:tcPr>
                <w:p>
                  <w:pPr>
                    <w:pStyle w:val="64"/>
                    <w:spacing w:line="320" w:lineRule="exact"/>
                    <w:rPr>
                      <w:color w:val="000000"/>
                    </w:rPr>
                  </w:pPr>
                  <w:r>
                    <w:rPr>
                      <w:rFonts w:hint="eastAsia"/>
                      <w:color w:val="000000"/>
                    </w:rPr>
                    <w:t>0.005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185" w:type="dxa"/>
                  <w:gridSpan w:val="2"/>
                  <w:vMerge w:val="continue"/>
                  <w:tcBorders>
                    <w:right w:val="single" w:color="auto" w:sz="6" w:space="0"/>
                  </w:tcBorders>
                  <w:vAlign w:val="center"/>
                </w:tcPr>
                <w:p>
                  <w:pPr>
                    <w:pStyle w:val="65"/>
                    <w:spacing w:line="320" w:lineRule="exact"/>
                    <w:rPr>
                      <w:color w:val="000000"/>
                      <w:szCs w:val="21"/>
                    </w:rPr>
                  </w:pPr>
                </w:p>
              </w:tc>
              <w:tc>
                <w:tcPr>
                  <w:tcW w:w="4677" w:type="dxa"/>
                  <w:gridSpan w:val="4"/>
                  <w:tcBorders>
                    <w:left w:val="single" w:color="auto" w:sz="6" w:space="0"/>
                  </w:tcBorders>
                  <w:vAlign w:val="center"/>
                </w:tcPr>
                <w:p>
                  <w:pPr>
                    <w:pStyle w:val="65"/>
                    <w:spacing w:line="320" w:lineRule="exact"/>
                    <w:rPr>
                      <w:color w:val="000000"/>
                      <w:szCs w:val="21"/>
                    </w:rPr>
                  </w:pPr>
                  <w:r>
                    <w:rPr>
                      <w:rFonts w:hint="eastAsia"/>
                      <w:color w:val="000000"/>
                      <w:szCs w:val="21"/>
                    </w:rPr>
                    <w:t>非甲烷总烃</w:t>
                  </w:r>
                </w:p>
              </w:tc>
              <w:tc>
                <w:tcPr>
                  <w:tcW w:w="1350" w:type="dxa"/>
                  <w:vAlign w:val="center"/>
                </w:tcPr>
                <w:p>
                  <w:pPr>
                    <w:pStyle w:val="64"/>
                    <w:spacing w:line="320" w:lineRule="exact"/>
                    <w:rPr>
                      <w:color w:val="000000"/>
                    </w:rPr>
                  </w:pPr>
                  <w:r>
                    <w:rPr>
                      <w:rFonts w:hint="eastAsia"/>
                      <w:color w:val="000000"/>
                    </w:rPr>
                    <w:t>0.032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85" w:type="dxa"/>
                  <w:gridSpan w:val="2"/>
                  <w:vMerge w:val="continue"/>
                  <w:tcBorders>
                    <w:right w:val="single" w:color="auto" w:sz="6" w:space="0"/>
                  </w:tcBorders>
                  <w:vAlign w:val="center"/>
                </w:tcPr>
                <w:p>
                  <w:pPr>
                    <w:pStyle w:val="65"/>
                    <w:spacing w:line="320" w:lineRule="exact"/>
                    <w:rPr>
                      <w:color w:val="000000"/>
                      <w:szCs w:val="21"/>
                    </w:rPr>
                  </w:pPr>
                </w:p>
              </w:tc>
              <w:tc>
                <w:tcPr>
                  <w:tcW w:w="4677" w:type="dxa"/>
                  <w:gridSpan w:val="4"/>
                  <w:tcBorders>
                    <w:left w:val="single" w:color="auto" w:sz="6" w:space="0"/>
                  </w:tcBorders>
                  <w:vAlign w:val="center"/>
                </w:tcPr>
                <w:p>
                  <w:pPr>
                    <w:spacing w:line="360" w:lineRule="exact"/>
                    <w:jc w:val="center"/>
                    <w:rPr>
                      <w:color w:val="000000"/>
                      <w:szCs w:val="21"/>
                    </w:rPr>
                  </w:pPr>
                  <w:r>
                    <w:rPr>
                      <w:rFonts w:hint="eastAsia"/>
                      <w:color w:val="000000"/>
                      <w:szCs w:val="21"/>
                    </w:rPr>
                    <w:t>PM</w:t>
                  </w:r>
                  <w:r>
                    <w:rPr>
                      <w:rFonts w:hint="eastAsia"/>
                      <w:color w:val="000000"/>
                      <w:szCs w:val="21"/>
                      <w:vertAlign w:val="subscript"/>
                    </w:rPr>
                    <w:t>10</w:t>
                  </w:r>
                </w:p>
              </w:tc>
              <w:tc>
                <w:tcPr>
                  <w:tcW w:w="1350" w:type="dxa"/>
                  <w:vAlign w:val="center"/>
                </w:tcPr>
                <w:p>
                  <w:pPr>
                    <w:pStyle w:val="64"/>
                    <w:spacing w:line="360" w:lineRule="exact"/>
                    <w:rPr>
                      <w:color w:val="000000"/>
                    </w:rPr>
                  </w:pPr>
                  <w:r>
                    <w:rPr>
                      <w:rFonts w:hint="eastAsia"/>
                      <w:color w:val="000000"/>
                    </w:rPr>
                    <w:t>0.00085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2185" w:type="dxa"/>
                  <w:gridSpan w:val="2"/>
                  <w:vMerge w:val="continue"/>
                  <w:tcBorders>
                    <w:right w:val="single" w:color="auto" w:sz="6" w:space="0"/>
                  </w:tcBorders>
                  <w:vAlign w:val="center"/>
                </w:tcPr>
                <w:p>
                  <w:pPr>
                    <w:pStyle w:val="65"/>
                    <w:spacing w:line="320" w:lineRule="exact"/>
                    <w:rPr>
                      <w:color w:val="000000"/>
                      <w:szCs w:val="21"/>
                    </w:rPr>
                  </w:pPr>
                </w:p>
              </w:tc>
              <w:tc>
                <w:tcPr>
                  <w:tcW w:w="4677" w:type="dxa"/>
                  <w:gridSpan w:val="4"/>
                  <w:tcBorders>
                    <w:left w:val="single" w:color="auto" w:sz="6" w:space="0"/>
                  </w:tcBorders>
                  <w:vAlign w:val="center"/>
                </w:tcPr>
                <w:p>
                  <w:pPr>
                    <w:spacing w:line="360" w:lineRule="exact"/>
                    <w:jc w:val="center"/>
                    <w:outlineLvl w:val="0"/>
                    <w:rPr>
                      <w:color w:val="000000"/>
                      <w:szCs w:val="21"/>
                    </w:rPr>
                  </w:pPr>
                  <w:r>
                    <w:rPr>
                      <w:rFonts w:hint="eastAsia"/>
                      <w:color w:val="000000"/>
                      <w:szCs w:val="21"/>
                    </w:rPr>
                    <w:t>SO</w:t>
                  </w:r>
                  <w:r>
                    <w:rPr>
                      <w:rFonts w:hint="eastAsia"/>
                      <w:color w:val="000000"/>
                      <w:szCs w:val="21"/>
                      <w:vertAlign w:val="subscript"/>
                    </w:rPr>
                    <w:t>2</w:t>
                  </w:r>
                </w:p>
              </w:tc>
              <w:tc>
                <w:tcPr>
                  <w:tcW w:w="1350" w:type="dxa"/>
                  <w:vAlign w:val="center"/>
                </w:tcPr>
                <w:p>
                  <w:pPr>
                    <w:pStyle w:val="64"/>
                    <w:spacing w:line="360" w:lineRule="exact"/>
                    <w:rPr>
                      <w:color w:val="000000"/>
                    </w:rPr>
                  </w:pPr>
                  <w:r>
                    <w:rPr>
                      <w:rFonts w:hint="eastAsia"/>
                      <w:color w:val="000000"/>
                    </w:rPr>
                    <w:t>0.00034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185" w:type="dxa"/>
                  <w:gridSpan w:val="2"/>
                  <w:vMerge w:val="continue"/>
                  <w:tcBorders>
                    <w:right w:val="single" w:color="auto" w:sz="6" w:space="0"/>
                  </w:tcBorders>
                  <w:vAlign w:val="center"/>
                </w:tcPr>
                <w:p>
                  <w:pPr>
                    <w:pStyle w:val="65"/>
                    <w:spacing w:line="320" w:lineRule="exact"/>
                    <w:rPr>
                      <w:color w:val="000000"/>
                      <w:szCs w:val="21"/>
                    </w:rPr>
                  </w:pPr>
                </w:p>
              </w:tc>
              <w:tc>
                <w:tcPr>
                  <w:tcW w:w="4677" w:type="dxa"/>
                  <w:gridSpan w:val="4"/>
                  <w:tcBorders>
                    <w:left w:val="single" w:color="auto" w:sz="6" w:space="0"/>
                  </w:tcBorders>
                  <w:vAlign w:val="center"/>
                </w:tcPr>
                <w:p>
                  <w:pPr>
                    <w:spacing w:line="360" w:lineRule="exact"/>
                    <w:jc w:val="center"/>
                    <w:outlineLvl w:val="0"/>
                    <w:rPr>
                      <w:color w:val="000000"/>
                      <w:szCs w:val="21"/>
                    </w:rPr>
                  </w:pPr>
                  <w:r>
                    <w:rPr>
                      <w:rFonts w:hint="eastAsia"/>
                      <w:color w:val="000000"/>
                      <w:szCs w:val="21"/>
                    </w:rPr>
                    <w:t>NOx</w:t>
                  </w:r>
                </w:p>
              </w:tc>
              <w:tc>
                <w:tcPr>
                  <w:tcW w:w="1350" w:type="dxa"/>
                  <w:vAlign w:val="center"/>
                </w:tcPr>
                <w:p>
                  <w:pPr>
                    <w:pStyle w:val="64"/>
                    <w:spacing w:line="360" w:lineRule="exact"/>
                    <w:rPr>
                      <w:color w:val="000000"/>
                    </w:rPr>
                  </w:pPr>
                  <w:r>
                    <w:rPr>
                      <w:rFonts w:hint="eastAsia"/>
                      <w:color w:val="000000"/>
                    </w:rPr>
                    <w:t>0.0102</w:t>
                  </w:r>
                </w:p>
              </w:tc>
            </w:tr>
          </w:tbl>
          <w:p>
            <w:pPr>
              <w:widowControl/>
              <w:adjustRightInd w:val="0"/>
              <w:snapToGrid w:val="0"/>
              <w:spacing w:line="360" w:lineRule="auto"/>
              <w:jc w:val="center"/>
              <w:rPr>
                <w:b/>
                <w:bCs/>
                <w:color w:val="000000"/>
                <w:kern w:val="0"/>
                <w:sz w:val="24"/>
              </w:rPr>
            </w:pPr>
            <w:r>
              <w:rPr>
                <w:rFonts w:hint="eastAsia"/>
                <w:b/>
                <w:bCs/>
                <w:color w:val="000000"/>
                <w:kern w:val="0"/>
                <w:sz w:val="24"/>
              </w:rPr>
              <w:t xml:space="preserve">表4-14        工程大气污染物无组织排放量核算表 </w:t>
            </w:r>
          </w:p>
          <w:tbl>
            <w:tblPr>
              <w:tblStyle w:val="30"/>
              <w:tblW w:w="8101" w:type="dxa"/>
              <w:jc w:val="right"/>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0"/>
              <w:gridCol w:w="1082"/>
              <w:gridCol w:w="849"/>
              <w:gridCol w:w="992"/>
              <w:gridCol w:w="1985"/>
              <w:gridCol w:w="1066"/>
              <w:gridCol w:w="8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7" w:hRule="atLeast"/>
                <w:jc w:val="right"/>
              </w:trPr>
              <w:tc>
                <w:tcPr>
                  <w:tcW w:w="426" w:type="dxa"/>
                  <w:vMerge w:val="restart"/>
                  <w:vAlign w:val="center"/>
                </w:tcPr>
                <w:p>
                  <w:pPr>
                    <w:pStyle w:val="65"/>
                    <w:spacing w:line="360" w:lineRule="exact"/>
                    <w:rPr>
                      <w:color w:val="000000"/>
                      <w:szCs w:val="21"/>
                    </w:rPr>
                  </w:pPr>
                  <w:r>
                    <w:rPr>
                      <w:color w:val="000000"/>
                      <w:szCs w:val="21"/>
                    </w:rPr>
                    <w:t>序号</w:t>
                  </w:r>
                </w:p>
              </w:tc>
              <w:tc>
                <w:tcPr>
                  <w:tcW w:w="850" w:type="dxa"/>
                  <w:vMerge w:val="restart"/>
                  <w:vAlign w:val="center"/>
                </w:tcPr>
                <w:p>
                  <w:pPr>
                    <w:pStyle w:val="65"/>
                    <w:spacing w:line="360" w:lineRule="exact"/>
                    <w:rPr>
                      <w:color w:val="000000"/>
                      <w:szCs w:val="21"/>
                    </w:rPr>
                  </w:pPr>
                  <w:r>
                    <w:rPr>
                      <w:color w:val="000000"/>
                      <w:szCs w:val="21"/>
                    </w:rPr>
                    <w:t>排放口编号</w:t>
                  </w:r>
                </w:p>
              </w:tc>
              <w:tc>
                <w:tcPr>
                  <w:tcW w:w="1082" w:type="dxa"/>
                  <w:vMerge w:val="restart"/>
                  <w:vAlign w:val="center"/>
                </w:tcPr>
                <w:p>
                  <w:pPr>
                    <w:pStyle w:val="65"/>
                    <w:spacing w:line="360" w:lineRule="exact"/>
                    <w:rPr>
                      <w:color w:val="000000"/>
                      <w:szCs w:val="21"/>
                    </w:rPr>
                  </w:pPr>
                  <w:r>
                    <w:rPr>
                      <w:color w:val="000000"/>
                      <w:szCs w:val="21"/>
                    </w:rPr>
                    <w:t>产污环节</w:t>
                  </w:r>
                </w:p>
              </w:tc>
              <w:tc>
                <w:tcPr>
                  <w:tcW w:w="849" w:type="dxa"/>
                  <w:vMerge w:val="restart"/>
                  <w:vAlign w:val="center"/>
                </w:tcPr>
                <w:p>
                  <w:pPr>
                    <w:pStyle w:val="65"/>
                    <w:spacing w:line="360" w:lineRule="exact"/>
                    <w:rPr>
                      <w:color w:val="000000"/>
                      <w:szCs w:val="21"/>
                    </w:rPr>
                  </w:pPr>
                  <w:r>
                    <w:rPr>
                      <w:color w:val="000000"/>
                      <w:szCs w:val="21"/>
                    </w:rPr>
                    <w:t>污染物</w:t>
                  </w:r>
                </w:p>
              </w:tc>
              <w:tc>
                <w:tcPr>
                  <w:tcW w:w="992" w:type="dxa"/>
                  <w:vMerge w:val="restart"/>
                  <w:vAlign w:val="center"/>
                </w:tcPr>
                <w:p>
                  <w:pPr>
                    <w:pStyle w:val="65"/>
                    <w:spacing w:line="360" w:lineRule="exact"/>
                    <w:rPr>
                      <w:color w:val="000000"/>
                      <w:szCs w:val="21"/>
                    </w:rPr>
                  </w:pPr>
                  <w:r>
                    <w:rPr>
                      <w:color w:val="000000"/>
                      <w:szCs w:val="21"/>
                    </w:rPr>
                    <w:t>主要污染防治措施</w:t>
                  </w:r>
                </w:p>
              </w:tc>
              <w:tc>
                <w:tcPr>
                  <w:tcW w:w="3051" w:type="dxa"/>
                  <w:gridSpan w:val="2"/>
                  <w:vAlign w:val="center"/>
                </w:tcPr>
                <w:p>
                  <w:pPr>
                    <w:pStyle w:val="65"/>
                    <w:spacing w:line="360" w:lineRule="exact"/>
                    <w:rPr>
                      <w:color w:val="000000"/>
                      <w:szCs w:val="21"/>
                    </w:rPr>
                  </w:pPr>
                  <w:r>
                    <w:rPr>
                      <w:color w:val="000000"/>
                      <w:szCs w:val="21"/>
                    </w:rPr>
                    <w:t>国家或地方标准</w:t>
                  </w:r>
                </w:p>
              </w:tc>
              <w:tc>
                <w:tcPr>
                  <w:tcW w:w="851" w:type="dxa"/>
                  <w:vMerge w:val="restart"/>
                  <w:vAlign w:val="center"/>
                </w:tcPr>
                <w:p>
                  <w:pPr>
                    <w:pStyle w:val="65"/>
                    <w:spacing w:line="360" w:lineRule="exact"/>
                    <w:rPr>
                      <w:color w:val="000000"/>
                      <w:szCs w:val="21"/>
                    </w:rPr>
                  </w:pPr>
                  <w:r>
                    <w:rPr>
                      <w:color w:val="000000"/>
                      <w:szCs w:val="21"/>
                    </w:rPr>
                    <w:t>年排放量</w:t>
                  </w:r>
                  <w:r>
                    <w:rPr>
                      <w:rFonts w:hint="eastAsia"/>
                      <w:color w:val="000000"/>
                      <w:szCs w:val="21"/>
                    </w:rPr>
                    <w:t>t/a</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right"/>
              </w:trPr>
              <w:tc>
                <w:tcPr>
                  <w:tcW w:w="426" w:type="dxa"/>
                  <w:vMerge w:val="continue"/>
                  <w:vAlign w:val="center"/>
                </w:tcPr>
                <w:p>
                  <w:pPr>
                    <w:pStyle w:val="65"/>
                    <w:spacing w:line="360" w:lineRule="exact"/>
                    <w:rPr>
                      <w:color w:val="000000"/>
                      <w:szCs w:val="21"/>
                    </w:rPr>
                  </w:pPr>
                </w:p>
              </w:tc>
              <w:tc>
                <w:tcPr>
                  <w:tcW w:w="850" w:type="dxa"/>
                  <w:vMerge w:val="continue"/>
                  <w:vAlign w:val="center"/>
                </w:tcPr>
                <w:p>
                  <w:pPr>
                    <w:pStyle w:val="65"/>
                    <w:spacing w:line="360" w:lineRule="exact"/>
                    <w:rPr>
                      <w:color w:val="000000"/>
                      <w:szCs w:val="21"/>
                    </w:rPr>
                  </w:pPr>
                </w:p>
              </w:tc>
              <w:tc>
                <w:tcPr>
                  <w:tcW w:w="1082" w:type="dxa"/>
                  <w:vMerge w:val="continue"/>
                  <w:vAlign w:val="center"/>
                </w:tcPr>
                <w:p>
                  <w:pPr>
                    <w:pStyle w:val="65"/>
                    <w:spacing w:line="360" w:lineRule="exact"/>
                    <w:rPr>
                      <w:color w:val="000000"/>
                      <w:szCs w:val="21"/>
                    </w:rPr>
                  </w:pPr>
                </w:p>
              </w:tc>
              <w:tc>
                <w:tcPr>
                  <w:tcW w:w="849" w:type="dxa"/>
                  <w:vMerge w:val="continue"/>
                  <w:vAlign w:val="center"/>
                </w:tcPr>
                <w:p>
                  <w:pPr>
                    <w:pStyle w:val="65"/>
                    <w:spacing w:line="360" w:lineRule="exact"/>
                    <w:rPr>
                      <w:color w:val="000000"/>
                      <w:szCs w:val="21"/>
                    </w:rPr>
                  </w:pPr>
                </w:p>
              </w:tc>
              <w:tc>
                <w:tcPr>
                  <w:tcW w:w="992" w:type="dxa"/>
                  <w:vMerge w:val="continue"/>
                  <w:vAlign w:val="center"/>
                </w:tcPr>
                <w:p>
                  <w:pPr>
                    <w:pStyle w:val="65"/>
                    <w:spacing w:line="360" w:lineRule="exact"/>
                    <w:rPr>
                      <w:color w:val="000000"/>
                      <w:szCs w:val="21"/>
                    </w:rPr>
                  </w:pPr>
                </w:p>
              </w:tc>
              <w:tc>
                <w:tcPr>
                  <w:tcW w:w="1985" w:type="dxa"/>
                  <w:vAlign w:val="center"/>
                </w:tcPr>
                <w:p>
                  <w:pPr>
                    <w:pStyle w:val="65"/>
                    <w:spacing w:line="360" w:lineRule="exact"/>
                    <w:rPr>
                      <w:color w:val="000000"/>
                      <w:szCs w:val="21"/>
                    </w:rPr>
                  </w:pPr>
                  <w:r>
                    <w:rPr>
                      <w:color w:val="000000"/>
                      <w:szCs w:val="21"/>
                    </w:rPr>
                    <w:t>标准名称</w:t>
                  </w:r>
                </w:p>
              </w:tc>
              <w:tc>
                <w:tcPr>
                  <w:tcW w:w="1066" w:type="dxa"/>
                  <w:vAlign w:val="center"/>
                </w:tcPr>
                <w:p>
                  <w:pPr>
                    <w:pStyle w:val="65"/>
                    <w:spacing w:line="360" w:lineRule="exact"/>
                    <w:rPr>
                      <w:color w:val="000000"/>
                      <w:szCs w:val="21"/>
                    </w:rPr>
                  </w:pPr>
                  <w:r>
                    <w:rPr>
                      <w:color w:val="000000"/>
                      <w:szCs w:val="21"/>
                    </w:rPr>
                    <w:t>浓度限值</w:t>
                  </w:r>
                  <w:r>
                    <w:rPr>
                      <w:rFonts w:hint="eastAsia"/>
                      <w:color w:val="000000"/>
                      <w:szCs w:val="21"/>
                    </w:rPr>
                    <w:t>mg/m</w:t>
                  </w:r>
                  <w:r>
                    <w:rPr>
                      <w:rFonts w:hint="eastAsia"/>
                      <w:color w:val="000000"/>
                      <w:szCs w:val="21"/>
                      <w:vertAlign w:val="superscript"/>
                    </w:rPr>
                    <w:t>3</w:t>
                  </w:r>
                </w:p>
              </w:tc>
              <w:tc>
                <w:tcPr>
                  <w:tcW w:w="851" w:type="dxa"/>
                  <w:vMerge w:val="continue"/>
                  <w:vAlign w:val="center"/>
                </w:tcPr>
                <w:p>
                  <w:pPr>
                    <w:pStyle w:val="65"/>
                    <w:spacing w:line="360" w:lineRule="exac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64" w:hRule="atLeast"/>
                <w:jc w:val="right"/>
              </w:trPr>
              <w:tc>
                <w:tcPr>
                  <w:tcW w:w="426" w:type="dxa"/>
                  <w:vMerge w:val="restart"/>
                  <w:vAlign w:val="center"/>
                </w:tcPr>
                <w:p>
                  <w:pPr>
                    <w:pStyle w:val="65"/>
                    <w:spacing w:line="360" w:lineRule="exact"/>
                    <w:rPr>
                      <w:color w:val="000000"/>
                      <w:szCs w:val="21"/>
                    </w:rPr>
                  </w:pPr>
                  <w:r>
                    <w:rPr>
                      <w:rFonts w:hint="eastAsia"/>
                      <w:color w:val="000000"/>
                      <w:szCs w:val="21"/>
                    </w:rPr>
                    <w:t>1</w:t>
                  </w:r>
                </w:p>
              </w:tc>
              <w:tc>
                <w:tcPr>
                  <w:tcW w:w="850" w:type="dxa"/>
                  <w:vMerge w:val="restart"/>
                  <w:vAlign w:val="center"/>
                </w:tcPr>
                <w:p>
                  <w:pPr>
                    <w:pStyle w:val="65"/>
                    <w:spacing w:line="360" w:lineRule="exact"/>
                    <w:rPr>
                      <w:color w:val="000000"/>
                      <w:szCs w:val="21"/>
                    </w:rPr>
                  </w:pPr>
                  <w:r>
                    <w:rPr>
                      <w:rFonts w:hint="eastAsia"/>
                      <w:color w:val="000000"/>
                      <w:szCs w:val="21"/>
                    </w:rPr>
                    <w:t>S1生产车间</w:t>
                  </w:r>
                </w:p>
              </w:tc>
              <w:tc>
                <w:tcPr>
                  <w:tcW w:w="1082" w:type="dxa"/>
                  <w:vMerge w:val="restart"/>
                  <w:vAlign w:val="center"/>
                </w:tcPr>
                <w:p>
                  <w:pPr>
                    <w:spacing w:line="360" w:lineRule="exact"/>
                    <w:jc w:val="center"/>
                    <w:outlineLvl w:val="0"/>
                    <w:rPr>
                      <w:color w:val="000000"/>
                      <w:szCs w:val="21"/>
                    </w:rPr>
                  </w:pPr>
                  <w:r>
                    <w:rPr>
                      <w:rFonts w:hint="eastAsia"/>
                      <w:color w:val="000000"/>
                      <w:szCs w:val="21"/>
                    </w:rPr>
                    <w:t>注塑成型工序</w:t>
                  </w:r>
                </w:p>
              </w:tc>
              <w:tc>
                <w:tcPr>
                  <w:tcW w:w="849" w:type="dxa"/>
                  <w:vAlign w:val="center"/>
                </w:tcPr>
                <w:p>
                  <w:pPr>
                    <w:pStyle w:val="65"/>
                    <w:spacing w:line="360" w:lineRule="exact"/>
                    <w:rPr>
                      <w:color w:val="000000"/>
                      <w:szCs w:val="21"/>
                    </w:rPr>
                  </w:pPr>
                  <w:r>
                    <w:rPr>
                      <w:color w:val="000000"/>
                      <w:szCs w:val="21"/>
                    </w:rPr>
                    <w:t>甲醛</w:t>
                  </w:r>
                </w:p>
              </w:tc>
              <w:tc>
                <w:tcPr>
                  <w:tcW w:w="992" w:type="dxa"/>
                  <w:vMerge w:val="restart"/>
                  <w:tcBorders>
                    <w:top w:val="single" w:color="auto" w:sz="4" w:space="0"/>
                  </w:tcBorders>
                  <w:vAlign w:val="center"/>
                </w:tcPr>
                <w:p>
                  <w:pPr>
                    <w:spacing w:line="320" w:lineRule="exact"/>
                    <w:jc w:val="center"/>
                    <w:outlineLvl w:val="0"/>
                    <w:rPr>
                      <w:rFonts w:hAnsi="宋体"/>
                      <w:bCs/>
                      <w:color w:val="000000"/>
                      <w:szCs w:val="21"/>
                      <w:lang w:val="en-GB"/>
                    </w:rPr>
                  </w:pPr>
                  <w:r>
                    <w:rPr>
                      <w:color w:val="000000"/>
                      <w:szCs w:val="21"/>
                    </w:rPr>
                    <w:t>车间</w:t>
                  </w:r>
                  <w:r>
                    <w:rPr>
                      <w:rFonts w:hint="eastAsia"/>
                      <w:color w:val="000000"/>
                      <w:szCs w:val="21"/>
                    </w:rPr>
                    <w:t>加强通风</w:t>
                  </w:r>
                </w:p>
              </w:tc>
              <w:tc>
                <w:tcPr>
                  <w:tcW w:w="1985" w:type="dxa"/>
                  <w:vMerge w:val="restart"/>
                  <w:vAlign w:val="center"/>
                </w:tcPr>
                <w:p>
                  <w:pPr>
                    <w:jc w:val="center"/>
                    <w:rPr>
                      <w:color w:val="000000"/>
                      <w:szCs w:val="21"/>
                    </w:rPr>
                  </w:pPr>
                  <w:r>
                    <w:rPr>
                      <w:color w:val="000000"/>
                      <w:szCs w:val="21"/>
                    </w:rPr>
                    <w:t>《大气污染物综合排放标准》（GB16297-1</w:t>
                  </w:r>
                  <w:r>
                    <w:rPr>
                      <w:rFonts w:hint="eastAsia"/>
                      <w:color w:val="000000"/>
                      <w:szCs w:val="21"/>
                    </w:rPr>
                    <w:t>9</w:t>
                  </w:r>
                  <w:r>
                    <w:rPr>
                      <w:color w:val="000000"/>
                      <w:szCs w:val="21"/>
                    </w:rPr>
                    <w:t>96</w:t>
                  </w:r>
                  <w:r>
                    <w:rPr>
                      <w:rFonts w:hint="eastAsia"/>
                      <w:color w:val="000000"/>
                      <w:szCs w:val="21"/>
                    </w:rPr>
                    <w:t>）</w:t>
                  </w:r>
                  <w:r>
                    <w:rPr>
                      <w:color w:val="000000"/>
                      <w:szCs w:val="21"/>
                    </w:rPr>
                    <w:t>表2中二级标准及</w:t>
                  </w:r>
                  <w:r>
                    <w:rPr>
                      <w:rFonts w:hint="eastAsia"/>
                      <w:color w:val="000000"/>
                      <w:szCs w:val="21"/>
                    </w:rPr>
                    <w:t>《关</w:t>
                  </w:r>
                  <w:r>
                    <w:rPr>
                      <w:color w:val="000000"/>
                      <w:szCs w:val="21"/>
                    </w:rPr>
                    <w:t>于全省开展工业企业挥发性有机物专项治理工作中排放建议值的通知》（豫环攻坚办[2017]162号文</w:t>
                  </w:r>
                  <w:r>
                    <w:rPr>
                      <w:color w:val="000000"/>
                      <w:szCs w:val="18"/>
                    </w:rPr>
                    <w:t>）</w:t>
                  </w:r>
                </w:p>
              </w:tc>
              <w:tc>
                <w:tcPr>
                  <w:tcW w:w="1066" w:type="dxa"/>
                  <w:vAlign w:val="center"/>
                </w:tcPr>
                <w:p>
                  <w:pPr>
                    <w:pStyle w:val="64"/>
                    <w:spacing w:line="360" w:lineRule="exact"/>
                    <w:rPr>
                      <w:color w:val="000000"/>
                      <w:szCs w:val="21"/>
                    </w:rPr>
                  </w:pPr>
                  <w:r>
                    <w:rPr>
                      <w:rFonts w:hint="eastAsia"/>
                      <w:color w:val="000000"/>
                      <w:szCs w:val="21"/>
                    </w:rPr>
                    <w:t>0.5</w:t>
                  </w:r>
                </w:p>
              </w:tc>
              <w:tc>
                <w:tcPr>
                  <w:tcW w:w="851" w:type="dxa"/>
                  <w:vAlign w:val="center"/>
                </w:tcPr>
                <w:p>
                  <w:pPr>
                    <w:spacing w:line="320" w:lineRule="exact"/>
                    <w:jc w:val="center"/>
                    <w:outlineLvl w:val="0"/>
                    <w:rPr>
                      <w:color w:val="000000"/>
                      <w:szCs w:val="21"/>
                    </w:rPr>
                  </w:pPr>
                  <w:r>
                    <w:rPr>
                      <w:rFonts w:hint="eastAsia"/>
                      <w:color w:val="000000"/>
                      <w:szCs w:val="21"/>
                    </w:rPr>
                    <w:t>0.003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0" w:hRule="atLeast"/>
                <w:jc w:val="right"/>
              </w:trPr>
              <w:tc>
                <w:tcPr>
                  <w:tcW w:w="426" w:type="dxa"/>
                  <w:vMerge w:val="continue"/>
                  <w:vAlign w:val="center"/>
                </w:tcPr>
                <w:p>
                  <w:pPr>
                    <w:pStyle w:val="65"/>
                    <w:spacing w:line="360" w:lineRule="exact"/>
                    <w:rPr>
                      <w:color w:val="000000"/>
                      <w:szCs w:val="21"/>
                    </w:rPr>
                  </w:pPr>
                </w:p>
              </w:tc>
              <w:tc>
                <w:tcPr>
                  <w:tcW w:w="850" w:type="dxa"/>
                  <w:vMerge w:val="continue"/>
                  <w:vAlign w:val="center"/>
                </w:tcPr>
                <w:p>
                  <w:pPr>
                    <w:pStyle w:val="65"/>
                    <w:spacing w:line="360" w:lineRule="exact"/>
                    <w:rPr>
                      <w:color w:val="000000"/>
                      <w:szCs w:val="21"/>
                    </w:rPr>
                  </w:pPr>
                </w:p>
              </w:tc>
              <w:tc>
                <w:tcPr>
                  <w:tcW w:w="1082" w:type="dxa"/>
                  <w:vMerge w:val="continue"/>
                  <w:vAlign w:val="center"/>
                </w:tcPr>
                <w:p>
                  <w:pPr>
                    <w:spacing w:line="360" w:lineRule="exact"/>
                    <w:jc w:val="center"/>
                    <w:outlineLvl w:val="0"/>
                    <w:rPr>
                      <w:color w:val="000000"/>
                      <w:szCs w:val="21"/>
                    </w:rPr>
                  </w:pPr>
                </w:p>
              </w:tc>
              <w:tc>
                <w:tcPr>
                  <w:tcW w:w="849" w:type="dxa"/>
                  <w:vAlign w:val="center"/>
                </w:tcPr>
                <w:p>
                  <w:pPr>
                    <w:pStyle w:val="65"/>
                    <w:spacing w:line="360" w:lineRule="exact"/>
                    <w:rPr>
                      <w:color w:val="000000"/>
                      <w:szCs w:val="21"/>
                    </w:rPr>
                  </w:pPr>
                  <w:r>
                    <w:rPr>
                      <w:color w:val="000000"/>
                      <w:szCs w:val="21"/>
                    </w:rPr>
                    <w:t>非甲烷总烃</w:t>
                  </w:r>
                </w:p>
              </w:tc>
              <w:tc>
                <w:tcPr>
                  <w:tcW w:w="992" w:type="dxa"/>
                  <w:vMerge w:val="continue"/>
                  <w:vAlign w:val="center"/>
                </w:tcPr>
                <w:p>
                  <w:pPr>
                    <w:spacing w:line="320" w:lineRule="exact"/>
                    <w:jc w:val="center"/>
                    <w:outlineLvl w:val="0"/>
                    <w:rPr>
                      <w:rFonts w:hAnsi="宋体"/>
                      <w:bCs/>
                      <w:color w:val="000000"/>
                      <w:szCs w:val="21"/>
                      <w:lang w:val="en-GB"/>
                    </w:rPr>
                  </w:pPr>
                </w:p>
              </w:tc>
              <w:tc>
                <w:tcPr>
                  <w:tcW w:w="1985" w:type="dxa"/>
                  <w:vMerge w:val="continue"/>
                  <w:vAlign w:val="center"/>
                </w:tcPr>
                <w:p>
                  <w:pPr>
                    <w:jc w:val="center"/>
                    <w:rPr>
                      <w:color w:val="000000"/>
                      <w:szCs w:val="21"/>
                    </w:rPr>
                  </w:pPr>
                </w:p>
              </w:tc>
              <w:tc>
                <w:tcPr>
                  <w:tcW w:w="1066" w:type="dxa"/>
                  <w:vAlign w:val="center"/>
                </w:tcPr>
                <w:p>
                  <w:pPr>
                    <w:pStyle w:val="64"/>
                    <w:spacing w:line="360" w:lineRule="exact"/>
                    <w:rPr>
                      <w:color w:val="000000"/>
                      <w:szCs w:val="21"/>
                    </w:rPr>
                  </w:pPr>
                  <w:r>
                    <w:rPr>
                      <w:rFonts w:hint="eastAsia"/>
                      <w:color w:val="000000"/>
                      <w:szCs w:val="21"/>
                    </w:rPr>
                    <w:t>2.0</w:t>
                  </w:r>
                </w:p>
              </w:tc>
              <w:tc>
                <w:tcPr>
                  <w:tcW w:w="851" w:type="dxa"/>
                  <w:vAlign w:val="center"/>
                </w:tcPr>
                <w:p>
                  <w:pPr>
                    <w:spacing w:line="320" w:lineRule="exact"/>
                    <w:jc w:val="center"/>
                    <w:outlineLvl w:val="0"/>
                    <w:rPr>
                      <w:color w:val="000000"/>
                      <w:szCs w:val="21"/>
                    </w:rPr>
                  </w:pPr>
                  <w:r>
                    <w:rPr>
                      <w:rFonts w:hint="eastAsia"/>
                      <w:color w:val="000000"/>
                      <w:szCs w:val="21"/>
                    </w:rPr>
                    <w:t>0.017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2358" w:type="dxa"/>
                  <w:gridSpan w:val="3"/>
                  <w:vMerge w:val="restart"/>
                  <w:tcBorders>
                    <w:right w:val="single" w:color="auto" w:sz="6" w:space="0"/>
                  </w:tcBorders>
                  <w:vAlign w:val="center"/>
                </w:tcPr>
                <w:p>
                  <w:pPr>
                    <w:pStyle w:val="65"/>
                    <w:spacing w:line="360" w:lineRule="exact"/>
                    <w:rPr>
                      <w:color w:val="000000"/>
                      <w:szCs w:val="21"/>
                    </w:rPr>
                  </w:pPr>
                  <w:r>
                    <w:rPr>
                      <w:color w:val="000000"/>
                      <w:szCs w:val="21"/>
                    </w:rPr>
                    <w:t>无组织排放合计</w:t>
                  </w:r>
                </w:p>
              </w:tc>
              <w:tc>
                <w:tcPr>
                  <w:tcW w:w="4892" w:type="dxa"/>
                  <w:gridSpan w:val="4"/>
                  <w:tcBorders>
                    <w:left w:val="single" w:color="auto" w:sz="6" w:space="0"/>
                  </w:tcBorders>
                  <w:vAlign w:val="center"/>
                </w:tcPr>
                <w:p>
                  <w:pPr>
                    <w:pStyle w:val="65"/>
                    <w:spacing w:line="360" w:lineRule="exact"/>
                    <w:rPr>
                      <w:color w:val="000000"/>
                      <w:szCs w:val="21"/>
                    </w:rPr>
                  </w:pPr>
                  <w:r>
                    <w:rPr>
                      <w:color w:val="000000"/>
                      <w:szCs w:val="21"/>
                    </w:rPr>
                    <w:t>甲醛</w:t>
                  </w:r>
                </w:p>
              </w:tc>
              <w:tc>
                <w:tcPr>
                  <w:tcW w:w="851" w:type="dxa"/>
                  <w:vAlign w:val="center"/>
                </w:tcPr>
                <w:p>
                  <w:pPr>
                    <w:pStyle w:val="65"/>
                    <w:spacing w:line="360" w:lineRule="exact"/>
                    <w:rPr>
                      <w:color w:val="000000"/>
                      <w:szCs w:val="21"/>
                    </w:rPr>
                  </w:pPr>
                  <w:r>
                    <w:rPr>
                      <w:rFonts w:hint="eastAsia"/>
                      <w:color w:val="000000"/>
                      <w:szCs w:val="21"/>
                    </w:rPr>
                    <w:t>0.003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2358" w:type="dxa"/>
                  <w:gridSpan w:val="3"/>
                  <w:vMerge w:val="continue"/>
                  <w:tcBorders>
                    <w:right w:val="single" w:color="auto" w:sz="6" w:space="0"/>
                  </w:tcBorders>
                  <w:vAlign w:val="center"/>
                </w:tcPr>
                <w:p>
                  <w:pPr>
                    <w:pStyle w:val="65"/>
                    <w:spacing w:line="360" w:lineRule="exact"/>
                    <w:rPr>
                      <w:color w:val="000000"/>
                      <w:szCs w:val="21"/>
                    </w:rPr>
                  </w:pPr>
                </w:p>
              </w:tc>
              <w:tc>
                <w:tcPr>
                  <w:tcW w:w="4892" w:type="dxa"/>
                  <w:gridSpan w:val="4"/>
                  <w:tcBorders>
                    <w:left w:val="single" w:color="auto" w:sz="6" w:space="0"/>
                  </w:tcBorders>
                  <w:vAlign w:val="center"/>
                </w:tcPr>
                <w:p>
                  <w:pPr>
                    <w:pStyle w:val="65"/>
                    <w:spacing w:line="360" w:lineRule="exact"/>
                    <w:rPr>
                      <w:color w:val="000000"/>
                      <w:szCs w:val="21"/>
                    </w:rPr>
                  </w:pPr>
                  <w:r>
                    <w:rPr>
                      <w:color w:val="000000"/>
                      <w:szCs w:val="21"/>
                    </w:rPr>
                    <w:t>非甲烷总烃</w:t>
                  </w:r>
                </w:p>
              </w:tc>
              <w:tc>
                <w:tcPr>
                  <w:tcW w:w="851" w:type="dxa"/>
                  <w:vAlign w:val="center"/>
                </w:tcPr>
                <w:p>
                  <w:pPr>
                    <w:pStyle w:val="65"/>
                    <w:spacing w:line="360" w:lineRule="exact"/>
                    <w:rPr>
                      <w:color w:val="000000"/>
                      <w:szCs w:val="21"/>
                    </w:rPr>
                  </w:pPr>
                  <w:r>
                    <w:rPr>
                      <w:rFonts w:hint="eastAsia"/>
                      <w:color w:val="000000"/>
                      <w:szCs w:val="21"/>
                    </w:rPr>
                    <w:t>0.017</w:t>
                  </w:r>
                </w:p>
              </w:tc>
            </w:tr>
          </w:tbl>
          <w:p>
            <w:pPr>
              <w:widowControl/>
              <w:adjustRightInd w:val="0"/>
              <w:snapToGrid w:val="0"/>
              <w:spacing w:line="360" w:lineRule="auto"/>
              <w:jc w:val="center"/>
              <w:rPr>
                <w:b/>
                <w:bCs/>
                <w:color w:val="000000"/>
                <w:kern w:val="0"/>
                <w:sz w:val="24"/>
              </w:rPr>
            </w:pPr>
            <w:r>
              <w:rPr>
                <w:rFonts w:hint="eastAsia"/>
                <w:b/>
                <w:bCs/>
                <w:color w:val="000000"/>
                <w:kern w:val="0"/>
                <w:sz w:val="24"/>
              </w:rPr>
              <w:t>表4-15        工程大气污染物年排放量核算表</w:t>
            </w:r>
          </w:p>
          <w:tbl>
            <w:tblPr>
              <w:tblStyle w:val="30"/>
              <w:tblW w:w="8046" w:type="dxa"/>
              <w:jc w:val="right"/>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745"/>
              <w:gridCol w:w="33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exact"/>
                <w:jc w:val="right"/>
              </w:trPr>
              <w:tc>
                <w:tcPr>
                  <w:tcW w:w="966" w:type="dxa"/>
                </w:tcPr>
                <w:p>
                  <w:pPr>
                    <w:pStyle w:val="65"/>
                    <w:spacing w:line="360" w:lineRule="exact"/>
                    <w:rPr>
                      <w:color w:val="000000"/>
                      <w:szCs w:val="21"/>
                    </w:rPr>
                  </w:pPr>
                  <w:r>
                    <w:rPr>
                      <w:color w:val="000000"/>
                      <w:szCs w:val="21"/>
                    </w:rPr>
                    <w:t>序号</w:t>
                  </w:r>
                </w:p>
              </w:tc>
              <w:tc>
                <w:tcPr>
                  <w:tcW w:w="3745" w:type="dxa"/>
                </w:tcPr>
                <w:p>
                  <w:pPr>
                    <w:pStyle w:val="65"/>
                    <w:spacing w:line="360" w:lineRule="exact"/>
                    <w:rPr>
                      <w:color w:val="000000"/>
                      <w:szCs w:val="21"/>
                    </w:rPr>
                  </w:pPr>
                  <w:r>
                    <w:rPr>
                      <w:color w:val="000000"/>
                      <w:szCs w:val="21"/>
                    </w:rPr>
                    <w:t>污染物</w:t>
                  </w:r>
                </w:p>
              </w:tc>
              <w:tc>
                <w:tcPr>
                  <w:tcW w:w="3335" w:type="dxa"/>
                </w:tcPr>
                <w:p>
                  <w:pPr>
                    <w:pStyle w:val="65"/>
                    <w:spacing w:line="360" w:lineRule="exact"/>
                    <w:rPr>
                      <w:color w:val="000000"/>
                      <w:szCs w:val="21"/>
                    </w:rPr>
                  </w:pPr>
                  <w:r>
                    <w:rPr>
                      <w:color w:val="000000"/>
                      <w:szCs w:val="21"/>
                    </w:rPr>
                    <w:t>年排放量（t/a）</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966" w:type="dxa"/>
                </w:tcPr>
                <w:p>
                  <w:pPr>
                    <w:pStyle w:val="65"/>
                    <w:spacing w:line="360" w:lineRule="exact"/>
                    <w:rPr>
                      <w:color w:val="000000"/>
                      <w:szCs w:val="21"/>
                    </w:rPr>
                  </w:pPr>
                  <w:r>
                    <w:rPr>
                      <w:rFonts w:hint="eastAsia"/>
                      <w:color w:val="000000"/>
                      <w:szCs w:val="21"/>
                    </w:rPr>
                    <w:t>1</w:t>
                  </w:r>
                </w:p>
              </w:tc>
              <w:tc>
                <w:tcPr>
                  <w:tcW w:w="3745" w:type="dxa"/>
                  <w:vAlign w:val="center"/>
                </w:tcPr>
                <w:p>
                  <w:pPr>
                    <w:pStyle w:val="65"/>
                    <w:spacing w:line="360" w:lineRule="exact"/>
                    <w:rPr>
                      <w:color w:val="000000"/>
                      <w:szCs w:val="21"/>
                    </w:rPr>
                  </w:pPr>
                  <w:r>
                    <w:rPr>
                      <w:color w:val="000000"/>
                      <w:szCs w:val="21"/>
                    </w:rPr>
                    <w:t>甲醛</w:t>
                  </w:r>
                </w:p>
              </w:tc>
              <w:tc>
                <w:tcPr>
                  <w:tcW w:w="3335" w:type="dxa"/>
                  <w:vAlign w:val="center"/>
                </w:tcPr>
                <w:p>
                  <w:pPr>
                    <w:pStyle w:val="64"/>
                    <w:spacing w:line="360" w:lineRule="exact"/>
                    <w:rPr>
                      <w:color w:val="000000"/>
                    </w:rPr>
                  </w:pPr>
                  <w:r>
                    <w:rPr>
                      <w:rFonts w:hint="eastAsia"/>
                      <w:color w:val="000000"/>
                    </w:rPr>
                    <w:t>0.008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exact"/>
                <w:jc w:val="right"/>
              </w:trPr>
              <w:tc>
                <w:tcPr>
                  <w:tcW w:w="966" w:type="dxa"/>
                </w:tcPr>
                <w:p>
                  <w:pPr>
                    <w:pStyle w:val="65"/>
                    <w:spacing w:line="360" w:lineRule="exact"/>
                    <w:rPr>
                      <w:color w:val="000000"/>
                      <w:szCs w:val="21"/>
                    </w:rPr>
                  </w:pPr>
                  <w:r>
                    <w:rPr>
                      <w:rFonts w:hint="eastAsia"/>
                      <w:color w:val="000000"/>
                      <w:szCs w:val="21"/>
                    </w:rPr>
                    <w:t>2</w:t>
                  </w:r>
                </w:p>
              </w:tc>
              <w:tc>
                <w:tcPr>
                  <w:tcW w:w="3745" w:type="dxa"/>
                  <w:vAlign w:val="center"/>
                </w:tcPr>
                <w:p>
                  <w:pPr>
                    <w:pStyle w:val="65"/>
                    <w:spacing w:line="360" w:lineRule="exact"/>
                    <w:rPr>
                      <w:color w:val="000000"/>
                      <w:szCs w:val="21"/>
                    </w:rPr>
                  </w:pPr>
                  <w:r>
                    <w:rPr>
                      <w:rFonts w:hint="eastAsia"/>
                      <w:color w:val="000000"/>
                      <w:szCs w:val="21"/>
                    </w:rPr>
                    <w:t>非甲烷总烃</w:t>
                  </w:r>
                </w:p>
              </w:tc>
              <w:tc>
                <w:tcPr>
                  <w:tcW w:w="3335" w:type="dxa"/>
                  <w:vAlign w:val="center"/>
                </w:tcPr>
                <w:p>
                  <w:pPr>
                    <w:pStyle w:val="64"/>
                    <w:spacing w:line="360" w:lineRule="exact"/>
                    <w:rPr>
                      <w:color w:val="000000"/>
                    </w:rPr>
                  </w:pPr>
                  <w:r>
                    <w:rPr>
                      <w:rFonts w:hint="eastAsia"/>
                      <w:color w:val="000000"/>
                    </w:rPr>
                    <w:t>0.049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966" w:type="dxa"/>
                </w:tcPr>
                <w:p>
                  <w:pPr>
                    <w:pStyle w:val="65"/>
                    <w:spacing w:line="360" w:lineRule="exact"/>
                    <w:rPr>
                      <w:color w:val="000000"/>
                      <w:szCs w:val="21"/>
                    </w:rPr>
                  </w:pPr>
                  <w:r>
                    <w:rPr>
                      <w:rFonts w:hint="eastAsia"/>
                      <w:color w:val="000000"/>
                      <w:szCs w:val="21"/>
                    </w:rPr>
                    <w:t>3</w:t>
                  </w:r>
                </w:p>
              </w:tc>
              <w:tc>
                <w:tcPr>
                  <w:tcW w:w="3745" w:type="dxa"/>
                  <w:vAlign w:val="center"/>
                </w:tcPr>
                <w:p>
                  <w:pPr>
                    <w:spacing w:line="360" w:lineRule="exact"/>
                    <w:jc w:val="center"/>
                    <w:rPr>
                      <w:color w:val="000000"/>
                      <w:szCs w:val="21"/>
                    </w:rPr>
                  </w:pPr>
                  <w:r>
                    <w:rPr>
                      <w:rFonts w:hint="eastAsia"/>
                      <w:color w:val="000000"/>
                      <w:szCs w:val="21"/>
                    </w:rPr>
                    <w:t>PM</w:t>
                  </w:r>
                  <w:r>
                    <w:rPr>
                      <w:rFonts w:hint="eastAsia"/>
                      <w:color w:val="000000"/>
                      <w:szCs w:val="21"/>
                      <w:vertAlign w:val="subscript"/>
                    </w:rPr>
                    <w:t>10</w:t>
                  </w:r>
                </w:p>
              </w:tc>
              <w:tc>
                <w:tcPr>
                  <w:tcW w:w="3335" w:type="dxa"/>
                  <w:vAlign w:val="center"/>
                </w:tcPr>
                <w:p>
                  <w:pPr>
                    <w:pStyle w:val="64"/>
                    <w:spacing w:line="360" w:lineRule="exact"/>
                    <w:rPr>
                      <w:color w:val="000000"/>
                    </w:rPr>
                  </w:pPr>
                  <w:r>
                    <w:rPr>
                      <w:rFonts w:hint="eastAsia"/>
                      <w:color w:val="000000"/>
                    </w:rPr>
                    <w:t>0.00085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966" w:type="dxa"/>
                </w:tcPr>
                <w:p>
                  <w:pPr>
                    <w:pStyle w:val="65"/>
                    <w:spacing w:line="360" w:lineRule="exact"/>
                    <w:rPr>
                      <w:color w:val="000000"/>
                      <w:szCs w:val="21"/>
                    </w:rPr>
                  </w:pPr>
                  <w:r>
                    <w:rPr>
                      <w:rFonts w:hint="eastAsia"/>
                      <w:color w:val="000000"/>
                      <w:szCs w:val="21"/>
                    </w:rPr>
                    <w:t>4</w:t>
                  </w:r>
                </w:p>
              </w:tc>
              <w:tc>
                <w:tcPr>
                  <w:tcW w:w="3745" w:type="dxa"/>
                  <w:vAlign w:val="center"/>
                </w:tcPr>
                <w:p>
                  <w:pPr>
                    <w:spacing w:line="360" w:lineRule="exact"/>
                    <w:jc w:val="center"/>
                    <w:outlineLvl w:val="0"/>
                    <w:rPr>
                      <w:color w:val="000000"/>
                      <w:szCs w:val="21"/>
                    </w:rPr>
                  </w:pPr>
                  <w:r>
                    <w:rPr>
                      <w:rFonts w:hint="eastAsia"/>
                      <w:color w:val="000000"/>
                      <w:szCs w:val="21"/>
                    </w:rPr>
                    <w:t>SO</w:t>
                  </w:r>
                  <w:r>
                    <w:rPr>
                      <w:rFonts w:hint="eastAsia"/>
                      <w:color w:val="000000"/>
                      <w:szCs w:val="21"/>
                      <w:vertAlign w:val="subscript"/>
                    </w:rPr>
                    <w:t>2</w:t>
                  </w:r>
                </w:p>
              </w:tc>
              <w:tc>
                <w:tcPr>
                  <w:tcW w:w="3335" w:type="dxa"/>
                  <w:vAlign w:val="center"/>
                </w:tcPr>
                <w:p>
                  <w:pPr>
                    <w:pStyle w:val="64"/>
                    <w:spacing w:line="360" w:lineRule="exact"/>
                    <w:rPr>
                      <w:color w:val="000000"/>
                    </w:rPr>
                  </w:pPr>
                  <w:r>
                    <w:rPr>
                      <w:rFonts w:hint="eastAsia"/>
                      <w:color w:val="000000"/>
                    </w:rPr>
                    <w:t>0.00034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966" w:type="dxa"/>
                </w:tcPr>
                <w:p>
                  <w:pPr>
                    <w:pStyle w:val="65"/>
                    <w:spacing w:line="360" w:lineRule="exact"/>
                    <w:rPr>
                      <w:color w:val="000000"/>
                      <w:szCs w:val="21"/>
                    </w:rPr>
                  </w:pPr>
                  <w:r>
                    <w:rPr>
                      <w:rFonts w:hint="eastAsia"/>
                      <w:color w:val="000000"/>
                      <w:szCs w:val="21"/>
                    </w:rPr>
                    <w:t>5</w:t>
                  </w:r>
                </w:p>
              </w:tc>
              <w:tc>
                <w:tcPr>
                  <w:tcW w:w="3745" w:type="dxa"/>
                  <w:vAlign w:val="center"/>
                </w:tcPr>
                <w:p>
                  <w:pPr>
                    <w:spacing w:line="360" w:lineRule="exact"/>
                    <w:jc w:val="center"/>
                    <w:outlineLvl w:val="0"/>
                    <w:rPr>
                      <w:color w:val="000000"/>
                      <w:szCs w:val="21"/>
                    </w:rPr>
                  </w:pPr>
                  <w:r>
                    <w:rPr>
                      <w:rFonts w:hint="eastAsia"/>
                      <w:color w:val="000000"/>
                      <w:szCs w:val="21"/>
                    </w:rPr>
                    <w:t>NOx</w:t>
                  </w:r>
                </w:p>
              </w:tc>
              <w:tc>
                <w:tcPr>
                  <w:tcW w:w="3335" w:type="dxa"/>
                  <w:vAlign w:val="center"/>
                </w:tcPr>
                <w:p>
                  <w:pPr>
                    <w:pStyle w:val="64"/>
                    <w:spacing w:line="360" w:lineRule="exact"/>
                    <w:rPr>
                      <w:color w:val="000000"/>
                    </w:rPr>
                  </w:pPr>
                  <w:r>
                    <w:rPr>
                      <w:rFonts w:hint="eastAsia"/>
                      <w:color w:val="000000"/>
                    </w:rPr>
                    <w:t>0.0102</w:t>
                  </w:r>
                </w:p>
              </w:tc>
            </w:tr>
          </w:tbl>
          <w:p>
            <w:pPr>
              <w:adjustRightInd w:val="0"/>
              <w:snapToGrid w:val="0"/>
              <w:spacing w:line="360" w:lineRule="auto"/>
              <w:ind w:firstLine="480" w:firstLineChars="200"/>
              <w:rPr>
                <w:bCs/>
                <w:sz w:val="24"/>
              </w:rPr>
            </w:pPr>
            <w:r>
              <w:rPr>
                <w:rFonts w:hint="eastAsia"/>
                <w:bCs/>
                <w:sz w:val="24"/>
              </w:rPr>
              <w:t>2.5</w:t>
            </w:r>
            <w:r>
              <w:rPr>
                <w:bCs/>
                <w:sz w:val="24"/>
              </w:rPr>
              <w:t>大气环境影响评价自查表</w:t>
            </w:r>
          </w:p>
          <w:p>
            <w:pPr>
              <w:adjustRightInd w:val="0"/>
              <w:snapToGrid w:val="0"/>
              <w:spacing w:line="360" w:lineRule="auto"/>
              <w:ind w:firstLine="480" w:firstLineChars="200"/>
              <w:rPr>
                <w:bCs/>
                <w:color w:val="000000"/>
                <w:kern w:val="0"/>
                <w:sz w:val="24"/>
              </w:rPr>
            </w:pPr>
            <w:r>
              <w:rPr>
                <w:rFonts w:hint="eastAsia"/>
                <w:bCs/>
                <w:color w:val="000000"/>
                <w:kern w:val="0"/>
                <w:sz w:val="24"/>
              </w:rPr>
              <w:t>本项目</w:t>
            </w:r>
            <w:r>
              <w:rPr>
                <w:rFonts w:hint="eastAsia"/>
                <w:color w:val="000000"/>
                <w:sz w:val="24"/>
              </w:rPr>
              <w:t>大气环境影响评价自查表见下表</w:t>
            </w:r>
            <w:r>
              <w:rPr>
                <w:rFonts w:hint="eastAsia"/>
                <w:bCs/>
                <w:color w:val="000000"/>
                <w:kern w:val="0"/>
                <w:sz w:val="24"/>
              </w:rPr>
              <w:t>。</w:t>
            </w:r>
          </w:p>
          <w:p>
            <w:pPr>
              <w:adjustRightInd w:val="0"/>
              <w:snapToGrid w:val="0"/>
              <w:spacing w:line="360" w:lineRule="auto"/>
              <w:ind w:left="71" w:leftChars="34"/>
              <w:jc w:val="center"/>
              <w:rPr>
                <w:b/>
                <w:bCs/>
                <w:color w:val="000000"/>
                <w:kern w:val="0"/>
                <w:sz w:val="24"/>
              </w:rPr>
            </w:pPr>
            <w:r>
              <w:rPr>
                <w:rFonts w:hint="eastAsia"/>
                <w:b/>
                <w:bCs/>
                <w:color w:val="000000"/>
                <w:kern w:val="0"/>
                <w:sz w:val="24"/>
              </w:rPr>
              <w:t>表4-16        建设项目大气环境影响评价自查表</w:t>
            </w:r>
          </w:p>
          <w:tbl>
            <w:tblPr>
              <w:tblStyle w:val="30"/>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18"/>
              <w:gridCol w:w="802"/>
              <w:gridCol w:w="475"/>
              <w:gridCol w:w="186"/>
              <w:gridCol w:w="533"/>
              <w:gridCol w:w="871"/>
              <w:gridCol w:w="764"/>
              <w:gridCol w:w="1046"/>
              <w:gridCol w:w="293"/>
              <w:gridCol w:w="78"/>
              <w:gridCol w:w="35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3"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Ansi="宋体"/>
                      <w:color w:val="000000"/>
                      <w:sz w:val="18"/>
                      <w:szCs w:val="18"/>
                    </w:rPr>
                  </w:pPr>
                  <w:r>
                    <w:rPr>
                      <w:rFonts w:hint="eastAsia" w:hAnsi="宋体"/>
                      <w:color w:val="000000"/>
                      <w:sz w:val="18"/>
                      <w:szCs w:val="18"/>
                    </w:rPr>
                    <w:t>工作内容</w:t>
                  </w:r>
                </w:p>
              </w:tc>
              <w:tc>
                <w:tcPr>
                  <w:tcW w:w="5899" w:type="dxa"/>
                  <w:gridSpan w:val="11"/>
                  <w:tcBorders>
                    <w:top w:val="single" w:color="auto" w:sz="4" w:space="0"/>
                    <w:left w:val="single" w:color="auto" w:sz="4" w:space="0"/>
                    <w:bottom w:val="single" w:color="auto" w:sz="4" w:space="0"/>
                    <w:right w:val="single" w:color="auto" w:sz="4" w:space="0"/>
                  </w:tcBorders>
                  <w:vAlign w:val="center"/>
                </w:tcPr>
                <w:p>
                  <w:pPr>
                    <w:adjustRightInd w:val="0"/>
                    <w:jc w:val="center"/>
                    <w:rPr>
                      <w:rFonts w:hAnsi="宋体"/>
                      <w:color w:val="000000"/>
                      <w:sz w:val="18"/>
                      <w:szCs w:val="18"/>
                    </w:rPr>
                  </w:pPr>
                  <w:r>
                    <w:rPr>
                      <w:rFonts w:hint="eastAsia" w:hAnsi="宋体"/>
                      <w:color w:val="000000"/>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rPr>
                      <w:rFonts w:hAnsi="宋体"/>
                      <w:color w:val="000000"/>
                      <w:sz w:val="18"/>
                      <w:szCs w:val="18"/>
                    </w:rPr>
                  </w:pPr>
                  <w:r>
                    <w:rPr>
                      <w:rFonts w:hint="eastAsia"/>
                      <w:color w:val="000000"/>
                      <w:sz w:val="18"/>
                      <w:szCs w:val="18"/>
                    </w:rPr>
                    <w:t>评价</w:t>
                  </w:r>
                  <w:r>
                    <w:rPr>
                      <w:rFonts w:hint="eastAsia" w:hAnsi="宋体"/>
                      <w:color w:val="000000"/>
                      <w:sz w:val="18"/>
                      <w:szCs w:val="18"/>
                    </w:rPr>
                    <w:t>等级及范围</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sz w:val="18"/>
                      <w:szCs w:val="18"/>
                    </w:rPr>
                  </w:pPr>
                  <w:r>
                    <w:rPr>
                      <w:rFonts w:hint="eastAsia" w:hAnsi="宋体"/>
                      <w:color w:val="000000"/>
                      <w:sz w:val="18"/>
                      <w:szCs w:val="18"/>
                    </w:rPr>
                    <w:t>评价等级</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sz w:val="18"/>
                      <w:szCs w:val="18"/>
                    </w:rPr>
                  </w:pPr>
                  <w:r>
                    <w:rPr>
                      <w:rFonts w:hint="eastAsia" w:hAnsi="宋体"/>
                      <w:color w:val="000000"/>
                      <w:sz w:val="18"/>
                      <w:szCs w:val="18"/>
                    </w:rPr>
                    <w:t>一级</w:t>
                  </w:r>
                  <w:r>
                    <w:rPr>
                      <w:rFonts w:hint="eastAsia" w:ascii="宋体" w:hAnsi="宋体"/>
                      <w:color w:val="000000"/>
                      <w:sz w:val="18"/>
                      <w:szCs w:val="18"/>
                    </w:rPr>
                    <w:t>□</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sz w:val="18"/>
                      <w:szCs w:val="18"/>
                    </w:rPr>
                  </w:pPr>
                  <w:r>
                    <w:rPr>
                      <w:rFonts w:hint="eastAsia" w:hAnsi="宋体"/>
                      <w:color w:val="000000"/>
                      <w:sz w:val="18"/>
                      <w:szCs w:val="18"/>
                    </w:rPr>
                    <w:t>二级</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sz w:val="18"/>
                      <w:szCs w:val="18"/>
                    </w:rPr>
                  </w:pPr>
                  <w:r>
                    <w:rPr>
                      <w:rFonts w:hint="eastAsia" w:hAnsi="宋体"/>
                      <w:color w:val="000000"/>
                      <w:sz w:val="18"/>
                      <w:szCs w:val="18"/>
                    </w:rPr>
                    <w:t>三级</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评价范围</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边长</w:t>
                  </w:r>
                  <w:r>
                    <w:rPr>
                      <w:color w:val="000000"/>
                      <w:sz w:val="18"/>
                      <w:szCs w:val="18"/>
                    </w:rPr>
                    <w:t>=50km</w:t>
                  </w:r>
                  <w:r>
                    <w:rPr>
                      <w:rFonts w:hint="eastAsia" w:ascii="宋体" w:hAnsi="宋体"/>
                      <w:color w:val="000000"/>
                      <w:sz w:val="18"/>
                      <w:szCs w:val="18"/>
                    </w:rPr>
                    <w:t>□</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边长</w:t>
                  </w:r>
                  <w:r>
                    <w:rPr>
                      <w:color w:val="000000"/>
                      <w:sz w:val="18"/>
                      <w:szCs w:val="18"/>
                    </w:rPr>
                    <w:t>=5~50km</w:t>
                  </w:r>
                  <w:r>
                    <w:rPr>
                      <w:rFonts w:hint="eastAsia" w:ascii="宋体" w:hAnsi="宋体"/>
                      <w:color w:val="000000"/>
                      <w:sz w:val="18"/>
                      <w:szCs w:val="18"/>
                    </w:rPr>
                    <w:t>□</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边长</w:t>
                  </w:r>
                  <w:r>
                    <w:rPr>
                      <w:color w:val="000000"/>
                      <w:sz w:val="18"/>
                      <w:szCs w:val="18"/>
                    </w:rPr>
                    <w:t>=5km</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w:t>
                  </w:r>
                </w:p>
                <w:p>
                  <w:pPr>
                    <w:adjustRightInd w:val="0"/>
                    <w:snapToGrid w:val="0"/>
                    <w:jc w:val="center"/>
                    <w:outlineLvl w:val="1"/>
                    <w:rPr>
                      <w:color w:val="000000"/>
                      <w:sz w:val="18"/>
                      <w:szCs w:val="18"/>
                    </w:rPr>
                  </w:pPr>
                  <w:r>
                    <w:rPr>
                      <w:rFonts w:hint="eastAsia"/>
                      <w:color w:val="000000"/>
                      <w:sz w:val="18"/>
                      <w:szCs w:val="18"/>
                    </w:rPr>
                    <w:t>因子</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SO</w:t>
                  </w:r>
                  <w:r>
                    <w:rPr>
                      <w:color w:val="000000"/>
                      <w:sz w:val="18"/>
                      <w:szCs w:val="18"/>
                      <w:vertAlign w:val="subscript"/>
                    </w:rPr>
                    <w:t>2</w:t>
                  </w:r>
                  <w:r>
                    <w:rPr>
                      <w:color w:val="000000"/>
                      <w:sz w:val="18"/>
                      <w:szCs w:val="18"/>
                    </w:rPr>
                    <w:t>+NOx</w:t>
                  </w:r>
                </w:p>
                <w:p>
                  <w:pPr>
                    <w:adjustRightInd w:val="0"/>
                    <w:snapToGrid w:val="0"/>
                    <w:jc w:val="center"/>
                    <w:outlineLvl w:val="1"/>
                    <w:rPr>
                      <w:color w:val="000000"/>
                      <w:sz w:val="18"/>
                      <w:szCs w:val="18"/>
                    </w:rPr>
                  </w:pPr>
                  <w:r>
                    <w:rPr>
                      <w:rFonts w:hint="eastAsia"/>
                      <w:color w:val="000000"/>
                      <w:sz w:val="18"/>
                      <w:szCs w:val="18"/>
                    </w:rPr>
                    <w:t>排放量</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≥2000t/a</w:t>
                  </w:r>
                  <w:r>
                    <w:rPr>
                      <w:rFonts w:hint="eastAsia" w:ascii="宋体" w:hAnsi="宋体"/>
                      <w:color w:val="000000"/>
                      <w:sz w:val="18"/>
                      <w:szCs w:val="18"/>
                    </w:rPr>
                    <w:t>□</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500~2000t/a</w:t>
                  </w:r>
                  <w:r>
                    <w:rPr>
                      <w:rFonts w:hint="eastAsia" w:ascii="宋体" w:hAnsi="宋体"/>
                      <w:color w:val="000000"/>
                      <w:sz w:val="18"/>
                      <w:szCs w:val="18"/>
                    </w:rPr>
                    <w:t>□</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w:t>
                  </w:r>
                  <w:r>
                    <w:rPr>
                      <w:color w:val="000000"/>
                      <w:sz w:val="18"/>
                      <w:szCs w:val="18"/>
                    </w:rPr>
                    <w:t>500t/a</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评价因子</w:t>
                  </w:r>
                </w:p>
              </w:tc>
              <w:tc>
                <w:tcPr>
                  <w:tcW w:w="36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outlineLvl w:val="1"/>
                    <w:rPr>
                      <w:color w:val="000000"/>
                      <w:sz w:val="18"/>
                      <w:szCs w:val="18"/>
                    </w:rPr>
                  </w:pPr>
                  <w:r>
                    <w:rPr>
                      <w:rFonts w:hint="eastAsia"/>
                      <w:color w:val="000000"/>
                      <w:sz w:val="18"/>
                      <w:szCs w:val="18"/>
                    </w:rPr>
                    <w:t>基本污染物（SO</w:t>
                  </w:r>
                  <w:r>
                    <w:rPr>
                      <w:rFonts w:hint="eastAsia"/>
                      <w:color w:val="000000"/>
                      <w:sz w:val="18"/>
                      <w:szCs w:val="18"/>
                      <w:vertAlign w:val="subscript"/>
                    </w:rPr>
                    <w:t>2</w:t>
                  </w:r>
                  <w:r>
                    <w:rPr>
                      <w:rFonts w:hint="eastAsia"/>
                      <w:color w:val="000000"/>
                      <w:sz w:val="18"/>
                      <w:szCs w:val="18"/>
                    </w:rPr>
                    <w:t>、NOx、PM</w:t>
                  </w:r>
                  <w:r>
                    <w:rPr>
                      <w:rFonts w:hint="eastAsia"/>
                      <w:color w:val="000000"/>
                      <w:sz w:val="18"/>
                      <w:szCs w:val="18"/>
                      <w:vertAlign w:val="subscript"/>
                    </w:rPr>
                    <w:t>10</w:t>
                  </w:r>
                  <w:r>
                    <w:rPr>
                      <w:rFonts w:hint="eastAsia"/>
                      <w:color w:val="000000"/>
                      <w:sz w:val="18"/>
                      <w:szCs w:val="18"/>
                    </w:rPr>
                    <w:t>）</w:t>
                  </w:r>
                </w:p>
                <w:p>
                  <w:pPr>
                    <w:adjustRightInd w:val="0"/>
                    <w:snapToGrid w:val="0"/>
                    <w:outlineLvl w:val="1"/>
                    <w:rPr>
                      <w:color w:val="000000"/>
                      <w:sz w:val="18"/>
                      <w:szCs w:val="18"/>
                    </w:rPr>
                  </w:pPr>
                  <w:r>
                    <w:rPr>
                      <w:rFonts w:hint="eastAsia"/>
                      <w:color w:val="000000"/>
                      <w:sz w:val="18"/>
                      <w:szCs w:val="18"/>
                    </w:rPr>
                    <w:t>其他污染物（甲醛、非甲烷总烃）</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outlineLvl w:val="1"/>
                    <w:rPr>
                      <w:color w:val="000000"/>
                      <w:sz w:val="18"/>
                      <w:szCs w:val="18"/>
                    </w:rPr>
                  </w:pPr>
                  <w:r>
                    <w:rPr>
                      <w:rFonts w:hint="eastAsia"/>
                      <w:color w:val="000000"/>
                      <w:sz w:val="18"/>
                      <w:szCs w:val="18"/>
                    </w:rPr>
                    <w:t>包括二次</w:t>
                  </w:r>
                  <w:r>
                    <w:rPr>
                      <w:color w:val="000000"/>
                      <w:sz w:val="18"/>
                      <w:szCs w:val="18"/>
                    </w:rPr>
                    <w:t>PM</w:t>
                  </w:r>
                  <w:r>
                    <w:rPr>
                      <w:color w:val="000000"/>
                      <w:sz w:val="18"/>
                      <w:szCs w:val="18"/>
                      <w:vertAlign w:val="subscript"/>
                    </w:rPr>
                    <w:t>2.5</w:t>
                  </w:r>
                  <w:r>
                    <w:rPr>
                      <w:rFonts w:hint="eastAsia" w:ascii="宋体" w:hAnsi="宋体"/>
                      <w:color w:val="000000"/>
                      <w:sz w:val="18"/>
                      <w:szCs w:val="18"/>
                    </w:rPr>
                    <w:t>□</w:t>
                  </w:r>
                </w:p>
                <w:p>
                  <w:pPr>
                    <w:adjustRightInd w:val="0"/>
                    <w:snapToGrid w:val="0"/>
                    <w:outlineLvl w:val="1"/>
                    <w:rPr>
                      <w:color w:val="000000"/>
                      <w:sz w:val="18"/>
                      <w:szCs w:val="18"/>
                    </w:rPr>
                  </w:pPr>
                  <w:r>
                    <w:rPr>
                      <w:rFonts w:hint="eastAsia"/>
                      <w:color w:val="000000"/>
                      <w:sz w:val="18"/>
                      <w:szCs w:val="18"/>
                    </w:rPr>
                    <w:t>不包括二次</w:t>
                  </w:r>
                  <w:r>
                    <w:rPr>
                      <w:color w:val="000000"/>
                      <w:sz w:val="18"/>
                      <w:szCs w:val="18"/>
                    </w:rPr>
                    <w:t>PM</w:t>
                  </w:r>
                  <w:r>
                    <w:rPr>
                      <w:color w:val="000000"/>
                      <w:sz w:val="18"/>
                      <w:szCs w:val="18"/>
                      <w:vertAlign w:val="subscript"/>
                    </w:rPr>
                    <w:t>2.5</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w:t>
                  </w:r>
                </w:p>
                <w:p>
                  <w:pPr>
                    <w:adjustRightInd w:val="0"/>
                    <w:snapToGrid w:val="0"/>
                    <w:jc w:val="center"/>
                    <w:outlineLvl w:val="1"/>
                    <w:rPr>
                      <w:color w:val="000000"/>
                      <w:sz w:val="18"/>
                      <w:szCs w:val="18"/>
                    </w:rPr>
                  </w:pPr>
                  <w:r>
                    <w:rPr>
                      <w:rFonts w:hint="eastAsia"/>
                      <w:color w:val="000000"/>
                      <w:sz w:val="18"/>
                      <w:szCs w:val="18"/>
                    </w:rPr>
                    <w:t>标准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评价标准</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国家标准</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地方标准</w:t>
                  </w:r>
                  <w:r>
                    <w:rPr>
                      <w:rFonts w:hint="eastAsia" w:ascii="宋体" w:hAnsi="宋体"/>
                      <w:color w:val="000000"/>
                      <w:sz w:val="18"/>
                      <w:szCs w:val="18"/>
                    </w:rPr>
                    <w:t>□</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附录</w:t>
                  </w:r>
                  <w:r>
                    <w:rPr>
                      <w:color w:val="000000"/>
                      <w:sz w:val="18"/>
                      <w:szCs w:val="18"/>
                    </w:rPr>
                    <w:t>D</w:t>
                  </w:r>
                  <w:r>
                    <w:rPr>
                      <w:rFonts w:hint="eastAsia" w:ascii="宋体" w:hAnsi="宋体"/>
                      <w:color w:val="00000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其他标准</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现状评价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评价功能区</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一类区</w:t>
                  </w:r>
                  <w:r>
                    <w:rPr>
                      <w:rFonts w:hint="eastAsia" w:ascii="宋体" w:hAnsi="宋体"/>
                      <w:color w:val="000000"/>
                      <w:sz w:val="18"/>
                      <w:szCs w:val="18"/>
                    </w:rPr>
                    <w:t>□</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二类区</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一类区和二类区</w:t>
                  </w:r>
                  <w:r>
                    <w:rPr>
                      <w:rFonts w:hint="eastAsia" w:ascii="宋体" w:hAnsi="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评价基准年</w:t>
                  </w:r>
                </w:p>
              </w:tc>
              <w:tc>
                <w:tcPr>
                  <w:tcW w:w="589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 xml:space="preserve">（2019）年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环境空气质量现状调查数据来源</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长期例行监测数据</w:t>
                  </w:r>
                  <w:r>
                    <w:rPr>
                      <w:rFonts w:hint="eastAsia" w:ascii="宋体" w:hAnsi="宋体"/>
                      <w:color w:val="000000"/>
                      <w:sz w:val="18"/>
                      <w:szCs w:val="18"/>
                    </w:rPr>
                    <w:t>□</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主管部门发布的数据</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现状补充检测</w:t>
                  </w:r>
                  <w:r>
                    <w:rPr>
                      <w:rFonts w:hint="eastAsia" w:ascii="宋体" w:hAnsi="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现状评价</w:t>
                  </w:r>
                </w:p>
              </w:tc>
              <w:tc>
                <w:tcPr>
                  <w:tcW w:w="2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达标区</w:t>
                  </w:r>
                  <w:r>
                    <w:rPr>
                      <w:rFonts w:hint="eastAsia" w:ascii="宋体" w:hAnsi="宋体"/>
                      <w:color w:val="000000"/>
                      <w:sz w:val="18"/>
                      <w:szCs w:val="18"/>
                    </w:rPr>
                    <w:t>□</w:t>
                  </w:r>
                </w:p>
              </w:tc>
              <w:tc>
                <w:tcPr>
                  <w:tcW w:w="3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不达标区</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r>
                    <w:rPr>
                      <w:rFonts w:hint="eastAsia" w:ascii="宋体" w:hAnsi="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污染源调查</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调查内容</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 xml:space="preserve">  </w:t>
                  </w:r>
                  <w:r>
                    <w:rPr>
                      <w:rFonts w:hint="eastAsia"/>
                      <w:color w:val="000000"/>
                      <w:sz w:val="18"/>
                      <w:szCs w:val="18"/>
                    </w:rPr>
                    <w:t>本项目正常排放源</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p>
                  <w:pPr>
                    <w:adjustRightInd w:val="0"/>
                    <w:snapToGrid w:val="0"/>
                    <w:jc w:val="center"/>
                    <w:outlineLvl w:val="1"/>
                    <w:rPr>
                      <w:color w:val="000000"/>
                      <w:sz w:val="18"/>
                      <w:szCs w:val="18"/>
                    </w:rPr>
                  </w:pPr>
                  <w:r>
                    <w:rPr>
                      <w:rFonts w:hint="eastAsia"/>
                      <w:color w:val="000000"/>
                      <w:sz w:val="18"/>
                      <w:szCs w:val="18"/>
                    </w:rPr>
                    <w:t>本项目非正常排放源</w:t>
                  </w:r>
                  <w:r>
                    <w:rPr>
                      <w:rFonts w:hint="eastAsia" w:ascii="宋体" w:hAnsi="宋体"/>
                      <w:color w:val="000000"/>
                      <w:sz w:val="18"/>
                      <w:szCs w:val="18"/>
                    </w:rPr>
                    <w:t>□</w:t>
                  </w:r>
                </w:p>
                <w:p>
                  <w:pPr>
                    <w:adjustRightInd w:val="0"/>
                    <w:snapToGrid w:val="0"/>
                    <w:jc w:val="center"/>
                    <w:outlineLvl w:val="1"/>
                    <w:rPr>
                      <w:color w:val="000000"/>
                      <w:sz w:val="18"/>
                      <w:szCs w:val="18"/>
                    </w:rPr>
                  </w:pPr>
                  <w:r>
                    <w:rPr>
                      <w:rFonts w:hint="eastAsia"/>
                      <w:color w:val="000000"/>
                      <w:sz w:val="18"/>
                      <w:szCs w:val="18"/>
                    </w:rPr>
                    <w:t>现有污染源</w:t>
                  </w:r>
                  <w:r>
                    <w:rPr>
                      <w:rFonts w:hint="eastAsia" w:ascii="宋体" w:hAnsi="宋体"/>
                      <w:color w:val="000000"/>
                      <w:sz w:val="18"/>
                      <w:szCs w:val="18"/>
                    </w:rPr>
                    <w:t>□</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拟替代的污染源</w:t>
                  </w:r>
                  <w:r>
                    <w:rPr>
                      <w:rFonts w:hint="eastAsia" w:ascii="宋体" w:hAnsi="宋体"/>
                      <w:color w:val="000000"/>
                      <w:sz w:val="18"/>
                      <w:szCs w:val="18"/>
                    </w:rPr>
                    <w:t>□</w:t>
                  </w:r>
                  <w:r>
                    <w:rPr>
                      <w:color w:val="000000"/>
                      <w:sz w:val="18"/>
                      <w:szCs w:val="18"/>
                    </w:rPr>
                    <w:t xml:space="preserve"> </w:t>
                  </w:r>
                </w:p>
              </w:tc>
              <w:tc>
                <w:tcPr>
                  <w:tcW w:w="18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其他在建、拟建项目污染源</w:t>
                  </w:r>
                  <w:r>
                    <w:rPr>
                      <w:rFonts w:hint="eastAsia" w:ascii="宋体" w:hAnsi="宋体"/>
                      <w:color w:val="000000"/>
                      <w:sz w:val="18"/>
                      <w:szCs w:val="18"/>
                    </w:rPr>
                    <w:t>□</w:t>
                  </w:r>
                </w:p>
              </w:tc>
              <w:tc>
                <w:tcPr>
                  <w:tcW w:w="12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区域污染源</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大气环境影响预测与评价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预测模型</w:t>
                  </w:r>
                </w:p>
              </w:tc>
              <w:tc>
                <w:tcPr>
                  <w:tcW w:w="802" w:type="dxa"/>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color w:val="000000"/>
                      <w:sz w:val="18"/>
                      <w:szCs w:val="18"/>
                    </w:rPr>
                    <w:t>AERMOD</w:t>
                  </w:r>
                  <w:r>
                    <w:rPr>
                      <w:rFonts w:hint="eastAsia"/>
                      <w:color w:val="000000"/>
                      <w:sz w:val="18"/>
                      <w:szCs w:val="18"/>
                    </w:rPr>
                    <w:t>□</w:t>
                  </w:r>
                </w:p>
              </w:tc>
              <w:tc>
                <w:tcPr>
                  <w:tcW w:w="1194" w:type="dxa"/>
                  <w:gridSpan w:val="3"/>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color w:val="000000"/>
                      <w:sz w:val="18"/>
                      <w:szCs w:val="18"/>
                    </w:rPr>
                    <w:t>ADMS</w:t>
                  </w:r>
                </w:p>
                <w:p>
                  <w:pPr>
                    <w:pStyle w:val="77"/>
                    <w:snapToGrid w:val="0"/>
                    <w:spacing w:before="24" w:line="260" w:lineRule="atLeast"/>
                    <w:rPr>
                      <w:color w:val="000000"/>
                      <w:sz w:val="18"/>
                      <w:szCs w:val="18"/>
                    </w:rPr>
                  </w:pPr>
                  <w:r>
                    <w:rPr>
                      <w:rFonts w:hint="eastAsia"/>
                      <w:color w:val="000000"/>
                      <w:sz w:val="18"/>
                      <w:szCs w:val="18"/>
                    </w:rPr>
                    <w:t>□</w:t>
                  </w:r>
                </w:p>
              </w:tc>
              <w:tc>
                <w:tcPr>
                  <w:tcW w:w="871" w:type="dxa"/>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color w:val="000000"/>
                      <w:sz w:val="18"/>
                      <w:szCs w:val="18"/>
                    </w:rPr>
                    <w:t>AUSTAL2000</w:t>
                  </w:r>
                  <w:r>
                    <w:rPr>
                      <w:rFonts w:hint="eastAsia"/>
                      <w:color w:val="000000"/>
                      <w:sz w:val="18"/>
                      <w:szCs w:val="18"/>
                    </w:rPr>
                    <w:t>□</w:t>
                  </w:r>
                </w:p>
              </w:tc>
              <w:tc>
                <w:tcPr>
                  <w:tcW w:w="764" w:type="dxa"/>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color w:val="000000"/>
                      <w:sz w:val="18"/>
                      <w:szCs w:val="18"/>
                    </w:rPr>
                    <w:t>EDMS/AEDT</w:t>
                  </w:r>
                  <w:r>
                    <w:rPr>
                      <w:rFonts w:hint="eastAsia"/>
                      <w:color w:val="000000"/>
                      <w:sz w:val="18"/>
                      <w:szCs w:val="18"/>
                    </w:rPr>
                    <w:t>□</w:t>
                  </w:r>
                </w:p>
              </w:tc>
              <w:tc>
                <w:tcPr>
                  <w:tcW w:w="1046" w:type="dxa"/>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color w:val="000000"/>
                      <w:sz w:val="18"/>
                      <w:szCs w:val="18"/>
                    </w:rPr>
                    <w:t>CALPUFF</w:t>
                  </w:r>
                </w:p>
                <w:p>
                  <w:pPr>
                    <w:pStyle w:val="77"/>
                    <w:snapToGrid w:val="0"/>
                    <w:spacing w:before="24" w:line="260" w:lineRule="atLeast"/>
                    <w:rPr>
                      <w:color w:val="000000"/>
                      <w:sz w:val="18"/>
                      <w:szCs w:val="18"/>
                    </w:rPr>
                  </w:pPr>
                  <w:r>
                    <w:rPr>
                      <w:rFonts w:hint="eastAsia"/>
                      <w:color w:val="000000"/>
                      <w:sz w:val="18"/>
                      <w:szCs w:val="18"/>
                    </w:rPr>
                    <w:t>□</w:t>
                  </w:r>
                </w:p>
              </w:tc>
              <w:tc>
                <w:tcPr>
                  <w:tcW w:w="722" w:type="dxa"/>
                  <w:gridSpan w:val="3"/>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rFonts w:hint="eastAsia"/>
                      <w:color w:val="000000"/>
                      <w:sz w:val="18"/>
                      <w:szCs w:val="18"/>
                    </w:rPr>
                    <w:t>网格模型□</w:t>
                  </w:r>
                  <w:r>
                    <w:rPr>
                      <w:color w:val="000000"/>
                      <w:sz w:val="18"/>
                      <w:szCs w:val="18"/>
                    </w:rPr>
                    <w:t xml:space="preserve"> </w:t>
                  </w:r>
                </w:p>
              </w:tc>
              <w:tc>
                <w:tcPr>
                  <w:tcW w:w="500" w:type="dxa"/>
                  <w:tcBorders>
                    <w:top w:val="single" w:color="auto" w:sz="4" w:space="0"/>
                    <w:left w:val="single" w:color="auto" w:sz="4" w:space="0"/>
                    <w:bottom w:val="single" w:color="auto" w:sz="4" w:space="0"/>
                    <w:right w:val="single" w:color="auto" w:sz="4" w:space="0"/>
                  </w:tcBorders>
                  <w:vAlign w:val="center"/>
                </w:tcPr>
                <w:p>
                  <w:pPr>
                    <w:pStyle w:val="77"/>
                    <w:snapToGrid w:val="0"/>
                    <w:spacing w:before="24" w:line="260" w:lineRule="atLeast"/>
                    <w:rPr>
                      <w:color w:val="000000"/>
                      <w:sz w:val="18"/>
                      <w:szCs w:val="18"/>
                    </w:rPr>
                  </w:pPr>
                  <w:r>
                    <w:rPr>
                      <w:rFonts w:hint="eastAsia"/>
                      <w:color w:val="000000"/>
                      <w:sz w:val="18"/>
                      <w:szCs w:val="18"/>
                    </w:rPr>
                    <w:t>其他</w:t>
                  </w:r>
                  <w:r>
                    <w:rPr>
                      <w:rFonts w:hint="eastAsia" w:ascii="MS Mincho" w:hAnsi="MS Mincho" w:eastAsia="MS Mincho" w:cs="MS Mincho"/>
                      <w:color w:val="000000"/>
                      <w:sz w:val="18"/>
                      <w:szCs w:val="18"/>
                      <w:u w:val="single"/>
                    </w:rPr>
                    <w:t>☑</w:t>
                  </w:r>
                  <w:r>
                    <w:rPr>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预测范围</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边长</w:t>
                  </w:r>
                  <w:r>
                    <w:rPr>
                      <w:color w:val="000000"/>
                      <w:sz w:val="18"/>
                      <w:szCs w:val="18"/>
                    </w:rPr>
                    <w:t>≥50km</w:t>
                  </w:r>
                  <w:r>
                    <w:rPr>
                      <w:rFonts w:hint="eastAsia" w:ascii="宋体" w:hAnsi="宋体"/>
                      <w:color w:val="000000"/>
                      <w:sz w:val="18"/>
                      <w:szCs w:val="18"/>
                    </w:rPr>
                    <w:t>□</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边长</w:t>
                  </w:r>
                  <w:r>
                    <w:rPr>
                      <w:color w:val="000000"/>
                      <w:sz w:val="18"/>
                      <w:szCs w:val="18"/>
                    </w:rPr>
                    <w:t>5~50km</w:t>
                  </w:r>
                  <w:r>
                    <w:rPr>
                      <w:rFonts w:hint="eastAsia" w:ascii="宋体" w:hAnsi="宋体"/>
                      <w:color w:val="000000"/>
                      <w:sz w:val="18"/>
                      <w:szCs w:val="18"/>
                    </w:rPr>
                    <w:t>□</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边长</w:t>
                  </w:r>
                  <w:r>
                    <w:rPr>
                      <w:color w:val="000000"/>
                      <w:sz w:val="18"/>
                      <w:szCs w:val="18"/>
                    </w:rPr>
                    <w:t>=5km</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r>
                    <w:rPr>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预测因子</w:t>
                  </w:r>
                </w:p>
              </w:tc>
              <w:tc>
                <w:tcPr>
                  <w:tcW w:w="2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预测因子（SO</w:t>
                  </w:r>
                  <w:r>
                    <w:rPr>
                      <w:rFonts w:hint="eastAsia"/>
                      <w:color w:val="000000"/>
                      <w:sz w:val="18"/>
                      <w:szCs w:val="18"/>
                      <w:vertAlign w:val="subscript"/>
                    </w:rPr>
                    <w:t>2</w:t>
                  </w:r>
                  <w:r>
                    <w:rPr>
                      <w:rFonts w:hint="eastAsia"/>
                      <w:color w:val="000000"/>
                      <w:sz w:val="18"/>
                      <w:szCs w:val="18"/>
                    </w:rPr>
                    <w:t>、NOx、PM</w:t>
                  </w:r>
                  <w:r>
                    <w:rPr>
                      <w:rFonts w:hint="eastAsia"/>
                      <w:color w:val="000000"/>
                      <w:sz w:val="18"/>
                      <w:szCs w:val="18"/>
                      <w:vertAlign w:val="subscript"/>
                    </w:rPr>
                    <w:t>10</w:t>
                  </w:r>
                  <w:r>
                    <w:rPr>
                      <w:rFonts w:hint="eastAsia"/>
                      <w:color w:val="000000"/>
                      <w:sz w:val="18"/>
                      <w:szCs w:val="18"/>
                    </w:rPr>
                    <w:t>、甲醛、非甲烷总烃）</w:t>
                  </w:r>
                </w:p>
              </w:tc>
              <w:tc>
                <w:tcPr>
                  <w:tcW w:w="3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 xml:space="preserve"> </w:t>
                  </w:r>
                  <w:r>
                    <w:rPr>
                      <w:rFonts w:hint="eastAsia"/>
                      <w:color w:val="000000"/>
                      <w:sz w:val="18"/>
                      <w:szCs w:val="18"/>
                    </w:rPr>
                    <w:t>包括二次</w:t>
                  </w:r>
                  <w:r>
                    <w:rPr>
                      <w:color w:val="000000"/>
                      <w:sz w:val="18"/>
                      <w:szCs w:val="18"/>
                    </w:rPr>
                    <w:t>PM</w:t>
                  </w:r>
                  <w:r>
                    <w:rPr>
                      <w:color w:val="000000"/>
                      <w:sz w:val="18"/>
                      <w:szCs w:val="18"/>
                      <w:vertAlign w:val="subscript"/>
                    </w:rPr>
                    <w:t>2.5</w:t>
                  </w:r>
                  <w:r>
                    <w:rPr>
                      <w:rFonts w:hint="eastAsia" w:ascii="宋体" w:hAnsi="宋体"/>
                      <w:color w:val="000000"/>
                      <w:sz w:val="18"/>
                      <w:szCs w:val="18"/>
                    </w:rPr>
                    <w:t>□</w:t>
                  </w:r>
                </w:p>
                <w:p>
                  <w:pPr>
                    <w:adjustRightInd w:val="0"/>
                    <w:snapToGrid w:val="0"/>
                    <w:jc w:val="center"/>
                    <w:outlineLvl w:val="1"/>
                    <w:rPr>
                      <w:color w:val="000000"/>
                      <w:sz w:val="18"/>
                      <w:szCs w:val="18"/>
                    </w:rPr>
                  </w:pPr>
                  <w:r>
                    <w:rPr>
                      <w:rFonts w:hint="eastAsia"/>
                      <w:color w:val="000000"/>
                      <w:sz w:val="18"/>
                      <w:szCs w:val="18"/>
                    </w:rPr>
                    <w:t>不包括二次</w:t>
                  </w:r>
                  <w:r>
                    <w:rPr>
                      <w:color w:val="000000"/>
                      <w:sz w:val="18"/>
                      <w:szCs w:val="18"/>
                    </w:rPr>
                    <w:t>PM</w:t>
                  </w:r>
                  <w:r>
                    <w:rPr>
                      <w:color w:val="000000"/>
                      <w:sz w:val="18"/>
                      <w:szCs w:val="18"/>
                      <w:vertAlign w:val="subscript"/>
                    </w:rPr>
                    <w:t>2.5</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正常排放短期浓度贡献值</w:t>
                  </w:r>
                </w:p>
              </w:tc>
              <w:tc>
                <w:tcPr>
                  <w:tcW w:w="2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本项目</w:t>
                  </w:r>
                  <w:r>
                    <w:rPr>
                      <w:rFonts w:hint="eastAsia"/>
                      <w:color w:val="000000"/>
                      <w:sz w:val="18"/>
                      <w:szCs w:val="18"/>
                    </w:rPr>
                    <w:t>最大占标率</w:t>
                  </w:r>
                  <w:r>
                    <w:rPr>
                      <w:color w:val="000000"/>
                      <w:sz w:val="18"/>
                      <w:szCs w:val="18"/>
                    </w:rPr>
                    <w:t>≤100%</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3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本项目</w:t>
                  </w:r>
                  <w:r>
                    <w:rPr>
                      <w:rFonts w:hint="eastAsia"/>
                      <w:color w:val="000000"/>
                      <w:sz w:val="18"/>
                      <w:szCs w:val="18"/>
                    </w:rPr>
                    <w:t>最大占标率＞</w:t>
                  </w:r>
                  <w:r>
                    <w:rPr>
                      <w:color w:val="000000"/>
                      <w:sz w:val="18"/>
                      <w:szCs w:val="18"/>
                    </w:rPr>
                    <w:t>100%</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正常排放年均浓度贡献值</w:t>
                  </w:r>
                </w:p>
              </w:tc>
              <w:tc>
                <w:tcPr>
                  <w:tcW w:w="14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一类区</w:t>
                  </w:r>
                </w:p>
              </w:tc>
              <w:tc>
                <w:tcPr>
                  <w:tcW w:w="21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本项目</w:t>
                  </w:r>
                  <w:r>
                    <w:rPr>
                      <w:rFonts w:hint="eastAsia"/>
                      <w:color w:val="000000"/>
                      <w:sz w:val="18"/>
                      <w:szCs w:val="18"/>
                    </w:rPr>
                    <w:t>最大占标率</w:t>
                  </w:r>
                  <w:r>
                    <w:rPr>
                      <w:color w:val="000000"/>
                      <w:sz w:val="18"/>
                      <w:szCs w:val="18"/>
                    </w:rPr>
                    <w:t>≤10%</w:t>
                  </w:r>
                  <w:r>
                    <w:rPr>
                      <w:rFonts w:hint="eastAsia" w:ascii="宋体" w:hAnsi="宋体"/>
                      <w:color w:val="000000"/>
                      <w:sz w:val="18"/>
                      <w:szCs w:val="18"/>
                    </w:rPr>
                    <w:t>□</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本项目</w:t>
                  </w:r>
                  <w:r>
                    <w:rPr>
                      <w:rFonts w:hint="eastAsia"/>
                      <w:color w:val="000000"/>
                      <w:sz w:val="18"/>
                      <w:szCs w:val="18"/>
                    </w:rPr>
                    <w:t>最大占标率＞</w:t>
                  </w:r>
                  <w:r>
                    <w:rPr>
                      <w:color w:val="000000"/>
                      <w:sz w:val="18"/>
                      <w:szCs w:val="18"/>
                    </w:rPr>
                    <w:t>10%</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二类区</w:t>
                  </w:r>
                </w:p>
              </w:tc>
              <w:tc>
                <w:tcPr>
                  <w:tcW w:w="21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本项目</w:t>
                  </w:r>
                  <w:r>
                    <w:rPr>
                      <w:rFonts w:hint="eastAsia"/>
                      <w:color w:val="000000"/>
                      <w:sz w:val="18"/>
                      <w:szCs w:val="18"/>
                    </w:rPr>
                    <w:t>最大占标率</w:t>
                  </w:r>
                  <w:r>
                    <w:rPr>
                      <w:color w:val="000000"/>
                      <w:sz w:val="18"/>
                      <w:szCs w:val="18"/>
                    </w:rPr>
                    <w:t>≤30%</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本项目</w:t>
                  </w:r>
                  <w:r>
                    <w:rPr>
                      <w:rFonts w:hint="eastAsia"/>
                      <w:color w:val="000000"/>
                      <w:sz w:val="18"/>
                      <w:szCs w:val="18"/>
                    </w:rPr>
                    <w:t>最大占标率＞</w:t>
                  </w:r>
                  <w:r>
                    <w:rPr>
                      <w:color w:val="000000"/>
                      <w:sz w:val="18"/>
                      <w:szCs w:val="18"/>
                    </w:rPr>
                    <w:t>30%</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非正常</w:t>
                  </w:r>
                  <w:r>
                    <w:rPr>
                      <w:color w:val="000000"/>
                      <w:sz w:val="18"/>
                      <w:szCs w:val="18"/>
                    </w:rPr>
                    <w:t>1h</w:t>
                  </w:r>
                  <w:r>
                    <w:rPr>
                      <w:rFonts w:hint="eastAsia"/>
                      <w:color w:val="000000"/>
                      <w:sz w:val="18"/>
                      <w:szCs w:val="18"/>
                    </w:rPr>
                    <w:t>浓度贡献值</w:t>
                  </w:r>
                </w:p>
              </w:tc>
              <w:tc>
                <w:tcPr>
                  <w:tcW w:w="14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非正常持续时长（）</w:t>
                  </w:r>
                  <w:r>
                    <w:rPr>
                      <w:color w:val="000000"/>
                      <w:sz w:val="18"/>
                      <w:szCs w:val="18"/>
                    </w:rPr>
                    <w:t>h</w:t>
                  </w:r>
                </w:p>
              </w:tc>
              <w:tc>
                <w:tcPr>
                  <w:tcW w:w="21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非正常</w:t>
                  </w:r>
                  <w:r>
                    <w:rPr>
                      <w:rFonts w:hint="eastAsia"/>
                      <w:color w:val="000000"/>
                      <w:sz w:val="18"/>
                      <w:szCs w:val="18"/>
                    </w:rPr>
                    <w:t>占标率</w:t>
                  </w:r>
                  <w:r>
                    <w:rPr>
                      <w:color w:val="000000"/>
                      <w:sz w:val="18"/>
                      <w:szCs w:val="18"/>
                    </w:rPr>
                    <w:t>≤100%</w:t>
                  </w:r>
                  <w:r>
                    <w:rPr>
                      <w:rFonts w:hint="eastAsia" w:ascii="宋体" w:hAnsi="宋体"/>
                      <w:color w:val="000000"/>
                      <w:sz w:val="18"/>
                      <w:szCs w:val="18"/>
                    </w:rPr>
                    <w:t>□</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非正常</w:t>
                  </w:r>
                  <w:r>
                    <w:rPr>
                      <w:rFonts w:hint="eastAsia"/>
                      <w:color w:val="000000"/>
                      <w:sz w:val="18"/>
                      <w:szCs w:val="18"/>
                    </w:rPr>
                    <w:t>占标率＞</w:t>
                  </w:r>
                  <w:r>
                    <w:rPr>
                      <w:color w:val="000000"/>
                      <w:sz w:val="18"/>
                      <w:szCs w:val="18"/>
                    </w:rPr>
                    <w:t>100%</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保证率日平均浓度和年平均浓度叠加值</w:t>
                  </w:r>
                </w:p>
              </w:tc>
              <w:tc>
                <w:tcPr>
                  <w:tcW w:w="2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叠加</w:t>
                  </w:r>
                  <w:r>
                    <w:rPr>
                      <w:rFonts w:hint="eastAsia"/>
                      <w:color w:val="000000"/>
                      <w:sz w:val="18"/>
                      <w:szCs w:val="18"/>
                    </w:rPr>
                    <w:t>达标</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3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C</w:t>
                  </w:r>
                  <w:r>
                    <w:rPr>
                      <w:rFonts w:hint="eastAsia"/>
                      <w:color w:val="000000"/>
                      <w:sz w:val="18"/>
                      <w:szCs w:val="18"/>
                      <w:vertAlign w:val="subscript"/>
                    </w:rPr>
                    <w:t>叠加</w:t>
                  </w:r>
                  <w:r>
                    <w:rPr>
                      <w:rFonts w:hint="eastAsia"/>
                      <w:color w:val="000000"/>
                      <w:sz w:val="18"/>
                      <w:szCs w:val="18"/>
                    </w:rPr>
                    <w:t>不达标</w:t>
                  </w:r>
                  <w:r>
                    <w:rPr>
                      <w:rFonts w:hint="eastAsia" w:ascii="宋体" w:hAnsi="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区域环境质量的整体变化情况</w:t>
                  </w:r>
                </w:p>
              </w:tc>
              <w:tc>
                <w:tcPr>
                  <w:tcW w:w="2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k≤-20%</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3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k&gt;-20%</w:t>
                  </w:r>
                  <w:r>
                    <w:rPr>
                      <w:rFonts w:hint="eastAsia" w:ascii="宋体" w:hAnsi="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环境监测计划</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污染源监测</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监测因子：（SO</w:t>
                  </w:r>
                  <w:r>
                    <w:rPr>
                      <w:rFonts w:hint="eastAsia"/>
                      <w:color w:val="000000"/>
                      <w:sz w:val="18"/>
                      <w:szCs w:val="18"/>
                      <w:vertAlign w:val="subscript"/>
                    </w:rPr>
                    <w:t>2</w:t>
                  </w:r>
                  <w:r>
                    <w:rPr>
                      <w:rFonts w:hint="eastAsia"/>
                      <w:color w:val="000000"/>
                      <w:sz w:val="18"/>
                      <w:szCs w:val="18"/>
                    </w:rPr>
                    <w:t>、NOx、颗粒物、甲醛、非甲烷总烃）</w:t>
                  </w:r>
                </w:p>
              </w:tc>
              <w:tc>
                <w:tcPr>
                  <w:tcW w:w="29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有组织废气监测</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p>
                  <w:pPr>
                    <w:adjustRightInd w:val="0"/>
                    <w:snapToGrid w:val="0"/>
                    <w:jc w:val="center"/>
                    <w:outlineLvl w:val="1"/>
                    <w:rPr>
                      <w:color w:val="000000"/>
                      <w:sz w:val="18"/>
                      <w:szCs w:val="18"/>
                    </w:rPr>
                  </w:pPr>
                  <w:r>
                    <w:rPr>
                      <w:rFonts w:hint="eastAsia"/>
                      <w:color w:val="000000"/>
                      <w:sz w:val="18"/>
                      <w:szCs w:val="18"/>
                    </w:rPr>
                    <w:t>无组织废气监测</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p>
              </w:tc>
              <w:tc>
                <w:tcPr>
                  <w:tcW w:w="9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无监测</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环境质量监测</w:t>
                  </w:r>
                </w:p>
              </w:tc>
              <w:tc>
                <w:tcPr>
                  <w:tcW w:w="19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监测因子：（   ）</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监测点位数（）</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无监测</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评价结论</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环境影响</w:t>
                  </w:r>
                </w:p>
              </w:tc>
              <w:tc>
                <w:tcPr>
                  <w:tcW w:w="589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可以接受</w:t>
                  </w:r>
                  <w:r>
                    <w:rPr>
                      <w:rFonts w:hint="eastAsia" w:ascii="宋体" w:hAnsi="宋体"/>
                      <w:color w:val="000000"/>
                      <w:sz w:val="18"/>
                      <w:szCs w:val="18"/>
                    </w:rPr>
                    <w:fldChar w:fldCharType="begin"/>
                  </w:r>
                  <w:r>
                    <w:rPr>
                      <w:rFonts w:hint="eastAsia" w:ascii="宋体" w:hAnsi="宋体"/>
                      <w:color w:val="000000"/>
                      <w:sz w:val="18"/>
                      <w:szCs w:val="18"/>
                    </w:rPr>
                    <w:instrText xml:space="preserve"> eq \o\ac(□,√)</w:instrText>
                  </w:r>
                  <w:r>
                    <w:rPr>
                      <w:rFonts w:hint="eastAsia" w:ascii="宋体" w:hAnsi="宋体"/>
                      <w:color w:val="000000"/>
                      <w:sz w:val="18"/>
                      <w:szCs w:val="18"/>
                    </w:rPr>
                    <w:fldChar w:fldCharType="end"/>
                  </w:r>
                  <w:r>
                    <w:rPr>
                      <w:color w:val="000000"/>
                      <w:sz w:val="18"/>
                      <w:szCs w:val="18"/>
                    </w:rPr>
                    <w:t xml:space="preserve">         </w:t>
                  </w:r>
                  <w:r>
                    <w:rPr>
                      <w:rFonts w:hint="eastAsia"/>
                      <w:color w:val="000000"/>
                      <w:sz w:val="18"/>
                      <w:szCs w:val="18"/>
                    </w:rPr>
                    <w:t>不可以接受</w:t>
                  </w:r>
                  <w:r>
                    <w:rPr>
                      <w:rFonts w:hint="eastAsia" w:ascii="宋体" w:hAnsi="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大气环境防护距离</w:t>
                  </w:r>
                </w:p>
              </w:tc>
              <w:tc>
                <w:tcPr>
                  <w:tcW w:w="589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距</w:t>
                  </w:r>
                  <w:r>
                    <w:rPr>
                      <w:rFonts w:hint="eastAsia"/>
                      <w:color w:val="000000"/>
                      <w:sz w:val="18"/>
                      <w:szCs w:val="18"/>
                    </w:rPr>
                    <w:t>（  ）</w:t>
                  </w:r>
                  <w:r>
                    <w:rPr>
                      <w:color w:val="000000"/>
                      <w:sz w:val="18"/>
                      <w:szCs w:val="18"/>
                    </w:rPr>
                    <w:t>厂界最远（</w:t>
                  </w:r>
                  <w:r>
                    <w:rPr>
                      <w:rFonts w:hint="eastAsia"/>
                      <w:color w:val="000000"/>
                      <w:sz w:val="18"/>
                      <w:szCs w:val="18"/>
                    </w:rPr>
                    <w:t xml:space="preserve">  </w:t>
                  </w:r>
                  <w:r>
                    <w:rPr>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污染源年排放量</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SO</w:t>
                  </w:r>
                  <w:r>
                    <w:rPr>
                      <w:color w:val="000000"/>
                      <w:sz w:val="18"/>
                      <w:szCs w:val="18"/>
                      <w:vertAlign w:val="subscript"/>
                    </w:rPr>
                    <w:t>2</w:t>
                  </w:r>
                  <w:r>
                    <w:rPr>
                      <w:rFonts w:hint="eastAsia"/>
                      <w:color w:val="000000"/>
                      <w:sz w:val="18"/>
                      <w:szCs w:val="18"/>
                    </w:rPr>
                    <w:t>：（0.00034）</w:t>
                  </w:r>
                  <w:r>
                    <w:rPr>
                      <w:color w:val="000000"/>
                      <w:sz w:val="18"/>
                      <w:szCs w:val="18"/>
                    </w:rPr>
                    <w:t>t/a</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NO</w:t>
                  </w:r>
                  <w:r>
                    <w:rPr>
                      <w:color w:val="000000"/>
                      <w:sz w:val="18"/>
                      <w:szCs w:val="18"/>
                      <w:vertAlign w:val="subscript"/>
                    </w:rPr>
                    <w:t>X</w:t>
                  </w:r>
                  <w:r>
                    <w:rPr>
                      <w:rFonts w:hint="eastAsia"/>
                      <w:color w:val="000000"/>
                      <w:sz w:val="18"/>
                      <w:szCs w:val="18"/>
                    </w:rPr>
                    <w:t>：（0.0102）</w:t>
                  </w:r>
                  <w:r>
                    <w:rPr>
                      <w:color w:val="000000"/>
                      <w:sz w:val="18"/>
                      <w:szCs w:val="18"/>
                    </w:rPr>
                    <w:t>t/a</w:t>
                  </w:r>
                </w:p>
              </w:tc>
              <w:tc>
                <w:tcPr>
                  <w:tcW w:w="18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rFonts w:hint="eastAsia"/>
                      <w:color w:val="000000"/>
                      <w:sz w:val="18"/>
                      <w:szCs w:val="18"/>
                    </w:rPr>
                    <w:t>颗粒物：（0.00085）</w:t>
                  </w:r>
                  <w:r>
                    <w:rPr>
                      <w:color w:val="000000"/>
                      <w:sz w:val="18"/>
                      <w:szCs w:val="18"/>
                    </w:rPr>
                    <w:t>t/a</w:t>
                  </w:r>
                </w:p>
              </w:tc>
              <w:tc>
                <w:tcPr>
                  <w:tcW w:w="12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color w:val="000000"/>
                      <w:sz w:val="18"/>
                      <w:szCs w:val="18"/>
                    </w:rPr>
                  </w:pPr>
                  <w:r>
                    <w:rPr>
                      <w:color w:val="000000"/>
                      <w:sz w:val="18"/>
                      <w:szCs w:val="18"/>
                    </w:rPr>
                    <w:t>VOC</w:t>
                  </w:r>
                  <w:r>
                    <w:rPr>
                      <w:color w:val="000000"/>
                      <w:sz w:val="18"/>
                      <w:szCs w:val="18"/>
                      <w:vertAlign w:val="subscript"/>
                    </w:rPr>
                    <w:t>S</w:t>
                  </w:r>
                  <w:r>
                    <w:rPr>
                      <w:rFonts w:hint="eastAsia"/>
                      <w:color w:val="000000"/>
                      <w:sz w:val="18"/>
                      <w:szCs w:val="18"/>
                    </w:rPr>
                    <w:t>：（0.057）</w:t>
                  </w:r>
                  <w:r>
                    <w:rPr>
                      <w:color w:val="000000"/>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22"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1"/>
                    <w:rPr>
                      <w:rFonts w:ascii="宋体" w:hAnsi="宋体"/>
                      <w:color w:val="000000"/>
                      <w:sz w:val="18"/>
                      <w:szCs w:val="18"/>
                    </w:rPr>
                  </w:pPr>
                  <w:r>
                    <w:rPr>
                      <w:rFonts w:hint="eastAsia" w:ascii="宋体" w:hAnsi="宋体"/>
                      <w:color w:val="000000"/>
                      <w:sz w:val="18"/>
                      <w:szCs w:val="18"/>
                    </w:rPr>
                    <w:t>注：“□”，填“√”；“（ ）”为内容填写项</w:t>
                  </w:r>
                </w:p>
              </w:tc>
            </w:tr>
          </w:tbl>
          <w:p>
            <w:pPr>
              <w:widowControl/>
              <w:autoSpaceDE w:val="0"/>
              <w:autoSpaceDN w:val="0"/>
              <w:snapToGrid w:val="0"/>
              <w:spacing w:line="360" w:lineRule="auto"/>
              <w:ind w:firstLine="480" w:firstLineChars="200"/>
              <w:rPr>
                <w:sz w:val="24"/>
              </w:rPr>
            </w:pPr>
            <w:r>
              <w:rPr>
                <w:rFonts w:hint="eastAsia"/>
                <w:sz w:val="24"/>
              </w:rPr>
              <w:t>2.6大气环境防护距离</w:t>
            </w:r>
          </w:p>
          <w:p>
            <w:pPr>
              <w:widowControl/>
              <w:autoSpaceDE w:val="0"/>
              <w:autoSpaceDN w:val="0"/>
              <w:snapToGrid w:val="0"/>
              <w:spacing w:line="360" w:lineRule="auto"/>
              <w:ind w:firstLine="480" w:firstLineChars="200"/>
              <w:rPr>
                <w:sz w:val="24"/>
              </w:rPr>
            </w:pPr>
            <w:r>
              <w:rPr>
                <w:rFonts w:hint="eastAsia"/>
                <w:sz w:val="24"/>
              </w:rPr>
              <w:t>本次评价采用《环境影响评价技术导则-大气环境》（HJ2.2-2018）推荐的大气环境防护距离标准计算程序计算，计算结果见下表。</w:t>
            </w:r>
          </w:p>
          <w:p>
            <w:pPr>
              <w:tabs>
                <w:tab w:val="left" w:pos="1081"/>
              </w:tabs>
              <w:adjustRightInd w:val="0"/>
              <w:snapToGrid w:val="0"/>
              <w:spacing w:line="360" w:lineRule="auto"/>
              <w:jc w:val="center"/>
              <w:rPr>
                <w:rFonts w:hAnsi="宋体"/>
                <w:b/>
                <w:color w:val="000000"/>
                <w:sz w:val="24"/>
              </w:rPr>
            </w:pPr>
            <w:r>
              <w:rPr>
                <w:rFonts w:hint="eastAsia" w:hAnsi="宋体"/>
                <w:b/>
                <w:color w:val="000000"/>
                <w:sz w:val="24"/>
              </w:rPr>
              <w:t>表4-17       大气环境防护距离计算结果表</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10"/>
              <w:gridCol w:w="1271"/>
              <w:gridCol w:w="1136"/>
              <w:gridCol w:w="1276"/>
              <w:gridCol w:w="156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pct"/>
                  <w:gridSpan w:val="2"/>
                  <w:vAlign w:val="center"/>
                </w:tcPr>
                <w:p>
                  <w:pPr>
                    <w:widowControl/>
                    <w:spacing w:line="400" w:lineRule="exact"/>
                    <w:jc w:val="center"/>
                    <w:rPr>
                      <w:color w:val="000000"/>
                      <w:kern w:val="0"/>
                      <w:szCs w:val="21"/>
                    </w:rPr>
                  </w:pPr>
                  <w:r>
                    <w:rPr>
                      <w:rFonts w:hint="eastAsia"/>
                      <w:color w:val="000000"/>
                      <w:kern w:val="0"/>
                      <w:szCs w:val="21"/>
                    </w:rPr>
                    <w:t>排放源</w:t>
                  </w:r>
                </w:p>
              </w:tc>
              <w:tc>
                <w:tcPr>
                  <w:tcW w:w="798" w:type="pct"/>
                  <w:vAlign w:val="center"/>
                </w:tcPr>
                <w:p>
                  <w:pPr>
                    <w:widowControl/>
                    <w:spacing w:line="400" w:lineRule="exact"/>
                    <w:jc w:val="center"/>
                    <w:rPr>
                      <w:color w:val="000000"/>
                      <w:kern w:val="0"/>
                      <w:szCs w:val="21"/>
                    </w:rPr>
                  </w:pPr>
                  <w:r>
                    <w:rPr>
                      <w:rFonts w:hint="eastAsia"/>
                      <w:color w:val="000000"/>
                      <w:kern w:val="0"/>
                      <w:szCs w:val="21"/>
                    </w:rPr>
                    <w:t>污染物</w:t>
                  </w:r>
                </w:p>
              </w:tc>
              <w:tc>
                <w:tcPr>
                  <w:tcW w:w="713" w:type="pct"/>
                  <w:vAlign w:val="center"/>
                </w:tcPr>
                <w:p>
                  <w:pPr>
                    <w:widowControl/>
                    <w:spacing w:line="400" w:lineRule="exact"/>
                    <w:jc w:val="center"/>
                    <w:rPr>
                      <w:color w:val="000000"/>
                      <w:kern w:val="0"/>
                      <w:szCs w:val="21"/>
                    </w:rPr>
                  </w:pPr>
                  <w:r>
                    <w:rPr>
                      <w:rFonts w:hint="eastAsia"/>
                      <w:color w:val="000000"/>
                      <w:kern w:val="0"/>
                      <w:szCs w:val="21"/>
                    </w:rPr>
                    <w:t>排放速率（kg/h）</w:t>
                  </w:r>
                </w:p>
              </w:tc>
              <w:tc>
                <w:tcPr>
                  <w:tcW w:w="801" w:type="pct"/>
                  <w:vAlign w:val="center"/>
                </w:tcPr>
                <w:p>
                  <w:pPr>
                    <w:widowControl/>
                    <w:spacing w:line="400" w:lineRule="exact"/>
                    <w:jc w:val="center"/>
                    <w:rPr>
                      <w:color w:val="000000"/>
                      <w:kern w:val="0"/>
                      <w:szCs w:val="21"/>
                    </w:rPr>
                  </w:pPr>
                  <w:r>
                    <w:rPr>
                      <w:rFonts w:hint="eastAsia"/>
                      <w:color w:val="000000"/>
                      <w:kern w:val="0"/>
                      <w:szCs w:val="21"/>
                    </w:rPr>
                    <w:t>小时评价标准（mg/m</w:t>
                  </w:r>
                  <w:r>
                    <w:rPr>
                      <w:rFonts w:hint="eastAsia"/>
                      <w:color w:val="000000"/>
                      <w:kern w:val="0"/>
                      <w:szCs w:val="21"/>
                      <w:vertAlign w:val="superscript"/>
                    </w:rPr>
                    <w:t>3</w:t>
                  </w:r>
                  <w:r>
                    <w:rPr>
                      <w:rFonts w:hint="eastAsia"/>
                      <w:color w:val="000000"/>
                      <w:kern w:val="0"/>
                      <w:szCs w:val="21"/>
                    </w:rPr>
                    <w:t>）</w:t>
                  </w:r>
                </w:p>
              </w:tc>
              <w:tc>
                <w:tcPr>
                  <w:tcW w:w="984" w:type="pct"/>
                  <w:vAlign w:val="center"/>
                </w:tcPr>
                <w:p>
                  <w:pPr>
                    <w:widowControl/>
                    <w:spacing w:line="400" w:lineRule="exact"/>
                    <w:jc w:val="center"/>
                    <w:rPr>
                      <w:color w:val="000000"/>
                      <w:kern w:val="0"/>
                      <w:szCs w:val="21"/>
                    </w:rPr>
                  </w:pPr>
                  <w:r>
                    <w:rPr>
                      <w:rFonts w:hint="eastAsia"/>
                      <w:color w:val="000000"/>
                      <w:kern w:val="0"/>
                      <w:szCs w:val="21"/>
                    </w:rPr>
                    <w:t>污染源指标</w:t>
                  </w:r>
                </w:p>
              </w:tc>
              <w:tc>
                <w:tcPr>
                  <w:tcW w:w="711" w:type="pct"/>
                  <w:vAlign w:val="center"/>
                </w:tcPr>
                <w:p>
                  <w:pPr>
                    <w:widowControl/>
                    <w:spacing w:line="400" w:lineRule="exact"/>
                    <w:jc w:val="center"/>
                    <w:rPr>
                      <w:color w:val="000000"/>
                      <w:kern w:val="0"/>
                      <w:szCs w:val="21"/>
                    </w:rPr>
                  </w:pPr>
                  <w:r>
                    <w:rPr>
                      <w:rFonts w:hint="eastAsia"/>
                      <w:color w:val="000000"/>
                      <w:kern w:val="0"/>
                      <w:szCs w:val="21"/>
                    </w:rPr>
                    <w:t>大气防护距离（m）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7" w:type="pct"/>
                  <w:vMerge w:val="restart"/>
                  <w:vAlign w:val="center"/>
                </w:tcPr>
                <w:p>
                  <w:pPr>
                    <w:widowControl/>
                    <w:spacing w:line="400" w:lineRule="exact"/>
                    <w:jc w:val="center"/>
                    <w:rPr>
                      <w:color w:val="000000"/>
                      <w:kern w:val="0"/>
                      <w:szCs w:val="21"/>
                    </w:rPr>
                  </w:pPr>
                  <w:r>
                    <w:rPr>
                      <w:rFonts w:hint="eastAsia"/>
                      <w:color w:val="000000"/>
                      <w:kern w:val="0"/>
                      <w:szCs w:val="21"/>
                    </w:rPr>
                    <w:t>无组织面源</w:t>
                  </w:r>
                </w:p>
              </w:tc>
              <w:tc>
                <w:tcPr>
                  <w:tcW w:w="446" w:type="pct"/>
                  <w:vMerge w:val="restart"/>
                  <w:vAlign w:val="center"/>
                </w:tcPr>
                <w:p>
                  <w:pPr>
                    <w:adjustRightInd w:val="0"/>
                    <w:snapToGrid w:val="0"/>
                    <w:spacing w:line="400" w:lineRule="exact"/>
                    <w:jc w:val="center"/>
                    <w:rPr>
                      <w:rFonts w:hAnsi="宋体"/>
                      <w:color w:val="000000"/>
                    </w:rPr>
                  </w:pPr>
                  <w:r>
                    <w:rPr>
                      <w:rFonts w:hint="eastAsia" w:hAnsi="宋体"/>
                      <w:color w:val="000000"/>
                    </w:rPr>
                    <w:t>生产车间</w:t>
                  </w:r>
                </w:p>
              </w:tc>
              <w:tc>
                <w:tcPr>
                  <w:tcW w:w="798" w:type="pct"/>
                  <w:vAlign w:val="center"/>
                </w:tcPr>
                <w:p>
                  <w:pPr>
                    <w:pStyle w:val="65"/>
                    <w:spacing w:line="360" w:lineRule="exact"/>
                    <w:rPr>
                      <w:color w:val="000000"/>
                      <w:szCs w:val="21"/>
                    </w:rPr>
                  </w:pPr>
                  <w:r>
                    <w:rPr>
                      <w:color w:val="000000"/>
                      <w:szCs w:val="21"/>
                    </w:rPr>
                    <w:t>甲醛</w:t>
                  </w:r>
                </w:p>
              </w:tc>
              <w:tc>
                <w:tcPr>
                  <w:tcW w:w="713" w:type="pct"/>
                  <w:vAlign w:val="center"/>
                </w:tcPr>
                <w:p>
                  <w:pPr>
                    <w:adjustRightInd w:val="0"/>
                    <w:snapToGrid w:val="0"/>
                    <w:spacing w:line="400" w:lineRule="exact"/>
                    <w:jc w:val="center"/>
                    <w:rPr>
                      <w:rFonts w:hAnsi="宋体"/>
                      <w:color w:val="000000"/>
                    </w:rPr>
                  </w:pPr>
                  <w:r>
                    <w:rPr>
                      <w:rFonts w:hint="eastAsia" w:hAnsi="宋体"/>
                      <w:color w:val="000000"/>
                    </w:rPr>
                    <w:t>0.002</w:t>
                  </w:r>
                </w:p>
              </w:tc>
              <w:tc>
                <w:tcPr>
                  <w:tcW w:w="801" w:type="pct"/>
                  <w:vAlign w:val="center"/>
                </w:tcPr>
                <w:p>
                  <w:pPr>
                    <w:spacing w:line="400" w:lineRule="exact"/>
                    <w:jc w:val="center"/>
                    <w:rPr>
                      <w:color w:val="000000"/>
                      <w:kern w:val="0"/>
                      <w:szCs w:val="21"/>
                    </w:rPr>
                  </w:pPr>
                  <w:r>
                    <w:rPr>
                      <w:rFonts w:hint="eastAsia"/>
                      <w:color w:val="000000"/>
                      <w:kern w:val="0"/>
                      <w:szCs w:val="21"/>
                    </w:rPr>
                    <w:t>0.05</w:t>
                  </w:r>
                </w:p>
              </w:tc>
              <w:tc>
                <w:tcPr>
                  <w:tcW w:w="984" w:type="pct"/>
                  <w:vMerge w:val="restart"/>
                  <w:vAlign w:val="center"/>
                </w:tcPr>
                <w:p>
                  <w:pPr>
                    <w:spacing w:line="400" w:lineRule="exact"/>
                    <w:jc w:val="center"/>
                    <w:rPr>
                      <w:color w:val="000000"/>
                      <w:kern w:val="0"/>
                      <w:szCs w:val="21"/>
                    </w:rPr>
                  </w:pPr>
                  <w:r>
                    <w:rPr>
                      <w:rFonts w:hint="eastAsia"/>
                      <w:color w:val="000000"/>
                      <w:kern w:val="0"/>
                      <w:szCs w:val="21"/>
                    </w:rPr>
                    <w:t>无组织面源：排放高度8m；面源长度30m，宽度16.5m</w:t>
                  </w:r>
                </w:p>
              </w:tc>
              <w:tc>
                <w:tcPr>
                  <w:tcW w:w="711" w:type="pct"/>
                  <w:vMerge w:val="restart"/>
                  <w:vAlign w:val="center"/>
                </w:tcPr>
                <w:p>
                  <w:pPr>
                    <w:spacing w:line="400" w:lineRule="exact"/>
                    <w:jc w:val="center"/>
                    <w:rPr>
                      <w:color w:val="000000"/>
                      <w:kern w:val="0"/>
                      <w:szCs w:val="21"/>
                    </w:rPr>
                  </w:pPr>
                  <w:r>
                    <w:rPr>
                      <w:rFonts w:hint="eastAsia"/>
                      <w:color w:val="000000"/>
                      <w:kern w:val="0"/>
                      <w:szCs w:val="21"/>
                    </w:rPr>
                    <w:t>无超标点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7" w:type="pct"/>
                  <w:vMerge w:val="continue"/>
                  <w:vAlign w:val="center"/>
                </w:tcPr>
                <w:p>
                  <w:pPr>
                    <w:widowControl/>
                    <w:spacing w:line="400" w:lineRule="exact"/>
                    <w:jc w:val="center"/>
                    <w:rPr>
                      <w:color w:val="000000"/>
                      <w:kern w:val="0"/>
                      <w:szCs w:val="21"/>
                    </w:rPr>
                  </w:pPr>
                </w:p>
              </w:tc>
              <w:tc>
                <w:tcPr>
                  <w:tcW w:w="446" w:type="pct"/>
                  <w:vMerge w:val="continue"/>
                  <w:vAlign w:val="center"/>
                </w:tcPr>
                <w:p>
                  <w:pPr>
                    <w:adjustRightInd w:val="0"/>
                    <w:snapToGrid w:val="0"/>
                    <w:spacing w:line="400" w:lineRule="exact"/>
                    <w:jc w:val="center"/>
                    <w:rPr>
                      <w:rFonts w:hAnsi="宋体"/>
                      <w:color w:val="000000"/>
                    </w:rPr>
                  </w:pPr>
                </w:p>
              </w:tc>
              <w:tc>
                <w:tcPr>
                  <w:tcW w:w="798" w:type="pct"/>
                  <w:vAlign w:val="center"/>
                </w:tcPr>
                <w:p>
                  <w:pPr>
                    <w:pStyle w:val="65"/>
                    <w:spacing w:line="360" w:lineRule="exact"/>
                    <w:rPr>
                      <w:color w:val="000000"/>
                      <w:szCs w:val="21"/>
                    </w:rPr>
                  </w:pPr>
                  <w:r>
                    <w:rPr>
                      <w:rFonts w:hint="eastAsia"/>
                      <w:color w:val="000000"/>
                      <w:szCs w:val="21"/>
                    </w:rPr>
                    <w:t>非甲烷总烃</w:t>
                  </w:r>
                </w:p>
              </w:tc>
              <w:tc>
                <w:tcPr>
                  <w:tcW w:w="713" w:type="pct"/>
                  <w:vAlign w:val="center"/>
                </w:tcPr>
                <w:p>
                  <w:pPr>
                    <w:adjustRightInd w:val="0"/>
                    <w:snapToGrid w:val="0"/>
                    <w:spacing w:line="400" w:lineRule="exact"/>
                    <w:jc w:val="center"/>
                    <w:rPr>
                      <w:rFonts w:hAnsi="宋体"/>
                      <w:color w:val="000000"/>
                    </w:rPr>
                  </w:pPr>
                  <w:r>
                    <w:rPr>
                      <w:rFonts w:hint="eastAsia" w:hAnsi="宋体"/>
                      <w:color w:val="000000"/>
                    </w:rPr>
                    <w:t>0.011</w:t>
                  </w:r>
                </w:p>
              </w:tc>
              <w:tc>
                <w:tcPr>
                  <w:tcW w:w="801" w:type="pct"/>
                  <w:vAlign w:val="center"/>
                </w:tcPr>
                <w:p>
                  <w:pPr>
                    <w:spacing w:line="400" w:lineRule="exact"/>
                    <w:jc w:val="center"/>
                    <w:rPr>
                      <w:color w:val="000000"/>
                      <w:kern w:val="0"/>
                      <w:szCs w:val="21"/>
                    </w:rPr>
                  </w:pPr>
                  <w:r>
                    <w:rPr>
                      <w:rFonts w:hint="eastAsia"/>
                      <w:color w:val="000000"/>
                      <w:kern w:val="0"/>
                      <w:szCs w:val="21"/>
                    </w:rPr>
                    <w:t>2.0</w:t>
                  </w:r>
                </w:p>
              </w:tc>
              <w:tc>
                <w:tcPr>
                  <w:tcW w:w="984" w:type="pct"/>
                  <w:vMerge w:val="continue"/>
                  <w:vAlign w:val="center"/>
                </w:tcPr>
                <w:p>
                  <w:pPr>
                    <w:spacing w:line="400" w:lineRule="exact"/>
                    <w:jc w:val="center"/>
                    <w:rPr>
                      <w:color w:val="000000"/>
                      <w:kern w:val="0"/>
                      <w:szCs w:val="21"/>
                    </w:rPr>
                  </w:pPr>
                </w:p>
              </w:tc>
              <w:tc>
                <w:tcPr>
                  <w:tcW w:w="711" w:type="pct"/>
                  <w:vMerge w:val="continue"/>
                  <w:vAlign w:val="center"/>
                </w:tcPr>
                <w:p>
                  <w:pPr>
                    <w:spacing w:line="400" w:lineRule="exact"/>
                    <w:jc w:val="center"/>
                    <w:rPr>
                      <w:color w:val="000000"/>
                      <w:kern w:val="0"/>
                      <w:szCs w:val="21"/>
                    </w:rPr>
                  </w:pPr>
                </w:p>
              </w:tc>
            </w:tr>
          </w:tbl>
          <w:p>
            <w:pPr>
              <w:widowControl/>
              <w:adjustRightInd w:val="0"/>
              <w:snapToGrid w:val="0"/>
              <w:spacing w:line="360" w:lineRule="auto"/>
              <w:ind w:firstLine="480" w:firstLineChars="200"/>
              <w:rPr>
                <w:bCs/>
                <w:color w:val="000000"/>
                <w:kern w:val="0"/>
                <w:sz w:val="24"/>
              </w:rPr>
            </w:pPr>
            <w:r>
              <w:rPr>
                <w:rFonts w:hint="eastAsia"/>
                <w:bCs/>
                <w:color w:val="000000"/>
                <w:kern w:val="0"/>
                <w:sz w:val="24"/>
              </w:rPr>
              <w:t xml:space="preserve">根据预测，本项目营运期废气大气环境防护距离（距面源中心）无超标点，因此无需设置大气环境防护距离。 </w:t>
            </w:r>
          </w:p>
          <w:p>
            <w:pPr>
              <w:adjustRightInd w:val="0"/>
              <w:snapToGrid w:val="0"/>
              <w:spacing w:line="360" w:lineRule="auto"/>
              <w:ind w:firstLine="480" w:firstLineChars="200"/>
              <w:outlineLvl w:val="1"/>
              <w:rPr>
                <w:sz w:val="24"/>
              </w:rPr>
            </w:pPr>
            <w:r>
              <w:rPr>
                <w:rFonts w:hint="eastAsia"/>
                <w:sz w:val="24"/>
              </w:rPr>
              <w:t>综上，本项目营运期废气经采取措施后预计对周围大气环境影响不大。</w:t>
            </w:r>
          </w:p>
          <w:p>
            <w:pPr>
              <w:adjustRightInd w:val="0"/>
              <w:snapToGrid w:val="0"/>
              <w:spacing w:line="360" w:lineRule="auto"/>
              <w:ind w:firstLine="480" w:firstLineChars="200"/>
              <w:rPr>
                <w:sz w:val="24"/>
                <w:szCs w:val="24"/>
              </w:rPr>
            </w:pPr>
            <w:r>
              <w:rPr>
                <w:rFonts w:hint="eastAsia"/>
                <w:sz w:val="24"/>
                <w:szCs w:val="24"/>
              </w:rPr>
              <w:t>2.7废气监测计划</w:t>
            </w:r>
          </w:p>
          <w:p>
            <w:pPr>
              <w:adjustRightInd w:val="0"/>
              <w:snapToGrid w:val="0"/>
              <w:spacing w:line="360" w:lineRule="auto"/>
              <w:ind w:firstLine="480" w:firstLineChars="200"/>
              <w:rPr>
                <w:sz w:val="24"/>
                <w:szCs w:val="24"/>
              </w:rPr>
            </w:pPr>
            <w:r>
              <w:rPr>
                <w:rFonts w:hint="eastAsia"/>
                <w:sz w:val="24"/>
                <w:szCs w:val="24"/>
              </w:rPr>
              <w:t>根据《排污单位自行监测技术指南 总则》（HJ819-2017），本项目废气自行监测计划见下表。</w:t>
            </w:r>
          </w:p>
          <w:p>
            <w:pPr>
              <w:tabs>
                <w:tab w:val="left" w:pos="1081"/>
              </w:tabs>
              <w:adjustRightInd w:val="0"/>
              <w:snapToGrid w:val="0"/>
              <w:spacing w:line="360" w:lineRule="auto"/>
              <w:jc w:val="center"/>
              <w:rPr>
                <w:b/>
                <w:bCs/>
                <w:color w:val="000000"/>
                <w:kern w:val="0"/>
                <w:sz w:val="24"/>
              </w:rPr>
            </w:pPr>
            <w:r>
              <w:rPr>
                <w:rFonts w:hint="eastAsia"/>
                <w:b/>
                <w:bCs/>
                <w:color w:val="000000"/>
                <w:kern w:val="0"/>
                <w:sz w:val="24"/>
              </w:rPr>
              <w:t>表4-18        项目无组织废气监测计划表</w:t>
            </w:r>
          </w:p>
          <w:tbl>
            <w:tblPr>
              <w:tblStyle w:val="30"/>
              <w:tblW w:w="80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125"/>
              <w:gridCol w:w="2127"/>
              <w:gridCol w:w="1276"/>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660" w:type="pct"/>
                  <w:tcBorders>
                    <w:right w:val="single" w:color="auto" w:sz="4" w:space="0"/>
                  </w:tcBorders>
                  <w:vAlign w:val="center"/>
                </w:tcPr>
                <w:p>
                  <w:pPr>
                    <w:spacing w:line="360" w:lineRule="exact"/>
                    <w:jc w:val="center"/>
                    <w:rPr>
                      <w:szCs w:val="21"/>
                    </w:rPr>
                  </w:pPr>
                  <w:r>
                    <w:rPr>
                      <w:szCs w:val="21"/>
                    </w:rPr>
                    <w:t>类别</w:t>
                  </w:r>
                </w:p>
              </w:tc>
              <w:tc>
                <w:tcPr>
                  <w:tcW w:w="1316" w:type="pct"/>
                  <w:tcBorders>
                    <w:left w:val="single" w:color="auto" w:sz="4" w:space="0"/>
                  </w:tcBorders>
                  <w:vAlign w:val="center"/>
                </w:tcPr>
                <w:p>
                  <w:pPr>
                    <w:spacing w:line="360" w:lineRule="exact"/>
                    <w:jc w:val="center"/>
                    <w:rPr>
                      <w:szCs w:val="21"/>
                    </w:rPr>
                  </w:pPr>
                  <w:r>
                    <w:rPr>
                      <w:szCs w:val="21"/>
                    </w:rPr>
                    <w:t>监测点位</w:t>
                  </w:r>
                </w:p>
              </w:tc>
              <w:tc>
                <w:tcPr>
                  <w:tcW w:w="1317" w:type="pct"/>
                  <w:vAlign w:val="center"/>
                </w:tcPr>
                <w:p>
                  <w:pPr>
                    <w:spacing w:line="360" w:lineRule="exact"/>
                    <w:jc w:val="center"/>
                    <w:rPr>
                      <w:szCs w:val="21"/>
                    </w:rPr>
                  </w:pPr>
                  <w:r>
                    <w:rPr>
                      <w:szCs w:val="21"/>
                    </w:rPr>
                    <w:t>监测</w:t>
                  </w:r>
                  <w:r>
                    <w:rPr>
                      <w:rFonts w:hint="eastAsia"/>
                      <w:szCs w:val="21"/>
                    </w:rPr>
                    <w:t>因子</w:t>
                  </w:r>
                </w:p>
              </w:tc>
              <w:tc>
                <w:tcPr>
                  <w:tcW w:w="790" w:type="pct"/>
                  <w:vAlign w:val="center"/>
                </w:tcPr>
                <w:p>
                  <w:pPr>
                    <w:spacing w:line="360" w:lineRule="exact"/>
                    <w:ind w:left="-105" w:leftChars="-50" w:right="-105" w:rightChars="-50"/>
                    <w:jc w:val="center"/>
                    <w:rPr>
                      <w:szCs w:val="21"/>
                    </w:rPr>
                  </w:pPr>
                  <w:r>
                    <w:rPr>
                      <w:rFonts w:hint="eastAsia"/>
                      <w:szCs w:val="21"/>
                    </w:rPr>
                    <w:t>监测</w:t>
                  </w:r>
                  <w:r>
                    <w:rPr>
                      <w:szCs w:val="21"/>
                    </w:rPr>
                    <w:t>频率</w:t>
                  </w:r>
                </w:p>
              </w:tc>
              <w:tc>
                <w:tcPr>
                  <w:tcW w:w="917" w:type="pct"/>
                </w:tcPr>
                <w:p>
                  <w:pPr>
                    <w:spacing w:line="360" w:lineRule="exact"/>
                    <w:ind w:left="-105" w:leftChars="-50" w:right="-105" w:rightChars="-50"/>
                    <w:jc w:val="center"/>
                    <w:rPr>
                      <w:szCs w:val="21"/>
                    </w:rPr>
                  </w:pPr>
                  <w:r>
                    <w:rPr>
                      <w:rFonts w:hint="eastAsia"/>
                      <w:szCs w:val="21"/>
                    </w:rPr>
                    <w:t>监测单位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660" w:type="pct"/>
                  <w:vMerge w:val="restart"/>
                  <w:tcBorders>
                    <w:right w:val="single" w:color="auto" w:sz="4" w:space="0"/>
                  </w:tcBorders>
                  <w:vAlign w:val="center"/>
                </w:tcPr>
                <w:p>
                  <w:pPr>
                    <w:spacing w:line="360" w:lineRule="exact"/>
                    <w:jc w:val="center"/>
                    <w:rPr>
                      <w:szCs w:val="21"/>
                    </w:rPr>
                  </w:pPr>
                  <w:r>
                    <w:rPr>
                      <w:rFonts w:hint="eastAsia"/>
                      <w:szCs w:val="21"/>
                    </w:rPr>
                    <w:t>有组织</w:t>
                  </w:r>
                </w:p>
              </w:tc>
              <w:tc>
                <w:tcPr>
                  <w:tcW w:w="1316" w:type="pct"/>
                  <w:tcBorders>
                    <w:left w:val="single" w:color="auto" w:sz="4" w:space="0"/>
                  </w:tcBorders>
                  <w:vAlign w:val="center"/>
                </w:tcPr>
                <w:p>
                  <w:pPr>
                    <w:adjustRightInd w:val="0"/>
                    <w:snapToGrid w:val="0"/>
                    <w:spacing w:line="300" w:lineRule="exact"/>
                    <w:jc w:val="center"/>
                    <w:rPr>
                      <w:color w:val="000000"/>
                      <w:lang w:val="en-GB"/>
                    </w:rPr>
                  </w:pPr>
                  <w:r>
                    <w:rPr>
                      <w:rFonts w:hint="eastAsia"/>
                      <w:color w:val="000000"/>
                      <w:szCs w:val="21"/>
                    </w:rPr>
                    <w:t>热压工序</w:t>
                  </w:r>
                  <w:r>
                    <w:rPr>
                      <w:color w:val="000000"/>
                      <w:szCs w:val="21"/>
                    </w:rPr>
                    <w:t>排气筒</w:t>
                  </w:r>
                </w:p>
              </w:tc>
              <w:tc>
                <w:tcPr>
                  <w:tcW w:w="1317" w:type="pct"/>
                  <w:vAlign w:val="center"/>
                </w:tcPr>
                <w:p>
                  <w:pPr>
                    <w:spacing w:line="360" w:lineRule="exact"/>
                    <w:jc w:val="center"/>
                    <w:rPr>
                      <w:b/>
                      <w:szCs w:val="21"/>
                    </w:rPr>
                  </w:pPr>
                  <w:r>
                    <w:rPr>
                      <w:rFonts w:hint="eastAsia"/>
                      <w:szCs w:val="21"/>
                    </w:rPr>
                    <w:t>甲醛、非甲烷总烃</w:t>
                  </w:r>
                </w:p>
              </w:tc>
              <w:tc>
                <w:tcPr>
                  <w:tcW w:w="790" w:type="pct"/>
                  <w:vAlign w:val="center"/>
                </w:tcPr>
                <w:p>
                  <w:pPr>
                    <w:spacing w:line="360" w:lineRule="exact"/>
                    <w:ind w:left="-105" w:leftChars="-50" w:right="-105" w:rightChars="-50"/>
                    <w:jc w:val="center"/>
                    <w:rPr>
                      <w:b/>
                      <w:szCs w:val="21"/>
                    </w:rPr>
                  </w:pPr>
                  <w:r>
                    <w:rPr>
                      <w:rFonts w:hint="eastAsia"/>
                      <w:kern w:val="0"/>
                      <w:szCs w:val="21"/>
                    </w:rPr>
                    <w:t>1次/年</w:t>
                  </w:r>
                </w:p>
              </w:tc>
              <w:tc>
                <w:tcPr>
                  <w:tcW w:w="917" w:type="pct"/>
                  <w:vMerge w:val="restart"/>
                  <w:vAlign w:val="center"/>
                </w:tcPr>
                <w:p>
                  <w:pPr>
                    <w:spacing w:line="360" w:lineRule="exact"/>
                    <w:ind w:left="-105" w:leftChars="-50" w:right="-105" w:rightChars="-50"/>
                    <w:jc w:val="center"/>
                    <w:rPr>
                      <w:kern w:val="0"/>
                      <w:szCs w:val="21"/>
                    </w:rPr>
                  </w:pPr>
                  <w:r>
                    <w:rPr>
                      <w:rFonts w:hint="eastAsia"/>
                      <w:kern w:val="0"/>
                      <w:szCs w:val="21"/>
                    </w:rPr>
                    <w:t>委托有资质单位监测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660" w:type="pct"/>
                  <w:vMerge w:val="continue"/>
                  <w:tcBorders>
                    <w:right w:val="single" w:color="auto" w:sz="4" w:space="0"/>
                  </w:tcBorders>
                  <w:vAlign w:val="center"/>
                </w:tcPr>
                <w:p>
                  <w:pPr>
                    <w:spacing w:line="360" w:lineRule="exact"/>
                    <w:jc w:val="center"/>
                    <w:rPr>
                      <w:szCs w:val="21"/>
                    </w:rPr>
                  </w:pPr>
                </w:p>
              </w:tc>
              <w:tc>
                <w:tcPr>
                  <w:tcW w:w="1316" w:type="pct"/>
                  <w:tcBorders>
                    <w:left w:val="single" w:color="auto" w:sz="4" w:space="0"/>
                  </w:tcBorders>
                  <w:vAlign w:val="center"/>
                </w:tcPr>
                <w:p>
                  <w:pPr>
                    <w:spacing w:line="340" w:lineRule="exact"/>
                    <w:jc w:val="center"/>
                    <w:rPr>
                      <w:color w:val="000000"/>
                      <w:szCs w:val="21"/>
                    </w:rPr>
                  </w:pPr>
                  <w:r>
                    <w:rPr>
                      <w:rFonts w:hint="eastAsia"/>
                      <w:color w:val="000000"/>
                      <w:szCs w:val="21"/>
                    </w:rPr>
                    <w:t>液化石油气燃烧废气排气筒</w:t>
                  </w:r>
                </w:p>
              </w:tc>
              <w:tc>
                <w:tcPr>
                  <w:tcW w:w="1317" w:type="pct"/>
                  <w:vAlign w:val="center"/>
                </w:tcPr>
                <w:p>
                  <w:pPr>
                    <w:spacing w:line="360" w:lineRule="exact"/>
                    <w:jc w:val="center"/>
                    <w:rPr>
                      <w:szCs w:val="21"/>
                    </w:rPr>
                  </w:pPr>
                  <w:r>
                    <w:rPr>
                      <w:rFonts w:hint="eastAsia"/>
                      <w:szCs w:val="21"/>
                    </w:rPr>
                    <w:t>SO</w:t>
                  </w:r>
                  <w:r>
                    <w:rPr>
                      <w:rFonts w:hint="eastAsia"/>
                      <w:szCs w:val="21"/>
                      <w:vertAlign w:val="subscript"/>
                    </w:rPr>
                    <w:t>2</w:t>
                  </w:r>
                  <w:r>
                    <w:rPr>
                      <w:rFonts w:hint="eastAsia"/>
                      <w:szCs w:val="21"/>
                    </w:rPr>
                    <w:t>、NOx、颗粒物</w:t>
                  </w:r>
                </w:p>
              </w:tc>
              <w:tc>
                <w:tcPr>
                  <w:tcW w:w="790" w:type="pct"/>
                  <w:vAlign w:val="center"/>
                </w:tcPr>
                <w:p>
                  <w:pPr>
                    <w:spacing w:line="360" w:lineRule="exact"/>
                    <w:ind w:left="-105" w:leftChars="-50" w:right="-105" w:rightChars="-50"/>
                    <w:jc w:val="center"/>
                    <w:rPr>
                      <w:kern w:val="0"/>
                      <w:szCs w:val="21"/>
                    </w:rPr>
                  </w:pPr>
                  <w:r>
                    <w:rPr>
                      <w:rFonts w:hint="eastAsia"/>
                      <w:kern w:val="0"/>
                      <w:szCs w:val="21"/>
                    </w:rPr>
                    <w:t>1次/半年</w:t>
                  </w:r>
                </w:p>
              </w:tc>
              <w:tc>
                <w:tcPr>
                  <w:tcW w:w="917" w:type="pct"/>
                  <w:vMerge w:val="continue"/>
                </w:tcPr>
                <w:p>
                  <w:pPr>
                    <w:spacing w:line="360" w:lineRule="exact"/>
                    <w:ind w:left="-105" w:leftChars="-50" w:right="-105" w:rightChars="-50"/>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660" w:type="pct"/>
                  <w:vAlign w:val="center"/>
                </w:tcPr>
                <w:p>
                  <w:pPr>
                    <w:spacing w:line="360" w:lineRule="exact"/>
                    <w:jc w:val="center"/>
                    <w:rPr>
                      <w:szCs w:val="21"/>
                    </w:rPr>
                  </w:pPr>
                  <w:r>
                    <w:rPr>
                      <w:rFonts w:hint="eastAsia"/>
                      <w:szCs w:val="21"/>
                    </w:rPr>
                    <w:t>无组织</w:t>
                  </w:r>
                </w:p>
              </w:tc>
              <w:tc>
                <w:tcPr>
                  <w:tcW w:w="1316" w:type="pct"/>
                  <w:vAlign w:val="center"/>
                </w:tcPr>
                <w:p>
                  <w:pPr>
                    <w:spacing w:line="360" w:lineRule="exact"/>
                    <w:ind w:left="-63" w:leftChars="-30" w:right="-63" w:rightChars="-30"/>
                    <w:jc w:val="center"/>
                    <w:rPr>
                      <w:szCs w:val="21"/>
                    </w:rPr>
                  </w:pPr>
                  <w:r>
                    <w:rPr>
                      <w:rFonts w:hint="eastAsia"/>
                      <w:szCs w:val="21"/>
                    </w:rPr>
                    <w:t>厂界</w:t>
                  </w:r>
                </w:p>
              </w:tc>
              <w:tc>
                <w:tcPr>
                  <w:tcW w:w="1317" w:type="pct"/>
                  <w:vAlign w:val="center"/>
                </w:tcPr>
                <w:p>
                  <w:pPr>
                    <w:spacing w:line="360" w:lineRule="exact"/>
                    <w:jc w:val="center"/>
                    <w:rPr>
                      <w:szCs w:val="21"/>
                    </w:rPr>
                  </w:pPr>
                  <w:r>
                    <w:rPr>
                      <w:rFonts w:hint="eastAsia"/>
                      <w:szCs w:val="21"/>
                    </w:rPr>
                    <w:t>甲醛、非甲烷总烃</w:t>
                  </w:r>
                </w:p>
              </w:tc>
              <w:tc>
                <w:tcPr>
                  <w:tcW w:w="790" w:type="pct"/>
                  <w:vAlign w:val="center"/>
                </w:tcPr>
                <w:p>
                  <w:pPr>
                    <w:spacing w:line="360" w:lineRule="exact"/>
                    <w:jc w:val="center"/>
                    <w:rPr>
                      <w:bCs/>
                      <w:szCs w:val="21"/>
                    </w:rPr>
                  </w:pPr>
                  <w:r>
                    <w:rPr>
                      <w:rFonts w:hint="eastAsia"/>
                      <w:kern w:val="0"/>
                      <w:szCs w:val="21"/>
                    </w:rPr>
                    <w:t>1次/半年</w:t>
                  </w:r>
                </w:p>
              </w:tc>
              <w:tc>
                <w:tcPr>
                  <w:tcW w:w="917" w:type="pct"/>
                  <w:vMerge w:val="continue"/>
                </w:tcPr>
                <w:p>
                  <w:pPr>
                    <w:spacing w:line="360" w:lineRule="exact"/>
                    <w:jc w:val="center"/>
                    <w:rPr>
                      <w:kern w:val="0"/>
                      <w:szCs w:val="21"/>
                    </w:rPr>
                  </w:pPr>
                </w:p>
              </w:tc>
            </w:tr>
          </w:tbl>
          <w:p>
            <w:pPr>
              <w:adjustRightInd w:val="0"/>
              <w:snapToGrid w:val="0"/>
              <w:spacing w:line="360" w:lineRule="auto"/>
              <w:ind w:firstLine="482" w:firstLineChars="200"/>
              <w:rPr>
                <w:rFonts w:hAnsi="宋体"/>
                <w:b/>
                <w:color w:val="000000"/>
                <w:sz w:val="24"/>
              </w:rPr>
            </w:pPr>
            <w:r>
              <w:rPr>
                <w:rFonts w:hint="eastAsia" w:hAnsi="宋体"/>
                <w:b/>
                <w:color w:val="000000"/>
                <w:sz w:val="24"/>
              </w:rPr>
              <w:t>3、噪声</w:t>
            </w:r>
          </w:p>
          <w:p>
            <w:pPr>
              <w:adjustRightInd w:val="0"/>
              <w:snapToGrid w:val="0"/>
              <w:spacing w:line="360" w:lineRule="auto"/>
              <w:ind w:firstLine="480" w:firstLineChars="200"/>
              <w:outlineLvl w:val="1"/>
              <w:rPr>
                <w:sz w:val="24"/>
              </w:rPr>
            </w:pPr>
            <w:r>
              <w:rPr>
                <w:rFonts w:hint="eastAsia"/>
                <w:sz w:val="24"/>
              </w:rPr>
              <w:t>3.1噪声源确定</w:t>
            </w:r>
          </w:p>
          <w:p>
            <w:pPr>
              <w:adjustRightInd w:val="0"/>
              <w:snapToGrid w:val="0"/>
              <w:spacing w:line="360" w:lineRule="auto"/>
              <w:ind w:firstLine="480" w:firstLineChars="200"/>
              <w:outlineLvl w:val="1"/>
              <w:rPr>
                <w:sz w:val="24"/>
              </w:rPr>
            </w:pPr>
            <w:r>
              <w:rPr>
                <w:rFonts w:hint="eastAsia"/>
                <w:sz w:val="24"/>
              </w:rPr>
              <w:t>本项目营运期噪声主要为热压机、模温机、风机等设备运行时产生的机械噪声，噪声源强在75~90dB（A）之间。主要采用基础减振、厂房隔声等降噪措施。</w:t>
            </w:r>
          </w:p>
          <w:p>
            <w:pPr>
              <w:widowControl/>
              <w:adjustRightInd w:val="0"/>
              <w:snapToGrid w:val="0"/>
              <w:spacing w:line="360" w:lineRule="auto"/>
              <w:jc w:val="center"/>
              <w:rPr>
                <w:b/>
                <w:sz w:val="24"/>
              </w:rPr>
            </w:pPr>
            <w:r>
              <w:rPr>
                <w:rFonts w:hint="eastAsia"/>
                <w:b/>
                <w:sz w:val="24"/>
              </w:rPr>
              <w:t xml:space="preserve">表4-19     </w:t>
            </w:r>
            <w:r>
              <w:rPr>
                <w:b/>
                <w:sz w:val="24"/>
              </w:rPr>
              <w:t>项目营运期主要高噪设备噪声产生源强一览表</w:t>
            </w:r>
          </w:p>
          <w:tbl>
            <w:tblPr>
              <w:tblStyle w:val="30"/>
              <w:tblW w:w="808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5"/>
              <w:gridCol w:w="476"/>
              <w:gridCol w:w="1121"/>
              <w:gridCol w:w="1096"/>
              <w:gridCol w:w="1418"/>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right"/>
              </w:trPr>
              <w:tc>
                <w:tcPr>
                  <w:tcW w:w="567" w:type="dxa"/>
                  <w:shd w:val="clear" w:color="auto" w:fill="auto"/>
                  <w:vAlign w:val="center"/>
                </w:tcPr>
                <w:p>
                  <w:pPr>
                    <w:spacing w:line="360" w:lineRule="exact"/>
                    <w:jc w:val="center"/>
                    <w:rPr>
                      <w:szCs w:val="21"/>
                    </w:rPr>
                  </w:pPr>
                  <w:r>
                    <w:rPr>
                      <w:szCs w:val="21"/>
                    </w:rPr>
                    <w:t>序号</w:t>
                  </w:r>
                </w:p>
              </w:tc>
              <w:tc>
                <w:tcPr>
                  <w:tcW w:w="995" w:type="dxa"/>
                  <w:shd w:val="clear" w:color="auto" w:fill="auto"/>
                  <w:vAlign w:val="center"/>
                </w:tcPr>
                <w:p>
                  <w:pPr>
                    <w:spacing w:line="360" w:lineRule="exact"/>
                    <w:jc w:val="center"/>
                    <w:rPr>
                      <w:szCs w:val="21"/>
                    </w:rPr>
                  </w:pPr>
                  <w:r>
                    <w:rPr>
                      <w:szCs w:val="21"/>
                    </w:rPr>
                    <w:t>设备</w:t>
                  </w:r>
                </w:p>
                <w:p>
                  <w:pPr>
                    <w:spacing w:line="360" w:lineRule="exact"/>
                    <w:jc w:val="center"/>
                    <w:rPr>
                      <w:szCs w:val="21"/>
                    </w:rPr>
                  </w:pPr>
                  <w:r>
                    <w:rPr>
                      <w:szCs w:val="21"/>
                    </w:rPr>
                    <w:t>名称</w:t>
                  </w:r>
                </w:p>
              </w:tc>
              <w:tc>
                <w:tcPr>
                  <w:tcW w:w="476" w:type="dxa"/>
                  <w:shd w:val="clear" w:color="auto" w:fill="auto"/>
                  <w:vAlign w:val="center"/>
                </w:tcPr>
                <w:p>
                  <w:pPr>
                    <w:spacing w:line="360" w:lineRule="exact"/>
                    <w:jc w:val="center"/>
                    <w:rPr>
                      <w:szCs w:val="21"/>
                    </w:rPr>
                  </w:pPr>
                  <w:r>
                    <w:rPr>
                      <w:szCs w:val="21"/>
                    </w:rPr>
                    <w:t>数量</w:t>
                  </w:r>
                </w:p>
              </w:tc>
              <w:tc>
                <w:tcPr>
                  <w:tcW w:w="1121" w:type="dxa"/>
                  <w:shd w:val="clear" w:color="auto" w:fill="auto"/>
                  <w:vAlign w:val="center"/>
                </w:tcPr>
                <w:p>
                  <w:pPr>
                    <w:spacing w:line="360" w:lineRule="exact"/>
                    <w:jc w:val="center"/>
                    <w:rPr>
                      <w:szCs w:val="21"/>
                    </w:rPr>
                  </w:pPr>
                  <w:r>
                    <w:rPr>
                      <w:szCs w:val="21"/>
                    </w:rPr>
                    <w:t>单台源强</w:t>
                  </w:r>
                </w:p>
                <w:p>
                  <w:pPr>
                    <w:spacing w:line="360" w:lineRule="exact"/>
                    <w:ind w:firstLine="200"/>
                    <w:jc w:val="center"/>
                    <w:rPr>
                      <w:szCs w:val="21"/>
                    </w:rPr>
                  </w:pPr>
                  <w:r>
                    <w:rPr>
                      <w:spacing w:val="-20"/>
                      <w:szCs w:val="21"/>
                    </w:rPr>
                    <w:t>dB（A）</w:t>
                  </w:r>
                </w:p>
              </w:tc>
              <w:tc>
                <w:tcPr>
                  <w:tcW w:w="1096" w:type="dxa"/>
                  <w:shd w:val="clear" w:color="auto" w:fill="auto"/>
                  <w:vAlign w:val="center"/>
                </w:tcPr>
                <w:p>
                  <w:pPr>
                    <w:spacing w:line="360" w:lineRule="exact"/>
                    <w:rPr>
                      <w:szCs w:val="21"/>
                    </w:rPr>
                  </w:pPr>
                  <w:r>
                    <w:rPr>
                      <w:szCs w:val="21"/>
                    </w:rPr>
                    <w:t>降噪措施</w:t>
                  </w:r>
                </w:p>
              </w:tc>
              <w:tc>
                <w:tcPr>
                  <w:tcW w:w="1418" w:type="dxa"/>
                  <w:shd w:val="clear" w:color="auto" w:fill="auto"/>
                  <w:vAlign w:val="center"/>
                </w:tcPr>
                <w:p>
                  <w:pPr>
                    <w:spacing w:line="360" w:lineRule="exact"/>
                    <w:jc w:val="center"/>
                    <w:rPr>
                      <w:szCs w:val="21"/>
                    </w:rPr>
                  </w:pPr>
                  <w:r>
                    <w:rPr>
                      <w:szCs w:val="21"/>
                    </w:rPr>
                    <w:t>降噪消减量</w:t>
                  </w:r>
                </w:p>
                <w:p>
                  <w:pPr>
                    <w:spacing w:line="360" w:lineRule="exact"/>
                    <w:jc w:val="center"/>
                    <w:rPr>
                      <w:spacing w:val="-20"/>
                      <w:szCs w:val="21"/>
                    </w:rPr>
                  </w:pPr>
                  <w:r>
                    <w:rPr>
                      <w:spacing w:val="-20"/>
                      <w:szCs w:val="21"/>
                    </w:rPr>
                    <w:t>dB（A）</w:t>
                  </w:r>
                </w:p>
              </w:tc>
              <w:tc>
                <w:tcPr>
                  <w:tcW w:w="1276" w:type="dxa"/>
                  <w:shd w:val="clear" w:color="auto" w:fill="auto"/>
                  <w:vAlign w:val="center"/>
                </w:tcPr>
                <w:p>
                  <w:pPr>
                    <w:spacing w:line="360" w:lineRule="exact"/>
                    <w:jc w:val="center"/>
                    <w:rPr>
                      <w:szCs w:val="21"/>
                    </w:rPr>
                  </w:pPr>
                  <w:r>
                    <w:rPr>
                      <w:szCs w:val="21"/>
                    </w:rPr>
                    <w:t>降噪后声级</w:t>
                  </w:r>
                </w:p>
                <w:p>
                  <w:pPr>
                    <w:spacing w:line="360" w:lineRule="exact"/>
                    <w:jc w:val="center"/>
                    <w:rPr>
                      <w:szCs w:val="21"/>
                    </w:rPr>
                  </w:pPr>
                  <w:r>
                    <w:rPr>
                      <w:spacing w:val="-20"/>
                      <w:szCs w:val="21"/>
                    </w:rPr>
                    <w:t>dB（A）</w:t>
                  </w:r>
                </w:p>
              </w:tc>
              <w:tc>
                <w:tcPr>
                  <w:tcW w:w="1134" w:type="dxa"/>
                  <w:vAlign w:val="center"/>
                </w:tcPr>
                <w:p>
                  <w:pPr>
                    <w:spacing w:line="360" w:lineRule="exact"/>
                    <w:jc w:val="center"/>
                    <w:rPr>
                      <w:szCs w:val="21"/>
                    </w:rPr>
                  </w:pPr>
                  <w:r>
                    <w:rPr>
                      <w:rFonts w:hint="eastAsia"/>
                      <w:szCs w:val="21"/>
                    </w:rPr>
                    <w:t>叠加后声级dB（A）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right"/>
              </w:trPr>
              <w:tc>
                <w:tcPr>
                  <w:tcW w:w="567" w:type="dxa"/>
                  <w:shd w:val="clear" w:color="auto" w:fill="auto"/>
                  <w:vAlign w:val="center"/>
                </w:tcPr>
                <w:p>
                  <w:pPr>
                    <w:spacing w:line="360" w:lineRule="exact"/>
                    <w:jc w:val="center"/>
                    <w:rPr>
                      <w:szCs w:val="21"/>
                    </w:rPr>
                  </w:pPr>
                  <w:r>
                    <w:rPr>
                      <w:rFonts w:hint="eastAsia"/>
                      <w:szCs w:val="21"/>
                    </w:rPr>
                    <w:t>1</w:t>
                  </w:r>
                </w:p>
              </w:tc>
              <w:tc>
                <w:tcPr>
                  <w:tcW w:w="995" w:type="dxa"/>
                  <w:shd w:val="clear" w:color="auto" w:fill="auto"/>
                  <w:vAlign w:val="center"/>
                </w:tcPr>
                <w:p>
                  <w:pPr>
                    <w:spacing w:line="360" w:lineRule="exact"/>
                    <w:jc w:val="center"/>
                    <w:rPr>
                      <w:szCs w:val="21"/>
                    </w:rPr>
                  </w:pPr>
                  <w:r>
                    <w:rPr>
                      <w:rFonts w:hint="eastAsia"/>
                      <w:szCs w:val="21"/>
                    </w:rPr>
                    <w:t>热压机</w:t>
                  </w:r>
                </w:p>
              </w:tc>
              <w:tc>
                <w:tcPr>
                  <w:tcW w:w="476" w:type="dxa"/>
                  <w:shd w:val="clear" w:color="auto" w:fill="auto"/>
                  <w:vAlign w:val="center"/>
                </w:tcPr>
                <w:p>
                  <w:pPr>
                    <w:spacing w:line="360" w:lineRule="exact"/>
                    <w:jc w:val="center"/>
                    <w:rPr>
                      <w:szCs w:val="21"/>
                    </w:rPr>
                  </w:pPr>
                  <w:r>
                    <w:rPr>
                      <w:rFonts w:hint="eastAsia"/>
                      <w:szCs w:val="21"/>
                    </w:rPr>
                    <w:t>1</w:t>
                  </w:r>
                </w:p>
              </w:tc>
              <w:tc>
                <w:tcPr>
                  <w:tcW w:w="1121" w:type="dxa"/>
                  <w:shd w:val="clear" w:color="auto" w:fill="auto"/>
                  <w:vAlign w:val="center"/>
                </w:tcPr>
                <w:p>
                  <w:pPr>
                    <w:spacing w:line="360" w:lineRule="exact"/>
                    <w:jc w:val="center"/>
                    <w:rPr>
                      <w:szCs w:val="21"/>
                    </w:rPr>
                  </w:pPr>
                  <w:r>
                    <w:rPr>
                      <w:rFonts w:hint="eastAsia"/>
                      <w:szCs w:val="21"/>
                    </w:rPr>
                    <w:t>80</w:t>
                  </w:r>
                </w:p>
              </w:tc>
              <w:tc>
                <w:tcPr>
                  <w:tcW w:w="1096" w:type="dxa"/>
                  <w:vMerge w:val="restart"/>
                  <w:shd w:val="clear" w:color="auto" w:fill="auto"/>
                  <w:vAlign w:val="center"/>
                </w:tcPr>
                <w:p>
                  <w:pPr>
                    <w:spacing w:line="360" w:lineRule="exact"/>
                    <w:jc w:val="center"/>
                    <w:rPr>
                      <w:szCs w:val="21"/>
                    </w:rPr>
                  </w:pPr>
                  <w:r>
                    <w:rPr>
                      <w:rFonts w:hint="eastAsia"/>
                      <w:szCs w:val="21"/>
                    </w:rPr>
                    <w:t>产噪</w:t>
                  </w:r>
                  <w:r>
                    <w:rPr>
                      <w:szCs w:val="21"/>
                    </w:rPr>
                    <w:t>设备采用独立基础，加装减振垫</w:t>
                  </w:r>
                </w:p>
              </w:tc>
              <w:tc>
                <w:tcPr>
                  <w:tcW w:w="1418" w:type="dxa"/>
                  <w:shd w:val="clear" w:color="auto" w:fill="auto"/>
                  <w:vAlign w:val="center"/>
                </w:tcPr>
                <w:p>
                  <w:pPr>
                    <w:spacing w:line="360" w:lineRule="exact"/>
                    <w:jc w:val="center"/>
                    <w:rPr>
                      <w:szCs w:val="21"/>
                    </w:rPr>
                  </w:pPr>
                  <w:r>
                    <w:rPr>
                      <w:rFonts w:hint="eastAsia"/>
                      <w:szCs w:val="21"/>
                    </w:rPr>
                    <w:t>20</w:t>
                  </w:r>
                </w:p>
              </w:tc>
              <w:tc>
                <w:tcPr>
                  <w:tcW w:w="1276" w:type="dxa"/>
                  <w:shd w:val="clear" w:color="auto" w:fill="auto"/>
                  <w:vAlign w:val="center"/>
                </w:tcPr>
                <w:p>
                  <w:pPr>
                    <w:spacing w:line="360" w:lineRule="exact"/>
                    <w:jc w:val="center"/>
                    <w:rPr>
                      <w:szCs w:val="21"/>
                    </w:rPr>
                  </w:pPr>
                  <w:r>
                    <w:rPr>
                      <w:rFonts w:hint="eastAsia"/>
                      <w:szCs w:val="21"/>
                    </w:rPr>
                    <w:t>60</w:t>
                  </w:r>
                </w:p>
              </w:tc>
              <w:tc>
                <w:tcPr>
                  <w:tcW w:w="1134" w:type="dxa"/>
                  <w:vAlign w:val="center"/>
                </w:tcPr>
                <w:p>
                  <w:pPr>
                    <w:spacing w:line="360" w:lineRule="exact"/>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right"/>
              </w:trPr>
              <w:tc>
                <w:tcPr>
                  <w:tcW w:w="567" w:type="dxa"/>
                  <w:shd w:val="clear" w:color="auto" w:fill="auto"/>
                  <w:vAlign w:val="center"/>
                </w:tcPr>
                <w:p>
                  <w:pPr>
                    <w:spacing w:line="360" w:lineRule="exact"/>
                    <w:jc w:val="center"/>
                    <w:rPr>
                      <w:szCs w:val="21"/>
                    </w:rPr>
                  </w:pPr>
                  <w:r>
                    <w:rPr>
                      <w:rFonts w:hint="eastAsia"/>
                      <w:szCs w:val="21"/>
                    </w:rPr>
                    <w:t>2</w:t>
                  </w:r>
                </w:p>
              </w:tc>
              <w:tc>
                <w:tcPr>
                  <w:tcW w:w="995" w:type="dxa"/>
                  <w:shd w:val="clear" w:color="auto" w:fill="auto"/>
                  <w:vAlign w:val="center"/>
                </w:tcPr>
                <w:p>
                  <w:pPr>
                    <w:spacing w:line="360" w:lineRule="exact"/>
                    <w:jc w:val="center"/>
                    <w:rPr>
                      <w:szCs w:val="21"/>
                    </w:rPr>
                  </w:pPr>
                  <w:r>
                    <w:rPr>
                      <w:rFonts w:hint="eastAsia"/>
                      <w:szCs w:val="21"/>
                    </w:rPr>
                    <w:t>模温</w:t>
                  </w:r>
                  <w:r>
                    <w:rPr>
                      <w:szCs w:val="21"/>
                    </w:rPr>
                    <w:t>机</w:t>
                  </w:r>
                </w:p>
              </w:tc>
              <w:tc>
                <w:tcPr>
                  <w:tcW w:w="476" w:type="dxa"/>
                  <w:shd w:val="clear" w:color="auto" w:fill="auto"/>
                  <w:vAlign w:val="center"/>
                </w:tcPr>
                <w:p>
                  <w:pPr>
                    <w:spacing w:line="360" w:lineRule="exact"/>
                    <w:jc w:val="center"/>
                    <w:rPr>
                      <w:szCs w:val="21"/>
                    </w:rPr>
                  </w:pPr>
                  <w:r>
                    <w:rPr>
                      <w:rFonts w:hint="eastAsia"/>
                      <w:szCs w:val="21"/>
                    </w:rPr>
                    <w:t>1</w:t>
                  </w:r>
                </w:p>
              </w:tc>
              <w:tc>
                <w:tcPr>
                  <w:tcW w:w="1121" w:type="dxa"/>
                  <w:shd w:val="clear" w:color="auto" w:fill="auto"/>
                  <w:vAlign w:val="center"/>
                </w:tcPr>
                <w:p>
                  <w:pPr>
                    <w:spacing w:line="360" w:lineRule="exact"/>
                    <w:jc w:val="center"/>
                    <w:rPr>
                      <w:szCs w:val="21"/>
                    </w:rPr>
                  </w:pPr>
                  <w:r>
                    <w:rPr>
                      <w:rFonts w:hint="eastAsia"/>
                      <w:szCs w:val="21"/>
                    </w:rPr>
                    <w:t>75</w:t>
                  </w:r>
                </w:p>
              </w:tc>
              <w:tc>
                <w:tcPr>
                  <w:tcW w:w="1096" w:type="dxa"/>
                  <w:vMerge w:val="continue"/>
                  <w:shd w:val="clear" w:color="auto" w:fill="auto"/>
                  <w:vAlign w:val="center"/>
                </w:tcPr>
                <w:p>
                  <w:pPr>
                    <w:spacing w:line="360" w:lineRule="exact"/>
                    <w:jc w:val="center"/>
                    <w:rPr>
                      <w:szCs w:val="21"/>
                    </w:rPr>
                  </w:pPr>
                </w:p>
              </w:tc>
              <w:tc>
                <w:tcPr>
                  <w:tcW w:w="1418" w:type="dxa"/>
                  <w:shd w:val="clear" w:color="auto" w:fill="auto"/>
                  <w:vAlign w:val="center"/>
                </w:tcPr>
                <w:p>
                  <w:pPr>
                    <w:spacing w:line="360" w:lineRule="exact"/>
                    <w:jc w:val="center"/>
                    <w:rPr>
                      <w:szCs w:val="21"/>
                    </w:rPr>
                  </w:pPr>
                  <w:r>
                    <w:rPr>
                      <w:rFonts w:hint="eastAsia"/>
                      <w:szCs w:val="21"/>
                    </w:rPr>
                    <w:t>20</w:t>
                  </w:r>
                </w:p>
              </w:tc>
              <w:tc>
                <w:tcPr>
                  <w:tcW w:w="1276" w:type="dxa"/>
                  <w:shd w:val="clear" w:color="auto" w:fill="auto"/>
                  <w:vAlign w:val="center"/>
                </w:tcPr>
                <w:p>
                  <w:pPr>
                    <w:spacing w:line="360" w:lineRule="exact"/>
                    <w:jc w:val="center"/>
                    <w:rPr>
                      <w:szCs w:val="21"/>
                    </w:rPr>
                  </w:pPr>
                  <w:r>
                    <w:rPr>
                      <w:rFonts w:hint="eastAsia"/>
                      <w:szCs w:val="21"/>
                    </w:rPr>
                    <w:t>55</w:t>
                  </w:r>
                </w:p>
              </w:tc>
              <w:tc>
                <w:tcPr>
                  <w:tcW w:w="1134" w:type="dxa"/>
                  <w:vAlign w:val="center"/>
                </w:tcPr>
                <w:p>
                  <w:pPr>
                    <w:spacing w:line="360" w:lineRule="exact"/>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right"/>
              </w:trPr>
              <w:tc>
                <w:tcPr>
                  <w:tcW w:w="567" w:type="dxa"/>
                  <w:shd w:val="clear" w:color="auto" w:fill="auto"/>
                  <w:vAlign w:val="center"/>
                </w:tcPr>
                <w:p>
                  <w:pPr>
                    <w:spacing w:line="360" w:lineRule="exact"/>
                    <w:jc w:val="center"/>
                    <w:rPr>
                      <w:szCs w:val="21"/>
                    </w:rPr>
                  </w:pPr>
                  <w:r>
                    <w:rPr>
                      <w:rFonts w:hint="eastAsia"/>
                      <w:szCs w:val="21"/>
                    </w:rPr>
                    <w:t>3</w:t>
                  </w:r>
                </w:p>
              </w:tc>
              <w:tc>
                <w:tcPr>
                  <w:tcW w:w="995" w:type="dxa"/>
                  <w:shd w:val="clear" w:color="auto" w:fill="auto"/>
                  <w:vAlign w:val="center"/>
                </w:tcPr>
                <w:p>
                  <w:pPr>
                    <w:spacing w:line="360" w:lineRule="exact"/>
                    <w:jc w:val="center"/>
                    <w:rPr>
                      <w:szCs w:val="21"/>
                    </w:rPr>
                  </w:pPr>
                  <w:r>
                    <w:rPr>
                      <w:rFonts w:hint="eastAsia"/>
                      <w:szCs w:val="21"/>
                    </w:rPr>
                    <w:t>风机</w:t>
                  </w:r>
                </w:p>
              </w:tc>
              <w:tc>
                <w:tcPr>
                  <w:tcW w:w="476" w:type="dxa"/>
                  <w:shd w:val="clear" w:color="auto" w:fill="auto"/>
                  <w:vAlign w:val="center"/>
                </w:tcPr>
                <w:p>
                  <w:pPr>
                    <w:spacing w:line="360" w:lineRule="exact"/>
                    <w:jc w:val="center"/>
                    <w:rPr>
                      <w:szCs w:val="21"/>
                    </w:rPr>
                  </w:pPr>
                  <w:r>
                    <w:rPr>
                      <w:rFonts w:hint="eastAsia"/>
                      <w:szCs w:val="21"/>
                    </w:rPr>
                    <w:t>1</w:t>
                  </w:r>
                </w:p>
              </w:tc>
              <w:tc>
                <w:tcPr>
                  <w:tcW w:w="1121" w:type="dxa"/>
                  <w:shd w:val="clear" w:color="auto" w:fill="auto"/>
                  <w:vAlign w:val="center"/>
                </w:tcPr>
                <w:p>
                  <w:pPr>
                    <w:spacing w:line="360" w:lineRule="exact"/>
                    <w:jc w:val="center"/>
                    <w:rPr>
                      <w:szCs w:val="21"/>
                    </w:rPr>
                  </w:pPr>
                  <w:r>
                    <w:rPr>
                      <w:rFonts w:hint="eastAsia"/>
                      <w:szCs w:val="21"/>
                    </w:rPr>
                    <w:t>90</w:t>
                  </w:r>
                </w:p>
              </w:tc>
              <w:tc>
                <w:tcPr>
                  <w:tcW w:w="1096" w:type="dxa"/>
                  <w:vMerge w:val="continue"/>
                  <w:shd w:val="clear" w:color="auto" w:fill="auto"/>
                  <w:vAlign w:val="center"/>
                </w:tcPr>
                <w:p>
                  <w:pPr>
                    <w:spacing w:line="360" w:lineRule="exact"/>
                    <w:jc w:val="center"/>
                    <w:rPr>
                      <w:szCs w:val="21"/>
                    </w:rPr>
                  </w:pPr>
                </w:p>
              </w:tc>
              <w:tc>
                <w:tcPr>
                  <w:tcW w:w="1418" w:type="dxa"/>
                  <w:shd w:val="clear" w:color="auto" w:fill="auto"/>
                  <w:vAlign w:val="center"/>
                </w:tcPr>
                <w:p>
                  <w:pPr>
                    <w:spacing w:line="360" w:lineRule="exact"/>
                    <w:jc w:val="center"/>
                    <w:rPr>
                      <w:szCs w:val="21"/>
                    </w:rPr>
                  </w:pPr>
                  <w:r>
                    <w:rPr>
                      <w:rFonts w:hint="eastAsia"/>
                      <w:szCs w:val="21"/>
                    </w:rPr>
                    <w:t>20</w:t>
                  </w:r>
                </w:p>
              </w:tc>
              <w:tc>
                <w:tcPr>
                  <w:tcW w:w="1276" w:type="dxa"/>
                  <w:shd w:val="clear" w:color="auto" w:fill="auto"/>
                  <w:vAlign w:val="center"/>
                </w:tcPr>
                <w:p>
                  <w:pPr>
                    <w:spacing w:line="360" w:lineRule="exact"/>
                    <w:jc w:val="center"/>
                    <w:rPr>
                      <w:szCs w:val="21"/>
                    </w:rPr>
                  </w:pPr>
                  <w:r>
                    <w:rPr>
                      <w:rFonts w:hint="eastAsia"/>
                      <w:szCs w:val="21"/>
                    </w:rPr>
                    <w:t>70</w:t>
                  </w:r>
                </w:p>
              </w:tc>
              <w:tc>
                <w:tcPr>
                  <w:tcW w:w="1134" w:type="dxa"/>
                  <w:vAlign w:val="center"/>
                </w:tcPr>
                <w:p>
                  <w:pPr>
                    <w:spacing w:line="360" w:lineRule="exact"/>
                    <w:jc w:val="center"/>
                    <w:rPr>
                      <w:szCs w:val="21"/>
                    </w:rPr>
                  </w:pPr>
                  <w:r>
                    <w:rPr>
                      <w:rFonts w:hint="eastAsia"/>
                      <w:szCs w:val="21"/>
                    </w:rPr>
                    <w:t>70</w:t>
                  </w:r>
                </w:p>
              </w:tc>
            </w:tr>
          </w:tbl>
          <w:p>
            <w:pPr>
              <w:widowControl/>
              <w:adjustRightInd w:val="0"/>
              <w:snapToGrid w:val="0"/>
              <w:spacing w:line="360" w:lineRule="auto"/>
              <w:ind w:firstLine="482"/>
              <w:rPr>
                <w:sz w:val="24"/>
              </w:rPr>
            </w:pPr>
            <w:r>
              <w:rPr>
                <w:rFonts w:hint="eastAsia"/>
                <w:sz w:val="24"/>
              </w:rPr>
              <w:t>3.2预测模式</w:t>
            </w:r>
          </w:p>
          <w:p>
            <w:pPr>
              <w:adjustRightInd w:val="0"/>
              <w:snapToGrid w:val="0"/>
              <w:spacing w:line="360" w:lineRule="auto"/>
              <w:ind w:firstLine="480" w:firstLineChars="200"/>
              <w:rPr>
                <w:rFonts w:hAnsi="宋体"/>
                <w:bCs/>
                <w:sz w:val="24"/>
              </w:rPr>
            </w:pPr>
            <w:r>
              <w:rPr>
                <w:rFonts w:hint="eastAsia" w:ascii="宋体" w:hAnsi="宋体"/>
                <w:bCs/>
                <w:sz w:val="24"/>
              </w:rPr>
              <w:t>①</w:t>
            </w:r>
            <w:r>
              <w:rPr>
                <w:rFonts w:hint="eastAsia" w:hAnsi="宋体"/>
                <w:bCs/>
                <w:sz w:val="24"/>
              </w:rPr>
              <w:t>点声源</w:t>
            </w:r>
            <w:r>
              <w:rPr>
                <w:rFonts w:hAnsi="宋体"/>
                <w:bCs/>
                <w:sz w:val="24"/>
              </w:rPr>
              <w:t>衰减公式</w:t>
            </w:r>
          </w:p>
          <w:p>
            <w:pPr>
              <w:widowControl/>
              <w:adjustRightInd w:val="0"/>
              <w:snapToGrid w:val="0"/>
              <w:spacing w:line="360" w:lineRule="auto"/>
              <w:ind w:firstLine="2047" w:firstLineChars="853"/>
              <w:rPr>
                <w:bCs/>
                <w:kern w:val="0"/>
                <w:sz w:val="24"/>
              </w:rPr>
            </w:pPr>
            <w:r>
              <w:rPr>
                <w:bCs/>
                <w:kern w:val="0"/>
                <w:sz w:val="24"/>
              </w:rPr>
              <w:t>L</w:t>
            </w:r>
            <w:r>
              <w:rPr>
                <w:bCs/>
                <w:kern w:val="0"/>
                <w:sz w:val="24"/>
                <w:vertAlign w:val="subscript"/>
              </w:rPr>
              <w:t>r</w:t>
            </w:r>
            <w:r>
              <w:rPr>
                <w:bCs/>
                <w:kern w:val="0"/>
                <w:sz w:val="24"/>
              </w:rPr>
              <w:t>＝L</w:t>
            </w:r>
            <w:r>
              <w:rPr>
                <w:bCs/>
                <w:kern w:val="0"/>
                <w:sz w:val="24"/>
                <w:vertAlign w:val="subscript"/>
              </w:rPr>
              <w:t>o</w:t>
            </w:r>
            <w:r>
              <w:rPr>
                <w:bCs/>
                <w:kern w:val="0"/>
                <w:sz w:val="24"/>
              </w:rPr>
              <w:t>－20lg（r/r</w:t>
            </w:r>
            <w:r>
              <w:rPr>
                <w:bCs/>
                <w:kern w:val="0"/>
                <w:sz w:val="24"/>
                <w:vertAlign w:val="subscript"/>
              </w:rPr>
              <w:t>o</w:t>
            </w:r>
            <w:r>
              <w:rPr>
                <w:bCs/>
                <w:kern w:val="0"/>
                <w:sz w:val="24"/>
              </w:rPr>
              <w:t>）</w:t>
            </w:r>
          </w:p>
          <w:p>
            <w:pPr>
              <w:widowControl/>
              <w:adjustRightInd w:val="0"/>
              <w:snapToGrid w:val="0"/>
              <w:spacing w:line="360" w:lineRule="auto"/>
              <w:ind w:firstLine="480" w:firstLineChars="200"/>
              <w:rPr>
                <w:bCs/>
                <w:kern w:val="0"/>
                <w:sz w:val="24"/>
              </w:rPr>
            </w:pPr>
            <w:r>
              <w:rPr>
                <w:bCs/>
                <w:kern w:val="0"/>
                <w:sz w:val="24"/>
              </w:rPr>
              <w:t>式中：L</w:t>
            </w:r>
            <w:r>
              <w:rPr>
                <w:bCs/>
                <w:kern w:val="0"/>
                <w:sz w:val="24"/>
                <w:vertAlign w:val="subscript"/>
              </w:rPr>
              <w:t>r</w:t>
            </w:r>
            <w:r>
              <w:rPr>
                <w:bCs/>
                <w:kern w:val="0"/>
                <w:sz w:val="24"/>
              </w:rPr>
              <w:t>－距噪声源距离为r处的等效声级值，dB（A）；</w:t>
            </w:r>
          </w:p>
          <w:p>
            <w:pPr>
              <w:widowControl/>
              <w:adjustRightInd w:val="0"/>
              <w:snapToGrid w:val="0"/>
              <w:spacing w:line="360" w:lineRule="auto"/>
              <w:ind w:firstLine="1200" w:firstLineChars="500"/>
              <w:rPr>
                <w:bCs/>
                <w:kern w:val="0"/>
                <w:sz w:val="24"/>
              </w:rPr>
            </w:pPr>
            <w:r>
              <w:rPr>
                <w:bCs/>
                <w:kern w:val="0"/>
                <w:sz w:val="24"/>
              </w:rPr>
              <w:t>L</w:t>
            </w:r>
            <w:r>
              <w:rPr>
                <w:bCs/>
                <w:kern w:val="0"/>
                <w:sz w:val="24"/>
                <w:vertAlign w:val="subscript"/>
              </w:rPr>
              <w:t>o</w:t>
            </w:r>
            <w:r>
              <w:rPr>
                <w:bCs/>
                <w:kern w:val="0"/>
                <w:sz w:val="24"/>
              </w:rPr>
              <w:t>－噪声源等效声级值，dB（A）；</w:t>
            </w:r>
          </w:p>
          <w:p>
            <w:pPr>
              <w:widowControl/>
              <w:adjustRightInd w:val="0"/>
              <w:snapToGrid w:val="0"/>
              <w:spacing w:line="360" w:lineRule="auto"/>
              <w:ind w:firstLine="480" w:firstLineChars="200"/>
              <w:rPr>
                <w:bCs/>
                <w:kern w:val="0"/>
                <w:sz w:val="24"/>
              </w:rPr>
            </w:pPr>
            <w:r>
              <w:rPr>
                <w:bCs/>
                <w:kern w:val="0"/>
                <w:sz w:val="24"/>
              </w:rPr>
              <w:t xml:space="preserve">      r、r</w:t>
            </w:r>
            <w:r>
              <w:rPr>
                <w:bCs/>
                <w:kern w:val="0"/>
                <w:sz w:val="24"/>
                <w:vertAlign w:val="subscript"/>
              </w:rPr>
              <w:t>o</w:t>
            </w:r>
            <w:r>
              <w:rPr>
                <w:bCs/>
                <w:kern w:val="0"/>
                <w:sz w:val="24"/>
              </w:rPr>
              <w:t>－距噪声源距离，m。</w:t>
            </w:r>
          </w:p>
          <w:p>
            <w:pPr>
              <w:widowControl/>
              <w:adjustRightInd w:val="0"/>
              <w:snapToGrid w:val="0"/>
              <w:spacing w:line="360" w:lineRule="auto"/>
              <w:ind w:firstLine="480" w:firstLineChars="200"/>
              <w:rPr>
                <w:bCs/>
                <w:kern w:val="0"/>
                <w:sz w:val="24"/>
              </w:rPr>
            </w:pPr>
            <w:r>
              <w:rPr>
                <w:bCs/>
                <w:kern w:val="0"/>
                <w:sz w:val="24"/>
              </w:rPr>
              <w:fldChar w:fldCharType="begin"/>
            </w:r>
            <w:r>
              <w:rPr>
                <w:bCs/>
                <w:kern w:val="0"/>
                <w:sz w:val="24"/>
              </w:rPr>
              <w:instrText xml:space="preserve"> = 2 \* GB3 </w:instrText>
            </w:r>
            <w:r>
              <w:rPr>
                <w:bCs/>
                <w:kern w:val="0"/>
                <w:sz w:val="24"/>
              </w:rPr>
              <w:fldChar w:fldCharType="separate"/>
            </w:r>
            <w:r>
              <w:rPr>
                <w:rFonts w:hint="eastAsia"/>
                <w:bCs/>
                <w:kern w:val="0"/>
                <w:sz w:val="24"/>
              </w:rPr>
              <w:t>②</w:t>
            </w:r>
            <w:r>
              <w:rPr>
                <w:bCs/>
                <w:kern w:val="0"/>
                <w:sz w:val="24"/>
              </w:rPr>
              <w:fldChar w:fldCharType="end"/>
            </w:r>
            <w:r>
              <w:rPr>
                <w:bCs/>
                <w:kern w:val="0"/>
                <w:sz w:val="24"/>
              </w:rPr>
              <w:t>多源叠加公式</w:t>
            </w:r>
          </w:p>
          <w:p>
            <w:pPr>
              <w:widowControl/>
              <w:adjustRightInd w:val="0"/>
              <w:snapToGrid w:val="0"/>
              <w:spacing w:line="360" w:lineRule="auto"/>
              <w:ind w:firstLine="2047" w:firstLineChars="853"/>
              <w:rPr>
                <w:bCs/>
                <w:kern w:val="0"/>
                <w:sz w:val="24"/>
              </w:rPr>
            </w:pPr>
            <w:r>
              <w:rPr>
                <w:bCs/>
                <w:kern w:val="0"/>
                <w:sz w:val="24"/>
              </w:rPr>
              <w:t>L＝10lg（</w:t>
            </w:r>
            <w:r>
              <w:rPr>
                <w:bCs/>
                <w:kern w:val="0"/>
                <w:sz w:val="24"/>
              </w:rPr>
              <w:drawing>
                <wp:inline distT="0" distB="0" distL="0" distR="0">
                  <wp:extent cx="314325" cy="419100"/>
                  <wp:effectExtent l="19050" t="0" r="9525"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7" cstate="print"/>
                          <a:srcRect/>
                          <a:stretch>
                            <a:fillRect/>
                          </a:stretch>
                        </pic:blipFill>
                        <pic:spPr>
                          <a:xfrm>
                            <a:off x="0" y="0"/>
                            <a:ext cx="314325" cy="419100"/>
                          </a:xfrm>
                          <a:prstGeom prst="rect">
                            <a:avLst/>
                          </a:prstGeom>
                          <a:noFill/>
                          <a:ln w="9525">
                            <a:noFill/>
                            <a:miter lim="800000"/>
                            <a:headEnd/>
                            <a:tailEnd/>
                          </a:ln>
                        </pic:spPr>
                      </pic:pic>
                    </a:graphicData>
                  </a:graphic>
                </wp:inline>
              </w:drawing>
            </w:r>
            <w:r>
              <w:rPr>
                <w:bCs/>
                <w:kern w:val="0"/>
                <w:sz w:val="24"/>
              </w:rPr>
              <w:t>10</w:t>
            </w:r>
            <w:r>
              <w:rPr>
                <w:bCs/>
                <w:kern w:val="0"/>
                <w:sz w:val="24"/>
                <w:vertAlign w:val="superscript"/>
              </w:rPr>
              <w:t>0.1Li</w:t>
            </w:r>
            <w:r>
              <w:rPr>
                <w:bCs/>
                <w:kern w:val="0"/>
                <w:sz w:val="24"/>
              </w:rPr>
              <w:t>）</w:t>
            </w:r>
          </w:p>
          <w:p>
            <w:pPr>
              <w:widowControl/>
              <w:adjustRightInd w:val="0"/>
              <w:snapToGrid w:val="0"/>
              <w:spacing w:line="360" w:lineRule="auto"/>
              <w:ind w:firstLine="480" w:firstLineChars="200"/>
              <w:rPr>
                <w:bCs/>
                <w:kern w:val="0"/>
                <w:sz w:val="24"/>
              </w:rPr>
            </w:pPr>
            <w:r>
              <w:rPr>
                <w:bCs/>
                <w:kern w:val="0"/>
                <w:sz w:val="24"/>
              </w:rPr>
              <w:t>式中：L－总等声级，dB（A）；</w:t>
            </w:r>
          </w:p>
          <w:p>
            <w:pPr>
              <w:widowControl/>
              <w:adjustRightInd w:val="0"/>
              <w:snapToGrid w:val="0"/>
              <w:spacing w:line="360" w:lineRule="auto"/>
              <w:ind w:firstLine="480" w:firstLineChars="200"/>
              <w:rPr>
                <w:bCs/>
                <w:kern w:val="0"/>
                <w:sz w:val="24"/>
              </w:rPr>
            </w:pPr>
            <w:r>
              <w:rPr>
                <w:bCs/>
                <w:kern w:val="0"/>
                <w:sz w:val="24"/>
              </w:rPr>
              <w:t xml:space="preserve">      n－声源数量；</w:t>
            </w:r>
          </w:p>
          <w:p>
            <w:pPr>
              <w:widowControl/>
              <w:adjustRightInd w:val="0"/>
              <w:snapToGrid w:val="0"/>
              <w:spacing w:line="360" w:lineRule="auto"/>
              <w:ind w:firstLine="1200" w:firstLineChars="500"/>
              <w:rPr>
                <w:bCs/>
                <w:kern w:val="0"/>
                <w:sz w:val="24"/>
              </w:rPr>
            </w:pPr>
            <w:r>
              <w:rPr>
                <w:bCs/>
                <w:kern w:val="0"/>
                <w:sz w:val="24"/>
              </w:rPr>
              <w:t>Li－第i个声源对受声点的声压级，dB（A）。</w:t>
            </w:r>
          </w:p>
          <w:p>
            <w:pPr>
              <w:widowControl/>
              <w:adjustRightInd w:val="0"/>
              <w:snapToGrid w:val="0"/>
              <w:spacing w:line="360" w:lineRule="auto"/>
              <w:ind w:firstLine="482"/>
              <w:rPr>
                <w:rFonts w:hAnsi="宋体"/>
                <w:bCs/>
                <w:sz w:val="24"/>
              </w:rPr>
            </w:pPr>
            <w:r>
              <w:rPr>
                <w:rFonts w:hint="eastAsia" w:hAnsi="宋体"/>
                <w:bCs/>
                <w:sz w:val="24"/>
              </w:rPr>
              <w:t>3.3噪声预测结果</w:t>
            </w:r>
          </w:p>
          <w:p>
            <w:pPr>
              <w:widowControl/>
              <w:adjustRightInd w:val="0"/>
              <w:snapToGrid w:val="0"/>
              <w:spacing w:line="360" w:lineRule="auto"/>
              <w:ind w:firstLine="482"/>
              <w:rPr>
                <w:sz w:val="24"/>
              </w:rPr>
            </w:pPr>
            <w:r>
              <w:rPr>
                <w:rFonts w:hint="eastAsia"/>
                <w:sz w:val="24"/>
              </w:rPr>
              <w:t>本项目营运期噪声预测结果见表4-20。</w:t>
            </w:r>
          </w:p>
          <w:p>
            <w:pPr>
              <w:widowControl/>
              <w:adjustRightInd w:val="0"/>
              <w:snapToGrid w:val="0"/>
              <w:spacing w:line="360" w:lineRule="auto"/>
              <w:jc w:val="center"/>
              <w:rPr>
                <w:b/>
                <w:sz w:val="24"/>
              </w:rPr>
            </w:pPr>
            <w:r>
              <w:rPr>
                <w:rFonts w:hint="eastAsia"/>
                <w:b/>
                <w:sz w:val="24"/>
              </w:rPr>
              <w:t>表4-20       厂区营运期各评价点声环境</w:t>
            </w:r>
            <w:r>
              <w:rPr>
                <w:b/>
                <w:sz w:val="24"/>
              </w:rPr>
              <w:t>预测结果</w:t>
            </w:r>
            <w:r>
              <w:rPr>
                <w:rFonts w:hint="eastAsia"/>
                <w:b/>
                <w:sz w:val="24"/>
              </w:rPr>
              <w:t>一览表</w:t>
            </w:r>
          </w:p>
          <w:tbl>
            <w:tblPr>
              <w:tblStyle w:val="3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68"/>
              <w:gridCol w:w="709"/>
              <w:gridCol w:w="1134"/>
              <w:gridCol w:w="992"/>
              <w:gridCol w:w="1134"/>
              <w:gridCol w:w="113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850" w:type="dxa"/>
                  <w:shd w:val="clear" w:color="auto" w:fill="auto"/>
                  <w:vAlign w:val="center"/>
                </w:tcPr>
                <w:p>
                  <w:pPr>
                    <w:spacing w:line="360" w:lineRule="exact"/>
                    <w:jc w:val="center"/>
                  </w:pPr>
                  <w:r>
                    <w:t>预测点</w:t>
                  </w:r>
                </w:p>
              </w:tc>
              <w:tc>
                <w:tcPr>
                  <w:tcW w:w="1068" w:type="dxa"/>
                  <w:shd w:val="clear" w:color="auto" w:fill="auto"/>
                  <w:vAlign w:val="center"/>
                </w:tcPr>
                <w:p>
                  <w:pPr>
                    <w:spacing w:line="360" w:lineRule="exact"/>
                    <w:jc w:val="center"/>
                  </w:pPr>
                  <w:r>
                    <w:t>高噪设备</w:t>
                  </w:r>
                </w:p>
              </w:tc>
              <w:tc>
                <w:tcPr>
                  <w:tcW w:w="709" w:type="dxa"/>
                  <w:shd w:val="clear" w:color="auto" w:fill="auto"/>
                  <w:vAlign w:val="center"/>
                </w:tcPr>
                <w:p>
                  <w:pPr>
                    <w:spacing w:line="360" w:lineRule="exact"/>
                    <w:jc w:val="center"/>
                  </w:pPr>
                  <w:r>
                    <w:t>声源强度</w:t>
                  </w:r>
                </w:p>
              </w:tc>
              <w:tc>
                <w:tcPr>
                  <w:tcW w:w="1134" w:type="dxa"/>
                  <w:shd w:val="clear" w:color="auto" w:fill="auto"/>
                  <w:vAlign w:val="center"/>
                </w:tcPr>
                <w:p>
                  <w:pPr>
                    <w:spacing w:line="360" w:lineRule="exact"/>
                    <w:jc w:val="center"/>
                  </w:pPr>
                  <w:r>
                    <w:t>距预测点距离</w:t>
                  </w:r>
                  <w:r>
                    <w:rPr>
                      <w:rFonts w:hint="eastAsia"/>
                    </w:rPr>
                    <w:t>（</w:t>
                  </w:r>
                  <w:r>
                    <w:t>m</w:t>
                  </w:r>
                  <w:r>
                    <w:rPr>
                      <w:rFonts w:hint="eastAsia"/>
                    </w:rPr>
                    <w:t>）</w:t>
                  </w:r>
                </w:p>
              </w:tc>
              <w:tc>
                <w:tcPr>
                  <w:tcW w:w="992" w:type="dxa"/>
                  <w:shd w:val="clear" w:color="auto" w:fill="auto"/>
                  <w:vAlign w:val="center"/>
                </w:tcPr>
                <w:p>
                  <w:pPr>
                    <w:spacing w:line="360" w:lineRule="exact"/>
                    <w:jc w:val="center"/>
                  </w:pPr>
                  <w:r>
                    <w:t>预测点贡献值</w:t>
                  </w:r>
                </w:p>
              </w:tc>
              <w:tc>
                <w:tcPr>
                  <w:tcW w:w="1134" w:type="dxa"/>
                  <w:shd w:val="clear" w:color="auto" w:fill="auto"/>
                  <w:vAlign w:val="center"/>
                </w:tcPr>
                <w:p>
                  <w:pPr>
                    <w:spacing w:line="360" w:lineRule="exact"/>
                    <w:jc w:val="center"/>
                  </w:pPr>
                  <w:r>
                    <w:t>现状值</w:t>
                  </w:r>
                </w:p>
              </w:tc>
              <w:tc>
                <w:tcPr>
                  <w:tcW w:w="1134" w:type="dxa"/>
                  <w:shd w:val="clear" w:color="auto" w:fill="auto"/>
                  <w:vAlign w:val="center"/>
                </w:tcPr>
                <w:p>
                  <w:pPr>
                    <w:spacing w:line="360" w:lineRule="exact"/>
                    <w:jc w:val="center"/>
                  </w:pPr>
                  <w:r>
                    <w:t>贡献叠加值</w:t>
                  </w:r>
                </w:p>
              </w:tc>
              <w:tc>
                <w:tcPr>
                  <w:tcW w:w="1059" w:type="dxa"/>
                  <w:vAlign w:val="center"/>
                </w:tcPr>
                <w:p>
                  <w:pPr>
                    <w:spacing w:line="360" w:lineRule="exact"/>
                    <w:jc w:val="center"/>
                  </w:pPr>
                  <w:r>
                    <w:t>标准值</w:t>
                  </w:r>
                </w:p>
                <w:p>
                  <w:pPr>
                    <w:spacing w:line="360" w:lineRule="exact"/>
                    <w:jc w:val="center"/>
                  </w:pPr>
                  <w: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0" w:type="dxa"/>
                  <w:vMerge w:val="restart"/>
                  <w:shd w:val="clear" w:color="auto" w:fill="auto"/>
                  <w:vAlign w:val="center"/>
                </w:tcPr>
                <w:p>
                  <w:pPr>
                    <w:spacing w:line="320" w:lineRule="exact"/>
                    <w:jc w:val="center"/>
                    <w:rPr>
                      <w:bCs/>
                      <w:szCs w:val="21"/>
                    </w:rPr>
                  </w:pPr>
                  <w:r>
                    <w:rPr>
                      <w:bCs/>
                      <w:szCs w:val="21"/>
                    </w:rPr>
                    <w:t>东</w:t>
                  </w:r>
                </w:p>
                <w:p>
                  <w:pPr>
                    <w:spacing w:line="320" w:lineRule="exact"/>
                    <w:jc w:val="center"/>
                    <w:rPr>
                      <w:bCs/>
                      <w:szCs w:val="21"/>
                    </w:rPr>
                  </w:pPr>
                  <w:r>
                    <w:rPr>
                      <w:bCs/>
                      <w:szCs w:val="21"/>
                    </w:rPr>
                    <w:t>厂</w:t>
                  </w:r>
                </w:p>
                <w:p>
                  <w:pPr>
                    <w:spacing w:line="320" w:lineRule="exact"/>
                    <w:jc w:val="center"/>
                    <w:rPr>
                      <w:bCs/>
                      <w:szCs w:val="21"/>
                    </w:rPr>
                  </w:pPr>
                  <w:r>
                    <w:rPr>
                      <w:bCs/>
                      <w:szCs w:val="21"/>
                    </w:rPr>
                    <w:t>界</w:t>
                  </w:r>
                </w:p>
              </w:tc>
              <w:tc>
                <w:tcPr>
                  <w:tcW w:w="1068" w:type="dxa"/>
                  <w:shd w:val="clear" w:color="auto" w:fill="auto"/>
                  <w:vAlign w:val="center"/>
                </w:tcPr>
                <w:p>
                  <w:pPr>
                    <w:spacing w:line="360" w:lineRule="exact"/>
                    <w:jc w:val="center"/>
                    <w:rPr>
                      <w:szCs w:val="21"/>
                    </w:rPr>
                  </w:pPr>
                  <w:r>
                    <w:rPr>
                      <w:rFonts w:hint="eastAsia"/>
                      <w:szCs w:val="21"/>
                    </w:rPr>
                    <w:t>热压机</w:t>
                  </w:r>
                </w:p>
              </w:tc>
              <w:tc>
                <w:tcPr>
                  <w:tcW w:w="709" w:type="dxa"/>
                  <w:shd w:val="clear" w:color="auto" w:fill="auto"/>
                  <w:vAlign w:val="center"/>
                </w:tcPr>
                <w:p>
                  <w:pPr>
                    <w:spacing w:line="360" w:lineRule="exact"/>
                    <w:jc w:val="center"/>
                    <w:rPr>
                      <w:szCs w:val="21"/>
                    </w:rPr>
                  </w:pPr>
                  <w:r>
                    <w:rPr>
                      <w:rFonts w:hint="eastAsia"/>
                      <w:szCs w:val="21"/>
                    </w:rPr>
                    <w:t>60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14</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37.1 </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46.2</w:t>
                  </w:r>
                </w:p>
              </w:tc>
              <w:tc>
                <w:tcPr>
                  <w:tcW w:w="1059" w:type="dxa"/>
                  <w:vMerge w:val="restart"/>
                  <w:vAlign w:val="center"/>
                </w:tcPr>
                <w:p>
                  <w:pPr>
                    <w:pStyle w:val="69"/>
                    <w:spacing w:line="360" w:lineRule="exact"/>
                    <w:ind w:firstLine="0" w:firstLineChars="0"/>
                    <w:jc w:val="center"/>
                    <w:rPr>
                      <w:bCs/>
                      <w:szCs w:val="21"/>
                      <w:lang w:eastAsia="zh-CN"/>
                    </w:rPr>
                  </w:pPr>
                  <w:r>
                    <w:rPr>
                      <w:bCs/>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模温</w:t>
                  </w:r>
                  <w:r>
                    <w:rPr>
                      <w:szCs w:val="21"/>
                    </w:rPr>
                    <w:t>机</w:t>
                  </w:r>
                </w:p>
              </w:tc>
              <w:tc>
                <w:tcPr>
                  <w:tcW w:w="709" w:type="dxa"/>
                  <w:shd w:val="clear" w:color="auto" w:fill="auto"/>
                  <w:vAlign w:val="center"/>
                </w:tcPr>
                <w:p>
                  <w:pPr>
                    <w:spacing w:line="360" w:lineRule="exact"/>
                    <w:jc w:val="center"/>
                    <w:rPr>
                      <w:szCs w:val="21"/>
                    </w:rPr>
                  </w:pPr>
                  <w:r>
                    <w:rPr>
                      <w:rFonts w:hint="eastAsia"/>
                      <w:szCs w:val="21"/>
                    </w:rPr>
                    <w:t>55</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13</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32.7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风机</w:t>
                  </w:r>
                </w:p>
              </w:tc>
              <w:tc>
                <w:tcPr>
                  <w:tcW w:w="709" w:type="dxa"/>
                  <w:shd w:val="clear" w:color="auto" w:fill="auto"/>
                  <w:vAlign w:val="center"/>
                </w:tcPr>
                <w:p>
                  <w:pPr>
                    <w:spacing w:line="360" w:lineRule="exact"/>
                    <w:jc w:val="center"/>
                    <w:rPr>
                      <w:szCs w:val="21"/>
                    </w:rPr>
                  </w:pPr>
                  <w:r>
                    <w:rPr>
                      <w:rFonts w:hint="eastAsia"/>
                      <w:szCs w:val="21"/>
                    </w:rPr>
                    <w:t>70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17</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45.4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850" w:type="dxa"/>
                  <w:vMerge w:val="restart"/>
                  <w:shd w:val="clear" w:color="auto" w:fill="auto"/>
                  <w:vAlign w:val="center"/>
                </w:tcPr>
                <w:p>
                  <w:pPr>
                    <w:spacing w:line="320" w:lineRule="exact"/>
                    <w:jc w:val="center"/>
                    <w:rPr>
                      <w:bCs/>
                      <w:szCs w:val="21"/>
                    </w:rPr>
                  </w:pPr>
                  <w:r>
                    <w:rPr>
                      <w:bCs/>
                      <w:szCs w:val="21"/>
                    </w:rPr>
                    <w:t>南</w:t>
                  </w:r>
                </w:p>
                <w:p>
                  <w:pPr>
                    <w:spacing w:line="320" w:lineRule="exact"/>
                    <w:jc w:val="center"/>
                    <w:rPr>
                      <w:bCs/>
                      <w:szCs w:val="21"/>
                    </w:rPr>
                  </w:pPr>
                  <w:r>
                    <w:rPr>
                      <w:bCs/>
                      <w:szCs w:val="21"/>
                    </w:rPr>
                    <w:t>厂</w:t>
                  </w:r>
                </w:p>
                <w:p>
                  <w:pPr>
                    <w:spacing w:line="320" w:lineRule="exact"/>
                    <w:jc w:val="center"/>
                    <w:rPr>
                      <w:bCs/>
                      <w:szCs w:val="21"/>
                    </w:rPr>
                  </w:pPr>
                  <w:r>
                    <w:rPr>
                      <w:bCs/>
                      <w:szCs w:val="21"/>
                    </w:rPr>
                    <w:t>界</w:t>
                  </w:r>
                </w:p>
              </w:tc>
              <w:tc>
                <w:tcPr>
                  <w:tcW w:w="1068" w:type="dxa"/>
                  <w:shd w:val="clear" w:color="auto" w:fill="auto"/>
                  <w:vAlign w:val="center"/>
                </w:tcPr>
                <w:p>
                  <w:pPr>
                    <w:spacing w:line="360" w:lineRule="exact"/>
                    <w:jc w:val="center"/>
                    <w:rPr>
                      <w:szCs w:val="21"/>
                    </w:rPr>
                  </w:pPr>
                  <w:r>
                    <w:rPr>
                      <w:rFonts w:hint="eastAsia"/>
                      <w:szCs w:val="21"/>
                    </w:rPr>
                    <w:t>热压机</w:t>
                  </w:r>
                </w:p>
              </w:tc>
              <w:tc>
                <w:tcPr>
                  <w:tcW w:w="709" w:type="dxa"/>
                  <w:shd w:val="clear" w:color="auto" w:fill="auto"/>
                  <w:vAlign w:val="center"/>
                </w:tcPr>
                <w:p>
                  <w:pPr>
                    <w:spacing w:line="360" w:lineRule="exact"/>
                    <w:jc w:val="center"/>
                    <w:rPr>
                      <w:szCs w:val="21"/>
                    </w:rPr>
                  </w:pPr>
                  <w:r>
                    <w:rPr>
                      <w:rFonts w:hint="eastAsia"/>
                      <w:szCs w:val="21"/>
                    </w:rPr>
                    <w:t>60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13</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37.7 </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47.8</w:t>
                  </w:r>
                </w:p>
              </w:tc>
              <w:tc>
                <w:tcPr>
                  <w:tcW w:w="1059" w:type="dxa"/>
                  <w:vMerge w:val="restart"/>
                  <w:vAlign w:val="center"/>
                </w:tcPr>
                <w:p>
                  <w:pPr>
                    <w:pStyle w:val="69"/>
                    <w:spacing w:line="360" w:lineRule="exact"/>
                    <w:ind w:firstLine="0" w:firstLineChars="0"/>
                    <w:jc w:val="center"/>
                    <w:rPr>
                      <w:bCs/>
                      <w:szCs w:val="21"/>
                      <w:lang w:eastAsia="zh-CN"/>
                    </w:rPr>
                  </w:pPr>
                  <w:r>
                    <w:rPr>
                      <w:bCs/>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模温</w:t>
                  </w:r>
                  <w:r>
                    <w:rPr>
                      <w:szCs w:val="21"/>
                    </w:rPr>
                    <w:t>机</w:t>
                  </w:r>
                </w:p>
              </w:tc>
              <w:tc>
                <w:tcPr>
                  <w:tcW w:w="709" w:type="dxa"/>
                  <w:shd w:val="clear" w:color="auto" w:fill="auto"/>
                  <w:vAlign w:val="center"/>
                </w:tcPr>
                <w:p>
                  <w:pPr>
                    <w:spacing w:line="360" w:lineRule="exact"/>
                    <w:jc w:val="center"/>
                    <w:rPr>
                      <w:szCs w:val="21"/>
                    </w:rPr>
                  </w:pPr>
                  <w:r>
                    <w:rPr>
                      <w:rFonts w:hint="eastAsia"/>
                      <w:szCs w:val="21"/>
                    </w:rPr>
                    <w:t>55</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11</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34.2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风机</w:t>
                  </w:r>
                </w:p>
              </w:tc>
              <w:tc>
                <w:tcPr>
                  <w:tcW w:w="709" w:type="dxa"/>
                  <w:shd w:val="clear" w:color="auto" w:fill="auto"/>
                  <w:vAlign w:val="center"/>
                </w:tcPr>
                <w:p>
                  <w:pPr>
                    <w:spacing w:line="360" w:lineRule="exact"/>
                    <w:jc w:val="center"/>
                    <w:rPr>
                      <w:szCs w:val="21"/>
                    </w:rPr>
                  </w:pPr>
                  <w:r>
                    <w:rPr>
                      <w:rFonts w:hint="eastAsia"/>
                      <w:szCs w:val="21"/>
                    </w:rPr>
                    <w:t>70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14</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47.1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850" w:type="dxa"/>
                  <w:vMerge w:val="restart"/>
                  <w:shd w:val="clear" w:color="auto" w:fill="auto"/>
                  <w:vAlign w:val="center"/>
                </w:tcPr>
                <w:p>
                  <w:pPr>
                    <w:spacing w:line="320" w:lineRule="exact"/>
                    <w:jc w:val="center"/>
                    <w:rPr>
                      <w:bCs/>
                      <w:szCs w:val="21"/>
                    </w:rPr>
                  </w:pPr>
                  <w:r>
                    <w:rPr>
                      <w:bCs/>
                      <w:szCs w:val="21"/>
                    </w:rPr>
                    <w:t>西</w:t>
                  </w:r>
                </w:p>
                <w:p>
                  <w:pPr>
                    <w:spacing w:line="320" w:lineRule="exact"/>
                    <w:jc w:val="center"/>
                    <w:rPr>
                      <w:bCs/>
                      <w:szCs w:val="21"/>
                    </w:rPr>
                  </w:pPr>
                  <w:r>
                    <w:rPr>
                      <w:bCs/>
                      <w:szCs w:val="21"/>
                    </w:rPr>
                    <w:t>厂</w:t>
                  </w:r>
                </w:p>
                <w:p>
                  <w:pPr>
                    <w:spacing w:line="320" w:lineRule="exact"/>
                    <w:jc w:val="center"/>
                    <w:rPr>
                      <w:bCs/>
                      <w:szCs w:val="21"/>
                    </w:rPr>
                  </w:pPr>
                  <w:r>
                    <w:rPr>
                      <w:bCs/>
                      <w:szCs w:val="21"/>
                    </w:rPr>
                    <w:t>界</w:t>
                  </w:r>
                </w:p>
              </w:tc>
              <w:tc>
                <w:tcPr>
                  <w:tcW w:w="1068" w:type="dxa"/>
                  <w:shd w:val="clear" w:color="auto" w:fill="auto"/>
                  <w:vAlign w:val="center"/>
                </w:tcPr>
                <w:p>
                  <w:pPr>
                    <w:spacing w:line="360" w:lineRule="exact"/>
                    <w:jc w:val="center"/>
                    <w:rPr>
                      <w:szCs w:val="21"/>
                    </w:rPr>
                  </w:pPr>
                  <w:r>
                    <w:rPr>
                      <w:rFonts w:hint="eastAsia"/>
                      <w:szCs w:val="21"/>
                    </w:rPr>
                    <w:t>热压机</w:t>
                  </w:r>
                </w:p>
              </w:tc>
              <w:tc>
                <w:tcPr>
                  <w:tcW w:w="709" w:type="dxa"/>
                  <w:shd w:val="clear" w:color="auto" w:fill="auto"/>
                  <w:vAlign w:val="center"/>
                </w:tcPr>
                <w:p>
                  <w:pPr>
                    <w:spacing w:line="360" w:lineRule="exact"/>
                    <w:jc w:val="center"/>
                    <w:rPr>
                      <w:szCs w:val="21"/>
                    </w:rPr>
                  </w:pPr>
                  <w:r>
                    <w:rPr>
                      <w:rFonts w:hint="eastAsia"/>
                      <w:szCs w:val="21"/>
                    </w:rPr>
                    <w:t>60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18</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34.9 </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46.9</w:t>
                  </w:r>
                </w:p>
              </w:tc>
              <w:tc>
                <w:tcPr>
                  <w:tcW w:w="1059" w:type="dxa"/>
                  <w:vMerge w:val="restart"/>
                  <w:vAlign w:val="center"/>
                </w:tcPr>
                <w:p>
                  <w:pPr>
                    <w:pStyle w:val="69"/>
                    <w:spacing w:line="360" w:lineRule="exact"/>
                    <w:ind w:firstLine="0" w:firstLineChars="0"/>
                    <w:jc w:val="center"/>
                    <w:rPr>
                      <w:bCs/>
                      <w:szCs w:val="21"/>
                      <w:lang w:eastAsia="zh-CN"/>
                    </w:rPr>
                  </w:pPr>
                  <w:r>
                    <w:rPr>
                      <w:bCs/>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模温</w:t>
                  </w:r>
                  <w:r>
                    <w:rPr>
                      <w:szCs w:val="21"/>
                    </w:rPr>
                    <w:t>机</w:t>
                  </w:r>
                </w:p>
              </w:tc>
              <w:tc>
                <w:tcPr>
                  <w:tcW w:w="709" w:type="dxa"/>
                  <w:shd w:val="clear" w:color="auto" w:fill="auto"/>
                  <w:vAlign w:val="center"/>
                </w:tcPr>
                <w:p>
                  <w:pPr>
                    <w:spacing w:line="360" w:lineRule="exact"/>
                    <w:jc w:val="center"/>
                    <w:rPr>
                      <w:szCs w:val="21"/>
                    </w:rPr>
                  </w:pPr>
                  <w:r>
                    <w:rPr>
                      <w:rFonts w:hint="eastAsia"/>
                      <w:szCs w:val="21"/>
                    </w:rPr>
                    <w:t>55</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19</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29.4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风机</w:t>
                  </w:r>
                </w:p>
              </w:tc>
              <w:tc>
                <w:tcPr>
                  <w:tcW w:w="709" w:type="dxa"/>
                  <w:shd w:val="clear" w:color="auto" w:fill="auto"/>
                  <w:vAlign w:val="center"/>
                </w:tcPr>
                <w:p>
                  <w:pPr>
                    <w:spacing w:line="360" w:lineRule="exact"/>
                    <w:jc w:val="center"/>
                    <w:rPr>
                      <w:szCs w:val="21"/>
                    </w:rPr>
                  </w:pPr>
                  <w:r>
                    <w:rPr>
                      <w:rFonts w:hint="eastAsia"/>
                      <w:szCs w:val="21"/>
                    </w:rPr>
                    <w:t>70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15</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46.5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50" w:type="dxa"/>
                  <w:vMerge w:val="restart"/>
                  <w:shd w:val="clear" w:color="auto" w:fill="auto"/>
                  <w:vAlign w:val="center"/>
                </w:tcPr>
                <w:p>
                  <w:pPr>
                    <w:spacing w:line="320" w:lineRule="exact"/>
                    <w:jc w:val="center"/>
                    <w:rPr>
                      <w:bCs/>
                      <w:szCs w:val="21"/>
                    </w:rPr>
                  </w:pPr>
                  <w:r>
                    <w:rPr>
                      <w:bCs/>
                      <w:szCs w:val="21"/>
                    </w:rPr>
                    <w:t>北</w:t>
                  </w:r>
                </w:p>
                <w:p>
                  <w:pPr>
                    <w:spacing w:line="320" w:lineRule="exact"/>
                    <w:jc w:val="center"/>
                    <w:rPr>
                      <w:bCs/>
                      <w:szCs w:val="21"/>
                    </w:rPr>
                  </w:pPr>
                  <w:r>
                    <w:rPr>
                      <w:bCs/>
                      <w:szCs w:val="21"/>
                    </w:rPr>
                    <w:t>厂</w:t>
                  </w:r>
                </w:p>
                <w:p>
                  <w:pPr>
                    <w:spacing w:line="320" w:lineRule="exact"/>
                    <w:jc w:val="center"/>
                    <w:rPr>
                      <w:bCs/>
                      <w:szCs w:val="21"/>
                    </w:rPr>
                  </w:pPr>
                  <w:r>
                    <w:rPr>
                      <w:bCs/>
                      <w:szCs w:val="21"/>
                    </w:rPr>
                    <w:t>界</w:t>
                  </w:r>
                </w:p>
              </w:tc>
              <w:tc>
                <w:tcPr>
                  <w:tcW w:w="1068" w:type="dxa"/>
                  <w:shd w:val="clear" w:color="auto" w:fill="auto"/>
                  <w:vAlign w:val="center"/>
                </w:tcPr>
                <w:p>
                  <w:pPr>
                    <w:spacing w:line="360" w:lineRule="exact"/>
                    <w:jc w:val="center"/>
                    <w:rPr>
                      <w:szCs w:val="21"/>
                    </w:rPr>
                  </w:pPr>
                  <w:r>
                    <w:rPr>
                      <w:rFonts w:hint="eastAsia"/>
                      <w:szCs w:val="21"/>
                    </w:rPr>
                    <w:t>热压机</w:t>
                  </w:r>
                </w:p>
              </w:tc>
              <w:tc>
                <w:tcPr>
                  <w:tcW w:w="709" w:type="dxa"/>
                  <w:shd w:val="clear" w:color="auto" w:fill="auto"/>
                  <w:vAlign w:val="center"/>
                </w:tcPr>
                <w:p>
                  <w:pPr>
                    <w:spacing w:line="360" w:lineRule="exact"/>
                    <w:jc w:val="center"/>
                    <w:rPr>
                      <w:szCs w:val="21"/>
                    </w:rPr>
                  </w:pPr>
                  <w:r>
                    <w:rPr>
                      <w:rFonts w:hint="eastAsia"/>
                      <w:szCs w:val="21"/>
                    </w:rPr>
                    <w:t>60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17</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35.4 </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46.4</w:t>
                  </w:r>
                </w:p>
              </w:tc>
              <w:tc>
                <w:tcPr>
                  <w:tcW w:w="1059" w:type="dxa"/>
                  <w:vMerge w:val="restart"/>
                  <w:vAlign w:val="center"/>
                </w:tcPr>
                <w:p>
                  <w:pPr>
                    <w:pStyle w:val="69"/>
                    <w:spacing w:line="360" w:lineRule="exact"/>
                    <w:ind w:firstLine="0" w:firstLineChars="0"/>
                    <w:jc w:val="center"/>
                    <w:rPr>
                      <w:bCs/>
                      <w:szCs w:val="21"/>
                      <w:lang w:eastAsia="zh-CN"/>
                    </w:rPr>
                  </w:pPr>
                  <w:r>
                    <w:rPr>
                      <w:bCs/>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模温</w:t>
                  </w:r>
                  <w:r>
                    <w:rPr>
                      <w:szCs w:val="21"/>
                    </w:rPr>
                    <w:t>机</w:t>
                  </w:r>
                </w:p>
              </w:tc>
              <w:tc>
                <w:tcPr>
                  <w:tcW w:w="709" w:type="dxa"/>
                  <w:shd w:val="clear" w:color="auto" w:fill="auto"/>
                  <w:vAlign w:val="center"/>
                </w:tcPr>
                <w:p>
                  <w:pPr>
                    <w:spacing w:line="360" w:lineRule="exact"/>
                    <w:jc w:val="center"/>
                    <w:rPr>
                      <w:szCs w:val="21"/>
                    </w:rPr>
                  </w:pPr>
                  <w:r>
                    <w:rPr>
                      <w:rFonts w:hint="eastAsia"/>
                      <w:szCs w:val="21"/>
                    </w:rPr>
                    <w:t>55</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19</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29.4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风机</w:t>
                  </w:r>
                </w:p>
              </w:tc>
              <w:tc>
                <w:tcPr>
                  <w:tcW w:w="709" w:type="dxa"/>
                  <w:shd w:val="clear" w:color="auto" w:fill="auto"/>
                  <w:vAlign w:val="center"/>
                </w:tcPr>
                <w:p>
                  <w:pPr>
                    <w:spacing w:line="360" w:lineRule="exact"/>
                    <w:jc w:val="center"/>
                    <w:rPr>
                      <w:szCs w:val="21"/>
                    </w:rPr>
                  </w:pPr>
                  <w:r>
                    <w:rPr>
                      <w:rFonts w:hint="eastAsia"/>
                      <w:szCs w:val="21"/>
                    </w:rPr>
                    <w:t>70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16</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45.9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50" w:type="dxa"/>
                  <w:vMerge w:val="restart"/>
                  <w:shd w:val="clear" w:color="auto" w:fill="auto"/>
                  <w:vAlign w:val="center"/>
                </w:tcPr>
                <w:p>
                  <w:pPr>
                    <w:spacing w:line="320" w:lineRule="exact"/>
                    <w:jc w:val="center"/>
                    <w:rPr>
                      <w:bCs/>
                      <w:szCs w:val="21"/>
                    </w:rPr>
                  </w:pPr>
                  <w:r>
                    <w:rPr>
                      <w:rFonts w:hint="eastAsia"/>
                      <w:bCs/>
                      <w:color w:val="000000"/>
                      <w:szCs w:val="21"/>
                    </w:rPr>
                    <w:t>香桥村</w:t>
                  </w:r>
                </w:p>
              </w:tc>
              <w:tc>
                <w:tcPr>
                  <w:tcW w:w="1068" w:type="dxa"/>
                  <w:shd w:val="clear" w:color="auto" w:fill="auto"/>
                  <w:vAlign w:val="center"/>
                </w:tcPr>
                <w:p>
                  <w:pPr>
                    <w:spacing w:line="360" w:lineRule="exact"/>
                    <w:jc w:val="center"/>
                    <w:rPr>
                      <w:szCs w:val="21"/>
                    </w:rPr>
                  </w:pPr>
                  <w:r>
                    <w:rPr>
                      <w:rFonts w:hint="eastAsia"/>
                      <w:szCs w:val="21"/>
                    </w:rPr>
                    <w:t>热压机</w:t>
                  </w:r>
                </w:p>
              </w:tc>
              <w:tc>
                <w:tcPr>
                  <w:tcW w:w="709" w:type="dxa"/>
                  <w:shd w:val="clear" w:color="auto" w:fill="auto"/>
                  <w:vAlign w:val="center"/>
                </w:tcPr>
                <w:p>
                  <w:pPr>
                    <w:spacing w:line="360" w:lineRule="exact"/>
                    <w:jc w:val="center"/>
                    <w:rPr>
                      <w:szCs w:val="21"/>
                    </w:rPr>
                  </w:pPr>
                  <w:r>
                    <w:rPr>
                      <w:rFonts w:hint="eastAsia"/>
                      <w:szCs w:val="21"/>
                    </w:rPr>
                    <w:t>60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14</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37.1 </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51.4/41.2</w:t>
                  </w:r>
                </w:p>
              </w:tc>
              <w:tc>
                <w:tcPr>
                  <w:tcW w:w="1134" w:type="dxa"/>
                  <w:vMerge w:val="restart"/>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52.8/48.2</w:t>
                  </w:r>
                </w:p>
              </w:tc>
              <w:tc>
                <w:tcPr>
                  <w:tcW w:w="1059" w:type="dxa"/>
                  <w:vMerge w:val="restart"/>
                  <w:vAlign w:val="center"/>
                </w:tcPr>
                <w:p>
                  <w:pPr>
                    <w:pStyle w:val="69"/>
                    <w:spacing w:line="360" w:lineRule="exact"/>
                    <w:ind w:firstLine="0" w:firstLineChars="0"/>
                    <w:jc w:val="center"/>
                    <w:rPr>
                      <w:bCs/>
                      <w:szCs w:val="21"/>
                      <w:lang w:eastAsia="zh-CN"/>
                    </w:rPr>
                  </w:pPr>
                  <w:r>
                    <w:rPr>
                      <w:bCs/>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模温</w:t>
                  </w:r>
                  <w:r>
                    <w:rPr>
                      <w:szCs w:val="21"/>
                    </w:rPr>
                    <w:t>机</w:t>
                  </w:r>
                </w:p>
              </w:tc>
              <w:tc>
                <w:tcPr>
                  <w:tcW w:w="709" w:type="dxa"/>
                  <w:shd w:val="clear" w:color="auto" w:fill="auto"/>
                  <w:vAlign w:val="center"/>
                </w:tcPr>
                <w:p>
                  <w:pPr>
                    <w:spacing w:line="360" w:lineRule="exact"/>
                    <w:jc w:val="center"/>
                    <w:rPr>
                      <w:szCs w:val="21"/>
                    </w:rPr>
                  </w:pPr>
                  <w:r>
                    <w:rPr>
                      <w:rFonts w:hint="eastAsia"/>
                      <w:szCs w:val="21"/>
                    </w:rPr>
                    <w:t>55</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12</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33.4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0" w:type="dxa"/>
                  <w:vMerge w:val="continue"/>
                  <w:shd w:val="clear" w:color="auto" w:fill="auto"/>
                  <w:vAlign w:val="center"/>
                </w:tcPr>
                <w:p>
                  <w:pPr>
                    <w:spacing w:line="320" w:lineRule="exact"/>
                    <w:jc w:val="center"/>
                    <w:rPr>
                      <w:bCs/>
                      <w:szCs w:val="21"/>
                    </w:rPr>
                  </w:pPr>
                </w:p>
              </w:tc>
              <w:tc>
                <w:tcPr>
                  <w:tcW w:w="1068" w:type="dxa"/>
                  <w:shd w:val="clear" w:color="auto" w:fill="auto"/>
                  <w:vAlign w:val="center"/>
                </w:tcPr>
                <w:p>
                  <w:pPr>
                    <w:spacing w:line="360" w:lineRule="exact"/>
                    <w:jc w:val="center"/>
                    <w:rPr>
                      <w:szCs w:val="21"/>
                    </w:rPr>
                  </w:pPr>
                  <w:r>
                    <w:rPr>
                      <w:rFonts w:hint="eastAsia"/>
                      <w:szCs w:val="21"/>
                    </w:rPr>
                    <w:t>风机</w:t>
                  </w:r>
                </w:p>
              </w:tc>
              <w:tc>
                <w:tcPr>
                  <w:tcW w:w="709" w:type="dxa"/>
                  <w:shd w:val="clear" w:color="auto" w:fill="auto"/>
                  <w:vAlign w:val="center"/>
                </w:tcPr>
                <w:p>
                  <w:pPr>
                    <w:spacing w:line="360" w:lineRule="exact"/>
                    <w:jc w:val="center"/>
                    <w:rPr>
                      <w:szCs w:val="21"/>
                    </w:rPr>
                  </w:pPr>
                  <w:r>
                    <w:rPr>
                      <w:rFonts w:hint="eastAsia"/>
                      <w:szCs w:val="21"/>
                    </w:rPr>
                    <w:t>70</w:t>
                  </w:r>
                </w:p>
              </w:tc>
              <w:tc>
                <w:tcPr>
                  <w:tcW w:w="1134"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15</w:t>
                  </w:r>
                </w:p>
              </w:tc>
              <w:tc>
                <w:tcPr>
                  <w:tcW w:w="992" w:type="dxa"/>
                  <w:shd w:val="clear" w:color="auto" w:fill="auto"/>
                  <w:vAlign w:val="center"/>
                </w:tcPr>
                <w:p>
                  <w:pPr>
                    <w:pStyle w:val="69"/>
                    <w:spacing w:line="360" w:lineRule="exact"/>
                    <w:ind w:firstLine="0" w:firstLineChars="0"/>
                    <w:jc w:val="center"/>
                    <w:rPr>
                      <w:bCs/>
                      <w:szCs w:val="21"/>
                      <w:lang w:eastAsia="zh-CN"/>
                    </w:rPr>
                  </w:pPr>
                  <w:r>
                    <w:rPr>
                      <w:rFonts w:hint="eastAsia"/>
                      <w:bCs/>
                      <w:szCs w:val="21"/>
                      <w:lang w:eastAsia="zh-CN"/>
                    </w:rPr>
                    <w:t xml:space="preserve">46.5 </w:t>
                  </w: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134" w:type="dxa"/>
                  <w:vMerge w:val="continue"/>
                  <w:shd w:val="clear" w:color="auto" w:fill="auto"/>
                  <w:vAlign w:val="center"/>
                </w:tcPr>
                <w:p>
                  <w:pPr>
                    <w:pStyle w:val="69"/>
                    <w:spacing w:line="360" w:lineRule="exact"/>
                    <w:ind w:firstLine="0" w:firstLineChars="0"/>
                    <w:jc w:val="center"/>
                    <w:rPr>
                      <w:bCs/>
                      <w:szCs w:val="21"/>
                      <w:lang w:eastAsia="zh-CN"/>
                    </w:rPr>
                  </w:pPr>
                </w:p>
              </w:tc>
              <w:tc>
                <w:tcPr>
                  <w:tcW w:w="1059" w:type="dxa"/>
                  <w:vMerge w:val="continue"/>
                  <w:vAlign w:val="center"/>
                </w:tcPr>
                <w:p>
                  <w:pPr>
                    <w:pStyle w:val="69"/>
                    <w:spacing w:line="360" w:lineRule="exact"/>
                    <w:ind w:firstLine="0" w:firstLineChars="0"/>
                    <w:jc w:val="center"/>
                    <w:rPr>
                      <w:bCs/>
                      <w:szCs w:val="21"/>
                      <w:lang w:eastAsia="zh-CN"/>
                    </w:rPr>
                  </w:pPr>
                </w:p>
              </w:tc>
            </w:tr>
          </w:tbl>
          <w:p>
            <w:pPr>
              <w:widowControl/>
              <w:adjustRightInd w:val="0"/>
              <w:snapToGrid w:val="0"/>
              <w:spacing w:line="360" w:lineRule="auto"/>
              <w:ind w:firstLine="482"/>
              <w:rPr>
                <w:rFonts w:hAnsi="宋体"/>
                <w:sz w:val="24"/>
              </w:rPr>
            </w:pPr>
            <w:r>
              <w:rPr>
                <w:rFonts w:hAnsi="宋体"/>
                <w:sz w:val="24"/>
              </w:rPr>
              <w:t>由预测结果可知，本项目生产噪声</w:t>
            </w:r>
            <w:r>
              <w:rPr>
                <w:rFonts w:hint="eastAsia" w:hAnsi="宋体"/>
                <w:sz w:val="24"/>
              </w:rPr>
              <w:t>对四周厂界的贡献值均可以满足</w:t>
            </w:r>
            <w:r>
              <w:rPr>
                <w:rFonts w:hAnsi="宋体"/>
                <w:sz w:val="24"/>
              </w:rPr>
              <w:t>《工业企业厂界环境噪声排放标准》（GB12348-2008）</w:t>
            </w:r>
            <w:r>
              <w:rPr>
                <w:rFonts w:hint="eastAsia" w:hAnsi="宋体"/>
                <w:sz w:val="24"/>
              </w:rPr>
              <w:t>2</w:t>
            </w:r>
            <w:r>
              <w:rPr>
                <w:rFonts w:hAnsi="宋体"/>
                <w:sz w:val="24"/>
              </w:rPr>
              <w:t>类标准要求</w:t>
            </w:r>
            <w:r>
              <w:rPr>
                <w:rFonts w:hint="eastAsia" w:hAnsi="宋体"/>
                <w:sz w:val="24"/>
              </w:rPr>
              <w:t>；对周围</w:t>
            </w:r>
            <w:r>
              <w:rPr>
                <w:rFonts w:hint="eastAsia" w:ascii="宋体" w:hAnsi="宋体"/>
                <w:sz w:val="24"/>
              </w:rPr>
              <w:t>敏感点香桥村的噪声预测值可以满足《声环境质量标准》</w:t>
            </w:r>
            <w:r>
              <w:rPr>
                <w:rFonts w:hint="eastAsia"/>
                <w:sz w:val="24"/>
              </w:rPr>
              <w:t>（GB 3096-2008）2类</w:t>
            </w:r>
            <w:r>
              <w:rPr>
                <w:rFonts w:hint="eastAsia" w:ascii="宋体" w:hAnsi="宋体"/>
                <w:sz w:val="24"/>
              </w:rPr>
              <w:t>区标准要求，</w:t>
            </w:r>
            <w:r>
              <w:rPr>
                <w:rFonts w:hint="eastAsia" w:hAnsi="宋体"/>
                <w:sz w:val="24"/>
              </w:rPr>
              <w:t>因此本项目产生的噪声</w:t>
            </w:r>
            <w:r>
              <w:rPr>
                <w:rFonts w:hAnsi="宋体"/>
                <w:sz w:val="24"/>
              </w:rPr>
              <w:t>对周围环境影响</w:t>
            </w:r>
            <w:r>
              <w:rPr>
                <w:rFonts w:hint="eastAsia" w:hAnsi="宋体"/>
                <w:sz w:val="24"/>
              </w:rPr>
              <w:t>在可接受范围内</w:t>
            </w:r>
            <w:r>
              <w:rPr>
                <w:rFonts w:hAnsi="宋体"/>
                <w:sz w:val="24"/>
              </w:rPr>
              <w:t>。</w:t>
            </w:r>
          </w:p>
          <w:p>
            <w:pPr>
              <w:tabs>
                <w:tab w:val="left" w:pos="1081"/>
              </w:tabs>
              <w:adjustRightInd w:val="0"/>
              <w:snapToGrid w:val="0"/>
              <w:spacing w:line="360" w:lineRule="auto"/>
              <w:ind w:firstLine="480" w:firstLineChars="200"/>
              <w:rPr>
                <w:color w:val="000000"/>
                <w:sz w:val="24"/>
              </w:rPr>
            </w:pPr>
            <w:r>
              <w:rPr>
                <w:rFonts w:hint="eastAsia"/>
                <w:color w:val="000000"/>
                <w:sz w:val="24"/>
              </w:rPr>
              <w:t>3.4声环境监测计划</w:t>
            </w:r>
          </w:p>
          <w:p>
            <w:pPr>
              <w:tabs>
                <w:tab w:val="left" w:pos="1081"/>
              </w:tabs>
              <w:adjustRightInd w:val="0"/>
              <w:snapToGrid w:val="0"/>
              <w:spacing w:line="360" w:lineRule="auto"/>
              <w:jc w:val="center"/>
              <w:rPr>
                <w:b/>
                <w:bCs/>
                <w:sz w:val="24"/>
              </w:rPr>
            </w:pPr>
            <w:r>
              <w:rPr>
                <w:rFonts w:hint="eastAsia"/>
                <w:b/>
                <w:bCs/>
                <w:sz w:val="24"/>
              </w:rPr>
              <w:t>表4-21        声环境监测计划一览表</w:t>
            </w: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0"/>
              <w:gridCol w:w="1418"/>
              <w:gridCol w:w="1276"/>
              <w:gridCol w:w="1043"/>
              <w:gridCol w:w="992"/>
              <w:gridCol w:w="27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5" w:hRule="atLeast"/>
                <w:jc w:val="center"/>
              </w:trPr>
              <w:tc>
                <w:tcPr>
                  <w:tcW w:w="396" w:type="pct"/>
                  <w:vAlign w:val="center"/>
                </w:tcPr>
                <w:p>
                  <w:pPr>
                    <w:spacing w:line="320" w:lineRule="exact"/>
                    <w:jc w:val="center"/>
                    <w:rPr>
                      <w:szCs w:val="21"/>
                    </w:rPr>
                  </w:pPr>
                  <w:r>
                    <w:rPr>
                      <w:szCs w:val="21"/>
                    </w:rPr>
                    <w:t>序号</w:t>
                  </w:r>
                </w:p>
              </w:tc>
              <w:tc>
                <w:tcPr>
                  <w:tcW w:w="878" w:type="pct"/>
                  <w:vAlign w:val="center"/>
                </w:tcPr>
                <w:p>
                  <w:pPr>
                    <w:spacing w:line="320" w:lineRule="exact"/>
                    <w:jc w:val="center"/>
                    <w:rPr>
                      <w:szCs w:val="21"/>
                    </w:rPr>
                  </w:pPr>
                  <w:r>
                    <w:rPr>
                      <w:szCs w:val="21"/>
                    </w:rPr>
                    <w:t>监测点位</w:t>
                  </w:r>
                </w:p>
              </w:tc>
              <w:tc>
                <w:tcPr>
                  <w:tcW w:w="790" w:type="pct"/>
                  <w:vAlign w:val="center"/>
                </w:tcPr>
                <w:p>
                  <w:pPr>
                    <w:spacing w:line="320" w:lineRule="exact"/>
                    <w:jc w:val="center"/>
                    <w:rPr>
                      <w:szCs w:val="21"/>
                    </w:rPr>
                  </w:pPr>
                  <w:r>
                    <w:rPr>
                      <w:szCs w:val="21"/>
                    </w:rPr>
                    <w:t>监测项目</w:t>
                  </w:r>
                </w:p>
              </w:tc>
              <w:tc>
                <w:tcPr>
                  <w:tcW w:w="646" w:type="pct"/>
                  <w:vAlign w:val="center"/>
                </w:tcPr>
                <w:p>
                  <w:pPr>
                    <w:spacing w:line="320" w:lineRule="exact"/>
                    <w:jc w:val="center"/>
                    <w:rPr>
                      <w:szCs w:val="21"/>
                    </w:rPr>
                  </w:pPr>
                  <w:r>
                    <w:rPr>
                      <w:szCs w:val="21"/>
                    </w:rPr>
                    <w:t>频率</w:t>
                  </w:r>
                </w:p>
              </w:tc>
              <w:tc>
                <w:tcPr>
                  <w:tcW w:w="614" w:type="pct"/>
                  <w:tcBorders>
                    <w:bottom w:val="single" w:color="auto" w:sz="4" w:space="0"/>
                  </w:tcBorders>
                  <w:vAlign w:val="center"/>
                </w:tcPr>
                <w:p>
                  <w:pPr>
                    <w:spacing w:line="320" w:lineRule="exact"/>
                    <w:ind w:left="-105" w:leftChars="-50" w:right="-105" w:rightChars="-50"/>
                    <w:jc w:val="center"/>
                    <w:rPr>
                      <w:szCs w:val="21"/>
                    </w:rPr>
                  </w:pPr>
                  <w:r>
                    <w:rPr>
                      <w:szCs w:val="21"/>
                    </w:rPr>
                    <w:t>实施单位</w:t>
                  </w:r>
                </w:p>
              </w:tc>
              <w:tc>
                <w:tcPr>
                  <w:tcW w:w="1676" w:type="pct"/>
                  <w:tcBorders>
                    <w:bottom w:val="single" w:color="auto" w:sz="4" w:space="0"/>
                  </w:tcBorders>
                  <w:vAlign w:val="center"/>
                </w:tcPr>
                <w:p>
                  <w:pPr>
                    <w:spacing w:line="320" w:lineRule="exact"/>
                    <w:jc w:val="center"/>
                    <w:rPr>
                      <w:szCs w:val="21"/>
                    </w:rPr>
                  </w:pPr>
                  <w:r>
                    <w:rPr>
                      <w:szCs w:val="21"/>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4" w:hRule="atLeast"/>
                <w:jc w:val="center"/>
              </w:trPr>
              <w:tc>
                <w:tcPr>
                  <w:tcW w:w="396" w:type="pct"/>
                  <w:vAlign w:val="center"/>
                </w:tcPr>
                <w:p>
                  <w:pPr>
                    <w:spacing w:line="320" w:lineRule="exact"/>
                    <w:jc w:val="center"/>
                    <w:rPr>
                      <w:bCs/>
                      <w:szCs w:val="21"/>
                    </w:rPr>
                  </w:pPr>
                  <w:r>
                    <w:rPr>
                      <w:rFonts w:hint="eastAsia"/>
                      <w:bCs/>
                      <w:szCs w:val="21"/>
                    </w:rPr>
                    <w:t>1</w:t>
                  </w:r>
                </w:p>
              </w:tc>
              <w:tc>
                <w:tcPr>
                  <w:tcW w:w="878" w:type="pct"/>
                  <w:vAlign w:val="center"/>
                </w:tcPr>
                <w:p>
                  <w:pPr>
                    <w:spacing w:line="320" w:lineRule="exact"/>
                    <w:jc w:val="center"/>
                    <w:rPr>
                      <w:rStyle w:val="34"/>
                      <w:rFonts w:ascii="Times New Roman" w:hAnsi="Times New Roman"/>
                    </w:rPr>
                  </w:pPr>
                  <w:r>
                    <w:rPr>
                      <w:rStyle w:val="34"/>
                      <w:rFonts w:ascii="Times New Roman" w:hAnsi="Times New Roman"/>
                    </w:rPr>
                    <w:t>四周厂界外1m</w:t>
                  </w:r>
                </w:p>
              </w:tc>
              <w:tc>
                <w:tcPr>
                  <w:tcW w:w="790" w:type="pct"/>
                  <w:vAlign w:val="center"/>
                </w:tcPr>
                <w:p>
                  <w:pPr>
                    <w:adjustRightInd w:val="0"/>
                    <w:spacing w:line="320" w:lineRule="exact"/>
                    <w:jc w:val="center"/>
                    <w:rPr>
                      <w:bCs/>
                      <w:szCs w:val="21"/>
                    </w:rPr>
                  </w:pPr>
                  <w:r>
                    <w:rPr>
                      <w:bCs/>
                      <w:szCs w:val="21"/>
                    </w:rPr>
                    <w:t>噪声</w:t>
                  </w:r>
                </w:p>
              </w:tc>
              <w:tc>
                <w:tcPr>
                  <w:tcW w:w="646" w:type="pct"/>
                  <w:vAlign w:val="center"/>
                </w:tcPr>
                <w:p>
                  <w:pPr>
                    <w:spacing w:line="320" w:lineRule="exact"/>
                    <w:jc w:val="center"/>
                    <w:rPr>
                      <w:bCs/>
                      <w:szCs w:val="21"/>
                    </w:rPr>
                  </w:pPr>
                  <w:r>
                    <w:rPr>
                      <w:bCs/>
                      <w:szCs w:val="21"/>
                    </w:rPr>
                    <w:t>1次</w:t>
                  </w:r>
                  <w:r>
                    <w:rPr>
                      <w:rFonts w:hint="eastAsia"/>
                      <w:bCs/>
                      <w:szCs w:val="21"/>
                    </w:rPr>
                    <w:t>/年</w:t>
                  </w:r>
                </w:p>
              </w:tc>
              <w:tc>
                <w:tcPr>
                  <w:tcW w:w="614" w:type="pct"/>
                  <w:vAlign w:val="center"/>
                </w:tcPr>
                <w:p>
                  <w:pPr>
                    <w:spacing w:line="320" w:lineRule="exact"/>
                    <w:ind w:left="-105" w:leftChars="-50" w:right="-105" w:rightChars="-50"/>
                    <w:jc w:val="center"/>
                    <w:rPr>
                      <w:bCs/>
                      <w:szCs w:val="21"/>
                    </w:rPr>
                  </w:pPr>
                  <w:r>
                    <w:rPr>
                      <w:bCs/>
                      <w:szCs w:val="21"/>
                    </w:rPr>
                    <w:t>有资质的监测单位</w:t>
                  </w:r>
                </w:p>
              </w:tc>
              <w:tc>
                <w:tcPr>
                  <w:tcW w:w="1676" w:type="pct"/>
                  <w:vAlign w:val="center"/>
                </w:tcPr>
                <w:p>
                  <w:pPr>
                    <w:spacing w:line="320" w:lineRule="exact"/>
                    <w:jc w:val="center"/>
                    <w:rPr>
                      <w:bCs/>
                      <w:szCs w:val="21"/>
                    </w:rPr>
                  </w:pPr>
                  <w:r>
                    <w:rPr>
                      <w:szCs w:val="21"/>
                    </w:rPr>
                    <w:t>《工业企业厂界环境噪声排放标准》（GB12348-2008）</w:t>
                  </w:r>
                  <w:r>
                    <w:rPr>
                      <w:rFonts w:hint="eastAsia"/>
                      <w:szCs w:val="21"/>
                    </w:rPr>
                    <w:t>2类</w:t>
                  </w:r>
                  <w:r>
                    <w:rPr>
                      <w:szCs w:val="21"/>
                    </w:rPr>
                    <w:t>标准要求</w:t>
                  </w:r>
                </w:p>
              </w:tc>
            </w:tr>
          </w:tbl>
          <w:p>
            <w:pPr>
              <w:tabs>
                <w:tab w:val="left" w:pos="1081"/>
              </w:tabs>
              <w:adjustRightInd w:val="0"/>
              <w:snapToGrid w:val="0"/>
              <w:spacing w:line="360" w:lineRule="auto"/>
              <w:ind w:firstLine="482" w:firstLineChars="200"/>
              <w:rPr>
                <w:b/>
                <w:color w:val="000000"/>
                <w:sz w:val="24"/>
              </w:rPr>
            </w:pPr>
            <w:r>
              <w:rPr>
                <w:rFonts w:hint="eastAsia"/>
                <w:b/>
                <w:color w:val="000000"/>
                <w:sz w:val="24"/>
              </w:rPr>
              <w:t>4、固体废物</w:t>
            </w:r>
          </w:p>
          <w:p>
            <w:pPr>
              <w:tabs>
                <w:tab w:val="left" w:pos="1081"/>
              </w:tabs>
              <w:adjustRightInd w:val="0"/>
              <w:snapToGrid w:val="0"/>
              <w:spacing w:line="360" w:lineRule="auto"/>
              <w:ind w:firstLine="480" w:firstLineChars="200"/>
              <w:rPr>
                <w:color w:val="000000"/>
                <w:sz w:val="24"/>
              </w:rPr>
            </w:pPr>
            <w:r>
              <w:rPr>
                <w:rFonts w:hint="eastAsia"/>
                <w:color w:val="000000"/>
                <w:sz w:val="24"/>
              </w:rPr>
              <w:t>4.1固废产排情况</w:t>
            </w:r>
          </w:p>
          <w:p>
            <w:pPr>
              <w:widowControl/>
              <w:adjustRightInd w:val="0"/>
              <w:snapToGrid w:val="0"/>
              <w:spacing w:line="360" w:lineRule="auto"/>
              <w:ind w:firstLine="482"/>
              <w:rPr>
                <w:rFonts w:hAnsi="宋体"/>
                <w:sz w:val="24"/>
              </w:rPr>
            </w:pPr>
            <w:r>
              <w:rPr>
                <w:rFonts w:hint="eastAsia" w:hAnsi="宋体"/>
                <w:sz w:val="24"/>
              </w:rPr>
              <w:t>本项目营运期固体废物主要为职工生活垃圾、化粪池污泥、不合格品、边角料、废包装材料、废液压油、废UV灯管。</w:t>
            </w:r>
          </w:p>
          <w:p>
            <w:pPr>
              <w:widowControl/>
              <w:adjustRightInd w:val="0"/>
              <w:snapToGrid w:val="0"/>
              <w:spacing w:line="360" w:lineRule="auto"/>
              <w:ind w:firstLine="480" w:firstLineChars="200"/>
              <w:rPr>
                <w:rFonts w:hAnsi="宋体"/>
                <w:sz w:val="24"/>
              </w:rPr>
            </w:pPr>
            <w:r>
              <w:rPr>
                <w:rFonts w:hint="eastAsia" w:hAnsi="宋体"/>
                <w:sz w:val="24"/>
              </w:rPr>
              <w:t>（1）不合格品及边角料</w:t>
            </w:r>
          </w:p>
          <w:p>
            <w:pPr>
              <w:widowControl/>
              <w:adjustRightInd w:val="0"/>
              <w:snapToGrid w:val="0"/>
              <w:spacing w:line="360" w:lineRule="auto"/>
              <w:ind w:firstLine="482"/>
              <w:rPr>
                <w:rFonts w:hAnsi="宋体"/>
                <w:color w:val="auto"/>
                <w:sz w:val="24"/>
              </w:rPr>
            </w:pPr>
            <w:r>
              <w:rPr>
                <w:rFonts w:hint="eastAsia" w:hAnsi="宋体"/>
                <w:sz w:val="24"/>
              </w:rPr>
              <w:t>项目在修整、检验过程会产生边角料及不合格品，根据企业提供资料，不合格品及边角料产生量为0.5t/a，</w:t>
            </w:r>
            <w:r>
              <w:rPr>
                <w:rFonts w:hint="eastAsia" w:hAnsi="宋体"/>
                <w:color w:val="auto"/>
                <w:sz w:val="24"/>
                <w:u w:val="single"/>
              </w:rPr>
              <w:t>集中收集于一般固废暂存间（位于车间内，面积10m</w:t>
            </w:r>
            <w:r>
              <w:rPr>
                <w:rFonts w:hint="eastAsia" w:hAnsi="宋体"/>
                <w:color w:val="auto"/>
                <w:sz w:val="24"/>
                <w:u w:val="single"/>
                <w:vertAlign w:val="superscript"/>
              </w:rPr>
              <w:t>2</w:t>
            </w:r>
            <w:r>
              <w:rPr>
                <w:rFonts w:hint="eastAsia" w:hAnsi="宋体"/>
                <w:color w:val="auto"/>
                <w:sz w:val="24"/>
                <w:u w:val="single"/>
              </w:rPr>
              <w:t>），定期外售给废品回收站。</w:t>
            </w:r>
          </w:p>
          <w:p>
            <w:pPr>
              <w:widowControl/>
              <w:adjustRightInd w:val="0"/>
              <w:snapToGrid w:val="0"/>
              <w:spacing w:line="360" w:lineRule="auto"/>
              <w:ind w:firstLine="480" w:firstLineChars="200"/>
              <w:rPr>
                <w:rFonts w:hAnsi="宋体"/>
                <w:sz w:val="24"/>
              </w:rPr>
            </w:pPr>
            <w:r>
              <w:rPr>
                <w:rFonts w:hint="eastAsia" w:hAnsi="宋体"/>
                <w:sz w:val="24"/>
              </w:rPr>
              <w:t>（2）废包装材料</w:t>
            </w:r>
          </w:p>
          <w:p>
            <w:pPr>
              <w:widowControl/>
              <w:adjustRightInd w:val="0"/>
              <w:snapToGrid w:val="0"/>
              <w:spacing w:line="360" w:lineRule="auto"/>
              <w:ind w:firstLine="480" w:firstLineChars="200"/>
              <w:rPr>
                <w:rFonts w:hAnsi="宋体"/>
                <w:sz w:val="24"/>
              </w:rPr>
            </w:pPr>
            <w:r>
              <w:rPr>
                <w:rFonts w:hint="eastAsia" w:hAnsi="宋体"/>
                <w:sz w:val="24"/>
              </w:rPr>
              <w:t>项目生产过程会产生废编织袋等废包装材料，产生量约为0.05t/a</w:t>
            </w:r>
            <w:r>
              <w:rPr>
                <w:rFonts w:hint="eastAsia" w:hAnsi="宋体"/>
                <w:color w:val="auto"/>
                <w:sz w:val="24"/>
              </w:rPr>
              <w:t>，</w:t>
            </w:r>
            <w:r>
              <w:rPr>
                <w:rFonts w:hint="eastAsia" w:hAnsi="宋体"/>
                <w:color w:val="auto"/>
                <w:sz w:val="24"/>
                <w:u w:val="single"/>
              </w:rPr>
              <w:t>集中收集于一般固废暂存间（位于车间内，面积10m</w:t>
            </w:r>
            <w:r>
              <w:rPr>
                <w:rFonts w:hint="eastAsia" w:hAnsi="宋体"/>
                <w:color w:val="auto"/>
                <w:sz w:val="24"/>
                <w:u w:val="single"/>
                <w:vertAlign w:val="superscript"/>
              </w:rPr>
              <w:t>2</w:t>
            </w:r>
            <w:r>
              <w:rPr>
                <w:rFonts w:hint="eastAsia" w:hAnsi="宋体"/>
                <w:color w:val="auto"/>
                <w:sz w:val="24"/>
                <w:u w:val="single"/>
              </w:rPr>
              <w:t>），定期外售给废品回收站。</w:t>
            </w:r>
          </w:p>
          <w:p>
            <w:pPr>
              <w:widowControl/>
              <w:adjustRightInd w:val="0"/>
              <w:snapToGrid w:val="0"/>
              <w:spacing w:line="360" w:lineRule="auto"/>
              <w:ind w:firstLine="480" w:firstLineChars="200"/>
              <w:rPr>
                <w:rFonts w:hAnsi="宋体"/>
                <w:sz w:val="24"/>
              </w:rPr>
            </w:pPr>
            <w:r>
              <w:rPr>
                <w:rFonts w:hint="eastAsia" w:hAnsi="宋体"/>
                <w:sz w:val="24"/>
              </w:rPr>
              <w:t>（3）职工生活垃圾</w:t>
            </w:r>
          </w:p>
          <w:p>
            <w:pPr>
              <w:adjustRightInd w:val="0"/>
              <w:snapToGrid w:val="0"/>
              <w:spacing w:line="360" w:lineRule="auto"/>
              <w:ind w:firstLine="480" w:firstLineChars="200"/>
              <w:rPr>
                <w:rFonts w:hAnsi="宋体"/>
                <w:color w:val="000000"/>
                <w:sz w:val="24"/>
              </w:rPr>
            </w:pPr>
            <w:r>
              <w:rPr>
                <w:rFonts w:hint="eastAsia" w:hAnsi="宋体"/>
                <w:sz w:val="24"/>
              </w:rPr>
              <w:t>本项目劳动定员3人，均不在厂区食宿，</w:t>
            </w:r>
            <w:r>
              <w:rPr>
                <w:rFonts w:hint="eastAsia" w:hAnsi="宋体"/>
                <w:color w:val="000000"/>
                <w:sz w:val="24"/>
              </w:rPr>
              <w:t>生活垃圾</w:t>
            </w:r>
            <w:r>
              <w:rPr>
                <w:rFonts w:hAnsi="宋体"/>
                <w:color w:val="000000"/>
                <w:sz w:val="24"/>
              </w:rPr>
              <w:t>产生量按</w:t>
            </w:r>
            <w:r>
              <w:rPr>
                <w:rFonts w:hint="eastAsia"/>
                <w:color w:val="000000"/>
                <w:sz w:val="24"/>
              </w:rPr>
              <w:t>0.5</w:t>
            </w:r>
            <w:r>
              <w:rPr>
                <w:color w:val="000000"/>
                <w:sz w:val="24"/>
              </w:rPr>
              <w:t>kg/</w:t>
            </w:r>
            <w:r>
              <w:rPr>
                <w:rFonts w:hAnsi="宋体"/>
                <w:color w:val="000000"/>
                <w:sz w:val="24"/>
              </w:rPr>
              <w:t>人</w:t>
            </w:r>
            <w:r>
              <w:rPr>
                <w:color w:val="000000"/>
                <w:sz w:val="24"/>
              </w:rPr>
              <w:t>·d计</w:t>
            </w:r>
            <w:r>
              <w:rPr>
                <w:rFonts w:hAnsi="宋体"/>
                <w:color w:val="000000"/>
                <w:sz w:val="24"/>
              </w:rPr>
              <w:t>算，年工作时间为</w:t>
            </w:r>
            <w:r>
              <w:rPr>
                <w:rFonts w:hint="eastAsia" w:hAnsi="宋体"/>
                <w:color w:val="000000"/>
                <w:sz w:val="24"/>
              </w:rPr>
              <w:t>200d，则生活垃圾</w:t>
            </w:r>
            <w:r>
              <w:rPr>
                <w:rFonts w:hAnsi="宋体"/>
                <w:color w:val="000000"/>
                <w:sz w:val="24"/>
              </w:rPr>
              <w:t>产生量</w:t>
            </w:r>
            <w:r>
              <w:rPr>
                <w:rFonts w:hint="eastAsia"/>
                <w:color w:val="000000"/>
                <w:sz w:val="24"/>
              </w:rPr>
              <w:t>0.3t</w:t>
            </w:r>
            <w:r>
              <w:rPr>
                <w:color w:val="000000"/>
                <w:sz w:val="24"/>
              </w:rPr>
              <w:t>/a</w:t>
            </w:r>
            <w:r>
              <w:rPr>
                <w:rFonts w:hint="eastAsia" w:hAnsi="宋体"/>
                <w:sz w:val="24"/>
              </w:rPr>
              <w:t>，分类收集后交由环卫部门运至附近垃圾中转站处理。</w:t>
            </w:r>
          </w:p>
          <w:p>
            <w:pPr>
              <w:adjustRightInd w:val="0"/>
              <w:snapToGrid w:val="0"/>
              <w:spacing w:line="360" w:lineRule="auto"/>
              <w:ind w:firstLine="480" w:firstLineChars="200"/>
              <w:rPr>
                <w:sz w:val="24"/>
              </w:rPr>
            </w:pPr>
            <w:r>
              <w:rPr>
                <w:rFonts w:hint="eastAsia"/>
                <w:sz w:val="24"/>
              </w:rPr>
              <w:t>（4）化粪池污泥</w:t>
            </w:r>
          </w:p>
          <w:p>
            <w:pPr>
              <w:adjustRightInd w:val="0"/>
              <w:snapToGrid w:val="0"/>
              <w:spacing w:line="360" w:lineRule="auto"/>
              <w:ind w:firstLine="480" w:firstLineChars="200"/>
              <w:rPr>
                <w:color w:val="000000"/>
                <w:sz w:val="24"/>
              </w:rPr>
            </w:pPr>
            <w:r>
              <w:rPr>
                <w:color w:val="000000"/>
                <w:sz w:val="24"/>
              </w:rPr>
              <w:t>本项目职工生活污水经化粪池处理</w:t>
            </w:r>
            <w:r>
              <w:rPr>
                <w:rFonts w:hint="eastAsia"/>
                <w:color w:val="000000"/>
                <w:sz w:val="24"/>
              </w:rPr>
              <w:t>过程</w:t>
            </w:r>
            <w:r>
              <w:rPr>
                <w:color w:val="000000"/>
                <w:sz w:val="24"/>
              </w:rPr>
              <w:t>会产生一定量污泥，产生量约为</w:t>
            </w:r>
            <w:r>
              <w:rPr>
                <w:rFonts w:hint="eastAsia"/>
                <w:color w:val="000000"/>
                <w:sz w:val="24"/>
              </w:rPr>
              <w:t>0.12</w:t>
            </w:r>
            <w:r>
              <w:rPr>
                <w:color w:val="000000"/>
                <w:sz w:val="24"/>
              </w:rPr>
              <w:t>t/a</w:t>
            </w:r>
            <w:r>
              <w:rPr>
                <w:rFonts w:hint="eastAsia"/>
                <w:color w:val="000000"/>
                <w:sz w:val="24"/>
              </w:rPr>
              <w:t>，</w:t>
            </w:r>
            <w:r>
              <w:rPr>
                <w:color w:val="000000"/>
                <w:sz w:val="24"/>
              </w:rPr>
              <w:t>定期清掏后用于周围农田施肥</w:t>
            </w:r>
            <w:r>
              <w:rPr>
                <w:rFonts w:hint="eastAsia"/>
                <w:color w:val="000000"/>
                <w:sz w:val="24"/>
              </w:rPr>
              <w:t>。</w:t>
            </w:r>
          </w:p>
          <w:p>
            <w:pPr>
              <w:adjustRightInd w:val="0"/>
              <w:snapToGrid w:val="0"/>
              <w:spacing w:line="360" w:lineRule="auto"/>
              <w:ind w:firstLine="480" w:firstLineChars="200"/>
              <w:rPr>
                <w:color w:val="000000"/>
                <w:sz w:val="24"/>
              </w:rPr>
            </w:pPr>
            <w:r>
              <w:rPr>
                <w:rFonts w:hint="eastAsia"/>
                <w:color w:val="000000"/>
                <w:sz w:val="24"/>
              </w:rPr>
              <w:t>（5）</w:t>
            </w:r>
            <w:r>
              <w:rPr>
                <w:color w:val="000000"/>
                <w:sz w:val="24"/>
              </w:rPr>
              <w:t>废</w:t>
            </w:r>
            <w:r>
              <w:rPr>
                <w:rFonts w:hint="eastAsia"/>
                <w:color w:val="000000"/>
                <w:sz w:val="24"/>
              </w:rPr>
              <w:t>液压油</w:t>
            </w:r>
          </w:p>
          <w:p>
            <w:pPr>
              <w:adjustRightInd w:val="0"/>
              <w:snapToGrid w:val="0"/>
              <w:spacing w:line="360" w:lineRule="auto"/>
              <w:ind w:firstLine="480" w:firstLineChars="200"/>
              <w:rPr>
                <w:sz w:val="24"/>
              </w:rPr>
            </w:pPr>
            <w:r>
              <w:rPr>
                <w:rFonts w:hint="eastAsia" w:hAnsi="宋体"/>
                <w:sz w:val="24"/>
              </w:rPr>
              <w:t>本项目热压机等设备运转维护过程会使用液压油，该过程会产生废液压油，产生量约0.02t/a。</w:t>
            </w:r>
            <w:r>
              <w:rPr>
                <w:rFonts w:hint="eastAsia"/>
                <w:bCs/>
                <w:sz w:val="24"/>
              </w:rPr>
              <w:t>经</w:t>
            </w:r>
            <w:r>
              <w:rPr>
                <w:rFonts w:hint="eastAsia" w:hAnsi="宋体"/>
                <w:sz w:val="24"/>
              </w:rPr>
              <w:t>对比《国家危险废物名录》（2016年本）</w:t>
            </w:r>
            <w:r>
              <w:rPr>
                <w:rFonts w:hint="eastAsia"/>
                <w:sz w:val="24"/>
              </w:rPr>
              <w:t>，废液压油属于危险废物“HW08废矿物油与含矿物油废物”中“900-249-08其他生产、销售、使用过程中产生的废矿物油及含矿物油废物”，集中收集于厂区现有危废暂存间（面积10m</w:t>
            </w:r>
            <w:r>
              <w:rPr>
                <w:rFonts w:hint="eastAsia"/>
                <w:sz w:val="24"/>
                <w:vertAlign w:val="superscript"/>
              </w:rPr>
              <w:t>2</w:t>
            </w:r>
            <w:r>
              <w:rPr>
                <w:rFonts w:hint="eastAsia"/>
                <w:sz w:val="24"/>
              </w:rPr>
              <w:t>），定期交由有危废处理资质的单位进行处置。</w:t>
            </w:r>
          </w:p>
          <w:p>
            <w:pPr>
              <w:widowControl/>
              <w:adjustRightInd w:val="0"/>
              <w:snapToGrid w:val="0"/>
              <w:spacing w:line="360" w:lineRule="auto"/>
              <w:ind w:firstLine="482"/>
              <w:rPr>
                <w:rFonts w:hAnsi="宋体"/>
                <w:color w:val="000000"/>
                <w:sz w:val="24"/>
              </w:rPr>
            </w:pPr>
            <w:r>
              <w:rPr>
                <w:rFonts w:hint="eastAsia" w:hAnsi="宋体"/>
                <w:sz w:val="24"/>
              </w:rPr>
              <w:t>（6）</w:t>
            </w:r>
            <w:r>
              <w:rPr>
                <w:rFonts w:hint="eastAsia" w:hAnsi="宋体"/>
                <w:color w:val="000000"/>
                <w:sz w:val="24"/>
              </w:rPr>
              <w:t>废UV灯管</w:t>
            </w:r>
          </w:p>
          <w:p>
            <w:pPr>
              <w:adjustRightInd w:val="0"/>
              <w:snapToGrid w:val="0"/>
              <w:spacing w:line="360" w:lineRule="auto"/>
              <w:ind w:firstLine="480" w:firstLineChars="200"/>
              <w:rPr>
                <w:sz w:val="24"/>
              </w:rPr>
            </w:pPr>
            <w:r>
              <w:rPr>
                <w:rFonts w:hint="eastAsia" w:hAnsi="宋体"/>
                <w:color w:val="000000"/>
                <w:sz w:val="24"/>
              </w:rPr>
              <w:t>本项目热压工序产生的有机废气经集气罩收集后送至UV光氧催化+低温等离子处理装置进行处理，UV灯管长期使用需定期更换，会产生一定量的废UV灯管，废UV灯管产生量约为0.01t/a。经对比《国家危险废物名录》（2016年本），</w:t>
            </w:r>
            <w:r>
              <w:rPr>
                <w:rFonts w:hint="eastAsia"/>
                <w:color w:val="000000"/>
                <w:sz w:val="24"/>
              </w:rPr>
              <w:t>废UV灯管属于危险废物“HW29含汞废物”中“900-023-29生产、销售及使用过程中产生的废含汞荧光灯管及其他废含汞点光源”，</w:t>
            </w:r>
            <w:r>
              <w:rPr>
                <w:rFonts w:hint="eastAsia"/>
                <w:sz w:val="24"/>
              </w:rPr>
              <w:t>集中收集于厂区危废暂存间</w:t>
            </w:r>
            <w:r>
              <w:rPr>
                <w:rFonts w:hint="eastAsia"/>
                <w:color w:val="auto"/>
                <w:sz w:val="24"/>
                <w:u w:val="single"/>
              </w:rPr>
              <w:t>（面积10m</w:t>
            </w:r>
            <w:r>
              <w:rPr>
                <w:rFonts w:hint="eastAsia"/>
                <w:color w:val="auto"/>
                <w:sz w:val="24"/>
                <w:u w:val="single"/>
                <w:vertAlign w:val="superscript"/>
              </w:rPr>
              <w:t>2</w:t>
            </w:r>
            <w:r>
              <w:rPr>
                <w:rFonts w:hint="eastAsia"/>
                <w:color w:val="auto"/>
                <w:sz w:val="24"/>
                <w:u w:val="single"/>
              </w:rPr>
              <w:t>，采取“四防”措施）</w:t>
            </w:r>
            <w:r>
              <w:rPr>
                <w:rFonts w:hint="eastAsia"/>
                <w:sz w:val="24"/>
              </w:rPr>
              <w:t>，定期交由有危废处理资质的单位进行处置。</w:t>
            </w:r>
          </w:p>
          <w:p>
            <w:pPr>
              <w:tabs>
                <w:tab w:val="left" w:pos="1081"/>
              </w:tabs>
              <w:adjustRightInd w:val="0"/>
              <w:snapToGrid w:val="0"/>
              <w:spacing w:line="360" w:lineRule="auto"/>
              <w:ind w:firstLine="480" w:firstLineChars="200"/>
              <w:rPr>
                <w:color w:val="000000"/>
                <w:sz w:val="24"/>
              </w:rPr>
            </w:pPr>
            <w:r>
              <w:rPr>
                <w:rFonts w:hint="eastAsia"/>
                <w:color w:val="000000"/>
                <w:sz w:val="24"/>
              </w:rPr>
              <w:t>4</w:t>
            </w:r>
            <w:r>
              <w:rPr>
                <w:color w:val="000000"/>
                <w:sz w:val="24"/>
              </w:rPr>
              <w:t>.2环境管理要求</w:t>
            </w:r>
          </w:p>
          <w:p>
            <w:pPr>
              <w:tabs>
                <w:tab w:val="left" w:pos="1081"/>
              </w:tabs>
              <w:adjustRightInd w:val="0"/>
              <w:snapToGrid w:val="0"/>
              <w:spacing w:line="360" w:lineRule="auto"/>
              <w:ind w:firstLine="480" w:firstLineChars="200"/>
              <w:rPr>
                <w:bCs/>
                <w:color w:val="000000"/>
                <w:sz w:val="24"/>
              </w:rPr>
            </w:pPr>
            <w:r>
              <w:rPr>
                <w:rFonts w:hint="eastAsia"/>
                <w:bCs/>
                <w:color w:val="000000"/>
                <w:sz w:val="24"/>
              </w:rPr>
              <w:t>（1）</w:t>
            </w:r>
            <w:r>
              <w:rPr>
                <w:bCs/>
                <w:color w:val="000000"/>
                <w:sz w:val="24"/>
              </w:rPr>
              <w:t>一般工业固废</w:t>
            </w:r>
            <w:r>
              <w:rPr>
                <w:rFonts w:hint="eastAsia"/>
                <w:bCs/>
                <w:color w:val="000000"/>
                <w:sz w:val="24"/>
              </w:rPr>
              <w:t>环境管理要求</w:t>
            </w:r>
          </w:p>
          <w:p>
            <w:pPr>
              <w:tabs>
                <w:tab w:val="left" w:pos="1081"/>
              </w:tabs>
              <w:adjustRightInd w:val="0"/>
              <w:snapToGrid w:val="0"/>
              <w:spacing w:line="360" w:lineRule="auto"/>
              <w:ind w:firstLine="480" w:firstLineChars="200"/>
              <w:rPr>
                <w:color w:val="000000"/>
                <w:sz w:val="24"/>
              </w:rPr>
            </w:pPr>
            <w:r>
              <w:rPr>
                <w:rFonts w:hint="eastAsia" w:ascii="宋体" w:hAnsi="宋体"/>
                <w:color w:val="000000"/>
                <w:sz w:val="24"/>
              </w:rPr>
              <w:t>①</w:t>
            </w:r>
            <w:r>
              <w:rPr>
                <w:rFonts w:hint="eastAsia"/>
                <w:color w:val="000000"/>
                <w:sz w:val="24"/>
              </w:rPr>
              <w:t>一般工业固废处理</w:t>
            </w:r>
            <w:r>
              <w:rPr>
                <w:color w:val="000000"/>
                <w:sz w:val="24"/>
              </w:rPr>
              <w:t>要按照《</w:t>
            </w:r>
            <w:r>
              <w:fldChar w:fldCharType="begin"/>
            </w:r>
            <w:r>
              <w:instrText xml:space="preserve"> HYPERLINK "http://www.es.org.cn/download/15-1.pdf" \h </w:instrText>
            </w:r>
            <w:r>
              <w:fldChar w:fldCharType="separate"/>
            </w:r>
            <w:r>
              <w:rPr>
                <w:color w:val="000000"/>
                <w:sz w:val="24"/>
              </w:rPr>
              <w:t>一般工业固体废物贮存、处置场污染控制标准</w:t>
            </w:r>
            <w:r>
              <w:rPr>
                <w:color w:val="000000"/>
                <w:sz w:val="24"/>
              </w:rPr>
              <w:fldChar w:fldCharType="end"/>
            </w:r>
            <w:r>
              <w:rPr>
                <w:color w:val="000000"/>
                <w:sz w:val="24"/>
              </w:rPr>
              <w:t>》（GB18599-2001）的要求设置暂存场所。</w:t>
            </w:r>
          </w:p>
          <w:p>
            <w:pPr>
              <w:tabs>
                <w:tab w:val="left" w:pos="1081"/>
              </w:tabs>
              <w:adjustRightInd w:val="0"/>
              <w:snapToGrid w:val="0"/>
              <w:spacing w:line="360" w:lineRule="auto"/>
              <w:ind w:firstLine="480" w:firstLineChars="200"/>
              <w:rPr>
                <w:color w:val="000000"/>
                <w:sz w:val="24"/>
              </w:rPr>
            </w:pPr>
            <w:r>
              <w:rPr>
                <w:rFonts w:hint="eastAsia" w:ascii="宋体" w:hAnsi="宋体"/>
                <w:color w:val="000000"/>
                <w:sz w:val="24"/>
              </w:rPr>
              <w:t>②</w:t>
            </w:r>
            <w:r>
              <w:rPr>
                <w:color w:val="000000"/>
                <w:sz w:val="24"/>
              </w:rPr>
              <w:t>不得露天堆放，防止雨水进入产生二次污染。一般工业固体废物临时贮存仓库按照《一般工业固体废物贮存和填埋污染控制标准》（GB18599-2020）Ⅱ类场标准相关要求建设，地面基础及内墙采取防渗措施，使用防水混凝土。一般固体废物按照不同的类别和性质</w:t>
            </w:r>
            <w:r>
              <w:rPr>
                <w:rFonts w:hint="eastAsia"/>
                <w:color w:val="000000"/>
                <w:sz w:val="24"/>
              </w:rPr>
              <w:t>，</w:t>
            </w:r>
            <w:r>
              <w:rPr>
                <w:color w:val="000000"/>
                <w:sz w:val="24"/>
              </w:rPr>
              <w:t>分区堆放。通过规范设置固体废物暂存场，同时建立完善厂内固体废物防范措施和管理制度</w:t>
            </w:r>
            <w:r>
              <w:rPr>
                <w:rFonts w:hint="eastAsia"/>
                <w:color w:val="000000"/>
                <w:sz w:val="24"/>
              </w:rPr>
              <w:t>，</w:t>
            </w:r>
            <w:r>
              <w:rPr>
                <w:color w:val="000000"/>
                <w:sz w:val="24"/>
              </w:rPr>
              <w:t>可使固体废物在收集、存放过程中对环境的影响至最低限度。</w:t>
            </w:r>
          </w:p>
          <w:p>
            <w:pPr>
              <w:tabs>
                <w:tab w:val="left" w:pos="1081"/>
              </w:tabs>
              <w:adjustRightInd w:val="0"/>
              <w:snapToGrid w:val="0"/>
              <w:spacing w:line="360" w:lineRule="auto"/>
              <w:ind w:firstLine="480" w:firstLineChars="200"/>
              <w:rPr>
                <w:bCs/>
                <w:color w:val="000000"/>
                <w:sz w:val="24"/>
              </w:rPr>
            </w:pPr>
            <w:r>
              <w:rPr>
                <w:rFonts w:hint="eastAsia"/>
                <w:bCs/>
                <w:color w:val="000000"/>
                <w:sz w:val="24"/>
              </w:rPr>
              <w:t>（2）</w:t>
            </w:r>
            <w:r>
              <w:rPr>
                <w:bCs/>
                <w:color w:val="000000"/>
                <w:sz w:val="24"/>
              </w:rPr>
              <w:t>危险废物</w:t>
            </w:r>
            <w:r>
              <w:rPr>
                <w:rFonts w:hint="eastAsia"/>
                <w:bCs/>
                <w:color w:val="000000"/>
                <w:sz w:val="24"/>
              </w:rPr>
              <w:t>环境管理要求</w:t>
            </w:r>
          </w:p>
          <w:p>
            <w:pPr>
              <w:tabs>
                <w:tab w:val="left" w:pos="1081"/>
              </w:tabs>
              <w:adjustRightInd w:val="0"/>
              <w:snapToGrid w:val="0"/>
              <w:spacing w:line="360" w:lineRule="auto"/>
              <w:ind w:firstLine="480" w:firstLineChars="200"/>
              <w:rPr>
                <w:color w:val="000000"/>
                <w:sz w:val="24"/>
              </w:rPr>
            </w:pPr>
            <w:r>
              <w:rPr>
                <w:rFonts w:hint="eastAsia"/>
                <w:color w:val="000000"/>
                <w:sz w:val="24"/>
              </w:rPr>
              <w:t>按照危险废物管理要求，厂内对危险废物进行临时贮存，转移和最终处置严格按照《危险废物收集、贮存、运输技术规范》（HJ2025-2012）中相关规定，危险废物临时贮存期间应满足</w:t>
            </w:r>
            <w:r>
              <w:rPr>
                <w:color w:val="000000"/>
                <w:sz w:val="24"/>
              </w:rPr>
              <w:t>《</w:t>
            </w:r>
            <w:r>
              <w:rPr>
                <w:rFonts w:hint="eastAsia"/>
                <w:color w:val="000000"/>
                <w:sz w:val="24"/>
              </w:rPr>
              <w:t>危险</w:t>
            </w:r>
            <w:r>
              <w:rPr>
                <w:color w:val="000000"/>
                <w:sz w:val="24"/>
              </w:rPr>
              <w:t>废物贮存污染控制标准》（GB1859</w:t>
            </w:r>
            <w:r>
              <w:rPr>
                <w:rFonts w:hint="eastAsia"/>
                <w:color w:val="000000"/>
                <w:sz w:val="24"/>
              </w:rPr>
              <w:t>7</w:t>
            </w:r>
            <w:r>
              <w:rPr>
                <w:color w:val="000000"/>
                <w:sz w:val="24"/>
              </w:rPr>
              <w:t>-2001）</w:t>
            </w:r>
            <w:r>
              <w:rPr>
                <w:rFonts w:hint="eastAsia"/>
                <w:color w:val="000000"/>
                <w:sz w:val="24"/>
              </w:rPr>
              <w:t>及修改单中对危险废物贮存设施的要求，严禁将危险废物混入非危险废物中。</w:t>
            </w:r>
          </w:p>
          <w:p>
            <w:pPr>
              <w:tabs>
                <w:tab w:val="left" w:pos="1081"/>
              </w:tabs>
              <w:adjustRightInd w:val="0"/>
              <w:snapToGrid w:val="0"/>
              <w:spacing w:line="360" w:lineRule="auto"/>
              <w:ind w:firstLine="480" w:firstLineChars="200"/>
              <w:rPr>
                <w:color w:val="000000"/>
                <w:sz w:val="24"/>
              </w:rPr>
            </w:pPr>
            <w:r>
              <w:rPr>
                <w:rFonts w:hint="eastAsia"/>
                <w:color w:val="000000"/>
                <w:sz w:val="24"/>
              </w:rPr>
              <w:t>①</w:t>
            </w:r>
            <w:r>
              <w:rPr>
                <w:color w:val="000000"/>
                <w:sz w:val="24"/>
              </w:rPr>
              <w:t>危险废物暂存、处置要求</w:t>
            </w:r>
          </w:p>
          <w:p>
            <w:pPr>
              <w:tabs>
                <w:tab w:val="left" w:pos="1081"/>
              </w:tabs>
              <w:adjustRightInd w:val="0"/>
              <w:snapToGrid w:val="0"/>
              <w:spacing w:line="360" w:lineRule="auto"/>
              <w:ind w:firstLine="480" w:firstLineChars="200"/>
              <w:rPr>
                <w:color w:val="000000"/>
                <w:sz w:val="24"/>
              </w:rPr>
            </w:pPr>
            <w:r>
              <w:rPr>
                <w:color w:val="000000"/>
                <w:sz w:val="24"/>
              </w:rPr>
              <w:t>按照危险固废处置的有关规定，对属于国家规定危险废物之列的固体废物，必须委托有资质单位进行妥善处理。外运时需要严格按照国家环境保护总局令第5号文件</w:t>
            </w:r>
            <w:r>
              <w:rPr>
                <w:bCs/>
                <w:color w:val="000000"/>
                <w:sz w:val="24"/>
              </w:rPr>
              <w:t>《危险废物转移联单管理办法》</w:t>
            </w:r>
            <w:r>
              <w:rPr>
                <w:color w:val="000000"/>
                <w:sz w:val="24"/>
              </w:rPr>
              <w:t>的相关规定报批危险废物转移计划，应做到不沿途抛洒；因此，必须加强对固体废弃物的管理，确保各类固体废弃物的妥善处置，固体废弃物贮存场所所应有明显的标志，并有防风、防雨、防晒等设施。</w:t>
            </w:r>
          </w:p>
          <w:p>
            <w:pPr>
              <w:tabs>
                <w:tab w:val="left" w:pos="1081"/>
              </w:tabs>
              <w:adjustRightInd w:val="0"/>
              <w:snapToGrid w:val="0"/>
              <w:spacing w:line="360" w:lineRule="auto"/>
              <w:ind w:firstLine="480" w:firstLineChars="200"/>
              <w:rPr>
                <w:color w:val="000000"/>
                <w:sz w:val="24"/>
              </w:rPr>
            </w:pPr>
            <w:r>
              <w:rPr>
                <w:color w:val="000000"/>
                <w:sz w:val="24"/>
              </w:rPr>
              <w:t>厂内危险废物暂存场所应按照《危险废物贮存污染物控制标准》（GB18597-2001）</w:t>
            </w:r>
            <w:r>
              <w:rPr>
                <w:color w:val="000000"/>
                <w:kern w:val="0"/>
                <w:sz w:val="24"/>
              </w:rPr>
              <w:t>及修改单</w:t>
            </w:r>
            <w:r>
              <w:rPr>
                <w:color w:val="000000"/>
                <w:sz w:val="24"/>
              </w:rPr>
              <w:t>的规定设置，具体要求如下：</w:t>
            </w:r>
          </w:p>
          <w:p>
            <w:pPr>
              <w:tabs>
                <w:tab w:val="left" w:pos="1081"/>
              </w:tabs>
              <w:adjustRightInd w:val="0"/>
              <w:snapToGrid w:val="0"/>
              <w:spacing w:line="360" w:lineRule="auto"/>
              <w:ind w:firstLine="480" w:firstLineChars="200"/>
              <w:rPr>
                <w:color w:val="000000"/>
                <w:sz w:val="24"/>
              </w:rPr>
            </w:pPr>
            <w:r>
              <w:rPr>
                <w:color w:val="000000"/>
                <w:sz w:val="24"/>
              </w:rPr>
              <w:t>A、所有产生的危险废物均应使用符合标准要求的容器盛装，装载危险废物的容器及材质要满足相应的强度要求，且必须完好无损；</w:t>
            </w:r>
          </w:p>
          <w:p>
            <w:pPr>
              <w:tabs>
                <w:tab w:val="left" w:pos="1081"/>
              </w:tabs>
              <w:adjustRightInd w:val="0"/>
              <w:snapToGrid w:val="0"/>
              <w:spacing w:line="360" w:lineRule="auto"/>
              <w:ind w:firstLine="480" w:firstLineChars="200"/>
              <w:rPr>
                <w:color w:val="000000"/>
                <w:sz w:val="24"/>
              </w:rPr>
            </w:pPr>
            <w:r>
              <w:rPr>
                <w:color w:val="000000"/>
                <w:sz w:val="24"/>
              </w:rPr>
              <w:t>B、禁止将</w:t>
            </w:r>
            <w:r>
              <w:rPr>
                <w:bCs/>
                <w:color w:val="000000"/>
                <w:sz w:val="24"/>
              </w:rPr>
              <w:t>不相容</w:t>
            </w:r>
            <w:r>
              <w:rPr>
                <w:color w:val="000000"/>
                <w:sz w:val="24"/>
              </w:rPr>
              <w:t>（相互反应）的危险废物在同一容器内混装，装危险废物的容器上必须粘贴符合标准附录A 所示的标签；</w:t>
            </w:r>
          </w:p>
          <w:p>
            <w:pPr>
              <w:tabs>
                <w:tab w:val="left" w:pos="1081"/>
              </w:tabs>
              <w:adjustRightInd w:val="0"/>
              <w:snapToGrid w:val="0"/>
              <w:spacing w:line="360" w:lineRule="auto"/>
              <w:ind w:firstLine="480" w:firstLineChars="200"/>
              <w:rPr>
                <w:color w:val="000000"/>
                <w:sz w:val="24"/>
              </w:rPr>
            </w:pPr>
            <w:r>
              <w:rPr>
                <w:color w:val="000000"/>
                <w:sz w:val="24"/>
              </w:rPr>
              <w:t>C、危险废物贮存间的地面与裙脚要用坚固、防渗的材料建造，建筑材料必须与危险废物相容，应设计堵截泄露的裙脚，地面与裙脚所围建的溶剂不低于堵截最大容器的最大储量或总储量的五分之一，不相容的危险废物必须分开存放，并设有隔离间隔断；</w:t>
            </w:r>
          </w:p>
          <w:p>
            <w:pPr>
              <w:tabs>
                <w:tab w:val="left" w:pos="1081"/>
              </w:tabs>
              <w:adjustRightInd w:val="0"/>
              <w:snapToGrid w:val="0"/>
              <w:spacing w:line="360" w:lineRule="auto"/>
              <w:ind w:firstLine="480" w:firstLineChars="200"/>
              <w:rPr>
                <w:color w:val="000000"/>
                <w:sz w:val="24"/>
              </w:rPr>
            </w:pPr>
            <w:r>
              <w:rPr>
                <w:color w:val="000000"/>
                <w:sz w:val="24"/>
              </w:rPr>
              <w:t>D、厂内建立危险废物台账管理制度，作好危险废物情况的记录，记录上须注明危险废物的名称、来源、数量、特性和包装容器的类别、入库日期、存放库位、废物出库日期及接受单位名称，危险废物的记录和货单在危险废物回取后应继续保留三年；</w:t>
            </w:r>
          </w:p>
          <w:p>
            <w:pPr>
              <w:tabs>
                <w:tab w:val="left" w:pos="1081"/>
              </w:tabs>
              <w:adjustRightInd w:val="0"/>
              <w:snapToGrid w:val="0"/>
              <w:spacing w:line="360" w:lineRule="auto"/>
              <w:ind w:firstLine="480" w:firstLineChars="200"/>
              <w:rPr>
                <w:color w:val="000000"/>
                <w:sz w:val="24"/>
              </w:rPr>
            </w:pPr>
            <w:r>
              <w:rPr>
                <w:color w:val="000000"/>
                <w:sz w:val="24"/>
              </w:rPr>
              <w:t>E、必须定期对贮存的危险废物包装容器及贮存设施进行检查，发现破损，应及时采取措施清理更换；</w:t>
            </w:r>
          </w:p>
          <w:p>
            <w:pPr>
              <w:tabs>
                <w:tab w:val="left" w:pos="1081"/>
              </w:tabs>
              <w:adjustRightInd w:val="0"/>
              <w:snapToGrid w:val="0"/>
              <w:spacing w:line="360" w:lineRule="auto"/>
              <w:ind w:firstLine="480" w:firstLineChars="200"/>
              <w:rPr>
                <w:color w:val="000000"/>
                <w:sz w:val="24"/>
              </w:rPr>
            </w:pPr>
            <w:r>
              <w:rPr>
                <w:color w:val="000000"/>
                <w:sz w:val="24"/>
              </w:rPr>
              <w:t>F、危险废物贮存设施必须按照《环境保护图形标志 固体废物贮存（处置）场》（GB15562.2</w:t>
            </w:r>
            <w:r>
              <w:rPr>
                <w:rFonts w:hint="eastAsia"/>
                <w:color w:val="000000"/>
                <w:sz w:val="24"/>
              </w:rPr>
              <w:t>-</w:t>
            </w:r>
            <w:r>
              <w:rPr>
                <w:color w:val="000000"/>
                <w:sz w:val="24"/>
              </w:rPr>
              <w:t>1995）的规定设置警示标志。</w:t>
            </w:r>
          </w:p>
          <w:p>
            <w:pPr>
              <w:tabs>
                <w:tab w:val="left" w:pos="1081"/>
              </w:tabs>
              <w:adjustRightInd w:val="0"/>
              <w:snapToGrid w:val="0"/>
              <w:spacing w:line="360" w:lineRule="auto"/>
              <w:ind w:firstLine="480" w:firstLineChars="200"/>
              <w:rPr>
                <w:bCs/>
                <w:color w:val="000000"/>
                <w:sz w:val="24"/>
              </w:rPr>
            </w:pPr>
            <w:r>
              <w:rPr>
                <w:rFonts w:hint="eastAsia"/>
                <w:bCs/>
                <w:color w:val="000000"/>
                <w:sz w:val="24"/>
              </w:rPr>
              <w:t>②</w:t>
            </w:r>
            <w:r>
              <w:rPr>
                <w:bCs/>
                <w:color w:val="000000"/>
                <w:sz w:val="24"/>
              </w:rPr>
              <w:t>危险废物</w:t>
            </w:r>
            <w:bookmarkStart w:id="2" w:name="_Toc499767944"/>
            <w:r>
              <w:rPr>
                <w:bCs/>
                <w:color w:val="000000"/>
                <w:sz w:val="24"/>
              </w:rPr>
              <w:t>包装、运输</w:t>
            </w:r>
            <w:bookmarkEnd w:id="2"/>
            <w:r>
              <w:rPr>
                <w:bCs/>
                <w:color w:val="000000"/>
                <w:sz w:val="24"/>
              </w:rPr>
              <w:t>要求</w:t>
            </w:r>
          </w:p>
          <w:p>
            <w:pPr>
              <w:tabs>
                <w:tab w:val="left" w:pos="1081"/>
              </w:tabs>
              <w:adjustRightInd w:val="0"/>
              <w:snapToGrid w:val="0"/>
              <w:spacing w:line="360" w:lineRule="auto"/>
              <w:ind w:firstLine="480" w:firstLineChars="200"/>
              <w:rPr>
                <w:color w:val="000000"/>
                <w:sz w:val="24"/>
              </w:rPr>
            </w:pPr>
            <w:r>
              <w:rPr>
                <w:color w:val="000000"/>
                <w:sz w:val="24"/>
              </w:rPr>
              <w:t>项目各类</w:t>
            </w:r>
            <w:r>
              <w:rPr>
                <w:rFonts w:hint="eastAsia"/>
                <w:color w:val="000000"/>
                <w:sz w:val="24"/>
              </w:rPr>
              <w:t>危废</w:t>
            </w:r>
            <w:r>
              <w:rPr>
                <w:color w:val="000000"/>
                <w:sz w:val="24"/>
              </w:rPr>
              <w:t>均按照相应的包装要求进行包装，经本次固废论证后，企业将危废委托有资质单位进行处置。企业危废外运委托有资质的单位进行运输，严格执行《危险废物收集贮存运输技术规范》（HJ 2025-2012）和《危险废物转移联单管理办法》，并制定好危险废物转移运输途中的污染防范及事故应急措施，严格按照要求办理有关手续。</w:t>
            </w:r>
          </w:p>
          <w:p>
            <w:pPr>
              <w:tabs>
                <w:tab w:val="left" w:pos="1081"/>
              </w:tabs>
              <w:adjustRightInd w:val="0"/>
              <w:snapToGrid w:val="0"/>
              <w:spacing w:line="360" w:lineRule="auto"/>
              <w:ind w:firstLine="480" w:firstLineChars="200"/>
              <w:rPr>
                <w:color w:val="000000"/>
                <w:sz w:val="24"/>
              </w:rPr>
            </w:pPr>
            <w:r>
              <w:rPr>
                <w:rFonts w:hint="eastAsia"/>
                <w:color w:val="000000"/>
                <w:sz w:val="24"/>
              </w:rPr>
              <w:t>综上所述，项目产生的固体废物经过以上措施处理后，</w:t>
            </w:r>
            <w:r>
              <w:rPr>
                <w:color w:val="000000"/>
                <w:sz w:val="24"/>
              </w:rPr>
              <w:t>均得到妥善处置</w:t>
            </w:r>
            <w:r>
              <w:rPr>
                <w:rFonts w:hint="eastAsia"/>
                <w:color w:val="000000"/>
                <w:sz w:val="24"/>
              </w:rPr>
              <w:t>，预计对周围的环境</w:t>
            </w:r>
            <w:r>
              <w:rPr>
                <w:rFonts w:hint="eastAsia"/>
                <w:bCs/>
                <w:color w:val="000000"/>
                <w:sz w:val="24"/>
              </w:rPr>
              <w:t>不会</w:t>
            </w:r>
            <w:r>
              <w:rPr>
                <w:rFonts w:hint="eastAsia"/>
                <w:color w:val="000000"/>
                <w:sz w:val="24"/>
              </w:rPr>
              <w:t>产生明显的影响。</w:t>
            </w:r>
          </w:p>
          <w:p>
            <w:pPr>
              <w:tabs>
                <w:tab w:val="left" w:pos="1081"/>
              </w:tabs>
              <w:adjustRightInd w:val="0"/>
              <w:snapToGrid w:val="0"/>
              <w:spacing w:line="360" w:lineRule="auto"/>
              <w:ind w:firstLine="482" w:firstLineChars="200"/>
              <w:rPr>
                <w:rFonts w:hAnsi="宋体"/>
                <w:b/>
                <w:color w:val="000000"/>
                <w:kern w:val="0"/>
                <w:sz w:val="24"/>
              </w:rPr>
            </w:pPr>
            <w:r>
              <w:rPr>
                <w:rFonts w:hint="eastAsia"/>
                <w:b/>
                <w:color w:val="000000"/>
                <w:kern w:val="0"/>
                <w:sz w:val="24"/>
              </w:rPr>
              <w:t>5</w:t>
            </w:r>
            <w:r>
              <w:rPr>
                <w:rFonts w:hint="eastAsia" w:ascii="宋体" w:hAnsi="宋体"/>
                <w:b/>
                <w:color w:val="000000"/>
                <w:kern w:val="0"/>
                <w:sz w:val="24"/>
              </w:rPr>
              <w:t>、地下水影响分析</w:t>
            </w:r>
          </w:p>
          <w:p>
            <w:pPr>
              <w:adjustRightInd w:val="0"/>
              <w:snapToGrid w:val="0"/>
              <w:spacing w:line="360" w:lineRule="auto"/>
              <w:ind w:firstLine="480" w:firstLineChars="200"/>
              <w:outlineLvl w:val="1"/>
              <w:rPr>
                <w:color w:val="000000"/>
                <w:sz w:val="24"/>
              </w:rPr>
            </w:pPr>
            <w:r>
              <w:rPr>
                <w:color w:val="000000"/>
                <w:sz w:val="24"/>
              </w:rPr>
              <w:t>根据《环境影响评价技术导则—地下水环境》（HJ610-2016）中规定的建设项目分类原则，本项目属于</w:t>
            </w:r>
            <w:r>
              <w:rPr>
                <w:rFonts w:hint="eastAsia"/>
                <w:color w:val="000000"/>
                <w:sz w:val="24"/>
              </w:rPr>
              <w:t>“N轻工”中“110、人造板制造</w:t>
            </w:r>
            <w:r>
              <w:rPr>
                <w:color w:val="000000"/>
                <w:sz w:val="24"/>
              </w:rPr>
              <w:t>”</w:t>
            </w:r>
            <w:r>
              <w:rPr>
                <w:rFonts w:hint="eastAsia"/>
                <w:color w:val="000000"/>
                <w:sz w:val="24"/>
              </w:rPr>
              <w:t>中的“其他”类别，</w:t>
            </w:r>
            <w:r>
              <w:rPr>
                <w:color w:val="000000"/>
                <w:sz w:val="24"/>
              </w:rPr>
              <w:t>确定本属于</w:t>
            </w:r>
            <w:r>
              <w:rPr>
                <w:rFonts w:hint="eastAsia"/>
                <w:color w:val="000000"/>
                <w:sz w:val="24"/>
              </w:rPr>
              <w:t>Ⅳ</w:t>
            </w:r>
            <w:r>
              <w:rPr>
                <w:color w:val="000000"/>
                <w:sz w:val="24"/>
              </w:rPr>
              <w:t>类建设项目</w:t>
            </w:r>
            <w:r>
              <w:rPr>
                <w:rFonts w:hint="eastAsia"/>
                <w:sz w:val="24"/>
              </w:rPr>
              <w:t>，</w:t>
            </w:r>
            <w:r>
              <w:rPr>
                <w:rFonts w:hint="eastAsia"/>
                <w:color w:val="000000"/>
                <w:sz w:val="24"/>
              </w:rPr>
              <w:t>因此本项目可不开展地下水环境影响评价。为防止项目建设对区域地下水环境造成影响，评价要求项目生产车间、仓库地面均采取硬化防渗处理。</w:t>
            </w:r>
          </w:p>
          <w:p>
            <w:pPr>
              <w:adjustRightInd w:val="0"/>
              <w:snapToGrid w:val="0"/>
              <w:spacing w:line="360" w:lineRule="auto"/>
              <w:ind w:firstLine="482" w:firstLineChars="200"/>
              <w:rPr>
                <w:b/>
                <w:sz w:val="24"/>
              </w:rPr>
            </w:pPr>
            <w:r>
              <w:rPr>
                <w:rFonts w:hint="eastAsia"/>
                <w:b/>
                <w:sz w:val="24"/>
              </w:rPr>
              <w:t>6、土壤环境影响分析</w:t>
            </w:r>
          </w:p>
          <w:p>
            <w:pPr>
              <w:adjustRightInd w:val="0"/>
              <w:snapToGrid w:val="0"/>
              <w:spacing w:line="360" w:lineRule="auto"/>
              <w:ind w:firstLine="480" w:firstLineChars="200"/>
              <w:rPr>
                <w:sz w:val="24"/>
              </w:rPr>
            </w:pPr>
            <w:r>
              <w:rPr>
                <w:rFonts w:hint="eastAsia"/>
                <w:sz w:val="24"/>
              </w:rPr>
              <w:t>根据《环境影响评价技术导则 土壤环境（试行）》（HJ964-2018），污染影响型项目评价等级是根据土壤环境影响评价项目类别、占地规模与敏感程度进行划分，具体如下：</w:t>
            </w:r>
          </w:p>
          <w:p>
            <w:pPr>
              <w:adjustRightInd w:val="0"/>
              <w:snapToGrid w:val="0"/>
              <w:spacing w:line="360" w:lineRule="auto"/>
              <w:ind w:firstLine="480" w:firstLineChars="200"/>
              <w:rPr>
                <w:sz w:val="24"/>
              </w:rPr>
            </w:pPr>
            <w:r>
              <w:rPr>
                <w:rFonts w:hint="eastAsia"/>
                <w:sz w:val="24"/>
              </w:rPr>
              <w:t>（1）评价工作等级</w:t>
            </w:r>
          </w:p>
          <w:p>
            <w:pPr>
              <w:adjustRightInd w:val="0"/>
              <w:snapToGrid w:val="0"/>
              <w:spacing w:line="360" w:lineRule="auto"/>
              <w:ind w:firstLine="480" w:firstLineChars="200"/>
              <w:rPr>
                <w:rFonts w:ascii="宋体" w:hAnsi="宋体"/>
                <w:sz w:val="24"/>
              </w:rPr>
            </w:pPr>
            <w:r>
              <w:rPr>
                <w:rFonts w:hint="eastAsia" w:ascii="宋体" w:hAnsi="宋体"/>
                <w:sz w:val="24"/>
              </w:rPr>
              <w:t>①项目类别</w:t>
            </w:r>
          </w:p>
          <w:p>
            <w:pPr>
              <w:adjustRightInd w:val="0"/>
              <w:snapToGrid w:val="0"/>
              <w:spacing w:line="360" w:lineRule="auto"/>
              <w:ind w:firstLine="480" w:firstLineChars="200"/>
              <w:rPr>
                <w:rFonts w:ascii="宋体" w:hAnsi="宋体"/>
                <w:sz w:val="24"/>
              </w:rPr>
            </w:pPr>
            <w:r>
              <w:rPr>
                <w:rFonts w:hint="eastAsia"/>
                <w:sz w:val="24"/>
              </w:rPr>
              <w:t>根据《环境影响评价技术导则 土壤环境（试行）》（HJ964-2018）附录A土壤环境影响评价项目类别，本项目属于“设备制造、金属制品、汽车制造及其他用品制造”中“其他”，因此确定项目类别为</w:t>
            </w:r>
            <w:r>
              <w:rPr>
                <w:rFonts w:hint="eastAsia" w:ascii="宋体" w:hAnsi="宋体"/>
                <w:sz w:val="24"/>
              </w:rPr>
              <w:t>Ⅲ类。</w:t>
            </w:r>
          </w:p>
          <w:p>
            <w:pPr>
              <w:adjustRightInd w:val="0"/>
              <w:snapToGrid w:val="0"/>
              <w:spacing w:line="360" w:lineRule="auto"/>
              <w:ind w:firstLine="480" w:firstLineChars="200"/>
              <w:rPr>
                <w:sz w:val="24"/>
              </w:rPr>
            </w:pPr>
            <w:r>
              <w:rPr>
                <w:rFonts w:hint="eastAsia" w:ascii="宋体" w:hAnsi="宋体"/>
                <w:sz w:val="24"/>
              </w:rPr>
              <w:t>②</w:t>
            </w:r>
            <w:r>
              <w:rPr>
                <w:rFonts w:hint="eastAsia"/>
                <w:sz w:val="24"/>
              </w:rPr>
              <w:t>占地规模</w:t>
            </w:r>
          </w:p>
          <w:p>
            <w:pPr>
              <w:adjustRightInd w:val="0"/>
              <w:snapToGrid w:val="0"/>
              <w:spacing w:line="360" w:lineRule="auto"/>
              <w:ind w:firstLine="480" w:firstLineChars="200"/>
              <w:rPr>
                <w:sz w:val="24"/>
              </w:rPr>
            </w:pPr>
            <w:r>
              <w:rPr>
                <w:rFonts w:hint="eastAsia"/>
                <w:sz w:val="24"/>
              </w:rPr>
              <w:t>项目占地面积为1100m</w:t>
            </w:r>
            <w:r>
              <w:rPr>
                <w:rFonts w:hint="eastAsia"/>
                <w:sz w:val="24"/>
                <w:vertAlign w:val="superscript"/>
              </w:rPr>
              <w:t>2</w:t>
            </w:r>
            <w:r>
              <w:rPr>
                <w:rFonts w:hint="eastAsia"/>
                <w:sz w:val="24"/>
              </w:rPr>
              <w:t>=0.11hm</w:t>
            </w:r>
            <w:r>
              <w:rPr>
                <w:rFonts w:hint="eastAsia"/>
                <w:sz w:val="24"/>
                <w:vertAlign w:val="superscript"/>
              </w:rPr>
              <w:t>2</w:t>
            </w:r>
            <w:r>
              <w:rPr>
                <w:rFonts w:hint="eastAsia"/>
                <w:sz w:val="24"/>
              </w:rPr>
              <w:t>≤5hm</w:t>
            </w:r>
            <w:r>
              <w:rPr>
                <w:rFonts w:hint="eastAsia"/>
                <w:sz w:val="24"/>
                <w:vertAlign w:val="superscript"/>
              </w:rPr>
              <w:t>2</w:t>
            </w:r>
            <w:r>
              <w:rPr>
                <w:rFonts w:hint="eastAsia"/>
                <w:sz w:val="24"/>
              </w:rPr>
              <w:t>，用地规模为小型。</w:t>
            </w:r>
          </w:p>
          <w:p>
            <w:pPr>
              <w:adjustRightInd w:val="0"/>
              <w:snapToGrid w:val="0"/>
              <w:spacing w:line="360" w:lineRule="auto"/>
              <w:ind w:firstLine="480" w:firstLineChars="200"/>
              <w:rPr>
                <w:sz w:val="24"/>
              </w:rPr>
            </w:pPr>
            <w:r>
              <w:rPr>
                <w:rFonts w:hint="eastAsia" w:ascii="宋体" w:hAnsi="宋体"/>
                <w:sz w:val="24"/>
              </w:rPr>
              <w:t>③</w:t>
            </w:r>
            <w:r>
              <w:rPr>
                <w:rFonts w:hint="eastAsia"/>
                <w:sz w:val="24"/>
              </w:rPr>
              <w:t>污染影响敏感程度</w:t>
            </w:r>
          </w:p>
          <w:p>
            <w:pPr>
              <w:adjustRightInd w:val="0"/>
              <w:snapToGrid w:val="0"/>
              <w:spacing w:line="360" w:lineRule="auto"/>
              <w:jc w:val="center"/>
              <w:rPr>
                <w:b/>
                <w:sz w:val="24"/>
              </w:rPr>
            </w:pPr>
            <w:r>
              <w:rPr>
                <w:b/>
                <w:sz w:val="24"/>
              </w:rPr>
              <w:t>表</w:t>
            </w:r>
            <w:r>
              <w:rPr>
                <w:rFonts w:hint="eastAsia"/>
                <w:b/>
                <w:sz w:val="24"/>
              </w:rPr>
              <w:t xml:space="preserve">4-22 </w:t>
            </w:r>
            <w:r>
              <w:rPr>
                <w:b/>
                <w:sz w:val="24"/>
              </w:rPr>
              <w:t xml:space="preserve">   </w:t>
            </w:r>
            <w:r>
              <w:rPr>
                <w:rFonts w:hint="eastAsia"/>
                <w:b/>
                <w:sz w:val="24"/>
              </w:rPr>
              <w:t xml:space="preserve">     </w:t>
            </w:r>
            <w:r>
              <w:rPr>
                <w:b/>
                <w:sz w:val="24"/>
              </w:rPr>
              <w:t>污染影响型敏感程度分级表</w:t>
            </w:r>
          </w:p>
          <w:tbl>
            <w:tblPr>
              <w:tblStyle w:val="30"/>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8" w:type="dxa"/>
                  <w:shd w:val="clear" w:color="auto" w:fill="auto"/>
                  <w:vAlign w:val="center"/>
                </w:tcPr>
                <w:p>
                  <w:pPr>
                    <w:pStyle w:val="74"/>
                    <w:spacing w:line="240" w:lineRule="auto"/>
                    <w:ind w:firstLine="0" w:firstLineChars="0"/>
                    <w:jc w:val="center"/>
                    <w:rPr>
                      <w:sz w:val="21"/>
                      <w:szCs w:val="21"/>
                    </w:rPr>
                  </w:pPr>
                  <w:r>
                    <w:rPr>
                      <w:rFonts w:hint="eastAsia"/>
                      <w:sz w:val="21"/>
                      <w:szCs w:val="21"/>
                    </w:rPr>
                    <w:t>敏感程度</w:t>
                  </w:r>
                </w:p>
              </w:tc>
              <w:tc>
                <w:tcPr>
                  <w:tcW w:w="6198" w:type="dxa"/>
                  <w:shd w:val="clear" w:color="auto" w:fill="auto"/>
                  <w:vAlign w:val="center"/>
                </w:tcPr>
                <w:p>
                  <w:pPr>
                    <w:pStyle w:val="74"/>
                    <w:spacing w:line="240" w:lineRule="auto"/>
                    <w:ind w:firstLine="0" w:firstLineChars="0"/>
                    <w:jc w:val="center"/>
                    <w:rPr>
                      <w:sz w:val="21"/>
                      <w:szCs w:val="21"/>
                    </w:rPr>
                  </w:pPr>
                  <w:r>
                    <w:rPr>
                      <w:rFonts w:hint="eastAsia"/>
                      <w:sz w:val="21"/>
                      <w:szCs w:val="21"/>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8" w:type="dxa"/>
                  <w:shd w:val="clear" w:color="auto" w:fill="auto"/>
                  <w:vAlign w:val="center"/>
                </w:tcPr>
                <w:p>
                  <w:pPr>
                    <w:pStyle w:val="74"/>
                    <w:spacing w:line="240" w:lineRule="auto"/>
                    <w:ind w:firstLine="0" w:firstLineChars="0"/>
                    <w:jc w:val="center"/>
                    <w:rPr>
                      <w:sz w:val="21"/>
                      <w:szCs w:val="21"/>
                    </w:rPr>
                  </w:pPr>
                  <w:r>
                    <w:rPr>
                      <w:rFonts w:hint="eastAsia"/>
                      <w:sz w:val="21"/>
                      <w:szCs w:val="21"/>
                    </w:rPr>
                    <w:t>敏感</w:t>
                  </w:r>
                </w:p>
              </w:tc>
              <w:tc>
                <w:tcPr>
                  <w:tcW w:w="6198" w:type="dxa"/>
                  <w:shd w:val="clear" w:color="auto" w:fill="auto"/>
                  <w:vAlign w:val="center"/>
                </w:tcPr>
                <w:p>
                  <w:pPr>
                    <w:pStyle w:val="74"/>
                    <w:spacing w:line="240" w:lineRule="auto"/>
                    <w:ind w:firstLine="0" w:firstLineChars="0"/>
                    <w:jc w:val="center"/>
                    <w:rPr>
                      <w:sz w:val="21"/>
                      <w:szCs w:val="21"/>
                    </w:rPr>
                  </w:pPr>
                  <w:r>
                    <w:rPr>
                      <w:sz w:val="21"/>
                      <w:szCs w:val="21"/>
                    </w:rPr>
                    <w:t>建设项目周边存在耕地、园地、牧草地、饮用水水源地或居 民区、学校、医院、疗养院、养老院等土壤环境敏感目标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8" w:type="dxa"/>
                  <w:shd w:val="clear" w:color="auto" w:fill="auto"/>
                  <w:vAlign w:val="center"/>
                </w:tcPr>
                <w:p>
                  <w:pPr>
                    <w:pStyle w:val="74"/>
                    <w:spacing w:line="240" w:lineRule="auto"/>
                    <w:ind w:firstLine="0" w:firstLineChars="0"/>
                    <w:jc w:val="center"/>
                    <w:rPr>
                      <w:sz w:val="21"/>
                      <w:szCs w:val="21"/>
                    </w:rPr>
                  </w:pPr>
                  <w:r>
                    <w:rPr>
                      <w:rFonts w:hint="eastAsia"/>
                      <w:sz w:val="21"/>
                      <w:szCs w:val="21"/>
                    </w:rPr>
                    <w:t>较敏感</w:t>
                  </w:r>
                </w:p>
              </w:tc>
              <w:tc>
                <w:tcPr>
                  <w:tcW w:w="6198" w:type="dxa"/>
                  <w:shd w:val="clear" w:color="auto" w:fill="auto"/>
                  <w:vAlign w:val="center"/>
                </w:tcPr>
                <w:p>
                  <w:pPr>
                    <w:pStyle w:val="74"/>
                    <w:spacing w:line="240" w:lineRule="auto"/>
                    <w:ind w:firstLine="0" w:firstLineChars="0"/>
                    <w:jc w:val="center"/>
                    <w:rPr>
                      <w:sz w:val="21"/>
                      <w:szCs w:val="21"/>
                    </w:rPr>
                  </w:pPr>
                  <w:r>
                    <w:rPr>
                      <w:rFonts w:hint="eastAsia"/>
                      <w:sz w:val="21"/>
                      <w:szCs w:val="21"/>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8" w:type="dxa"/>
                  <w:shd w:val="clear" w:color="auto" w:fill="auto"/>
                  <w:vAlign w:val="center"/>
                </w:tcPr>
                <w:p>
                  <w:pPr>
                    <w:pStyle w:val="74"/>
                    <w:spacing w:line="240" w:lineRule="auto"/>
                    <w:ind w:firstLine="0" w:firstLineChars="0"/>
                    <w:jc w:val="center"/>
                    <w:rPr>
                      <w:sz w:val="21"/>
                      <w:szCs w:val="21"/>
                    </w:rPr>
                  </w:pPr>
                  <w:r>
                    <w:rPr>
                      <w:rFonts w:hint="eastAsia"/>
                      <w:sz w:val="21"/>
                      <w:szCs w:val="21"/>
                    </w:rPr>
                    <w:t>不敏感</w:t>
                  </w:r>
                </w:p>
              </w:tc>
              <w:tc>
                <w:tcPr>
                  <w:tcW w:w="6198" w:type="dxa"/>
                  <w:shd w:val="clear" w:color="auto" w:fill="auto"/>
                  <w:vAlign w:val="center"/>
                </w:tcPr>
                <w:p>
                  <w:pPr>
                    <w:pStyle w:val="74"/>
                    <w:spacing w:line="240" w:lineRule="auto"/>
                    <w:ind w:firstLine="0" w:firstLineChars="0"/>
                    <w:jc w:val="center"/>
                    <w:rPr>
                      <w:sz w:val="21"/>
                      <w:szCs w:val="21"/>
                    </w:rPr>
                  </w:pPr>
                  <w:r>
                    <w:rPr>
                      <w:rFonts w:hint="eastAsia"/>
                      <w:sz w:val="21"/>
                      <w:szCs w:val="21"/>
                    </w:rPr>
                    <w:t>其他情况</w:t>
                  </w:r>
                </w:p>
              </w:tc>
            </w:tr>
          </w:tbl>
          <w:p>
            <w:pPr>
              <w:adjustRightInd w:val="0"/>
              <w:snapToGrid w:val="0"/>
              <w:spacing w:line="360" w:lineRule="auto"/>
              <w:ind w:firstLine="480" w:firstLineChars="200"/>
              <w:rPr>
                <w:sz w:val="24"/>
              </w:rPr>
            </w:pPr>
            <w:r>
              <w:rPr>
                <w:rFonts w:hint="eastAsia"/>
                <w:sz w:val="24"/>
              </w:rPr>
              <w:t>经现场调查，项目周边50m范围内存在居民区等敏感目标，因此，项目所在地的敏感程度为敏感。</w:t>
            </w:r>
          </w:p>
          <w:p>
            <w:pPr>
              <w:adjustRightInd w:val="0"/>
              <w:snapToGrid w:val="0"/>
              <w:spacing w:line="360" w:lineRule="auto"/>
              <w:ind w:firstLine="480" w:firstLineChars="200"/>
              <w:rPr>
                <w:sz w:val="24"/>
              </w:rPr>
            </w:pPr>
            <w:r>
              <w:rPr>
                <w:rFonts w:hint="eastAsia" w:ascii="宋体" w:hAnsi="宋体"/>
                <w:sz w:val="24"/>
              </w:rPr>
              <w:t>④</w:t>
            </w:r>
            <w:r>
              <w:rPr>
                <w:rFonts w:hint="eastAsia"/>
                <w:sz w:val="24"/>
              </w:rPr>
              <w:t>评价工作等级</w:t>
            </w:r>
          </w:p>
          <w:p>
            <w:pPr>
              <w:adjustRightInd w:val="0"/>
              <w:snapToGrid w:val="0"/>
              <w:spacing w:line="360" w:lineRule="auto"/>
              <w:jc w:val="center"/>
              <w:rPr>
                <w:b/>
                <w:color w:val="000000"/>
                <w:sz w:val="24"/>
              </w:rPr>
            </w:pPr>
            <w:r>
              <w:rPr>
                <w:b/>
                <w:color w:val="000000"/>
                <w:sz w:val="24"/>
              </w:rPr>
              <w:t>表</w:t>
            </w:r>
            <w:r>
              <w:rPr>
                <w:rFonts w:hint="eastAsia"/>
                <w:b/>
                <w:color w:val="000000"/>
                <w:sz w:val="24"/>
              </w:rPr>
              <w:t xml:space="preserve">4-23  </w:t>
            </w:r>
            <w:r>
              <w:rPr>
                <w:b/>
                <w:color w:val="000000"/>
                <w:sz w:val="24"/>
              </w:rPr>
              <w:t xml:space="preserve">  土壤环境影响评价等级划分依据一览表</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712"/>
              <w:gridCol w:w="713"/>
              <w:gridCol w:w="713"/>
              <w:gridCol w:w="713"/>
              <w:gridCol w:w="713"/>
              <w:gridCol w:w="713"/>
              <w:gridCol w:w="713"/>
              <w:gridCol w:w="713"/>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13" w:hRule="atLeast"/>
                <w:jc w:val="center"/>
              </w:trPr>
              <w:tc>
                <w:tcPr>
                  <w:tcW w:w="1025" w:type="pct"/>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right"/>
                    <w:rPr>
                      <w:color w:val="000000"/>
                    </w:rPr>
                  </w:pPr>
                  <w:r>
                    <w:rPr>
                      <w:color w:val="000000"/>
                    </w:rPr>
                    <w:t>项目类别</w:t>
                  </w:r>
                </w:p>
                <w:p>
                  <w:pPr>
                    <w:spacing w:line="400" w:lineRule="exact"/>
                    <w:jc w:val="left"/>
                    <w:rPr>
                      <w:color w:val="000000"/>
                    </w:rPr>
                  </w:pPr>
                  <w:r>
                    <w:rPr>
                      <w:color w:val="000000"/>
                    </w:rPr>
                    <w:t>环境敏感程度</w:t>
                  </w:r>
                </w:p>
              </w:tc>
              <w:tc>
                <w:tcPr>
                  <w:tcW w:w="132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ascii="宋体" w:hAnsi="宋体" w:cs="宋体"/>
                      <w:color w:val="000000"/>
                    </w:rPr>
                    <w:t>Ⅰ</w:t>
                  </w:r>
                  <w:r>
                    <w:rPr>
                      <w:color w:val="000000"/>
                    </w:rPr>
                    <w:t>类项目</w:t>
                  </w:r>
                </w:p>
              </w:tc>
              <w:tc>
                <w:tcPr>
                  <w:tcW w:w="132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ascii="宋体" w:hAnsi="宋体" w:cs="宋体"/>
                      <w:color w:val="000000"/>
                    </w:rPr>
                    <w:t>Ⅱ</w:t>
                  </w:r>
                  <w:r>
                    <w:rPr>
                      <w:color w:val="000000"/>
                    </w:rPr>
                    <w:t>类项目</w:t>
                  </w:r>
                </w:p>
              </w:tc>
              <w:tc>
                <w:tcPr>
                  <w:tcW w:w="132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ascii="宋体" w:hAnsi="宋体" w:cs="宋体"/>
                      <w:color w:val="000000"/>
                    </w:rPr>
                    <w:t>Ⅲ</w:t>
                  </w:r>
                  <w:r>
                    <w:rPr>
                      <w:color w:val="000000"/>
                    </w:rPr>
                    <w:t>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025" w:type="pct"/>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right"/>
                    <w:rPr>
                      <w:color w:val="000000"/>
                    </w:rPr>
                  </w:pP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大</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中</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小</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大</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中</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小</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大</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中</w:t>
                  </w:r>
                </w:p>
              </w:tc>
              <w:tc>
                <w:tcPr>
                  <w:tcW w:w="4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jc w:val="center"/>
              </w:trPr>
              <w:tc>
                <w:tcPr>
                  <w:tcW w:w="102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敏感</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一级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一级</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bCs/>
                      <w:color w:val="000000"/>
                    </w:rPr>
                  </w:pPr>
                  <w:r>
                    <w:rPr>
                      <w:bCs/>
                      <w:color w:val="000000"/>
                    </w:rPr>
                    <w:t>一级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shd w:val="clear" w:color="auto" w:fill="44964C"/>
                  <w:vAlign w:val="center"/>
                </w:tcPr>
                <w:p>
                  <w:pPr>
                    <w:snapToGrid w:val="0"/>
                    <w:spacing w:line="400" w:lineRule="exact"/>
                    <w:jc w:val="center"/>
                    <w:rPr>
                      <w:bCs/>
                      <w:color w:val="000000"/>
                    </w:rPr>
                  </w:pPr>
                  <w:r>
                    <w:rPr>
                      <w:bCs/>
                      <w:color w:val="000000"/>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jc w:val="center"/>
              </w:trPr>
              <w:tc>
                <w:tcPr>
                  <w:tcW w:w="102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较敏感</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一级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一级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jc w:val="center"/>
              </w:trPr>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bCs/>
                      <w:color w:val="000000"/>
                    </w:rPr>
                  </w:pPr>
                  <w:r>
                    <w:rPr>
                      <w:bCs/>
                      <w:color w:val="000000"/>
                    </w:rPr>
                    <w:t>不敏感</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一级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二级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三级</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000000"/>
                    </w:rPr>
                  </w:pPr>
                  <w:r>
                    <w:rPr>
                      <w:bCs/>
                      <w:color w:val="000000"/>
                    </w:rPr>
                    <w:t>--</w:t>
                  </w:r>
                </w:p>
              </w:tc>
            </w:tr>
          </w:tbl>
          <w:p>
            <w:pPr>
              <w:adjustRightInd w:val="0"/>
              <w:snapToGrid w:val="0"/>
              <w:spacing w:line="360" w:lineRule="auto"/>
              <w:rPr>
                <w:sz w:val="24"/>
              </w:rPr>
            </w:pPr>
            <w:r>
              <w:rPr>
                <w:rFonts w:hint="eastAsia"/>
                <w:sz w:val="24"/>
              </w:rPr>
              <w:t>注：“-”表示可不开展土壤环境影响评价工作。</w:t>
            </w:r>
          </w:p>
          <w:p>
            <w:pPr>
              <w:adjustRightInd w:val="0"/>
              <w:snapToGrid w:val="0"/>
              <w:spacing w:line="360" w:lineRule="auto"/>
              <w:ind w:firstLine="480" w:firstLineChars="200"/>
              <w:rPr>
                <w:sz w:val="24"/>
              </w:rPr>
            </w:pPr>
            <w:r>
              <w:rPr>
                <w:rFonts w:hint="eastAsia"/>
                <w:sz w:val="24"/>
              </w:rPr>
              <w:t>根据上述分析，项目占地规模为小型，敏感程度为敏感，项目类别为Ⅲ类，因此，确定项目土壤环境影响评价为三级评价。根据《环境影响评价技术导则 土壤环境（试行）》（HJ964-2018）规定，三级评价项目可采用定性描述的方法进行预测。</w:t>
            </w:r>
          </w:p>
          <w:p>
            <w:pPr>
              <w:adjustRightInd w:val="0"/>
              <w:snapToGrid w:val="0"/>
              <w:spacing w:line="360" w:lineRule="auto"/>
              <w:ind w:firstLine="480" w:firstLineChars="200"/>
              <w:rPr>
                <w:sz w:val="24"/>
              </w:rPr>
            </w:pPr>
            <w:r>
              <w:rPr>
                <w:sz w:val="24"/>
              </w:rPr>
              <w:t>（</w:t>
            </w:r>
            <w:r>
              <w:rPr>
                <w:rFonts w:hint="eastAsia"/>
                <w:sz w:val="24"/>
              </w:rPr>
              <w:t>2</w:t>
            </w:r>
            <w:r>
              <w:rPr>
                <w:sz w:val="24"/>
              </w:rPr>
              <w:t>）土壤环境影响识别</w:t>
            </w:r>
          </w:p>
          <w:p>
            <w:pPr>
              <w:adjustRightInd w:val="0"/>
              <w:snapToGrid w:val="0"/>
              <w:spacing w:line="360" w:lineRule="auto"/>
              <w:ind w:firstLine="480" w:firstLineChars="200"/>
              <w:rPr>
                <w:sz w:val="24"/>
              </w:rPr>
            </w:pPr>
            <w:r>
              <w:rPr>
                <w:rFonts w:hint="eastAsia"/>
                <w:sz w:val="24"/>
              </w:rPr>
              <w:t>本项目属于污染型建设项目，根据《环境影响评价技术导则土壤环境（试行）》（HJ 964-2018）附录 A，本项目土壤环境影响评价项目类别为Ⅲ类项目，营运期</w:t>
            </w:r>
            <w:r>
              <w:rPr>
                <w:sz w:val="24"/>
              </w:rPr>
              <w:t>主要影响为废气中污染物</w:t>
            </w:r>
            <w:r>
              <w:rPr>
                <w:rFonts w:hint="eastAsia"/>
                <w:sz w:val="24"/>
              </w:rPr>
              <w:t>大气沉降之后对土壤的影响以及化粪池废水泄露的入渗影响。本项目土壤环境影响类型与影响途径见表4-10。</w:t>
            </w:r>
          </w:p>
          <w:p>
            <w:pPr>
              <w:adjustRightInd w:val="0"/>
              <w:snapToGrid w:val="0"/>
              <w:spacing w:line="360" w:lineRule="auto"/>
              <w:jc w:val="center"/>
              <w:rPr>
                <w:b/>
                <w:sz w:val="24"/>
              </w:rPr>
            </w:pPr>
            <w:r>
              <w:rPr>
                <w:rFonts w:hint="eastAsia"/>
                <w:b/>
                <w:sz w:val="24"/>
              </w:rPr>
              <w:t>表4-24        项目土壤环境影响类型与影响途径表</w:t>
            </w:r>
          </w:p>
          <w:tbl>
            <w:tblPr>
              <w:tblStyle w:val="30"/>
              <w:tblW w:w="814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76"/>
              <w:gridCol w:w="1667"/>
              <w:gridCol w:w="1713"/>
              <w:gridCol w:w="1932"/>
              <w:gridCol w:w="155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1276" w:type="dxa"/>
                  <w:vMerge w:val="restart"/>
                  <w:tcBorders>
                    <w:right w:val="single" w:color="auto" w:sz="6" w:space="0"/>
                  </w:tcBorders>
                  <w:vAlign w:val="center"/>
                </w:tcPr>
                <w:p>
                  <w:pPr>
                    <w:pStyle w:val="74"/>
                    <w:spacing w:line="240" w:lineRule="auto"/>
                    <w:ind w:firstLine="0" w:firstLineChars="0"/>
                    <w:jc w:val="center"/>
                    <w:rPr>
                      <w:sz w:val="21"/>
                      <w:szCs w:val="21"/>
                    </w:rPr>
                  </w:pPr>
                  <w:r>
                    <w:rPr>
                      <w:rFonts w:hint="eastAsia"/>
                      <w:sz w:val="21"/>
                      <w:szCs w:val="21"/>
                    </w:rPr>
                    <w:t>不同时期</w:t>
                  </w:r>
                </w:p>
              </w:tc>
              <w:tc>
                <w:tcPr>
                  <w:tcW w:w="6870" w:type="dxa"/>
                  <w:gridSpan w:val="4"/>
                  <w:tcBorders>
                    <w:left w:val="single" w:color="auto" w:sz="6" w:space="0"/>
                  </w:tcBorders>
                  <w:vAlign w:val="center"/>
                </w:tcPr>
                <w:p>
                  <w:pPr>
                    <w:pStyle w:val="74"/>
                    <w:spacing w:line="240" w:lineRule="auto"/>
                    <w:ind w:firstLine="0" w:firstLineChars="0"/>
                    <w:jc w:val="center"/>
                    <w:rPr>
                      <w:sz w:val="21"/>
                      <w:szCs w:val="21"/>
                    </w:rPr>
                  </w:pPr>
                  <w:r>
                    <w:rPr>
                      <w:rFonts w:hint="eastAsia"/>
                      <w:sz w:val="21"/>
                      <w:szCs w:val="21"/>
                    </w:rPr>
                    <w:t>污染影响型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1276" w:type="dxa"/>
                  <w:vMerge w:val="continue"/>
                  <w:tcBorders>
                    <w:bottom w:val="single" w:color="auto" w:sz="6" w:space="0"/>
                    <w:right w:val="single" w:color="auto" w:sz="6" w:space="0"/>
                  </w:tcBorders>
                  <w:vAlign w:val="center"/>
                </w:tcPr>
                <w:p>
                  <w:pPr>
                    <w:pStyle w:val="74"/>
                    <w:spacing w:line="240" w:lineRule="auto"/>
                    <w:ind w:firstLine="0" w:firstLineChars="0"/>
                    <w:jc w:val="center"/>
                    <w:rPr>
                      <w:sz w:val="21"/>
                      <w:szCs w:val="21"/>
                    </w:rPr>
                  </w:pPr>
                </w:p>
              </w:tc>
              <w:tc>
                <w:tcPr>
                  <w:tcW w:w="1667" w:type="dxa"/>
                  <w:tcBorders>
                    <w:top w:val="single" w:color="auto" w:sz="6" w:space="0"/>
                    <w:left w:val="single" w:color="auto" w:sz="6" w:space="0"/>
                    <w:bottom w:val="single" w:color="auto" w:sz="6" w:space="0"/>
                    <w:right w:val="single" w:color="auto" w:sz="6" w:space="0"/>
                  </w:tcBorders>
                  <w:vAlign w:val="center"/>
                </w:tcPr>
                <w:p>
                  <w:pPr>
                    <w:pStyle w:val="74"/>
                    <w:spacing w:line="240" w:lineRule="auto"/>
                    <w:ind w:firstLine="0" w:firstLineChars="0"/>
                    <w:jc w:val="center"/>
                    <w:rPr>
                      <w:sz w:val="21"/>
                      <w:szCs w:val="21"/>
                    </w:rPr>
                  </w:pPr>
                  <w:r>
                    <w:rPr>
                      <w:rFonts w:hint="eastAsia"/>
                      <w:sz w:val="21"/>
                      <w:szCs w:val="21"/>
                    </w:rPr>
                    <w:t>大气沉降</w:t>
                  </w:r>
                </w:p>
              </w:tc>
              <w:tc>
                <w:tcPr>
                  <w:tcW w:w="1713" w:type="dxa"/>
                  <w:tcBorders>
                    <w:top w:val="single" w:color="auto" w:sz="6" w:space="0"/>
                    <w:left w:val="single" w:color="auto" w:sz="6" w:space="0"/>
                    <w:bottom w:val="single" w:color="auto" w:sz="6" w:space="0"/>
                    <w:right w:val="single" w:color="auto" w:sz="6" w:space="0"/>
                  </w:tcBorders>
                  <w:vAlign w:val="center"/>
                </w:tcPr>
                <w:p>
                  <w:pPr>
                    <w:pStyle w:val="74"/>
                    <w:spacing w:line="240" w:lineRule="auto"/>
                    <w:ind w:firstLine="0" w:firstLineChars="0"/>
                    <w:jc w:val="center"/>
                    <w:rPr>
                      <w:sz w:val="21"/>
                      <w:szCs w:val="21"/>
                    </w:rPr>
                  </w:pPr>
                  <w:r>
                    <w:rPr>
                      <w:rFonts w:hint="eastAsia"/>
                      <w:sz w:val="21"/>
                      <w:szCs w:val="21"/>
                    </w:rPr>
                    <w:t>地面漫流</w:t>
                  </w:r>
                </w:p>
              </w:tc>
              <w:tc>
                <w:tcPr>
                  <w:tcW w:w="1932" w:type="dxa"/>
                  <w:tcBorders>
                    <w:top w:val="single" w:color="auto" w:sz="6" w:space="0"/>
                    <w:left w:val="single" w:color="auto" w:sz="6" w:space="0"/>
                    <w:bottom w:val="single" w:color="auto" w:sz="6" w:space="0"/>
                    <w:right w:val="single" w:color="auto" w:sz="6" w:space="0"/>
                  </w:tcBorders>
                  <w:vAlign w:val="center"/>
                </w:tcPr>
                <w:p>
                  <w:pPr>
                    <w:pStyle w:val="74"/>
                    <w:spacing w:line="240" w:lineRule="auto"/>
                    <w:ind w:firstLine="0" w:firstLineChars="0"/>
                    <w:jc w:val="center"/>
                    <w:rPr>
                      <w:sz w:val="21"/>
                      <w:szCs w:val="21"/>
                    </w:rPr>
                  </w:pPr>
                  <w:r>
                    <w:rPr>
                      <w:rFonts w:hint="eastAsia"/>
                      <w:sz w:val="21"/>
                      <w:szCs w:val="21"/>
                    </w:rPr>
                    <w:t>垂直渗入</w:t>
                  </w:r>
                </w:p>
              </w:tc>
              <w:tc>
                <w:tcPr>
                  <w:tcW w:w="1558" w:type="dxa"/>
                  <w:tcBorders>
                    <w:top w:val="single" w:color="auto" w:sz="6" w:space="0"/>
                    <w:left w:val="single" w:color="auto" w:sz="6" w:space="0"/>
                    <w:bottom w:val="single" w:color="auto" w:sz="6" w:space="0"/>
                  </w:tcBorders>
                  <w:vAlign w:val="center"/>
                </w:tcPr>
                <w:p>
                  <w:pPr>
                    <w:pStyle w:val="74"/>
                    <w:spacing w:line="240" w:lineRule="auto"/>
                    <w:ind w:firstLine="0" w:firstLineChars="0"/>
                    <w:jc w:val="center"/>
                    <w:rPr>
                      <w:sz w:val="21"/>
                      <w:szCs w:val="21"/>
                      <w:lang w:eastAsia="zh-CN"/>
                    </w:rPr>
                  </w:pPr>
                  <w:r>
                    <w:rPr>
                      <w:rFonts w:hint="eastAsia"/>
                      <w:sz w:val="21"/>
                      <w:szCs w:val="21"/>
                      <w:lang w:eastAsia="zh-CN"/>
                    </w:rPr>
                    <w:t>其他</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1276" w:type="dxa"/>
                  <w:tcBorders>
                    <w:top w:val="single" w:color="auto" w:sz="6" w:space="0"/>
                    <w:right w:val="single" w:color="auto" w:sz="6" w:space="0"/>
                  </w:tcBorders>
                  <w:vAlign w:val="center"/>
                </w:tcPr>
                <w:p>
                  <w:pPr>
                    <w:pStyle w:val="74"/>
                    <w:spacing w:line="240" w:lineRule="auto"/>
                    <w:ind w:firstLine="0" w:firstLineChars="0"/>
                    <w:jc w:val="center"/>
                    <w:rPr>
                      <w:sz w:val="21"/>
                      <w:szCs w:val="21"/>
                    </w:rPr>
                  </w:pPr>
                  <w:r>
                    <w:rPr>
                      <w:rFonts w:hint="eastAsia"/>
                      <w:sz w:val="21"/>
                      <w:szCs w:val="21"/>
                    </w:rPr>
                    <w:t>运营期</w:t>
                  </w:r>
                </w:p>
              </w:tc>
              <w:tc>
                <w:tcPr>
                  <w:tcW w:w="1667" w:type="dxa"/>
                  <w:tcBorders>
                    <w:top w:val="single" w:color="auto" w:sz="6" w:space="0"/>
                    <w:left w:val="single" w:color="auto" w:sz="6" w:space="0"/>
                    <w:right w:val="single" w:color="auto" w:sz="6" w:space="0"/>
                  </w:tcBorders>
                  <w:vAlign w:val="center"/>
                </w:tcPr>
                <w:p>
                  <w:pPr>
                    <w:pStyle w:val="74"/>
                    <w:spacing w:line="240" w:lineRule="auto"/>
                    <w:ind w:firstLine="0" w:firstLineChars="0"/>
                    <w:jc w:val="center"/>
                    <w:rPr>
                      <w:sz w:val="21"/>
                      <w:szCs w:val="21"/>
                      <w:lang w:eastAsia="zh-CN"/>
                    </w:rPr>
                  </w:pPr>
                  <w:r>
                    <w:t>√</w:t>
                  </w:r>
                </w:p>
              </w:tc>
              <w:tc>
                <w:tcPr>
                  <w:tcW w:w="1713" w:type="dxa"/>
                  <w:tcBorders>
                    <w:top w:val="single" w:color="auto" w:sz="6" w:space="0"/>
                    <w:left w:val="single" w:color="auto" w:sz="6" w:space="0"/>
                    <w:right w:val="single" w:color="auto" w:sz="6" w:space="0"/>
                  </w:tcBorders>
                  <w:vAlign w:val="center"/>
                </w:tcPr>
                <w:p>
                  <w:pPr>
                    <w:pStyle w:val="74"/>
                    <w:spacing w:line="240" w:lineRule="auto"/>
                    <w:ind w:firstLine="0" w:firstLineChars="0"/>
                    <w:jc w:val="center"/>
                    <w:rPr>
                      <w:sz w:val="21"/>
                      <w:szCs w:val="21"/>
                      <w:lang w:eastAsia="zh-CN"/>
                    </w:rPr>
                  </w:pPr>
                  <w:r>
                    <w:rPr>
                      <w:rFonts w:hint="eastAsia"/>
                      <w:sz w:val="21"/>
                      <w:szCs w:val="21"/>
                      <w:lang w:eastAsia="zh-CN"/>
                    </w:rPr>
                    <w:t>/</w:t>
                  </w:r>
                </w:p>
              </w:tc>
              <w:tc>
                <w:tcPr>
                  <w:tcW w:w="1932" w:type="dxa"/>
                  <w:tcBorders>
                    <w:top w:val="single" w:color="auto" w:sz="6" w:space="0"/>
                    <w:left w:val="single" w:color="auto" w:sz="6" w:space="0"/>
                    <w:right w:val="single" w:color="auto" w:sz="6" w:space="0"/>
                  </w:tcBorders>
                  <w:vAlign w:val="center"/>
                </w:tcPr>
                <w:p>
                  <w:pPr>
                    <w:pStyle w:val="74"/>
                    <w:spacing w:line="240" w:lineRule="auto"/>
                    <w:ind w:firstLine="0" w:firstLineChars="0"/>
                    <w:jc w:val="center"/>
                    <w:rPr>
                      <w:sz w:val="21"/>
                      <w:szCs w:val="21"/>
                    </w:rPr>
                  </w:pPr>
                  <w:r>
                    <w:t>√</w:t>
                  </w:r>
                </w:p>
              </w:tc>
              <w:tc>
                <w:tcPr>
                  <w:tcW w:w="1558" w:type="dxa"/>
                  <w:tcBorders>
                    <w:top w:val="single" w:color="auto" w:sz="6" w:space="0"/>
                    <w:left w:val="single" w:color="auto" w:sz="6" w:space="0"/>
                  </w:tcBorders>
                  <w:vAlign w:val="center"/>
                </w:tcPr>
                <w:p>
                  <w:pPr>
                    <w:pStyle w:val="74"/>
                    <w:spacing w:line="240" w:lineRule="auto"/>
                    <w:ind w:firstLine="0" w:firstLineChars="0"/>
                    <w:jc w:val="center"/>
                    <w:rPr>
                      <w:sz w:val="21"/>
                      <w:szCs w:val="21"/>
                      <w:lang w:eastAsia="zh-CN"/>
                    </w:rPr>
                  </w:pPr>
                  <w:r>
                    <w:rPr>
                      <w:rFonts w:hint="eastAsia"/>
                      <w:sz w:val="21"/>
                      <w:szCs w:val="21"/>
                      <w:lang w:eastAsia="zh-CN"/>
                    </w:rPr>
                    <w:t>/</w:t>
                  </w:r>
                </w:p>
              </w:tc>
            </w:tr>
          </w:tbl>
          <w:p>
            <w:pPr>
              <w:adjustRightInd w:val="0"/>
              <w:snapToGrid w:val="0"/>
              <w:spacing w:line="360" w:lineRule="auto"/>
              <w:jc w:val="center"/>
              <w:rPr>
                <w:rFonts w:hAnsi="宋体"/>
                <w:b/>
                <w:color w:val="000000"/>
                <w:sz w:val="24"/>
              </w:rPr>
            </w:pPr>
            <w:r>
              <w:rPr>
                <w:rFonts w:hint="eastAsia" w:hAnsi="宋体"/>
                <w:b/>
                <w:color w:val="000000"/>
                <w:sz w:val="24"/>
              </w:rPr>
              <w:t>表4-25      建设项目土壤环境影响源及影响因子识别表</w:t>
            </w:r>
          </w:p>
          <w:tbl>
            <w:tblPr>
              <w:tblStyle w:val="30"/>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79"/>
              <w:gridCol w:w="1279"/>
              <w:gridCol w:w="2037"/>
              <w:gridCol w:w="12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污染源</w:t>
                  </w:r>
                </w:p>
              </w:tc>
              <w:tc>
                <w:tcPr>
                  <w:tcW w:w="109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工艺流程/节点</w:t>
                  </w:r>
                </w:p>
              </w:tc>
              <w:tc>
                <w:tcPr>
                  <w:tcW w:w="787"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污染途径</w:t>
                  </w:r>
                </w:p>
              </w:tc>
              <w:tc>
                <w:tcPr>
                  <w:tcW w:w="1254"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全部污染物指标</w:t>
                  </w:r>
                </w:p>
              </w:tc>
              <w:tc>
                <w:tcPr>
                  <w:tcW w:w="752"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特征因子</w:t>
                  </w:r>
                </w:p>
              </w:tc>
              <w:tc>
                <w:tcPr>
                  <w:tcW w:w="436"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生产车间</w:t>
                  </w:r>
                </w:p>
              </w:tc>
              <w:tc>
                <w:tcPr>
                  <w:tcW w:w="109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热压工序；液化石油气燃烧</w:t>
                  </w:r>
                </w:p>
              </w:tc>
              <w:tc>
                <w:tcPr>
                  <w:tcW w:w="787"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大气沉降</w:t>
                  </w:r>
                </w:p>
              </w:tc>
              <w:tc>
                <w:tcPr>
                  <w:tcW w:w="1254"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颗粒物、SO</w:t>
                  </w:r>
                  <w:r>
                    <w:rPr>
                      <w:rFonts w:hint="eastAsia" w:hAnsi="宋体"/>
                      <w:color w:val="000000"/>
                      <w:vertAlign w:val="subscript"/>
                    </w:rPr>
                    <w:t>2</w:t>
                  </w:r>
                  <w:r>
                    <w:rPr>
                      <w:rFonts w:hint="eastAsia" w:hAnsi="宋体"/>
                      <w:color w:val="000000"/>
                    </w:rPr>
                    <w:t>、NOx、甲醛、非甲烷总烃</w:t>
                  </w:r>
                </w:p>
              </w:tc>
              <w:tc>
                <w:tcPr>
                  <w:tcW w:w="752"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甲醛、非甲烷总烃</w:t>
                  </w:r>
                </w:p>
              </w:tc>
              <w:tc>
                <w:tcPr>
                  <w:tcW w:w="436"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109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787"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地面漫流</w:t>
                  </w:r>
                </w:p>
              </w:tc>
              <w:tc>
                <w:tcPr>
                  <w:tcW w:w="1254"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752"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436"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化粪池</w:t>
                  </w:r>
                </w:p>
              </w:tc>
              <w:tc>
                <w:tcPr>
                  <w:tcW w:w="109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787"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垂直入渗</w:t>
                  </w:r>
                </w:p>
              </w:tc>
              <w:tc>
                <w:tcPr>
                  <w:tcW w:w="1254"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COD、SS</w:t>
                  </w:r>
                </w:p>
              </w:tc>
              <w:tc>
                <w:tcPr>
                  <w:tcW w:w="752"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436"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1095"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787"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其他</w:t>
                  </w:r>
                </w:p>
              </w:tc>
              <w:tc>
                <w:tcPr>
                  <w:tcW w:w="1254"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752"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c>
                <w:tcPr>
                  <w:tcW w:w="436" w:type="pct"/>
                  <w:shd w:val="clear" w:color="auto" w:fill="auto"/>
                  <w:vAlign w:val="center"/>
                </w:tcPr>
                <w:p>
                  <w:pPr>
                    <w:adjustRightInd w:val="0"/>
                    <w:snapToGrid w:val="0"/>
                    <w:spacing w:line="360" w:lineRule="exact"/>
                    <w:jc w:val="center"/>
                    <w:rPr>
                      <w:rFonts w:hAnsi="宋体"/>
                      <w:color w:val="000000"/>
                    </w:rPr>
                  </w:pPr>
                  <w:r>
                    <w:rPr>
                      <w:rFonts w:hint="eastAsia" w:hAnsi="宋体"/>
                      <w:color w:val="000000"/>
                    </w:rPr>
                    <w:t>/</w:t>
                  </w:r>
                </w:p>
              </w:tc>
            </w:tr>
          </w:tbl>
          <w:p>
            <w:pPr>
              <w:adjustRightInd w:val="0"/>
              <w:snapToGrid w:val="0"/>
              <w:spacing w:line="360" w:lineRule="auto"/>
              <w:ind w:firstLine="480" w:firstLineChars="200"/>
              <w:rPr>
                <w:sz w:val="24"/>
              </w:rPr>
            </w:pPr>
            <w:r>
              <w:rPr>
                <w:rFonts w:hint="eastAsia"/>
                <w:sz w:val="24"/>
              </w:rPr>
              <w:t>（3）土壤环境影响评价</w:t>
            </w:r>
          </w:p>
          <w:p>
            <w:pPr>
              <w:adjustRightInd w:val="0"/>
              <w:snapToGrid w:val="0"/>
              <w:spacing w:line="360" w:lineRule="auto"/>
              <w:ind w:firstLine="480" w:firstLineChars="200"/>
              <w:rPr>
                <w:color w:val="000000"/>
                <w:sz w:val="24"/>
              </w:rPr>
            </w:pPr>
            <w:r>
              <w:rPr>
                <w:rFonts w:hint="eastAsia" w:ascii="宋体" w:hAnsi="宋体"/>
                <w:color w:val="000000"/>
                <w:sz w:val="24"/>
              </w:rPr>
              <w:t>①</w:t>
            </w:r>
            <w:r>
              <w:rPr>
                <w:rFonts w:hint="eastAsia"/>
                <w:color w:val="000000"/>
                <w:sz w:val="24"/>
              </w:rPr>
              <w:t>本项目大气沉降主要来自废气中的颗粒物、SO</w:t>
            </w:r>
            <w:r>
              <w:rPr>
                <w:rFonts w:hint="eastAsia"/>
                <w:color w:val="000000"/>
                <w:sz w:val="24"/>
                <w:vertAlign w:val="subscript"/>
              </w:rPr>
              <w:t>2</w:t>
            </w:r>
            <w:r>
              <w:rPr>
                <w:rFonts w:hint="eastAsia"/>
                <w:color w:val="000000"/>
                <w:sz w:val="24"/>
              </w:rPr>
              <w:t>、NOx、甲醛、非甲烷总烃，根据估算结果，废气中各污染物的最大落地浓度均较小，同时企业定期对环保设备进行维护，保证废气达标排放，预计项目废气经大气沉降后对土壤的影响较小。</w:t>
            </w:r>
          </w:p>
          <w:p>
            <w:pPr>
              <w:adjustRightInd w:val="0"/>
              <w:snapToGrid w:val="0"/>
              <w:spacing w:line="360" w:lineRule="auto"/>
              <w:ind w:firstLine="480" w:firstLineChars="200"/>
              <w:rPr>
                <w:color w:val="000000"/>
                <w:sz w:val="24"/>
              </w:rPr>
            </w:pPr>
            <w:r>
              <w:rPr>
                <w:rFonts w:hint="eastAsia" w:ascii="宋体" w:hAnsi="宋体"/>
                <w:color w:val="000000"/>
                <w:sz w:val="24"/>
              </w:rPr>
              <w:t>②本</w:t>
            </w:r>
            <w:r>
              <w:rPr>
                <w:rFonts w:hint="eastAsia"/>
                <w:color w:val="000000"/>
                <w:sz w:val="24"/>
              </w:rPr>
              <w:t>项目在正常工况下，各生产环节按照设计参数运行，基本无污染物泄露；项目应根据相关防渗设计规范对化粪池采取严格的防渗措施，一般情况下废水不会渗漏和进入地下，对土壤不会造成污染；</w:t>
            </w:r>
          </w:p>
          <w:p>
            <w:pPr>
              <w:adjustRightInd w:val="0"/>
              <w:snapToGrid w:val="0"/>
              <w:spacing w:line="360" w:lineRule="auto"/>
              <w:ind w:firstLine="480" w:firstLineChars="200"/>
              <w:rPr>
                <w:sz w:val="24"/>
              </w:rPr>
            </w:pPr>
            <w:r>
              <w:rPr>
                <w:rFonts w:hint="eastAsia"/>
                <w:sz w:val="24"/>
              </w:rPr>
              <w:t>经采取严格措施后，评价认为正常状态项目的建设对土壤环境影响较小。</w:t>
            </w:r>
          </w:p>
          <w:p>
            <w:pPr>
              <w:adjustRightInd w:val="0"/>
              <w:snapToGrid w:val="0"/>
              <w:spacing w:line="360" w:lineRule="auto"/>
              <w:ind w:firstLine="482" w:firstLineChars="200"/>
              <w:rPr>
                <w:b/>
                <w:bCs/>
                <w:color w:val="000000"/>
                <w:sz w:val="24"/>
              </w:rPr>
            </w:pPr>
            <w:r>
              <w:rPr>
                <w:rFonts w:hint="eastAsia"/>
                <w:b/>
                <w:bCs/>
                <w:color w:val="000000"/>
                <w:sz w:val="24"/>
              </w:rPr>
              <w:t>7</w:t>
            </w:r>
            <w:r>
              <w:rPr>
                <w:rFonts w:hint="eastAsia" w:cs="宋体"/>
                <w:b/>
                <w:bCs/>
                <w:color w:val="000000"/>
                <w:sz w:val="24"/>
              </w:rPr>
              <w:t>、环境风险分析</w:t>
            </w:r>
          </w:p>
          <w:p>
            <w:pPr>
              <w:adjustRightInd w:val="0"/>
              <w:snapToGrid w:val="0"/>
              <w:spacing w:line="360" w:lineRule="auto"/>
              <w:ind w:firstLine="480" w:firstLineChars="200"/>
              <w:rPr>
                <w:rFonts w:cs="宋体"/>
                <w:color w:val="000000"/>
                <w:sz w:val="24"/>
              </w:rPr>
            </w:pPr>
            <w:r>
              <w:rPr>
                <w:rFonts w:hint="eastAsia" w:cs="宋体"/>
                <w:color w:val="000000"/>
                <w:sz w:val="24"/>
              </w:rPr>
              <w:t>7.1评价依据</w:t>
            </w:r>
          </w:p>
          <w:p>
            <w:pPr>
              <w:adjustRightInd w:val="0"/>
              <w:snapToGrid w:val="0"/>
              <w:spacing w:line="360" w:lineRule="auto"/>
              <w:ind w:firstLine="480" w:firstLineChars="200"/>
              <w:rPr>
                <w:color w:val="000000"/>
                <w:sz w:val="24"/>
              </w:rPr>
            </w:pPr>
            <w:r>
              <w:rPr>
                <w:rFonts w:hint="eastAsia" w:ascii="宋体" w:hAnsi="宋体" w:cs="宋体"/>
                <w:color w:val="000000"/>
                <w:sz w:val="24"/>
              </w:rPr>
              <w:t>（1）</w:t>
            </w:r>
            <w:r>
              <w:rPr>
                <w:rFonts w:hint="eastAsia" w:cs="宋体"/>
                <w:color w:val="000000"/>
                <w:sz w:val="24"/>
              </w:rPr>
              <w:t>风险调查</w:t>
            </w:r>
          </w:p>
          <w:p>
            <w:pPr>
              <w:snapToGrid w:val="0"/>
              <w:spacing w:line="360" w:lineRule="auto"/>
              <w:ind w:firstLine="480" w:firstLineChars="200"/>
              <w:rPr>
                <w:rFonts w:cs="宋体"/>
                <w:color w:val="000000"/>
                <w:sz w:val="24"/>
              </w:rPr>
            </w:pPr>
            <w:r>
              <w:rPr>
                <w:rFonts w:hint="eastAsia" w:cs="宋体"/>
                <w:color w:val="000000"/>
                <w:sz w:val="24"/>
              </w:rPr>
              <w:t>根据《建设项目环境风险评价技术导则》（HJ169-2018）附录B中表B.1中突然环境事件风险物质名录表和《危险化学品重大危险源辨识》（GB18218-2009）对项目营运过程中使用的原料和产品涉及的危险化学品进行调查，项目生产过程中所涉及的风险源主要为罐装液化石油气，液化石油气为模温机（导热油炉）燃料，液化石油气储存及使用过程中存在一定的风险。</w:t>
            </w:r>
          </w:p>
          <w:p>
            <w:pPr>
              <w:snapToGrid w:val="0"/>
              <w:spacing w:line="360" w:lineRule="auto"/>
              <w:ind w:firstLine="480" w:firstLineChars="200"/>
              <w:rPr>
                <w:color w:val="000000"/>
                <w:sz w:val="24"/>
              </w:rPr>
            </w:pPr>
            <w:r>
              <w:rPr>
                <w:color w:val="000000"/>
                <w:sz w:val="24"/>
              </w:rPr>
              <w:t>（2）风险潜势初判</w:t>
            </w:r>
          </w:p>
          <w:p>
            <w:pPr>
              <w:adjustRightInd w:val="0"/>
              <w:snapToGrid w:val="0"/>
              <w:spacing w:line="360" w:lineRule="auto"/>
              <w:ind w:firstLine="480" w:firstLineChars="200"/>
              <w:rPr>
                <w:rFonts w:ascii="宋体"/>
                <w:color w:val="000000"/>
                <w:sz w:val="24"/>
              </w:rPr>
            </w:pPr>
            <w:r>
              <w:rPr>
                <w:rFonts w:hint="eastAsia" w:cs="宋体"/>
                <w:color w:val="000000"/>
                <w:sz w:val="24"/>
              </w:rPr>
              <w:t>根据《建设项目环境风险评价技术导则》（</w:t>
            </w:r>
            <w:r>
              <w:rPr>
                <w:color w:val="000000"/>
                <w:sz w:val="24"/>
              </w:rPr>
              <w:t>HJ169-2018</w:t>
            </w:r>
            <w:r>
              <w:rPr>
                <w:rFonts w:hint="eastAsia" w:cs="宋体"/>
                <w:color w:val="000000"/>
                <w:sz w:val="24"/>
              </w:rPr>
              <w:t>）附录</w:t>
            </w:r>
            <w:r>
              <w:rPr>
                <w:color w:val="000000"/>
                <w:sz w:val="24"/>
              </w:rPr>
              <w:t>C</w:t>
            </w:r>
            <w:r>
              <w:rPr>
                <w:rFonts w:hint="eastAsia" w:cs="宋体"/>
                <w:color w:val="000000"/>
                <w:sz w:val="24"/>
              </w:rPr>
              <w:t>中规定，危险物质数量与临界量比值</w:t>
            </w:r>
            <w:r>
              <w:rPr>
                <w:color w:val="000000"/>
                <w:sz w:val="24"/>
              </w:rPr>
              <w:t>Q</w:t>
            </w:r>
            <w:r>
              <w:rPr>
                <w:rFonts w:hint="eastAsia" w:cs="宋体"/>
                <w:color w:val="000000"/>
                <w:sz w:val="24"/>
              </w:rPr>
              <w:t>即厂界内物质的最大存在总量与其在附录</w:t>
            </w:r>
            <w:r>
              <w:rPr>
                <w:color w:val="000000"/>
                <w:sz w:val="24"/>
              </w:rPr>
              <w:t>B</w:t>
            </w:r>
            <w:r>
              <w:rPr>
                <w:rFonts w:hint="eastAsia" w:cs="宋体"/>
                <w:color w:val="000000"/>
                <w:sz w:val="24"/>
              </w:rPr>
              <w:t>中对应临界量的比值。</w:t>
            </w:r>
          </w:p>
          <w:p>
            <w:pPr>
              <w:adjustRightInd w:val="0"/>
              <w:snapToGrid w:val="0"/>
              <w:spacing w:line="360" w:lineRule="auto"/>
              <w:ind w:firstLine="480" w:firstLineChars="200"/>
              <w:rPr>
                <w:color w:val="000000"/>
                <w:sz w:val="24"/>
              </w:rPr>
            </w:pPr>
            <w:r>
              <w:rPr>
                <w:rFonts w:hint="eastAsia" w:cs="宋体"/>
                <w:color w:val="000000"/>
                <w:sz w:val="24"/>
              </w:rPr>
              <w:t>当只涉及一种危险物质时，计算该物质的总量预期临界量比值，即为</w:t>
            </w:r>
            <w:r>
              <w:rPr>
                <w:color w:val="000000"/>
                <w:sz w:val="24"/>
              </w:rPr>
              <w:t>Q</w:t>
            </w:r>
            <w:r>
              <w:rPr>
                <w:rFonts w:hint="eastAsia" w:cs="宋体"/>
                <w:color w:val="000000"/>
                <w:sz w:val="24"/>
              </w:rPr>
              <w:t>；</w:t>
            </w:r>
          </w:p>
          <w:p>
            <w:pPr>
              <w:adjustRightInd w:val="0"/>
              <w:snapToGrid w:val="0"/>
              <w:spacing w:line="360" w:lineRule="auto"/>
              <w:ind w:firstLine="480" w:firstLineChars="200"/>
              <w:rPr>
                <w:rFonts w:ascii="宋体"/>
                <w:color w:val="000000"/>
                <w:sz w:val="24"/>
              </w:rPr>
            </w:pPr>
            <w:r>
              <w:rPr>
                <w:rFonts w:hint="eastAsia" w:cs="宋体"/>
                <w:color w:val="000000"/>
                <w:sz w:val="24"/>
              </w:rPr>
              <w:t>当存在多种危险物质时，则按下式计算物质总量与其临界量比值（</w:t>
            </w:r>
            <w:r>
              <w:rPr>
                <w:color w:val="000000"/>
                <w:sz w:val="24"/>
              </w:rPr>
              <w:t>Q</w:t>
            </w:r>
            <w:r>
              <w:rPr>
                <w:rFonts w:hint="eastAsia" w:cs="宋体"/>
                <w:color w:val="000000"/>
                <w:sz w:val="24"/>
              </w:rPr>
              <w:t>）：</w:t>
            </w:r>
          </w:p>
          <w:p>
            <w:pPr>
              <w:snapToGrid w:val="0"/>
              <w:spacing w:line="360" w:lineRule="auto"/>
              <w:jc w:val="center"/>
              <w:rPr>
                <w:rFonts w:ascii="宋体"/>
                <w:color w:val="000000"/>
                <w:sz w:val="24"/>
              </w:rPr>
            </w:pPr>
            <w:r>
              <w:rPr>
                <w:color w:val="000000"/>
              </w:rPr>
              <w:drawing>
                <wp:inline distT="0" distB="0" distL="0" distR="0">
                  <wp:extent cx="1932305" cy="4375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32305" cy="437515"/>
                          </a:xfrm>
                          <a:prstGeom prst="rect">
                            <a:avLst/>
                          </a:prstGeom>
                          <a:noFill/>
                          <a:ln>
                            <a:noFill/>
                          </a:ln>
                        </pic:spPr>
                      </pic:pic>
                    </a:graphicData>
                  </a:graphic>
                </wp:inline>
              </w:drawing>
            </w:r>
          </w:p>
          <w:p>
            <w:pPr>
              <w:snapToGrid w:val="0"/>
              <w:spacing w:line="360" w:lineRule="auto"/>
              <w:ind w:firstLine="480" w:firstLineChars="200"/>
              <w:rPr>
                <w:color w:val="000000"/>
                <w:sz w:val="24"/>
              </w:rPr>
            </w:pPr>
            <w:r>
              <w:rPr>
                <w:rFonts w:hint="eastAsia" w:ascii="宋体" w:hAnsi="宋体" w:cs="宋体"/>
                <w:color w:val="000000"/>
                <w:sz w:val="24"/>
              </w:rPr>
              <w:t>式中：</w:t>
            </w:r>
            <w:r>
              <w:rPr>
                <w:color w:val="000000"/>
                <w:sz w:val="24"/>
              </w:rPr>
              <w:t>q</w:t>
            </w:r>
            <w:r>
              <w:rPr>
                <w:color w:val="000000"/>
                <w:sz w:val="24"/>
                <w:vertAlign w:val="subscript"/>
              </w:rPr>
              <w:t>1</w:t>
            </w:r>
            <w:r>
              <w:rPr>
                <w:rFonts w:hint="eastAsia" w:cs="宋体"/>
                <w:color w:val="000000"/>
                <w:sz w:val="24"/>
              </w:rPr>
              <w:t>，</w:t>
            </w:r>
            <w:r>
              <w:rPr>
                <w:color w:val="000000"/>
                <w:sz w:val="24"/>
              </w:rPr>
              <w:t>q</w:t>
            </w:r>
            <w:r>
              <w:rPr>
                <w:color w:val="000000"/>
                <w:sz w:val="24"/>
                <w:vertAlign w:val="subscript"/>
              </w:rPr>
              <w:t>2</w:t>
            </w:r>
            <w:r>
              <w:rPr>
                <w:rFonts w:hint="eastAsia" w:cs="宋体"/>
                <w:color w:val="000000"/>
                <w:sz w:val="24"/>
              </w:rPr>
              <w:t>，</w:t>
            </w:r>
            <w:r>
              <w:rPr>
                <w:color w:val="000000"/>
                <w:sz w:val="28"/>
                <w:szCs w:val="28"/>
              </w:rPr>
              <w:t xml:space="preserve">… , </w:t>
            </w:r>
            <w:r>
              <w:rPr>
                <w:color w:val="000000"/>
                <w:sz w:val="24"/>
              </w:rPr>
              <w:t>q</w:t>
            </w:r>
            <w:r>
              <w:rPr>
                <w:color w:val="000000"/>
                <w:sz w:val="24"/>
                <w:vertAlign w:val="subscript"/>
              </w:rPr>
              <w:t>n</w:t>
            </w:r>
            <w:r>
              <w:rPr>
                <w:color w:val="000000"/>
                <w:sz w:val="24"/>
              </w:rPr>
              <w:t>—</w:t>
            </w:r>
            <w:r>
              <w:rPr>
                <w:rFonts w:hint="eastAsia" w:cs="宋体"/>
                <w:color w:val="000000"/>
                <w:sz w:val="24"/>
              </w:rPr>
              <w:t>每种物质的最大存在总量，</w:t>
            </w:r>
            <w:r>
              <w:rPr>
                <w:color w:val="000000"/>
                <w:sz w:val="24"/>
              </w:rPr>
              <w:t>t</w:t>
            </w:r>
            <w:r>
              <w:rPr>
                <w:rFonts w:hint="eastAsia" w:cs="宋体"/>
                <w:color w:val="000000"/>
                <w:sz w:val="24"/>
              </w:rPr>
              <w:t>；</w:t>
            </w:r>
          </w:p>
          <w:p>
            <w:pPr>
              <w:snapToGrid w:val="0"/>
              <w:spacing w:line="360" w:lineRule="auto"/>
              <w:ind w:firstLine="1200" w:firstLineChars="500"/>
              <w:rPr>
                <w:rFonts w:ascii="宋体"/>
                <w:color w:val="000000"/>
                <w:sz w:val="24"/>
              </w:rPr>
            </w:pPr>
            <w:r>
              <w:rPr>
                <w:color w:val="000000"/>
                <w:sz w:val="24"/>
              </w:rPr>
              <w:t>Q</w:t>
            </w:r>
            <w:r>
              <w:rPr>
                <w:color w:val="000000"/>
                <w:sz w:val="24"/>
                <w:vertAlign w:val="subscript"/>
              </w:rPr>
              <w:t>1</w:t>
            </w:r>
            <w:r>
              <w:rPr>
                <w:rFonts w:hint="eastAsia" w:cs="宋体"/>
                <w:color w:val="000000"/>
                <w:sz w:val="24"/>
              </w:rPr>
              <w:t>，</w:t>
            </w:r>
            <w:r>
              <w:rPr>
                <w:color w:val="000000"/>
                <w:sz w:val="24"/>
              </w:rPr>
              <w:t>Q</w:t>
            </w:r>
            <w:r>
              <w:rPr>
                <w:color w:val="000000"/>
                <w:sz w:val="24"/>
                <w:vertAlign w:val="subscript"/>
              </w:rPr>
              <w:t>2</w:t>
            </w:r>
            <w:r>
              <w:rPr>
                <w:rFonts w:hint="eastAsia" w:cs="宋体"/>
                <w:color w:val="000000"/>
                <w:sz w:val="24"/>
              </w:rPr>
              <w:t>，</w:t>
            </w:r>
            <w:r>
              <w:rPr>
                <w:color w:val="000000"/>
                <w:sz w:val="28"/>
                <w:szCs w:val="28"/>
              </w:rPr>
              <w:t xml:space="preserve">… , </w:t>
            </w:r>
            <w:r>
              <w:rPr>
                <w:color w:val="000000"/>
                <w:sz w:val="24"/>
              </w:rPr>
              <w:t>Q</w:t>
            </w:r>
            <w:r>
              <w:rPr>
                <w:color w:val="000000"/>
                <w:sz w:val="24"/>
                <w:vertAlign w:val="subscript"/>
              </w:rPr>
              <w:t>n</w:t>
            </w:r>
            <w:r>
              <w:rPr>
                <w:color w:val="000000"/>
                <w:sz w:val="24"/>
              </w:rPr>
              <w:t>—</w:t>
            </w:r>
            <w:r>
              <w:rPr>
                <w:rFonts w:hint="eastAsia" w:cs="宋体"/>
                <w:color w:val="000000"/>
                <w:sz w:val="24"/>
              </w:rPr>
              <w:t>每种物质的临界量，</w:t>
            </w:r>
            <w:r>
              <w:rPr>
                <w:color w:val="000000"/>
                <w:sz w:val="24"/>
              </w:rPr>
              <w:t>t</w:t>
            </w:r>
          </w:p>
          <w:p>
            <w:pPr>
              <w:snapToGrid w:val="0"/>
              <w:spacing w:line="360" w:lineRule="auto"/>
              <w:ind w:firstLine="1200" w:firstLineChars="500"/>
              <w:rPr>
                <w:rFonts w:ascii="宋体"/>
                <w:color w:val="000000"/>
                <w:sz w:val="24"/>
              </w:rPr>
            </w:pPr>
            <w:r>
              <w:rPr>
                <w:rFonts w:hint="eastAsia" w:ascii="宋体" w:hAnsi="宋体" w:cs="宋体"/>
                <w:color w:val="000000"/>
                <w:sz w:val="24"/>
              </w:rPr>
              <w:t>当</w:t>
            </w:r>
            <w:r>
              <w:rPr>
                <w:color w:val="000000"/>
                <w:sz w:val="24"/>
              </w:rPr>
              <w:t>Q</w:t>
            </w:r>
            <w:r>
              <w:rPr>
                <w:rFonts w:hint="eastAsia" w:cs="宋体"/>
                <w:color w:val="000000"/>
                <w:sz w:val="24"/>
              </w:rPr>
              <w:t>＜</w:t>
            </w:r>
            <w:r>
              <w:rPr>
                <w:color w:val="000000"/>
                <w:sz w:val="24"/>
              </w:rPr>
              <w:t>1</w:t>
            </w:r>
            <w:r>
              <w:rPr>
                <w:rFonts w:hint="eastAsia" w:cs="宋体"/>
                <w:color w:val="000000"/>
                <w:sz w:val="24"/>
              </w:rPr>
              <w:t>时，该项目环境风险潜势为</w:t>
            </w:r>
            <w:r>
              <w:rPr>
                <w:rFonts w:hint="eastAsia" w:ascii="宋体" w:hAnsi="宋体" w:cs="宋体"/>
                <w:color w:val="000000"/>
                <w:sz w:val="24"/>
              </w:rPr>
              <w:t>Ⅰ</w:t>
            </w:r>
            <w:r>
              <w:rPr>
                <w:rFonts w:hint="eastAsia" w:cs="宋体"/>
                <w:color w:val="000000"/>
                <w:sz w:val="28"/>
                <w:szCs w:val="28"/>
              </w:rPr>
              <w:t>。</w:t>
            </w:r>
          </w:p>
          <w:p>
            <w:pPr>
              <w:adjustRightInd w:val="0"/>
              <w:snapToGrid w:val="0"/>
              <w:spacing w:line="360" w:lineRule="auto"/>
              <w:ind w:firstLine="480" w:firstLineChars="200"/>
              <w:rPr>
                <w:color w:val="000000"/>
                <w:sz w:val="24"/>
              </w:rPr>
            </w:pPr>
            <w:r>
              <w:rPr>
                <w:rFonts w:hint="eastAsia" w:cs="宋体"/>
                <w:color w:val="000000"/>
                <w:sz w:val="24"/>
              </w:rPr>
              <w:t>根据《建设项目环境风险评价技术导则》（</w:t>
            </w:r>
            <w:r>
              <w:rPr>
                <w:color w:val="000000"/>
                <w:sz w:val="24"/>
              </w:rPr>
              <w:t>HJ169-2018</w:t>
            </w:r>
            <w:r>
              <w:rPr>
                <w:rFonts w:hint="eastAsia" w:cs="宋体"/>
                <w:color w:val="000000"/>
                <w:sz w:val="24"/>
              </w:rPr>
              <w:t>）附录</w:t>
            </w:r>
            <w:r>
              <w:rPr>
                <w:color w:val="000000"/>
                <w:sz w:val="24"/>
              </w:rPr>
              <w:t>B</w:t>
            </w:r>
            <w:r>
              <w:rPr>
                <w:rFonts w:hint="eastAsia" w:cs="宋体"/>
                <w:color w:val="000000"/>
                <w:sz w:val="24"/>
              </w:rPr>
              <w:t>表</w:t>
            </w:r>
            <w:r>
              <w:rPr>
                <w:color w:val="000000"/>
                <w:sz w:val="24"/>
              </w:rPr>
              <w:t>B.1</w:t>
            </w:r>
            <w:r>
              <w:rPr>
                <w:rFonts w:hint="eastAsia" w:cs="宋体"/>
                <w:color w:val="000000"/>
                <w:sz w:val="24"/>
              </w:rPr>
              <w:t>及《危险化学品重大危险源辨识》（</w:t>
            </w:r>
            <w:r>
              <w:rPr>
                <w:color w:val="000000"/>
                <w:sz w:val="24"/>
              </w:rPr>
              <w:t>GB18218-2009</w:t>
            </w:r>
            <w:r>
              <w:rPr>
                <w:rFonts w:hint="eastAsia" w:cs="宋体"/>
                <w:color w:val="000000"/>
                <w:sz w:val="24"/>
              </w:rPr>
              <w:t>）中附表</w:t>
            </w:r>
            <w:r>
              <w:rPr>
                <w:color w:val="000000"/>
                <w:sz w:val="24"/>
              </w:rPr>
              <w:t>2</w:t>
            </w:r>
            <w:r>
              <w:rPr>
                <w:rFonts w:hint="eastAsia" w:cs="宋体"/>
                <w:color w:val="000000"/>
                <w:sz w:val="24"/>
              </w:rPr>
              <w:t>、表</w:t>
            </w:r>
            <w:r>
              <w:rPr>
                <w:color w:val="000000"/>
                <w:sz w:val="24"/>
              </w:rPr>
              <w:t>3</w:t>
            </w:r>
            <w:r>
              <w:rPr>
                <w:rFonts w:hint="eastAsia" w:cs="宋体"/>
                <w:color w:val="000000"/>
                <w:sz w:val="24"/>
              </w:rPr>
              <w:t>中各物质及化学品有关的临界量，计算风险物质在厂界内的最大存在量与临界量的比值</w:t>
            </w:r>
            <w:r>
              <w:rPr>
                <w:color w:val="000000"/>
                <w:sz w:val="24"/>
              </w:rPr>
              <w:t>Q</w:t>
            </w:r>
            <w:r>
              <w:rPr>
                <w:rFonts w:hint="eastAsia" w:cs="宋体"/>
                <w:color w:val="000000"/>
                <w:sz w:val="24"/>
              </w:rPr>
              <w:t>。本项目主要风险物质为液化石油气，危险物质最大存在量与临界量比值见下表。</w:t>
            </w:r>
          </w:p>
          <w:p>
            <w:pPr>
              <w:snapToGrid w:val="0"/>
              <w:spacing w:line="360" w:lineRule="auto"/>
              <w:jc w:val="center"/>
              <w:rPr>
                <w:b/>
                <w:bCs/>
                <w:color w:val="000000"/>
                <w:sz w:val="24"/>
              </w:rPr>
            </w:pPr>
            <w:r>
              <w:rPr>
                <w:rFonts w:hint="eastAsia" w:cs="宋体"/>
                <w:b/>
                <w:bCs/>
                <w:color w:val="000000"/>
                <w:sz w:val="24"/>
              </w:rPr>
              <w:t>表</w:t>
            </w:r>
            <w:r>
              <w:rPr>
                <w:rFonts w:hint="eastAsia"/>
                <w:b/>
                <w:bCs/>
                <w:color w:val="000000"/>
                <w:sz w:val="24"/>
              </w:rPr>
              <w:t>4-26</w:t>
            </w:r>
            <w:r>
              <w:rPr>
                <w:b/>
                <w:bCs/>
                <w:color w:val="000000"/>
                <w:sz w:val="24"/>
              </w:rPr>
              <w:t xml:space="preserve">    </w:t>
            </w:r>
            <w:r>
              <w:rPr>
                <w:rFonts w:hint="eastAsia"/>
                <w:b/>
                <w:bCs/>
                <w:color w:val="000000"/>
                <w:sz w:val="24"/>
              </w:rPr>
              <w:t xml:space="preserve"> </w:t>
            </w:r>
            <w:r>
              <w:rPr>
                <w:b/>
                <w:bCs/>
                <w:color w:val="000000"/>
                <w:sz w:val="24"/>
              </w:rPr>
              <w:t xml:space="preserve"> </w:t>
            </w:r>
            <w:r>
              <w:rPr>
                <w:rFonts w:hint="eastAsia" w:cs="宋体"/>
                <w:b/>
                <w:bCs/>
                <w:color w:val="000000"/>
                <w:sz w:val="24"/>
              </w:rPr>
              <w:t>项目危险物质与临界量比值表</w:t>
            </w:r>
          </w:p>
          <w:tbl>
            <w:tblPr>
              <w:tblStyle w:val="30"/>
              <w:tblW w:w="797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76"/>
              <w:gridCol w:w="1134"/>
              <w:gridCol w:w="1418"/>
              <w:gridCol w:w="155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right"/>
              </w:trPr>
              <w:tc>
                <w:tcPr>
                  <w:tcW w:w="1094"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rFonts w:hint="eastAsia" w:cs="宋体"/>
                      <w:color w:val="000000"/>
                    </w:rPr>
                    <w:t>功能单元</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color w:val="000000"/>
                    </w:rPr>
                    <w:t>涉及物质</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color w:val="000000"/>
                    </w:rPr>
                    <w:t>危险分类</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rFonts w:hint="eastAsia" w:cs="宋体"/>
                      <w:color w:val="000000"/>
                    </w:rPr>
                    <w:t>最大储存量</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rFonts w:hint="eastAsia" w:cs="宋体"/>
                      <w:color w:val="000000"/>
                    </w:rPr>
                    <w:t>临界量</w:t>
                  </w: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color w:val="000000"/>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right"/>
              </w:trPr>
              <w:tc>
                <w:tcPr>
                  <w:tcW w:w="10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宋体"/>
                      <w:color w:val="000000"/>
                    </w:rPr>
                  </w:pPr>
                  <w:r>
                    <w:rPr>
                      <w:rFonts w:hint="eastAsia" w:cs="宋体"/>
                      <w:color w:val="000000"/>
                    </w:rPr>
                    <w:t>储罐区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color w:val="000000"/>
                    </w:rPr>
                    <w:t>液化石油气</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color w:val="000000"/>
                    </w:rPr>
                    <w:t>易燃气体</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rFonts w:hint="eastAsia"/>
                      <w:color w:val="000000"/>
                    </w:rPr>
                    <w:t>0.2t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rFonts w:hint="eastAsia"/>
                      <w:color w:val="000000"/>
                    </w:rPr>
                    <w:t>20t</w:t>
                  </w: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rPr>
                  </w:pPr>
                  <w:r>
                    <w:rPr>
                      <w:rFonts w:hint="eastAsia"/>
                      <w:color w:val="000000"/>
                    </w:rPr>
                    <w:t>0.01</w:t>
                  </w:r>
                </w:p>
              </w:tc>
            </w:tr>
          </w:tbl>
          <w:p>
            <w:pPr>
              <w:snapToGrid w:val="0"/>
              <w:spacing w:line="360" w:lineRule="auto"/>
              <w:ind w:firstLine="480" w:firstLineChars="200"/>
              <w:rPr>
                <w:rFonts w:ascii="宋体"/>
                <w:color w:val="000000"/>
                <w:sz w:val="24"/>
              </w:rPr>
            </w:pPr>
            <w:r>
              <w:rPr>
                <w:rFonts w:hint="eastAsia" w:ascii="宋体" w:hAnsi="宋体" w:cs="宋体"/>
                <w:color w:val="000000"/>
                <w:sz w:val="24"/>
              </w:rPr>
              <w:t>根据计算结果</w:t>
            </w:r>
            <w:r>
              <w:rPr>
                <w:rFonts w:hint="eastAsia" w:cs="宋体"/>
                <w:color w:val="000000"/>
                <w:sz w:val="24"/>
              </w:rPr>
              <w:t>，</w:t>
            </w:r>
            <w:r>
              <w:rPr>
                <w:color w:val="000000"/>
                <w:sz w:val="24"/>
              </w:rPr>
              <w:t>Q=0.</w:t>
            </w:r>
            <w:r>
              <w:rPr>
                <w:rFonts w:hint="eastAsia"/>
                <w:color w:val="000000"/>
                <w:sz w:val="24"/>
              </w:rPr>
              <w:t>01</w:t>
            </w:r>
            <w:r>
              <w:rPr>
                <w:rFonts w:hint="eastAsia" w:cs="宋体"/>
                <w:color w:val="000000"/>
                <w:sz w:val="24"/>
              </w:rPr>
              <w:t>＜</w:t>
            </w:r>
            <w:r>
              <w:rPr>
                <w:color w:val="000000"/>
                <w:sz w:val="24"/>
              </w:rPr>
              <w:t>1</w:t>
            </w:r>
            <w:r>
              <w:rPr>
                <w:rFonts w:hint="eastAsia" w:cs="宋体"/>
                <w:color w:val="000000"/>
                <w:sz w:val="24"/>
              </w:rPr>
              <w:t>，因此本项目的环境风险潜势为</w:t>
            </w:r>
            <w:r>
              <w:rPr>
                <w:rFonts w:hint="eastAsia" w:ascii="宋体" w:hAnsi="宋体" w:cs="宋体"/>
                <w:color w:val="000000"/>
                <w:sz w:val="24"/>
              </w:rPr>
              <w:t>Ⅰ</w:t>
            </w:r>
            <w:r>
              <w:rPr>
                <w:rFonts w:hint="eastAsia" w:cs="宋体"/>
                <w:color w:val="000000"/>
                <w:sz w:val="24"/>
              </w:rPr>
              <w:t>。</w:t>
            </w:r>
          </w:p>
          <w:p>
            <w:pPr>
              <w:adjustRightInd w:val="0"/>
              <w:snapToGrid w:val="0"/>
              <w:spacing w:line="360" w:lineRule="auto"/>
              <w:ind w:firstLine="480" w:firstLineChars="200"/>
              <w:rPr>
                <w:rFonts w:ascii="宋体"/>
                <w:color w:val="000000"/>
                <w:sz w:val="24"/>
              </w:rPr>
            </w:pPr>
            <w:r>
              <w:rPr>
                <w:rFonts w:hint="eastAsia" w:ascii="宋体" w:hAnsi="宋体" w:cs="宋体"/>
                <w:color w:val="000000"/>
                <w:sz w:val="24"/>
              </w:rPr>
              <w:t>③评价等级</w:t>
            </w:r>
          </w:p>
          <w:p>
            <w:pPr>
              <w:adjustRightInd w:val="0"/>
              <w:snapToGrid w:val="0"/>
              <w:spacing w:line="360" w:lineRule="auto"/>
              <w:ind w:firstLine="480" w:firstLineChars="200"/>
              <w:rPr>
                <w:color w:val="000000"/>
                <w:sz w:val="24"/>
              </w:rPr>
            </w:pPr>
            <w:r>
              <w:rPr>
                <w:rFonts w:hint="eastAsia" w:cs="宋体"/>
                <w:color w:val="000000"/>
                <w:sz w:val="24"/>
              </w:rPr>
              <w:t>根据《建设项目环境风险评价技术导则》（</w:t>
            </w:r>
            <w:r>
              <w:rPr>
                <w:color w:val="000000"/>
                <w:sz w:val="24"/>
              </w:rPr>
              <w:t>HJ169-2018</w:t>
            </w:r>
            <w:r>
              <w:rPr>
                <w:rFonts w:hint="eastAsia" w:cs="宋体"/>
                <w:color w:val="000000"/>
                <w:sz w:val="24"/>
              </w:rPr>
              <w:t>）规定，环境风险评价工作等级划分见下表。</w:t>
            </w:r>
          </w:p>
          <w:p>
            <w:pPr>
              <w:adjustRightInd w:val="0"/>
              <w:snapToGrid w:val="0"/>
              <w:spacing w:line="360" w:lineRule="auto"/>
              <w:jc w:val="center"/>
              <w:rPr>
                <w:b/>
                <w:bCs/>
                <w:color w:val="000000"/>
                <w:sz w:val="24"/>
              </w:rPr>
            </w:pPr>
            <w:r>
              <w:rPr>
                <w:rFonts w:hint="eastAsia" w:cs="宋体"/>
                <w:b/>
                <w:bCs/>
                <w:color w:val="000000"/>
                <w:sz w:val="24"/>
              </w:rPr>
              <w:t>表</w:t>
            </w:r>
            <w:r>
              <w:rPr>
                <w:rFonts w:hint="eastAsia"/>
                <w:b/>
                <w:bCs/>
                <w:color w:val="000000"/>
                <w:sz w:val="24"/>
              </w:rPr>
              <w:t>4-27</w:t>
            </w:r>
            <w:r>
              <w:rPr>
                <w:b/>
                <w:bCs/>
                <w:color w:val="000000"/>
                <w:sz w:val="24"/>
              </w:rPr>
              <w:t xml:space="preserve">       </w:t>
            </w:r>
            <w:r>
              <w:rPr>
                <w:rFonts w:hint="eastAsia" w:cs="宋体"/>
                <w:b/>
                <w:bCs/>
                <w:color w:val="000000"/>
                <w:sz w:val="24"/>
              </w:rPr>
              <w:t>评价工作等级划分</w:t>
            </w:r>
          </w:p>
          <w:tbl>
            <w:tblPr>
              <w:tblStyle w:val="30"/>
              <w:tblW w:w="79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509"/>
              <w:gridCol w:w="1478"/>
              <w:gridCol w:w="1566"/>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环境风险潜势</w:t>
                  </w: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ascii="宋体" w:hAnsi="宋体" w:cs="宋体"/>
                      <w:color w:val="000000"/>
                    </w:rPr>
                    <w:t>Ⅳ、Ⅳ</w:t>
                  </w:r>
                  <w:r>
                    <w:rPr>
                      <w:rFonts w:ascii="宋体" w:hAnsi="宋体" w:cs="宋体"/>
                      <w:color w:val="000000"/>
                      <w:vertAlign w:val="superscript"/>
                    </w:rPr>
                    <w:t>+</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Ⅲ</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Ⅱ</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评级工作等级</w:t>
                  </w: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一</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二</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三</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s="宋体"/>
                      <w:color w:val="000000"/>
                    </w:rPr>
                    <w:t>简单分析</w:t>
                  </w:r>
                  <w:r>
                    <w:rPr>
                      <w:color w:val="000000"/>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7957" w:type="dxa"/>
                  <w:gridSpan w:val="5"/>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 xml:space="preserve">a </w:t>
                  </w:r>
                  <w:r>
                    <w:rPr>
                      <w:rFonts w:hint="eastAsia" w:cs="宋体"/>
                      <w:color w:val="000000"/>
                    </w:rPr>
                    <w:t>是相对于详细评价工作内容而言，在描述危险物质、环境影响途径、环境危害后果、风险防范措施等方面给出定性的说明。</w:t>
                  </w:r>
                </w:p>
              </w:tc>
            </w:tr>
          </w:tbl>
          <w:p>
            <w:pPr>
              <w:snapToGrid w:val="0"/>
              <w:spacing w:line="360" w:lineRule="auto"/>
              <w:ind w:firstLine="480" w:firstLineChars="200"/>
              <w:rPr>
                <w:color w:val="000000"/>
                <w:sz w:val="24"/>
              </w:rPr>
            </w:pPr>
            <w:r>
              <w:rPr>
                <w:rFonts w:hint="eastAsia" w:cs="宋体"/>
                <w:color w:val="000000"/>
                <w:sz w:val="24"/>
              </w:rPr>
              <w:t>由于本项目环境风险潜势为Ⅰ，根据上表可知，本次仅需对项目环境风险进行简单分析。</w:t>
            </w:r>
          </w:p>
          <w:p>
            <w:pPr>
              <w:adjustRightInd w:val="0"/>
              <w:snapToGrid w:val="0"/>
              <w:spacing w:line="360" w:lineRule="auto"/>
              <w:ind w:firstLine="480" w:firstLineChars="200"/>
              <w:rPr>
                <w:color w:val="000000"/>
                <w:sz w:val="24"/>
              </w:rPr>
            </w:pPr>
            <w:r>
              <w:rPr>
                <w:rFonts w:hint="eastAsia" w:cs="宋体"/>
                <w:color w:val="000000"/>
                <w:sz w:val="24"/>
              </w:rPr>
              <w:t>7.2环境风险识别</w:t>
            </w:r>
          </w:p>
          <w:p>
            <w:pPr>
              <w:adjustRightInd w:val="0"/>
              <w:snapToGrid w:val="0"/>
              <w:spacing w:line="360" w:lineRule="auto"/>
              <w:ind w:firstLine="480" w:firstLineChars="200"/>
              <w:rPr>
                <w:color w:val="000000"/>
                <w:sz w:val="24"/>
              </w:rPr>
            </w:pPr>
            <w:r>
              <w:rPr>
                <w:rFonts w:hint="eastAsia"/>
                <w:color w:val="000000"/>
                <w:sz w:val="24"/>
              </w:rPr>
              <w:t>项目液化石油气使用过程中的主要环境风险为液化石油气泄漏。液</w:t>
            </w:r>
            <w:r>
              <w:rPr>
                <w:rFonts w:hint="eastAsia" w:ascii="宋体" w:hAnsi="宋体"/>
                <w:sz w:val="24"/>
              </w:rPr>
              <w:t>化石油气主要</w:t>
            </w:r>
            <w:r>
              <w:rPr>
                <w:rFonts w:hint="eastAsia"/>
                <w:sz w:val="24"/>
              </w:rPr>
              <w:t>丙烷、丙烯及丁烷</w:t>
            </w:r>
            <w:r>
              <w:rPr>
                <w:color w:val="000000"/>
                <w:sz w:val="24"/>
              </w:rPr>
              <w:t>等组成的混合气体，</w:t>
            </w:r>
            <w:r>
              <w:rPr>
                <w:rFonts w:hint="eastAsia"/>
                <w:sz w:val="24"/>
              </w:rPr>
              <w:t>其理化性质及危险特性见表4-28</w:t>
            </w:r>
            <w:r>
              <w:rPr>
                <w:rFonts w:hint="eastAsia"/>
                <w:color w:val="000000"/>
                <w:sz w:val="24"/>
              </w:rPr>
              <w:t>。</w:t>
            </w:r>
          </w:p>
          <w:p>
            <w:pPr>
              <w:adjustRightInd w:val="0"/>
              <w:snapToGrid w:val="0"/>
              <w:spacing w:line="360" w:lineRule="auto"/>
              <w:jc w:val="center"/>
              <w:rPr>
                <w:b/>
                <w:color w:val="000000"/>
                <w:sz w:val="24"/>
              </w:rPr>
            </w:pPr>
            <w:r>
              <w:rPr>
                <w:rFonts w:hint="eastAsia"/>
                <w:b/>
                <w:color w:val="000000"/>
                <w:sz w:val="24"/>
              </w:rPr>
              <w:t>表4-28      液化石油气理化性质及危险特性一览表</w:t>
            </w:r>
          </w:p>
          <w:tbl>
            <w:tblPr>
              <w:tblStyle w:val="30"/>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34"/>
              <w:gridCol w:w="1673"/>
              <w:gridCol w:w="1303"/>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116" w:type="dxa"/>
                  <w:vMerge w:val="restart"/>
                  <w:vAlign w:val="center"/>
                </w:tcPr>
                <w:p>
                  <w:pPr>
                    <w:adjustRightInd w:val="0"/>
                    <w:snapToGrid w:val="0"/>
                    <w:spacing w:line="340" w:lineRule="exact"/>
                    <w:jc w:val="center"/>
                    <w:rPr>
                      <w:color w:val="000000"/>
                      <w:szCs w:val="21"/>
                    </w:rPr>
                  </w:pPr>
                  <w:r>
                    <w:rPr>
                      <w:rFonts w:hint="eastAsia" w:ascii="宋体" w:cs="宋体"/>
                      <w:kern w:val="0"/>
                      <w:szCs w:val="21"/>
                    </w:rPr>
                    <w:t>理化性质</w:t>
                  </w:r>
                </w:p>
              </w:tc>
              <w:tc>
                <w:tcPr>
                  <w:tcW w:w="1134" w:type="dxa"/>
                  <w:vAlign w:val="center"/>
                </w:tcPr>
                <w:p>
                  <w:pPr>
                    <w:widowControl/>
                    <w:spacing w:line="340" w:lineRule="exact"/>
                    <w:jc w:val="center"/>
                    <w:rPr>
                      <w:kern w:val="0"/>
                      <w:szCs w:val="21"/>
                    </w:rPr>
                  </w:pPr>
                  <w:r>
                    <w:rPr>
                      <w:rFonts w:hint="eastAsia"/>
                      <w:kern w:val="0"/>
                      <w:szCs w:val="21"/>
                    </w:rPr>
                    <w:t>国标</w:t>
                  </w:r>
                  <w:r>
                    <w:rPr>
                      <w:rFonts w:hint="eastAsia"/>
                      <w:color w:val="000000"/>
                      <w:szCs w:val="21"/>
                    </w:rPr>
                    <w:t>编号</w:t>
                  </w:r>
                </w:p>
              </w:tc>
              <w:tc>
                <w:tcPr>
                  <w:tcW w:w="5926" w:type="dxa"/>
                  <w:gridSpan w:val="3"/>
                  <w:vAlign w:val="center"/>
                </w:tcPr>
                <w:p>
                  <w:pPr>
                    <w:widowControl/>
                    <w:spacing w:line="340" w:lineRule="exact"/>
                    <w:rPr>
                      <w:kern w:val="0"/>
                      <w:szCs w:val="21"/>
                    </w:rPr>
                  </w:pPr>
                  <w:r>
                    <w:rPr>
                      <w:rFonts w:hint="eastAsia"/>
                      <w:kern w:val="0"/>
                      <w:szCs w:val="21"/>
                    </w:rPr>
                    <w:t>21053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CAS</w:t>
                  </w:r>
                </w:p>
              </w:tc>
              <w:tc>
                <w:tcPr>
                  <w:tcW w:w="5926" w:type="dxa"/>
                  <w:gridSpan w:val="3"/>
                  <w:vAlign w:val="center"/>
                </w:tcPr>
                <w:p>
                  <w:pPr>
                    <w:widowControl/>
                    <w:spacing w:line="340" w:lineRule="exact"/>
                    <w:rPr>
                      <w:color w:val="000000"/>
                      <w:szCs w:val="21"/>
                    </w:rPr>
                  </w:pPr>
                  <w:r>
                    <w:rPr>
                      <w:rFonts w:ascii="TimesNewRomanPSMT" w:eastAsia="TimesNewRomanPSMT" w:cs="TimesNewRomanPSMT"/>
                      <w:kern w:val="0"/>
                      <w:szCs w:val="21"/>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中文名称</w:t>
                  </w:r>
                </w:p>
              </w:tc>
              <w:tc>
                <w:tcPr>
                  <w:tcW w:w="5926" w:type="dxa"/>
                  <w:gridSpan w:val="3"/>
                  <w:vAlign w:val="center"/>
                </w:tcPr>
                <w:p>
                  <w:pPr>
                    <w:widowControl/>
                    <w:spacing w:line="340" w:lineRule="exact"/>
                    <w:rPr>
                      <w:color w:val="000000"/>
                      <w:szCs w:val="21"/>
                    </w:rPr>
                  </w:pPr>
                  <w:r>
                    <w:rPr>
                      <w:color w:val="000000"/>
                      <w:szCs w:val="21"/>
                    </w:rPr>
                    <w:t>石油气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16" w:type="dxa"/>
                  <w:vMerge w:val="continue"/>
                  <w:vAlign w:val="center"/>
                </w:tcPr>
                <w:p>
                  <w:pPr>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kern w:val="0"/>
                      <w:szCs w:val="21"/>
                    </w:rPr>
                    <w:t>英文名称</w:t>
                  </w:r>
                </w:p>
              </w:tc>
              <w:tc>
                <w:tcPr>
                  <w:tcW w:w="5926" w:type="dxa"/>
                  <w:gridSpan w:val="3"/>
                  <w:vAlign w:val="center"/>
                </w:tcPr>
                <w:p>
                  <w:pPr>
                    <w:widowControl/>
                    <w:spacing w:line="340" w:lineRule="exact"/>
                    <w:rPr>
                      <w:color w:val="000000"/>
                      <w:szCs w:val="21"/>
                    </w:rPr>
                  </w:pPr>
                  <w:r>
                    <w:rPr>
                      <w:rFonts w:hint="eastAsia"/>
                      <w:color w:val="000000"/>
                      <w:szCs w:val="21"/>
                    </w:rPr>
                    <w:t>liquefied petroleum ges；compressed petroleum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别名</w:t>
                  </w:r>
                </w:p>
              </w:tc>
              <w:tc>
                <w:tcPr>
                  <w:tcW w:w="5926" w:type="dxa"/>
                  <w:gridSpan w:val="3"/>
                  <w:vAlign w:val="center"/>
                </w:tcPr>
                <w:p>
                  <w:pPr>
                    <w:widowControl/>
                    <w:spacing w:line="340" w:lineRule="exact"/>
                    <w:rPr>
                      <w:color w:val="000000"/>
                      <w:szCs w:val="21"/>
                    </w:rPr>
                  </w:pPr>
                  <w:r>
                    <w:rPr>
                      <w:color w:val="000000"/>
                      <w:szCs w:val="21"/>
                    </w:rPr>
                    <w:t>液化石油气</w:t>
                  </w:r>
                  <w:r>
                    <w:rPr>
                      <w:rFonts w:hint="eastAsia"/>
                      <w:color w:val="000000"/>
                      <w:szCs w:val="21"/>
                    </w:rPr>
                    <w:t>；</w:t>
                  </w:r>
                  <w:r>
                    <w:rPr>
                      <w:color w:val="000000"/>
                      <w:szCs w:val="21"/>
                    </w:rPr>
                    <w:t>压凝汽油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分子式</w:t>
                  </w:r>
                </w:p>
              </w:tc>
              <w:tc>
                <w:tcPr>
                  <w:tcW w:w="1673" w:type="dxa"/>
                  <w:vAlign w:val="center"/>
                </w:tcPr>
                <w:p>
                  <w:pPr>
                    <w:widowControl/>
                    <w:spacing w:line="340" w:lineRule="exact"/>
                    <w:jc w:val="center"/>
                    <w:rPr>
                      <w:color w:val="000000"/>
                      <w:szCs w:val="21"/>
                    </w:rPr>
                  </w:pPr>
                  <w:r>
                    <w:rPr>
                      <w:rFonts w:hint="eastAsia"/>
                      <w:color w:val="000000"/>
                      <w:szCs w:val="21"/>
                    </w:rPr>
                    <w:t>/</w:t>
                  </w:r>
                </w:p>
              </w:tc>
              <w:tc>
                <w:tcPr>
                  <w:tcW w:w="1303" w:type="dxa"/>
                  <w:vAlign w:val="center"/>
                </w:tcPr>
                <w:p>
                  <w:pPr>
                    <w:widowControl/>
                    <w:spacing w:line="340" w:lineRule="exact"/>
                    <w:jc w:val="center"/>
                    <w:rPr>
                      <w:color w:val="000000"/>
                      <w:szCs w:val="21"/>
                    </w:rPr>
                  </w:pPr>
                  <w:r>
                    <w:rPr>
                      <w:rFonts w:hint="eastAsia" w:ascii="宋体" w:cs="宋体"/>
                      <w:kern w:val="0"/>
                      <w:szCs w:val="21"/>
                    </w:rPr>
                    <w:t>外观与性状</w:t>
                  </w:r>
                </w:p>
              </w:tc>
              <w:tc>
                <w:tcPr>
                  <w:tcW w:w="2950" w:type="dxa"/>
                  <w:vAlign w:val="center"/>
                </w:tcPr>
                <w:p>
                  <w:pPr>
                    <w:widowControl/>
                    <w:spacing w:line="340" w:lineRule="exact"/>
                    <w:jc w:val="center"/>
                    <w:rPr>
                      <w:color w:val="000000"/>
                      <w:szCs w:val="21"/>
                    </w:rPr>
                  </w:pPr>
                  <w:r>
                    <w:rPr>
                      <w:rFonts w:hint="eastAsia"/>
                      <w:color w:val="000000"/>
                      <w:szCs w:val="21"/>
                    </w:rPr>
                    <w:t>无色气体或黄棕色油状液体，有特殊臭味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widowControl/>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熔点</w:t>
                  </w:r>
                </w:p>
              </w:tc>
              <w:tc>
                <w:tcPr>
                  <w:tcW w:w="1673" w:type="dxa"/>
                  <w:vAlign w:val="center"/>
                </w:tcPr>
                <w:p>
                  <w:pPr>
                    <w:widowControl/>
                    <w:spacing w:line="340" w:lineRule="exact"/>
                    <w:jc w:val="center"/>
                    <w:rPr>
                      <w:color w:val="000000"/>
                      <w:szCs w:val="21"/>
                    </w:rPr>
                  </w:pPr>
                  <w:r>
                    <w:rPr>
                      <w:rFonts w:eastAsia="TimesNewRomanPSMT"/>
                      <w:kern w:val="0"/>
                      <w:szCs w:val="21"/>
                    </w:rPr>
                    <w:t>-160~-107</w:t>
                  </w:r>
                  <w:r>
                    <w:rPr>
                      <w:kern w:val="0"/>
                      <w:szCs w:val="21"/>
                    </w:rPr>
                    <w:t>℃</w:t>
                  </w:r>
                </w:p>
              </w:tc>
              <w:tc>
                <w:tcPr>
                  <w:tcW w:w="1303" w:type="dxa"/>
                  <w:vAlign w:val="center"/>
                </w:tcPr>
                <w:p>
                  <w:pPr>
                    <w:widowControl/>
                    <w:spacing w:line="340" w:lineRule="exact"/>
                    <w:jc w:val="center"/>
                    <w:rPr>
                      <w:color w:val="000000"/>
                      <w:szCs w:val="21"/>
                    </w:rPr>
                  </w:pPr>
                  <w:r>
                    <w:rPr>
                      <w:rFonts w:hint="eastAsia" w:ascii="宋体" w:cs="宋体"/>
                      <w:kern w:val="0"/>
                      <w:szCs w:val="21"/>
                    </w:rPr>
                    <w:t>蒸汽压</w:t>
                  </w:r>
                </w:p>
              </w:tc>
              <w:tc>
                <w:tcPr>
                  <w:tcW w:w="2950" w:type="dxa"/>
                  <w:vAlign w:val="center"/>
                </w:tcPr>
                <w:p>
                  <w:pPr>
                    <w:widowControl/>
                    <w:spacing w:line="340" w:lineRule="exact"/>
                    <w:jc w:val="center"/>
                    <w:rPr>
                      <w:color w:val="000000"/>
                      <w:szCs w:val="21"/>
                    </w:rPr>
                  </w:pPr>
                  <w:r>
                    <w:rPr>
                      <w:color w:val="000000"/>
                      <w:szCs w:val="21"/>
                    </w:rPr>
                    <w:t>53.32kPa/-168.8℃，闪点：-188℃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widowControl/>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沸点</w:t>
                  </w:r>
                </w:p>
              </w:tc>
              <w:tc>
                <w:tcPr>
                  <w:tcW w:w="1673" w:type="dxa"/>
                  <w:vAlign w:val="center"/>
                </w:tcPr>
                <w:p>
                  <w:pPr>
                    <w:widowControl/>
                    <w:spacing w:line="340" w:lineRule="exact"/>
                    <w:jc w:val="center"/>
                    <w:rPr>
                      <w:color w:val="000000"/>
                      <w:szCs w:val="21"/>
                    </w:rPr>
                  </w:pPr>
                  <w:r>
                    <w:rPr>
                      <w:rFonts w:eastAsia="TimesNewRomanPSMT"/>
                      <w:kern w:val="0"/>
                      <w:szCs w:val="21"/>
                    </w:rPr>
                    <w:t>-12~4</w:t>
                  </w:r>
                  <w:r>
                    <w:rPr>
                      <w:kern w:val="0"/>
                      <w:szCs w:val="21"/>
                    </w:rPr>
                    <w:t>℃</w:t>
                  </w:r>
                </w:p>
              </w:tc>
              <w:tc>
                <w:tcPr>
                  <w:tcW w:w="1303" w:type="dxa"/>
                  <w:vAlign w:val="center"/>
                </w:tcPr>
                <w:p>
                  <w:pPr>
                    <w:widowControl/>
                    <w:spacing w:line="340" w:lineRule="exact"/>
                    <w:jc w:val="center"/>
                    <w:rPr>
                      <w:color w:val="000000"/>
                      <w:szCs w:val="21"/>
                    </w:rPr>
                  </w:pPr>
                  <w:r>
                    <w:rPr>
                      <w:rFonts w:hint="eastAsia" w:ascii="宋体" w:cs="宋体"/>
                      <w:kern w:val="0"/>
                      <w:szCs w:val="21"/>
                    </w:rPr>
                    <w:t>溶解性</w:t>
                  </w:r>
                </w:p>
              </w:tc>
              <w:tc>
                <w:tcPr>
                  <w:tcW w:w="2950" w:type="dxa"/>
                  <w:vAlign w:val="center"/>
                </w:tcPr>
                <w:p>
                  <w:pPr>
                    <w:widowControl/>
                    <w:spacing w:line="340" w:lineRule="exact"/>
                    <w:jc w:val="center"/>
                    <w:rPr>
                      <w:color w:val="000000"/>
                      <w:szCs w:val="21"/>
                    </w:rPr>
                  </w:pPr>
                  <w:r>
                    <w:rPr>
                      <w:rFonts w:hint="eastAsia"/>
                      <w:color w:val="000000"/>
                      <w:szCs w:val="21"/>
                    </w:rPr>
                    <w:t>微溶于水，溶于醇、乙醚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widowControl/>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密度</w:t>
                  </w:r>
                </w:p>
              </w:tc>
              <w:tc>
                <w:tcPr>
                  <w:tcW w:w="1673" w:type="dxa"/>
                  <w:vAlign w:val="center"/>
                </w:tcPr>
                <w:p>
                  <w:pPr>
                    <w:autoSpaceDE w:val="0"/>
                    <w:autoSpaceDN w:val="0"/>
                    <w:adjustRightInd w:val="0"/>
                    <w:spacing w:line="340" w:lineRule="exact"/>
                    <w:jc w:val="center"/>
                    <w:rPr>
                      <w:color w:val="000000"/>
                      <w:szCs w:val="21"/>
                    </w:rPr>
                  </w:pPr>
                  <w:r>
                    <w:rPr>
                      <w:rFonts w:hint="eastAsia" w:ascii="宋体" w:cs="宋体"/>
                      <w:kern w:val="0"/>
                      <w:szCs w:val="21"/>
                    </w:rPr>
                    <w:t>相对密度（水</w:t>
                  </w:r>
                  <w:r>
                    <w:rPr>
                      <w:rFonts w:ascii="TimesNewRomanPSMT" w:eastAsia="TimesNewRomanPSMT" w:cs="TimesNewRomanPSMT"/>
                      <w:kern w:val="0"/>
                      <w:szCs w:val="21"/>
                    </w:rPr>
                    <w:t>=1</w:t>
                  </w:r>
                  <w:r>
                    <w:rPr>
                      <w:rFonts w:hint="eastAsia" w:ascii="宋体" w:cs="宋体"/>
                      <w:kern w:val="0"/>
                      <w:szCs w:val="21"/>
                    </w:rPr>
                    <w:t>）</w:t>
                  </w:r>
                  <w:r>
                    <w:rPr>
                      <w:rFonts w:ascii="TimesNewRomanPSMT" w:eastAsia="TimesNewRomanPSMT" w:cs="TimesNewRomanPSMT"/>
                      <w:kern w:val="0"/>
                      <w:szCs w:val="21"/>
                    </w:rPr>
                    <w:t>0.5~0.</w:t>
                  </w:r>
                  <w:r>
                    <w:rPr>
                      <w:rFonts w:hint="eastAsia" w:ascii="TimesNewRomanPSMT" w:eastAsia="TimesNewRomanPSMT" w:cs="TimesNewRomanPSMT"/>
                      <w:kern w:val="0"/>
                      <w:szCs w:val="21"/>
                    </w:rPr>
                    <w:t>6</w:t>
                  </w:r>
                  <w:r>
                    <w:rPr>
                      <w:rFonts w:hint="eastAsia" w:ascii="宋体" w:cs="宋体"/>
                      <w:kern w:val="0"/>
                      <w:szCs w:val="21"/>
                    </w:rPr>
                    <w:t>（</w:t>
                  </w:r>
                  <w:r>
                    <w:rPr>
                      <w:rFonts w:ascii="TimesNewRomanPSMT" w:eastAsia="TimesNewRomanPSMT" w:cs="TimesNewRomanPSMT"/>
                      <w:kern w:val="0"/>
                      <w:szCs w:val="21"/>
                    </w:rPr>
                    <w:t>-164</w:t>
                  </w:r>
                  <w:r>
                    <w:rPr>
                      <w:rFonts w:hint="eastAsia" w:ascii="宋体" w:cs="宋体"/>
                      <w:kern w:val="0"/>
                      <w:szCs w:val="21"/>
                    </w:rPr>
                    <w:t>℃）；相对密度（空气</w:t>
                  </w:r>
                  <w:r>
                    <w:rPr>
                      <w:rFonts w:ascii="TimesNewRomanPSMT" w:eastAsia="TimesNewRomanPSMT" w:cs="TimesNewRomanPSMT"/>
                      <w:kern w:val="0"/>
                      <w:szCs w:val="21"/>
                    </w:rPr>
                    <w:t>=1</w:t>
                  </w:r>
                  <w:r>
                    <w:rPr>
                      <w:rFonts w:hint="eastAsia" w:ascii="宋体" w:cs="宋体"/>
                      <w:kern w:val="0"/>
                      <w:szCs w:val="21"/>
                    </w:rPr>
                    <w:t>）</w:t>
                  </w:r>
                  <w:r>
                    <w:rPr>
                      <w:rFonts w:ascii="TimesNewRomanPSMT" w:eastAsia="TimesNewRomanPSMT" w:cs="TimesNewRomanPSMT"/>
                      <w:kern w:val="0"/>
                      <w:szCs w:val="21"/>
                    </w:rPr>
                    <w:t>1.5~2.0</w:t>
                  </w:r>
                </w:p>
              </w:tc>
              <w:tc>
                <w:tcPr>
                  <w:tcW w:w="1303" w:type="dxa"/>
                  <w:vAlign w:val="center"/>
                </w:tcPr>
                <w:p>
                  <w:pPr>
                    <w:widowControl/>
                    <w:spacing w:line="340" w:lineRule="exact"/>
                    <w:jc w:val="center"/>
                    <w:rPr>
                      <w:color w:val="000000"/>
                      <w:szCs w:val="21"/>
                    </w:rPr>
                  </w:pPr>
                  <w:r>
                    <w:rPr>
                      <w:rFonts w:hint="eastAsia"/>
                      <w:color w:val="000000"/>
                      <w:szCs w:val="21"/>
                    </w:rPr>
                    <w:t>稳定性</w:t>
                  </w:r>
                </w:p>
              </w:tc>
              <w:tc>
                <w:tcPr>
                  <w:tcW w:w="2950" w:type="dxa"/>
                  <w:vAlign w:val="center"/>
                </w:tcPr>
                <w:p>
                  <w:pPr>
                    <w:widowControl/>
                    <w:spacing w:line="340" w:lineRule="exact"/>
                    <w:jc w:val="center"/>
                    <w:rPr>
                      <w:color w:val="000000"/>
                      <w:szCs w:val="21"/>
                    </w:rPr>
                  </w:pPr>
                  <w:r>
                    <w:rPr>
                      <w:color w:val="000000"/>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Merge w:val="continue"/>
                  <w:vAlign w:val="center"/>
                </w:tcPr>
                <w:p>
                  <w:pPr>
                    <w:widowControl/>
                    <w:adjustRightInd w:val="0"/>
                    <w:snapToGrid w:val="0"/>
                    <w:spacing w:line="340" w:lineRule="exact"/>
                    <w:jc w:val="center"/>
                    <w:rPr>
                      <w:color w:val="000000"/>
                      <w:szCs w:val="21"/>
                    </w:rPr>
                  </w:pPr>
                </w:p>
              </w:tc>
              <w:tc>
                <w:tcPr>
                  <w:tcW w:w="1134" w:type="dxa"/>
                  <w:vAlign w:val="center"/>
                </w:tcPr>
                <w:p>
                  <w:pPr>
                    <w:widowControl/>
                    <w:spacing w:line="340" w:lineRule="exact"/>
                    <w:jc w:val="center"/>
                    <w:rPr>
                      <w:color w:val="000000"/>
                      <w:szCs w:val="21"/>
                    </w:rPr>
                  </w:pPr>
                  <w:r>
                    <w:rPr>
                      <w:rFonts w:hint="eastAsia"/>
                      <w:color w:val="000000"/>
                      <w:szCs w:val="21"/>
                    </w:rPr>
                    <w:t>危险标记</w:t>
                  </w:r>
                </w:p>
              </w:tc>
              <w:tc>
                <w:tcPr>
                  <w:tcW w:w="1673" w:type="dxa"/>
                  <w:vAlign w:val="center"/>
                </w:tcPr>
                <w:p>
                  <w:pPr>
                    <w:widowControl/>
                    <w:spacing w:line="340" w:lineRule="exact"/>
                    <w:jc w:val="center"/>
                    <w:rPr>
                      <w:color w:val="000000"/>
                      <w:szCs w:val="21"/>
                    </w:rPr>
                  </w:pPr>
                  <w:r>
                    <w:rPr>
                      <w:rFonts w:hint="eastAsia"/>
                      <w:color w:val="000000"/>
                      <w:szCs w:val="21"/>
                    </w:rPr>
                    <w:t>4（易燃气体）</w:t>
                  </w:r>
                </w:p>
              </w:tc>
              <w:tc>
                <w:tcPr>
                  <w:tcW w:w="1303" w:type="dxa"/>
                  <w:vAlign w:val="center"/>
                </w:tcPr>
                <w:p>
                  <w:pPr>
                    <w:widowControl/>
                    <w:spacing w:line="340" w:lineRule="exact"/>
                    <w:jc w:val="center"/>
                    <w:rPr>
                      <w:color w:val="000000"/>
                      <w:szCs w:val="21"/>
                    </w:rPr>
                  </w:pPr>
                  <w:r>
                    <w:rPr>
                      <w:color w:val="000000"/>
                      <w:szCs w:val="21"/>
                    </w:rPr>
                    <w:t>主要用途</w:t>
                  </w:r>
                </w:p>
              </w:tc>
              <w:tc>
                <w:tcPr>
                  <w:tcW w:w="2950" w:type="dxa"/>
                  <w:vAlign w:val="center"/>
                </w:tcPr>
                <w:p>
                  <w:pPr>
                    <w:widowControl/>
                    <w:spacing w:line="340" w:lineRule="exact"/>
                    <w:jc w:val="center"/>
                    <w:rPr>
                      <w:color w:val="000000"/>
                      <w:szCs w:val="21"/>
                    </w:rPr>
                  </w:pPr>
                  <w:r>
                    <w:rPr>
                      <w:rFonts w:hint="eastAsia"/>
                      <w:color w:val="000000"/>
                      <w:szCs w:val="21"/>
                    </w:rPr>
                    <w:t>主要作为民用燃料，发动机燃料、制氧原料、加热炉燃料以及打火机的气体燃料等，也可用做石油化工原料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Align w:val="center"/>
                </w:tcPr>
                <w:p>
                  <w:pPr>
                    <w:adjustRightInd w:val="0"/>
                    <w:snapToGrid w:val="0"/>
                    <w:spacing w:line="340" w:lineRule="exact"/>
                    <w:jc w:val="center"/>
                    <w:rPr>
                      <w:color w:val="000000"/>
                      <w:szCs w:val="21"/>
                    </w:rPr>
                  </w:pPr>
                  <w:r>
                    <w:rPr>
                      <w:rFonts w:ascii="宋体" w:cs="宋体"/>
                      <w:kern w:val="0"/>
                      <w:szCs w:val="21"/>
                    </w:rPr>
                    <w:t>危险特性</w:t>
                  </w:r>
                </w:p>
              </w:tc>
              <w:tc>
                <w:tcPr>
                  <w:tcW w:w="7060" w:type="dxa"/>
                  <w:gridSpan w:val="4"/>
                  <w:vAlign w:val="center"/>
                </w:tcPr>
                <w:p>
                  <w:pPr>
                    <w:widowControl/>
                    <w:spacing w:line="340" w:lineRule="exact"/>
                    <w:rPr>
                      <w:color w:val="000000"/>
                      <w:szCs w:val="21"/>
                    </w:rPr>
                  </w:pPr>
                  <w:r>
                    <w:rPr>
                      <w:rFonts w:hint="eastAsia"/>
                      <w:color w:val="000000"/>
                      <w:szCs w:val="21"/>
                    </w:rPr>
                    <w:t>易燃，与空气混合能形成爆炸性混合物，遇热源和明火有燃烧爆炸的危险。</w:t>
                  </w:r>
                </w:p>
                <w:p>
                  <w:pPr>
                    <w:widowControl/>
                    <w:spacing w:line="340" w:lineRule="exact"/>
                    <w:rPr>
                      <w:color w:val="000000"/>
                      <w:szCs w:val="21"/>
                    </w:rPr>
                  </w:pPr>
                  <w:r>
                    <w:rPr>
                      <w:rFonts w:hint="eastAsia"/>
                      <w:color w:val="000000"/>
                      <w:szCs w:val="21"/>
                    </w:rPr>
                    <w:t>与氟、氯等接触会发生剧烈的化学反应。</w:t>
                  </w:r>
                </w:p>
                <w:p>
                  <w:pPr>
                    <w:widowControl/>
                    <w:spacing w:line="340" w:lineRule="exact"/>
                    <w:rPr>
                      <w:color w:val="000000"/>
                      <w:szCs w:val="21"/>
                    </w:rPr>
                  </w:pPr>
                  <w:r>
                    <w:rPr>
                      <w:rFonts w:hint="eastAsia"/>
                      <w:color w:val="000000"/>
                      <w:szCs w:val="21"/>
                    </w:rPr>
                    <w:t>燃烧（分解）产物：一氧化碳、二氧化碳。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Align w:val="center"/>
                </w:tcPr>
                <w:p>
                  <w:pPr>
                    <w:adjustRightInd w:val="0"/>
                    <w:snapToGrid w:val="0"/>
                    <w:spacing w:line="340" w:lineRule="exact"/>
                    <w:jc w:val="center"/>
                    <w:rPr>
                      <w:color w:val="000000"/>
                      <w:szCs w:val="21"/>
                    </w:rPr>
                  </w:pPr>
                  <w:r>
                    <w:rPr>
                      <w:rFonts w:hint="eastAsia" w:ascii="宋体" w:cs="宋体"/>
                      <w:kern w:val="0"/>
                      <w:szCs w:val="21"/>
                    </w:rPr>
                    <w:t>健康危害</w:t>
                  </w:r>
                </w:p>
              </w:tc>
              <w:tc>
                <w:tcPr>
                  <w:tcW w:w="7060" w:type="dxa"/>
                  <w:gridSpan w:val="4"/>
                  <w:vAlign w:val="center"/>
                </w:tcPr>
                <w:p>
                  <w:pPr>
                    <w:adjustRightInd w:val="0"/>
                    <w:snapToGrid w:val="0"/>
                    <w:spacing w:line="340" w:lineRule="exact"/>
                    <w:jc w:val="left"/>
                    <w:rPr>
                      <w:color w:val="000000"/>
                      <w:szCs w:val="21"/>
                    </w:rPr>
                  </w:pPr>
                  <w:r>
                    <w:rPr>
                      <w:rFonts w:hint="eastAsia"/>
                      <w:color w:val="000000"/>
                      <w:szCs w:val="21"/>
                    </w:rPr>
                    <w:t>侵入途径：吸入</w:t>
                  </w:r>
                </w:p>
                <w:p>
                  <w:pPr>
                    <w:adjustRightInd w:val="0"/>
                    <w:snapToGrid w:val="0"/>
                    <w:spacing w:line="340" w:lineRule="exact"/>
                    <w:rPr>
                      <w:color w:val="000000"/>
                      <w:szCs w:val="21"/>
                    </w:rPr>
                  </w:pPr>
                  <w:r>
                    <w:rPr>
                      <w:rFonts w:hint="eastAsia"/>
                      <w:color w:val="000000"/>
                      <w:szCs w:val="21"/>
                    </w:rPr>
                    <w:t>健康危害：本品有麻醉作用。</w:t>
                  </w:r>
                </w:p>
                <w:p>
                  <w:pPr>
                    <w:adjustRightInd w:val="0"/>
                    <w:snapToGrid w:val="0"/>
                    <w:spacing w:line="340" w:lineRule="exact"/>
                    <w:rPr>
                      <w:color w:val="000000"/>
                      <w:szCs w:val="21"/>
                    </w:rPr>
                  </w:pPr>
                  <w:r>
                    <w:rPr>
                      <w:rFonts w:hint="eastAsia"/>
                      <w:color w:val="000000"/>
                      <w:szCs w:val="21"/>
                    </w:rPr>
                    <w:t>人急性中毒：有头晕、头痛、兴奋或嗜睡、恶心、呕吐、脉缓等；重症者可突然倒下，尿失禁，意识丧失，甚至呼吸停止。可致皮肤冻伤。</w:t>
                  </w:r>
                </w:p>
                <w:p>
                  <w:pPr>
                    <w:adjustRightInd w:val="0"/>
                    <w:snapToGrid w:val="0"/>
                    <w:spacing w:line="340" w:lineRule="exact"/>
                    <w:rPr>
                      <w:color w:val="000000"/>
                      <w:szCs w:val="21"/>
                    </w:rPr>
                  </w:pPr>
                  <w:r>
                    <w:rPr>
                      <w:rFonts w:hint="eastAsia"/>
                      <w:color w:val="000000"/>
                      <w:szCs w:val="21"/>
                    </w:rPr>
                    <w:t>慢性影响：长期接触低浓度者，可出现头痛、头晕、睡眠不佳、易疲劳、情绪不稳以及植物神经功能紊乱等。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116" w:type="dxa"/>
                  <w:vAlign w:val="center"/>
                </w:tcPr>
                <w:p>
                  <w:pPr>
                    <w:adjustRightInd w:val="0"/>
                    <w:snapToGrid w:val="0"/>
                    <w:spacing w:line="340" w:lineRule="exact"/>
                    <w:jc w:val="center"/>
                    <w:rPr>
                      <w:color w:val="000000"/>
                      <w:szCs w:val="21"/>
                    </w:rPr>
                  </w:pPr>
                  <w:r>
                    <w:rPr>
                      <w:rFonts w:hint="eastAsia"/>
                      <w:color w:val="000000"/>
                      <w:szCs w:val="21"/>
                    </w:rPr>
                    <w:t>泄漏应急处理</w:t>
                  </w:r>
                </w:p>
              </w:tc>
              <w:tc>
                <w:tcPr>
                  <w:tcW w:w="7060" w:type="dxa"/>
                  <w:gridSpan w:val="4"/>
                  <w:vAlign w:val="center"/>
                </w:tcPr>
                <w:p>
                  <w:pPr>
                    <w:adjustRightInd w:val="0"/>
                    <w:snapToGrid w:val="0"/>
                    <w:spacing w:line="340" w:lineRule="exact"/>
                    <w:rPr>
                      <w:color w:val="000000"/>
                      <w:szCs w:val="21"/>
                    </w:rPr>
                  </w:pPr>
                  <w:r>
                    <w:rPr>
                      <w:rFonts w:hint="eastAsia"/>
                      <w:color w:val="000000"/>
                      <w:szCs w:val="21"/>
                    </w:rPr>
                    <w:t>迅速撤离泄漏污染区人员至上风处，并进行隔离，严格限制出入。切断火源。建议应急处理人员戴自给正压式呼吸器，穿防寒服，避免直接接触泄漏物，尽可能切断泄漏源。用工业覆盖层或吸附/吸收剂盖住泄漏点附近的下水道等地方，防止气体进入。合理通风，加速扩散。喷雾状水稀释。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1116" w:type="dxa"/>
                  <w:vAlign w:val="center"/>
                </w:tcPr>
                <w:p>
                  <w:pPr>
                    <w:adjustRightInd w:val="0"/>
                    <w:snapToGrid w:val="0"/>
                    <w:spacing w:line="340" w:lineRule="exact"/>
                    <w:jc w:val="center"/>
                    <w:rPr>
                      <w:color w:val="000000"/>
                      <w:szCs w:val="21"/>
                    </w:rPr>
                  </w:pPr>
                  <w:r>
                    <w:rPr>
                      <w:rFonts w:hint="eastAsia"/>
                      <w:color w:val="000000"/>
                      <w:szCs w:val="21"/>
                    </w:rPr>
                    <w:t>防护措施</w:t>
                  </w:r>
                </w:p>
              </w:tc>
              <w:tc>
                <w:tcPr>
                  <w:tcW w:w="7060" w:type="dxa"/>
                  <w:gridSpan w:val="4"/>
                  <w:vAlign w:val="center"/>
                </w:tcPr>
                <w:p>
                  <w:pPr>
                    <w:adjustRightInd w:val="0"/>
                    <w:snapToGrid w:val="0"/>
                    <w:spacing w:line="340" w:lineRule="exact"/>
                    <w:rPr>
                      <w:color w:val="000000"/>
                      <w:szCs w:val="21"/>
                    </w:rPr>
                  </w:pPr>
                  <w:r>
                    <w:rPr>
                      <w:rFonts w:hint="eastAsia"/>
                      <w:color w:val="000000"/>
                      <w:szCs w:val="21"/>
                    </w:rPr>
                    <w:t>呼吸系统防护：高浓度环境中，建议佩戴过滤式防毒面具（半面罩）。</w:t>
                  </w:r>
                </w:p>
                <w:p>
                  <w:pPr>
                    <w:adjustRightInd w:val="0"/>
                    <w:snapToGrid w:val="0"/>
                    <w:spacing w:line="340" w:lineRule="exact"/>
                    <w:rPr>
                      <w:color w:val="000000"/>
                      <w:szCs w:val="21"/>
                    </w:rPr>
                  </w:pPr>
                  <w:r>
                    <w:rPr>
                      <w:rFonts w:hint="eastAsia"/>
                      <w:color w:val="000000"/>
                      <w:szCs w:val="21"/>
                    </w:rPr>
                    <w:t>眼睛防护：一般不需要特殊防护，高浓度接触时可戴化学安全防护眼镜。</w:t>
                  </w:r>
                </w:p>
                <w:p>
                  <w:pPr>
                    <w:adjustRightInd w:val="0"/>
                    <w:snapToGrid w:val="0"/>
                    <w:spacing w:line="340" w:lineRule="exact"/>
                    <w:rPr>
                      <w:color w:val="000000"/>
                      <w:szCs w:val="21"/>
                    </w:rPr>
                  </w:pPr>
                  <w:r>
                    <w:rPr>
                      <w:rFonts w:hint="eastAsia"/>
                      <w:color w:val="000000"/>
                      <w:szCs w:val="21"/>
                    </w:rPr>
                    <w:t>身体防护：穿防静电工作服。</w:t>
                  </w:r>
                </w:p>
                <w:p>
                  <w:pPr>
                    <w:adjustRightInd w:val="0"/>
                    <w:snapToGrid w:val="0"/>
                    <w:spacing w:line="340" w:lineRule="exact"/>
                    <w:rPr>
                      <w:color w:val="000000"/>
                      <w:szCs w:val="21"/>
                    </w:rPr>
                  </w:pPr>
                  <w:r>
                    <w:rPr>
                      <w:rFonts w:hint="eastAsia"/>
                      <w:color w:val="000000"/>
                      <w:szCs w:val="21"/>
                    </w:rPr>
                    <w:t>手防护：戴一般作业防护手套。</w:t>
                  </w:r>
                </w:p>
                <w:p>
                  <w:pPr>
                    <w:adjustRightInd w:val="0"/>
                    <w:snapToGrid w:val="0"/>
                    <w:spacing w:line="340" w:lineRule="exact"/>
                    <w:rPr>
                      <w:color w:val="000000"/>
                      <w:szCs w:val="21"/>
                    </w:rPr>
                  </w:pPr>
                  <w:r>
                    <w:rPr>
                      <w:rFonts w:hint="eastAsia"/>
                      <w:color w:val="000000"/>
                      <w:szCs w:val="21"/>
                    </w:rPr>
                    <w:t>其它：工作现场严禁吸烟。避免高浓度吸入。进入罐、限制性空间或其它高浓度区作业，须有人监护。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1116" w:type="dxa"/>
                  <w:vAlign w:val="center"/>
                </w:tcPr>
                <w:p>
                  <w:pPr>
                    <w:adjustRightInd w:val="0"/>
                    <w:snapToGrid w:val="0"/>
                    <w:spacing w:line="340" w:lineRule="exact"/>
                    <w:jc w:val="center"/>
                    <w:rPr>
                      <w:color w:val="000000"/>
                      <w:szCs w:val="21"/>
                    </w:rPr>
                  </w:pPr>
                  <w:r>
                    <w:rPr>
                      <w:rFonts w:hint="eastAsia" w:ascii="宋体" w:cs="宋体"/>
                      <w:kern w:val="0"/>
                      <w:szCs w:val="21"/>
                    </w:rPr>
                    <w:t>急救措施</w:t>
                  </w:r>
                </w:p>
              </w:tc>
              <w:tc>
                <w:tcPr>
                  <w:tcW w:w="7060" w:type="dxa"/>
                  <w:gridSpan w:val="4"/>
                  <w:vAlign w:val="center"/>
                </w:tcPr>
                <w:p>
                  <w:pPr>
                    <w:adjustRightInd w:val="0"/>
                    <w:snapToGrid w:val="0"/>
                    <w:spacing w:line="340" w:lineRule="exact"/>
                    <w:rPr>
                      <w:color w:val="000000"/>
                      <w:szCs w:val="21"/>
                    </w:rPr>
                  </w:pPr>
                  <w:r>
                    <w:rPr>
                      <w:rFonts w:hint="eastAsia"/>
                      <w:color w:val="000000"/>
                      <w:szCs w:val="21"/>
                    </w:rPr>
                    <w:t>皮肤接触：若有冻伤，就医治疗。</w:t>
                  </w:r>
                </w:p>
                <w:p>
                  <w:pPr>
                    <w:adjustRightInd w:val="0"/>
                    <w:snapToGrid w:val="0"/>
                    <w:spacing w:line="340" w:lineRule="exact"/>
                    <w:rPr>
                      <w:color w:val="000000"/>
                      <w:szCs w:val="21"/>
                    </w:rPr>
                  </w:pPr>
                  <w:r>
                    <w:rPr>
                      <w:rFonts w:hint="eastAsia"/>
                      <w:color w:val="000000"/>
                      <w:szCs w:val="21"/>
                    </w:rPr>
                    <w:t>吸入：迅速脱离现场至空气新鲜处。保持呼吸道通畅。如呼吸困难，给输氧。如呼吸停止，立即进行人工呼吸、就医。</w:t>
                  </w:r>
                </w:p>
                <w:p>
                  <w:pPr>
                    <w:adjustRightInd w:val="0"/>
                    <w:snapToGrid w:val="0"/>
                    <w:spacing w:line="340" w:lineRule="exact"/>
                    <w:rPr>
                      <w:color w:val="000000"/>
                      <w:szCs w:val="21"/>
                    </w:rPr>
                  </w:pPr>
                  <w:r>
                    <w:rPr>
                      <w:rFonts w:hint="eastAsia"/>
                      <w:color w:val="000000"/>
                      <w:szCs w:val="21"/>
                    </w:rPr>
                    <w:t>灭火方法：切断气源，若不能立即切断气源，则不允许熄灭正在燃烧的气体，喷水冷却容器，可能的话将容器从火场移至空旷处。灭火剂：雾状水、泡沫、二氧化碳。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1116" w:type="dxa"/>
                  <w:vAlign w:val="center"/>
                </w:tcPr>
                <w:p>
                  <w:pPr>
                    <w:adjustRightInd w:val="0"/>
                    <w:snapToGrid w:val="0"/>
                    <w:spacing w:line="340" w:lineRule="exact"/>
                    <w:jc w:val="center"/>
                    <w:rPr>
                      <w:rFonts w:ascii="宋体" w:cs="宋体"/>
                      <w:kern w:val="0"/>
                      <w:szCs w:val="21"/>
                    </w:rPr>
                  </w:pPr>
                  <w:r>
                    <w:rPr>
                      <w:rFonts w:hint="eastAsia" w:ascii="宋体" w:cs="宋体"/>
                      <w:kern w:val="0"/>
                      <w:szCs w:val="21"/>
                    </w:rPr>
                    <w:t>环境限值</w:t>
                  </w:r>
                </w:p>
              </w:tc>
              <w:tc>
                <w:tcPr>
                  <w:tcW w:w="7060" w:type="dxa"/>
                  <w:gridSpan w:val="4"/>
                  <w:vAlign w:val="center"/>
                </w:tcPr>
                <w:p>
                  <w:pPr>
                    <w:adjustRightInd w:val="0"/>
                    <w:snapToGrid w:val="0"/>
                    <w:spacing w:line="340" w:lineRule="exact"/>
                    <w:rPr>
                      <w:color w:val="000000"/>
                      <w:szCs w:val="21"/>
                    </w:rPr>
                  </w:pPr>
                  <w:r>
                    <w:rPr>
                      <w:rFonts w:hint="eastAsia"/>
                      <w:color w:val="000000"/>
                      <w:szCs w:val="21"/>
                    </w:rPr>
                    <w:t>职业接触限值：中国：PC-TWA（mg/m</w:t>
                  </w:r>
                  <w:r>
                    <w:rPr>
                      <w:rFonts w:hint="eastAsia"/>
                      <w:color w:val="000000"/>
                      <w:szCs w:val="21"/>
                      <w:vertAlign w:val="superscript"/>
                    </w:rPr>
                    <w:t>3</w:t>
                  </w:r>
                  <w:r>
                    <w:rPr>
                      <w:rFonts w:hint="eastAsia"/>
                      <w:color w:val="000000"/>
                      <w:szCs w:val="21"/>
                    </w:rPr>
                    <w:t>）：1000；PC-STEL（mg/m</w:t>
                  </w:r>
                  <w:r>
                    <w:rPr>
                      <w:rFonts w:hint="eastAsia"/>
                      <w:color w:val="000000"/>
                      <w:szCs w:val="21"/>
                      <w:vertAlign w:val="superscript"/>
                    </w:rPr>
                    <w:t>3</w:t>
                  </w:r>
                  <w:r>
                    <w:rPr>
                      <w:rFonts w:hint="eastAsia"/>
                      <w:color w:val="000000"/>
                      <w:szCs w:val="21"/>
                    </w:rPr>
                    <w:t>）：1500 美国（ACGIH）</w:t>
                  </w:r>
                </w:p>
                <w:p>
                  <w:pPr>
                    <w:adjustRightInd w:val="0"/>
                    <w:snapToGrid w:val="0"/>
                    <w:spacing w:line="340" w:lineRule="exact"/>
                    <w:rPr>
                      <w:color w:val="000000"/>
                      <w:szCs w:val="21"/>
                    </w:rPr>
                  </w:pPr>
                  <w:r>
                    <w:rPr>
                      <w:color w:val="000000"/>
                      <w:szCs w:val="21"/>
                    </w:rPr>
                    <w:t>TLV-TWA</w:t>
                  </w:r>
                  <w:r>
                    <w:rPr>
                      <w:rFonts w:hint="eastAsia"/>
                      <w:color w:val="000000"/>
                      <w:szCs w:val="21"/>
                    </w:rPr>
                    <w:t>：</w:t>
                  </w:r>
                  <w:r>
                    <w:rPr>
                      <w:color w:val="000000"/>
                      <w:szCs w:val="21"/>
                    </w:rPr>
                    <w:t>1000PPm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Align w:val="center"/>
                </w:tcPr>
                <w:p>
                  <w:pPr>
                    <w:adjustRightInd w:val="0"/>
                    <w:snapToGrid w:val="0"/>
                    <w:spacing w:line="340" w:lineRule="exact"/>
                    <w:jc w:val="center"/>
                    <w:rPr>
                      <w:rFonts w:ascii="宋体" w:cs="宋体"/>
                      <w:kern w:val="0"/>
                      <w:szCs w:val="21"/>
                    </w:rPr>
                  </w:pPr>
                  <w:r>
                    <w:rPr>
                      <w:rFonts w:hint="eastAsia" w:ascii="宋体" w:cs="宋体"/>
                      <w:kern w:val="0"/>
                      <w:szCs w:val="21"/>
                    </w:rPr>
                    <w:t>操作处置与储存</w:t>
                  </w:r>
                </w:p>
              </w:tc>
              <w:tc>
                <w:tcPr>
                  <w:tcW w:w="7060" w:type="dxa"/>
                  <w:gridSpan w:val="4"/>
                  <w:vAlign w:val="center"/>
                </w:tcPr>
                <w:p>
                  <w:pPr>
                    <w:adjustRightInd w:val="0"/>
                    <w:snapToGrid w:val="0"/>
                    <w:spacing w:line="340" w:lineRule="exact"/>
                    <w:jc w:val="left"/>
                    <w:rPr>
                      <w:color w:val="000000"/>
                      <w:szCs w:val="21"/>
                    </w:rPr>
                  </w:pPr>
                  <w:r>
                    <w:rPr>
                      <w:rFonts w:hint="eastAsia"/>
                      <w:color w:val="000000"/>
                      <w:szCs w:val="21"/>
                    </w:rPr>
                    <w:t>操作注意事项：密闭操作，全而通风；操作人员必须经过专门培训，严格遵守操作规程；远离火种、热源；工作场所严禁吸烟；使用防爆型的通风系统和设备；防止气体泄漏到工作场所空气中，避免与氧化剂、卤素接触；在传送过程中，钢瓶和容器必须经过接地和跨接，防止产生静电。搬运时轻装轻卸，防止钢瓶及附件破损；配备相应品种和数量的消防器材及泄漏应急处理设备。</w:t>
                  </w:r>
                </w:p>
                <w:p>
                  <w:pPr>
                    <w:adjustRightInd w:val="0"/>
                    <w:snapToGrid w:val="0"/>
                    <w:spacing w:line="340" w:lineRule="exact"/>
                    <w:rPr>
                      <w:color w:val="000000"/>
                      <w:szCs w:val="21"/>
                    </w:rPr>
                  </w:pPr>
                  <w:r>
                    <w:rPr>
                      <w:rFonts w:hint="eastAsia"/>
                      <w:color w:val="000000"/>
                      <w:szCs w:val="21"/>
                    </w:rPr>
                    <w:t>储存注意事项：储存于阴凉、通风的易燃气体专用库房。远离火种、热源；库温不宜超过30℃。应与氧化剂、卤素分开存放，切忌混储；采用防爆型照明、通风设施；禁止使用易产生火花的机械设备和工具；储区应备有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Align w:val="center"/>
                </w:tcPr>
                <w:p>
                  <w:pPr>
                    <w:adjustRightInd w:val="0"/>
                    <w:snapToGrid w:val="0"/>
                    <w:spacing w:line="340" w:lineRule="exact"/>
                    <w:rPr>
                      <w:rFonts w:ascii="宋体" w:cs="宋体"/>
                      <w:kern w:val="0"/>
                      <w:szCs w:val="21"/>
                    </w:rPr>
                  </w:pPr>
                  <w:r>
                    <w:rPr>
                      <w:rFonts w:hint="eastAsia" w:ascii="宋体" w:cs="宋体"/>
                      <w:kern w:val="0"/>
                      <w:szCs w:val="21"/>
                    </w:rPr>
                    <w:t>运输信息</w:t>
                  </w:r>
                </w:p>
              </w:tc>
              <w:tc>
                <w:tcPr>
                  <w:tcW w:w="7060" w:type="dxa"/>
                  <w:gridSpan w:val="4"/>
                  <w:vAlign w:val="center"/>
                </w:tcPr>
                <w:p>
                  <w:pPr>
                    <w:adjustRightInd w:val="0"/>
                    <w:snapToGrid w:val="0"/>
                    <w:spacing w:line="340" w:lineRule="exact"/>
                    <w:rPr>
                      <w:color w:val="000000"/>
                      <w:szCs w:val="21"/>
                    </w:rPr>
                  </w:pPr>
                  <w:r>
                    <w:rPr>
                      <w:rFonts w:hint="eastAsia"/>
                      <w:color w:val="000000"/>
                      <w:szCs w:val="21"/>
                    </w:rPr>
                    <w:t>运输注意事项：木品铁路运输时限使用耐压液化气企业自备罐车装运，装运前需报有关部门批准；装有液化石油气的气瓶禁止铁路运输口采用钢瓶运输时必须戴好钢瓶上的安全帽；钢瓶一般平放，并应将瓶口朝同一力一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等混装混运。夏季应早晚运输，防止日光暴晒；中途停留时应远离火种、热源；公路运输时要按规定路线行驶，勿在居民区和人口稠密区停留口铁路运输时要禁止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6" w:type="dxa"/>
                  <w:vAlign w:val="center"/>
                </w:tcPr>
                <w:p>
                  <w:pPr>
                    <w:adjustRightInd w:val="0"/>
                    <w:snapToGrid w:val="0"/>
                    <w:spacing w:line="340" w:lineRule="exact"/>
                    <w:rPr>
                      <w:rFonts w:ascii="宋体" w:cs="宋体"/>
                      <w:kern w:val="0"/>
                      <w:szCs w:val="21"/>
                    </w:rPr>
                  </w:pPr>
                  <w:r>
                    <w:rPr>
                      <w:rFonts w:hint="eastAsia" w:ascii="宋体" w:cs="宋体"/>
                      <w:kern w:val="0"/>
                      <w:szCs w:val="21"/>
                    </w:rPr>
                    <w:t>包装标志</w:t>
                  </w:r>
                </w:p>
              </w:tc>
              <w:tc>
                <w:tcPr>
                  <w:tcW w:w="7060" w:type="dxa"/>
                  <w:gridSpan w:val="4"/>
                  <w:vAlign w:val="center"/>
                </w:tcPr>
                <w:p>
                  <w:pPr>
                    <w:adjustRightInd w:val="0"/>
                    <w:snapToGrid w:val="0"/>
                    <w:spacing w:line="340" w:lineRule="exact"/>
                    <w:rPr>
                      <w:color w:val="000000"/>
                      <w:szCs w:val="21"/>
                    </w:rPr>
                  </w:pPr>
                  <w:r>
                    <w:rPr>
                      <w:rFonts w:hint="eastAsia" w:ascii="宋体" w:cs="宋体"/>
                      <w:kern w:val="0"/>
                      <w:szCs w:val="21"/>
                    </w:rPr>
                    <w:t>易燃液体，有毒气体。</w:t>
                  </w:r>
                </w:p>
              </w:tc>
            </w:tr>
          </w:tbl>
          <w:p>
            <w:pPr>
              <w:adjustRightInd w:val="0"/>
              <w:snapToGrid w:val="0"/>
              <w:spacing w:line="360" w:lineRule="auto"/>
              <w:ind w:firstLine="480" w:firstLineChars="200"/>
              <w:rPr>
                <w:color w:val="000000"/>
                <w:sz w:val="24"/>
              </w:rPr>
            </w:pPr>
            <w:r>
              <w:rPr>
                <w:rFonts w:hint="eastAsia" w:cs="宋体"/>
                <w:color w:val="000000"/>
                <w:sz w:val="24"/>
              </w:rPr>
              <w:t>7.3风险事故影响分析</w:t>
            </w:r>
          </w:p>
          <w:p>
            <w:pPr>
              <w:adjustRightInd w:val="0"/>
              <w:snapToGrid w:val="0"/>
              <w:spacing w:line="360" w:lineRule="auto"/>
              <w:ind w:firstLine="480" w:firstLineChars="200"/>
              <w:rPr>
                <w:color w:val="000000"/>
                <w:sz w:val="24"/>
              </w:rPr>
            </w:pPr>
            <w:r>
              <w:rPr>
                <w:rFonts w:hint="eastAsia" w:ascii="宋体" w:hAnsi="宋体"/>
                <w:color w:val="000000"/>
                <w:sz w:val="24"/>
              </w:rPr>
              <w:t>①</w:t>
            </w:r>
            <w:r>
              <w:rPr>
                <w:rFonts w:hint="eastAsia"/>
                <w:color w:val="000000"/>
                <w:sz w:val="24"/>
              </w:rPr>
              <w:t>泄漏液化石油气对人群健康危害影响</w:t>
            </w:r>
          </w:p>
          <w:p>
            <w:pPr>
              <w:adjustRightInd w:val="0"/>
              <w:snapToGrid w:val="0"/>
              <w:spacing w:line="360" w:lineRule="auto"/>
              <w:ind w:firstLine="480" w:firstLineChars="200"/>
              <w:rPr>
                <w:sz w:val="24"/>
              </w:rPr>
            </w:pPr>
            <w:r>
              <w:rPr>
                <w:rFonts w:hint="eastAsia"/>
                <w:sz w:val="24"/>
              </w:rPr>
              <w:t>液化石油气泄漏事故对大气环境造成的影响较大，液化石油气的主要成份是丙烷、丙烯、丁烷、丁烯的混合物，对大气环境造成污染的主要是其中较轻的烃类组份，这些成份挥发进入大气形成烃类污染。若泄漏得不到及时处理，则烃类挥发时间持续较长，形成的污染就较严重。由于液化石油气极易燃，与空气混合能形成爆炸性混合物，遇热源和明火有燃烧爆炸的危险。且液化石油气一旦发生泄漏，极易气化，周围降温，并结冰成霜，若接触人体，会造成冻伤。</w:t>
            </w:r>
          </w:p>
          <w:p>
            <w:pPr>
              <w:adjustRightInd w:val="0"/>
              <w:snapToGrid w:val="0"/>
              <w:spacing w:line="360" w:lineRule="auto"/>
              <w:ind w:firstLine="480" w:firstLineChars="200"/>
              <w:rPr>
                <w:sz w:val="24"/>
              </w:rPr>
            </w:pPr>
            <w:r>
              <w:rPr>
                <w:rFonts w:hint="eastAsia"/>
                <w:sz w:val="24"/>
              </w:rPr>
              <w:t>假设1个储罐发生泄漏，裂口面积为A =0.0000785m</w:t>
            </w:r>
            <w:r>
              <w:rPr>
                <w:rFonts w:hint="eastAsia"/>
                <w:sz w:val="24"/>
                <w:vertAlign w:val="superscript"/>
              </w:rPr>
              <w:t>2</w:t>
            </w:r>
            <w:r>
              <w:rPr>
                <w:rFonts w:hint="eastAsia"/>
                <w:sz w:val="24"/>
              </w:rPr>
              <w:t>，堵漏（或倒灌）时间为10min，采用环境风险评价系统软件进行计算，液体泄漏速率约为：0.4031 kg/s，则10min泄漏量：M＝10×60×0.4031=241.8kg。事故发生最直接的影响是造成人员中毒、伤亡以及财产损失，此外对区域环境也会造成较为严重的影响。液化石油气事故泄漏，烃类气体将直接进入大气环境，造成大气环境的污染。一旦发生火灾、爆炸，其燃烧过程中有毒有害气体和燃烧烟尘、颗粒物对区域的大气环境会造成不利影响，导致区域环境空气质量下降，且短时间内不易恢复。因此，应该加强储罐区的管理，做好防范措施，降低储罐区发生泄露的概率。</w:t>
            </w:r>
          </w:p>
          <w:p>
            <w:pPr>
              <w:snapToGrid w:val="0"/>
              <w:spacing w:line="360" w:lineRule="auto"/>
              <w:ind w:firstLine="480" w:firstLineChars="200"/>
              <w:rPr>
                <w:color w:val="000000"/>
                <w:sz w:val="24"/>
              </w:rPr>
            </w:pPr>
            <w:r>
              <w:rPr>
                <w:rFonts w:hint="eastAsia" w:ascii="宋体" w:hAnsi="宋体"/>
                <w:color w:val="000000"/>
                <w:sz w:val="24"/>
              </w:rPr>
              <w:t>②</w:t>
            </w:r>
            <w:r>
              <w:rPr>
                <w:rFonts w:hint="eastAsia"/>
                <w:color w:val="000000"/>
                <w:sz w:val="24"/>
              </w:rPr>
              <w:t>次生污染物对环境影响</w:t>
            </w:r>
          </w:p>
          <w:p>
            <w:pPr>
              <w:adjustRightInd w:val="0"/>
              <w:snapToGrid w:val="0"/>
              <w:spacing w:line="360" w:lineRule="auto"/>
              <w:ind w:firstLine="480" w:firstLineChars="200"/>
              <w:rPr>
                <w:color w:val="000000"/>
                <w:sz w:val="24"/>
              </w:rPr>
            </w:pPr>
            <w:r>
              <w:rPr>
                <w:rFonts w:hint="eastAsia"/>
                <w:color w:val="000000"/>
                <w:sz w:val="24"/>
              </w:rPr>
              <w:t>在事故状态下，若发生火灾或者爆炸事故，液化石油气燃烧产生的污染物主要是二氧化碳、水，仅在事故刚发生时有少量的丙烷、丙烯及丁烷等释放，且很快扩散，对环境空气产生的影响较小。</w:t>
            </w:r>
          </w:p>
          <w:p>
            <w:pPr>
              <w:adjustRightInd w:val="0"/>
              <w:snapToGrid w:val="0"/>
              <w:spacing w:line="360" w:lineRule="auto"/>
              <w:ind w:firstLine="480" w:firstLineChars="200"/>
              <w:rPr>
                <w:color w:val="000000"/>
                <w:sz w:val="24"/>
              </w:rPr>
            </w:pPr>
            <w:r>
              <w:rPr>
                <w:rFonts w:hint="eastAsia"/>
                <w:color w:val="000000"/>
                <w:sz w:val="24"/>
              </w:rPr>
              <w:t>当项目发生火灾时，立即用干粉灭火器（主要是含磷酸铵盐）灭火。磷酸铵盐无毒、无害、不溶于水。因此，项目灭火后可将磷酸铵盐清扫收集用作绿化肥料。</w:t>
            </w:r>
          </w:p>
          <w:p>
            <w:pPr>
              <w:snapToGrid w:val="0"/>
              <w:spacing w:line="360" w:lineRule="auto"/>
              <w:ind w:firstLine="480" w:firstLineChars="200"/>
              <w:rPr>
                <w:color w:val="000000"/>
                <w:sz w:val="24"/>
              </w:rPr>
            </w:pPr>
            <w:r>
              <w:rPr>
                <w:rFonts w:hint="eastAsia" w:ascii="宋体" w:hAnsi="宋体"/>
                <w:color w:val="000000"/>
                <w:sz w:val="24"/>
              </w:rPr>
              <w:t>③</w:t>
            </w:r>
            <w:r>
              <w:rPr>
                <w:rFonts w:hint="eastAsia"/>
                <w:color w:val="000000"/>
                <w:sz w:val="24"/>
              </w:rPr>
              <w:t>对环境敏感点的影响分析</w:t>
            </w:r>
          </w:p>
          <w:p>
            <w:pPr>
              <w:snapToGrid w:val="0"/>
              <w:spacing w:line="360" w:lineRule="auto"/>
              <w:ind w:firstLine="480" w:firstLineChars="200"/>
              <w:rPr>
                <w:color w:val="000000"/>
                <w:sz w:val="24"/>
              </w:rPr>
            </w:pPr>
            <w:r>
              <w:rPr>
                <w:rFonts w:hint="eastAsia"/>
                <w:color w:val="000000"/>
                <w:sz w:val="24"/>
              </w:rPr>
              <w:t>项目液化石油气事故状态下，通过采取相应的风险防范措施和建立突发事故应急预案后，发生事故的概率较低，事故的影响也能降至可接受水平。</w:t>
            </w:r>
          </w:p>
          <w:p>
            <w:pPr>
              <w:adjustRightInd w:val="0"/>
              <w:snapToGrid w:val="0"/>
              <w:spacing w:line="360" w:lineRule="auto"/>
              <w:ind w:firstLine="480" w:firstLineChars="200"/>
              <w:rPr>
                <w:color w:val="000000"/>
                <w:sz w:val="24"/>
              </w:rPr>
            </w:pPr>
            <w:r>
              <w:rPr>
                <w:rFonts w:hint="eastAsia"/>
                <w:color w:val="000000"/>
                <w:sz w:val="24"/>
              </w:rPr>
              <w:t>7.4环境风险防范措施</w:t>
            </w:r>
          </w:p>
          <w:p>
            <w:pPr>
              <w:widowControl/>
              <w:adjustRightInd w:val="0"/>
              <w:snapToGrid w:val="0"/>
              <w:spacing w:line="360" w:lineRule="auto"/>
              <w:ind w:firstLine="480" w:firstLineChars="200"/>
              <w:rPr>
                <w:color w:val="000000"/>
                <w:sz w:val="24"/>
              </w:rPr>
            </w:pPr>
            <w:r>
              <w:rPr>
                <w:rFonts w:hint="eastAsia"/>
                <w:color w:val="000000"/>
                <w:sz w:val="24"/>
              </w:rPr>
              <w:t>7.4.1风险防范措施</w:t>
            </w:r>
          </w:p>
          <w:p>
            <w:pPr>
              <w:widowControl/>
              <w:adjustRightInd w:val="0"/>
              <w:snapToGrid w:val="0"/>
              <w:spacing w:line="360" w:lineRule="auto"/>
              <w:ind w:firstLine="480" w:firstLineChars="200"/>
              <w:rPr>
                <w:color w:val="000000"/>
                <w:sz w:val="24"/>
              </w:rPr>
            </w:pPr>
            <w:r>
              <w:rPr>
                <w:rFonts w:hint="eastAsia"/>
                <w:color w:val="000000"/>
                <w:sz w:val="24"/>
              </w:rPr>
              <w:t>为了有效地防范石油气火灾和爆炸事故的发生，站场应制定事故应急手册，职工还需要对石油气火灾和消除火灾的措施及消防器材的使用等知识加以了解和掌握。</w:t>
            </w:r>
          </w:p>
          <w:p>
            <w:pPr>
              <w:widowControl/>
              <w:adjustRightInd w:val="0"/>
              <w:snapToGrid w:val="0"/>
              <w:spacing w:line="360" w:lineRule="auto"/>
              <w:ind w:firstLine="480" w:firstLineChars="200"/>
              <w:rPr>
                <w:sz w:val="24"/>
              </w:rPr>
            </w:pPr>
            <w:r>
              <w:rPr>
                <w:rFonts w:hint="eastAsia"/>
                <w:sz w:val="24"/>
              </w:rPr>
              <w:t>（1）选址、总图布置防范措施</w:t>
            </w:r>
          </w:p>
          <w:p>
            <w:pPr>
              <w:widowControl/>
              <w:adjustRightInd w:val="0"/>
              <w:snapToGrid w:val="0"/>
              <w:spacing w:line="360" w:lineRule="auto"/>
              <w:ind w:firstLine="480" w:firstLineChars="200"/>
              <w:rPr>
                <w:sz w:val="24"/>
              </w:rPr>
            </w:pPr>
            <w:r>
              <w:rPr>
                <w:rFonts w:hint="eastAsia"/>
                <w:sz w:val="24"/>
              </w:rPr>
              <w:t>厂区平面布置时，充分考虑具有火灾和爆炸危险性建筑的安全布局。满足防火、防爆规定，保证各建筑物间的足够距离和消防通道，实现生产运行、防火安全与工业卫生的协调。</w:t>
            </w:r>
          </w:p>
          <w:p>
            <w:pPr>
              <w:widowControl/>
              <w:adjustRightInd w:val="0"/>
              <w:snapToGrid w:val="0"/>
              <w:spacing w:line="360" w:lineRule="auto"/>
              <w:ind w:firstLine="480" w:firstLineChars="200"/>
              <w:rPr>
                <w:sz w:val="24"/>
              </w:rPr>
            </w:pPr>
            <w:r>
              <w:rPr>
                <w:sz w:val="24"/>
              </w:rPr>
              <w:t>（</w:t>
            </w:r>
            <w:r>
              <w:rPr>
                <w:rFonts w:hint="eastAsia"/>
                <w:sz w:val="24"/>
              </w:rPr>
              <w:t>2</w:t>
            </w:r>
            <w:r>
              <w:rPr>
                <w:sz w:val="24"/>
              </w:rPr>
              <w:t>）工程设计配备的安全对策、措施</w:t>
            </w:r>
          </w:p>
          <w:p>
            <w:pPr>
              <w:widowControl/>
              <w:adjustRightInd w:val="0"/>
              <w:snapToGrid w:val="0"/>
              <w:spacing w:line="360" w:lineRule="auto"/>
              <w:ind w:firstLine="480" w:firstLineChars="200"/>
              <w:rPr>
                <w:rFonts w:ascii="宋体" w:cs="宋体"/>
                <w:kern w:val="0"/>
                <w:sz w:val="24"/>
              </w:rPr>
            </w:pPr>
            <w:r>
              <w:rPr>
                <w:rFonts w:hint="eastAsia" w:ascii="宋体" w:hAnsi="宋体"/>
                <w:sz w:val="24"/>
              </w:rPr>
              <w:t>①</w:t>
            </w:r>
            <w:r>
              <w:rPr>
                <w:rFonts w:hint="eastAsia"/>
                <w:sz w:val="24"/>
              </w:rPr>
              <w:t>设置预防事故设施：检测、报警设施如设置可燃气体报警仪，站区设置防雷和静电接地设施，电器过载保护设施，配备一定的防爆工具，设置防噪音设施，站区设置安</w:t>
            </w:r>
            <w:r>
              <w:rPr>
                <w:rFonts w:hint="eastAsia" w:ascii="宋体" w:cs="宋体"/>
                <w:kern w:val="0"/>
                <w:sz w:val="24"/>
              </w:rPr>
              <w:t>全警示标志等。</w:t>
            </w:r>
          </w:p>
          <w:p>
            <w:pPr>
              <w:widowControl/>
              <w:adjustRightInd w:val="0"/>
              <w:snapToGrid w:val="0"/>
              <w:spacing w:line="360" w:lineRule="auto"/>
              <w:ind w:firstLine="480" w:firstLineChars="200"/>
              <w:rPr>
                <w:rFonts w:ascii="宋体" w:cs="宋体"/>
                <w:kern w:val="0"/>
                <w:sz w:val="24"/>
              </w:rPr>
            </w:pPr>
            <w:r>
              <w:rPr>
                <w:rFonts w:hint="eastAsia" w:ascii="宋体" w:hAnsi="宋体" w:cs="宋体"/>
                <w:kern w:val="0"/>
                <w:sz w:val="24"/>
              </w:rPr>
              <w:t>②</w:t>
            </w:r>
            <w:r>
              <w:rPr>
                <w:rFonts w:hint="eastAsia" w:ascii="宋体" w:cs="宋体"/>
                <w:kern w:val="0"/>
                <w:sz w:val="24"/>
              </w:rPr>
              <w:t>设置控制事故设施如安全阀、紧急备用电源设施、紧急停车设施等。</w:t>
            </w:r>
          </w:p>
          <w:p>
            <w:pPr>
              <w:widowControl/>
              <w:adjustRightInd w:val="0"/>
              <w:snapToGrid w:val="0"/>
              <w:spacing w:line="360" w:lineRule="auto"/>
              <w:ind w:firstLine="480" w:firstLineChars="200"/>
              <w:rPr>
                <w:rFonts w:ascii="宋体" w:cs="宋体"/>
                <w:kern w:val="0"/>
                <w:sz w:val="24"/>
              </w:rPr>
            </w:pPr>
            <w:r>
              <w:rPr>
                <w:rFonts w:hint="eastAsia" w:ascii="宋体" w:hAnsi="宋体" w:cs="宋体"/>
                <w:kern w:val="0"/>
                <w:sz w:val="24"/>
              </w:rPr>
              <w:t>③</w:t>
            </w:r>
            <w:r>
              <w:rPr>
                <w:rFonts w:hint="eastAsia" w:ascii="宋体" w:cs="宋体"/>
                <w:kern w:val="0"/>
                <w:sz w:val="24"/>
              </w:rPr>
              <w:t>设置减少与消除事故影响设施如设置防爆墙，涂刷防火涂料，设置灭火设施，配备一定种类和数量的药品及医疗器械，员工配备劳动防护用品及装备等。</w:t>
            </w:r>
          </w:p>
          <w:p>
            <w:pPr>
              <w:widowControl/>
              <w:adjustRightInd w:val="0"/>
              <w:snapToGrid w:val="0"/>
              <w:spacing w:line="360" w:lineRule="auto"/>
              <w:ind w:firstLine="480" w:firstLineChars="200"/>
              <w:rPr>
                <w:rFonts w:ascii="宋体" w:cs="宋体"/>
                <w:kern w:val="0"/>
                <w:sz w:val="24"/>
              </w:rPr>
            </w:pPr>
            <w:r>
              <w:rPr>
                <w:rFonts w:hint="eastAsia" w:ascii="宋体" w:hAnsi="宋体" w:cs="宋体"/>
                <w:kern w:val="0"/>
                <w:sz w:val="24"/>
              </w:rPr>
              <w:t>④</w:t>
            </w:r>
            <w:r>
              <w:rPr>
                <w:rFonts w:hint="eastAsia" w:ascii="宋体" w:cs="宋体"/>
                <w:kern w:val="0"/>
                <w:sz w:val="24"/>
              </w:rPr>
              <w:t>严格按照有关法规及规范选址，防火间距必须满足规范的有关要求；</w:t>
            </w:r>
          </w:p>
          <w:p>
            <w:pPr>
              <w:widowControl/>
              <w:adjustRightInd w:val="0"/>
              <w:snapToGrid w:val="0"/>
              <w:spacing w:line="360" w:lineRule="auto"/>
              <w:ind w:firstLine="480" w:firstLineChars="200"/>
              <w:rPr>
                <w:rFonts w:ascii="宋体" w:cs="宋体"/>
                <w:kern w:val="0"/>
                <w:sz w:val="24"/>
              </w:rPr>
            </w:pPr>
            <w:r>
              <w:rPr>
                <w:rFonts w:hint="eastAsia" w:ascii="宋体" w:hAnsi="宋体" w:cs="宋体"/>
                <w:kern w:val="0"/>
                <w:sz w:val="24"/>
              </w:rPr>
              <w:t>⑤</w:t>
            </w:r>
            <w:r>
              <w:rPr>
                <w:rFonts w:hint="eastAsia" w:ascii="宋体" w:cs="宋体"/>
                <w:kern w:val="0"/>
                <w:sz w:val="24"/>
              </w:rPr>
              <w:t>为减轻储罐腐蚀，采取环氧粉末涂层防腐结构，外加电流阴极保护；</w:t>
            </w:r>
          </w:p>
          <w:p>
            <w:pPr>
              <w:widowControl/>
              <w:adjustRightInd w:val="0"/>
              <w:snapToGrid w:val="0"/>
              <w:spacing w:line="360" w:lineRule="auto"/>
              <w:ind w:firstLine="480" w:firstLineChars="200"/>
              <w:rPr>
                <w:sz w:val="24"/>
              </w:rPr>
            </w:pPr>
            <w:r>
              <w:rPr>
                <w:rFonts w:hint="eastAsia" w:ascii="宋体" w:hAnsi="宋体"/>
                <w:sz w:val="24"/>
              </w:rPr>
              <w:t>⑥</w:t>
            </w:r>
            <w:r>
              <w:rPr>
                <w:rFonts w:hint="eastAsia"/>
                <w:sz w:val="24"/>
              </w:rPr>
              <w:t>储罐区设置导排沟，让事故废水进入应急水池中，保证发生火灾、爆炸事故时产生的消防废水能全部进入事故池，避免事故废水外排。</w:t>
            </w:r>
          </w:p>
          <w:p>
            <w:pPr>
              <w:widowControl/>
              <w:adjustRightInd w:val="0"/>
              <w:snapToGrid w:val="0"/>
              <w:spacing w:line="360" w:lineRule="auto"/>
              <w:ind w:firstLine="480" w:firstLineChars="200"/>
              <w:rPr>
                <w:sz w:val="24"/>
              </w:rPr>
            </w:pPr>
            <w:r>
              <w:rPr>
                <w:rFonts w:hint="eastAsia" w:ascii="宋体" w:hAnsi="宋体"/>
                <w:sz w:val="24"/>
              </w:rPr>
              <w:t>⑦</w:t>
            </w:r>
            <w:r>
              <w:rPr>
                <w:rFonts w:hint="eastAsia"/>
                <w:sz w:val="24"/>
              </w:rPr>
              <w:t>安全管理措施</w:t>
            </w:r>
          </w:p>
          <w:p>
            <w:pPr>
              <w:widowControl/>
              <w:adjustRightInd w:val="0"/>
              <w:snapToGrid w:val="0"/>
              <w:spacing w:line="360" w:lineRule="auto"/>
              <w:ind w:firstLine="480" w:firstLineChars="200"/>
              <w:rPr>
                <w:sz w:val="24"/>
              </w:rPr>
            </w:pPr>
            <w:r>
              <w:rPr>
                <w:rFonts w:hint="eastAsia"/>
                <w:sz w:val="24"/>
              </w:rPr>
              <w:t>严格按照国家有关法律法规和标准规范进行施工、监理和验收。设置专职安全员具体负责安全工作。牢固树立安全第一、预防为主、综合治理的思想；根据所采购的设备的技术条件，制定各种符合实际的操作规程，并保证严格、熟练按照操作规程操作。组织职工义务消防队，定期进行消防训练。使每个职工都会使用消防器材，这对扑灭初期火灾具有重要作用；结合本站实际按照《危险化学品事故应急救援预案编制导则》制定重大危险源管理控制措施和重大事故紧急救援预案，包括组织机构、职责分工，灭火人员急救、安全疏散、社会支援等主要内容，并组织职工进行演练；加强站区现场管理，实行定置管理，保持地面干净整齐、无杂物、污水，安全消防通道畅通，严防物料、杂品乱堆乱放。加强站区设备、设施、电气的维修，使其经常处于良好状态；建立健全安全管理制度，制定各种人员的安全责任制。</w:t>
            </w:r>
          </w:p>
          <w:p>
            <w:pPr>
              <w:widowControl/>
              <w:adjustRightInd w:val="0"/>
              <w:snapToGrid w:val="0"/>
              <w:spacing w:line="360" w:lineRule="auto"/>
              <w:ind w:firstLine="480" w:firstLineChars="200"/>
              <w:rPr>
                <w:sz w:val="24"/>
              </w:rPr>
            </w:pPr>
            <w:r>
              <w:rPr>
                <w:rFonts w:hint="eastAsia"/>
                <w:sz w:val="24"/>
              </w:rPr>
              <w:t>（3）事故防范措施</w:t>
            </w:r>
          </w:p>
          <w:p>
            <w:pPr>
              <w:widowControl/>
              <w:adjustRightInd w:val="0"/>
              <w:snapToGrid w:val="0"/>
              <w:spacing w:line="360" w:lineRule="auto"/>
              <w:ind w:firstLine="480" w:firstLineChars="200"/>
              <w:rPr>
                <w:rFonts w:ascii="宋体" w:hAnsi="宋体" w:cs="TimesNewRomanPSMT"/>
                <w:kern w:val="0"/>
                <w:sz w:val="24"/>
              </w:rPr>
            </w:pPr>
            <w:r>
              <w:rPr>
                <w:rFonts w:hint="eastAsia" w:ascii="宋体" w:hAnsi="宋体" w:cs="TimesNewRomanPSMT"/>
                <w:kern w:val="0"/>
                <w:sz w:val="24"/>
              </w:rPr>
              <w:t>①</w:t>
            </w:r>
            <w:r>
              <w:rPr>
                <w:rFonts w:hint="eastAsia"/>
                <w:sz w:val="24"/>
              </w:rPr>
              <w:t>泄露的液化石油气遇明火引起爆炸或火灾，在用水进行灭火时，会产生消防废水。项目站区设置1个20m</w:t>
            </w:r>
            <w:r>
              <w:rPr>
                <w:rFonts w:hint="eastAsia"/>
                <w:sz w:val="24"/>
                <w:vertAlign w:val="superscript"/>
              </w:rPr>
              <w:t>3</w:t>
            </w:r>
            <w:r>
              <w:rPr>
                <w:rFonts w:hint="eastAsia"/>
                <w:sz w:val="24"/>
              </w:rPr>
              <w:t>的消防水池，并配套建设1个10m</w:t>
            </w:r>
            <w:r>
              <w:rPr>
                <w:rFonts w:hint="eastAsia"/>
                <w:sz w:val="24"/>
                <w:vertAlign w:val="superscript"/>
              </w:rPr>
              <w:t>3</w:t>
            </w:r>
            <w:r>
              <w:rPr>
                <w:rFonts w:hint="eastAsia"/>
                <w:sz w:val="24"/>
              </w:rPr>
              <w:t>的事故应急池。</w:t>
            </w:r>
          </w:p>
          <w:p>
            <w:pPr>
              <w:widowControl/>
              <w:adjustRightInd w:val="0"/>
              <w:snapToGrid w:val="0"/>
              <w:spacing w:line="360" w:lineRule="auto"/>
              <w:ind w:firstLine="480" w:firstLineChars="200"/>
              <w:rPr>
                <w:sz w:val="24"/>
              </w:rPr>
            </w:pPr>
            <w:r>
              <w:rPr>
                <w:rFonts w:hint="eastAsia" w:ascii="宋体" w:hAnsi="宋体"/>
                <w:sz w:val="24"/>
              </w:rPr>
              <w:t>②</w:t>
            </w:r>
            <w:r>
              <w:rPr>
                <w:rFonts w:hint="eastAsia"/>
                <w:sz w:val="24"/>
              </w:rPr>
              <w:t>设置过流保护及紧急切断装置，进一步提高工艺管线及阀门质量，并加强其日常维护保养。</w:t>
            </w:r>
          </w:p>
          <w:p>
            <w:pPr>
              <w:widowControl/>
              <w:adjustRightInd w:val="0"/>
              <w:snapToGrid w:val="0"/>
              <w:spacing w:line="360" w:lineRule="auto"/>
              <w:ind w:firstLine="480" w:firstLineChars="200"/>
              <w:rPr>
                <w:sz w:val="24"/>
              </w:rPr>
            </w:pPr>
            <w:r>
              <w:rPr>
                <w:rFonts w:hint="eastAsia" w:ascii="宋体" w:hAnsi="宋体"/>
                <w:sz w:val="24"/>
              </w:rPr>
              <w:t>③</w:t>
            </w:r>
            <w:r>
              <w:rPr>
                <w:rFonts w:hint="eastAsia"/>
                <w:sz w:val="24"/>
              </w:rPr>
              <w:t>做好用气设备和钢瓶的维修检验工作；</w:t>
            </w:r>
          </w:p>
          <w:p>
            <w:pPr>
              <w:widowControl/>
              <w:adjustRightInd w:val="0"/>
              <w:snapToGrid w:val="0"/>
              <w:spacing w:line="360" w:lineRule="auto"/>
              <w:ind w:firstLine="480" w:firstLineChars="200"/>
              <w:rPr>
                <w:sz w:val="24"/>
              </w:rPr>
            </w:pPr>
            <w:r>
              <w:rPr>
                <w:rFonts w:hint="eastAsia" w:ascii="宋体" w:hAnsi="宋体"/>
                <w:sz w:val="24"/>
              </w:rPr>
              <w:t>④</w:t>
            </w:r>
            <w:r>
              <w:rPr>
                <w:rFonts w:hint="eastAsia"/>
                <w:sz w:val="24"/>
              </w:rPr>
              <w:t>配置消防器材、加强防爆电气设备的日常巡视和检查工作；</w:t>
            </w:r>
          </w:p>
          <w:p>
            <w:pPr>
              <w:widowControl/>
              <w:adjustRightInd w:val="0"/>
              <w:snapToGrid w:val="0"/>
              <w:spacing w:line="360" w:lineRule="auto"/>
              <w:ind w:firstLine="480" w:firstLineChars="200"/>
              <w:rPr>
                <w:sz w:val="24"/>
              </w:rPr>
            </w:pPr>
            <w:r>
              <w:rPr>
                <w:rFonts w:hint="eastAsia" w:ascii="宋体" w:hAnsi="宋体"/>
                <w:sz w:val="24"/>
              </w:rPr>
              <w:t>⑤</w:t>
            </w:r>
            <w:r>
              <w:rPr>
                <w:rFonts w:hint="eastAsia"/>
                <w:sz w:val="24"/>
              </w:rPr>
              <w:t>装有石油液化气的气罐，严禁运输距离超过50公里；罐内气体相互接触可引起燃烧、爆炸、产生毒物的气瓶，不得同车（厢）运输；易燃、易爆、腐蚀性物品或与罐内气体起化学反应的物品，不得与气罐一起运输；</w:t>
            </w:r>
          </w:p>
          <w:p>
            <w:pPr>
              <w:widowControl/>
              <w:adjustRightInd w:val="0"/>
              <w:snapToGrid w:val="0"/>
              <w:spacing w:line="360" w:lineRule="auto"/>
              <w:ind w:firstLine="480" w:firstLineChars="200"/>
              <w:rPr>
                <w:sz w:val="24"/>
              </w:rPr>
            </w:pPr>
            <w:r>
              <w:rPr>
                <w:rFonts w:hint="eastAsia" w:ascii="宋体" w:hAnsi="宋体"/>
                <w:sz w:val="24"/>
              </w:rPr>
              <w:t>⑥</w:t>
            </w:r>
            <w:r>
              <w:rPr>
                <w:rFonts w:hint="eastAsia"/>
                <w:sz w:val="24"/>
              </w:rPr>
              <w:t>应保证有减轻事故危害与确保现场人员有足够的抢救或撤离时间等方面的技术措施；</w:t>
            </w:r>
          </w:p>
          <w:p>
            <w:pPr>
              <w:widowControl/>
              <w:adjustRightInd w:val="0"/>
              <w:snapToGrid w:val="0"/>
              <w:spacing w:line="360" w:lineRule="auto"/>
              <w:ind w:firstLine="480" w:firstLineChars="200"/>
              <w:rPr>
                <w:sz w:val="24"/>
              </w:rPr>
            </w:pPr>
            <w:r>
              <w:rPr>
                <w:rFonts w:hint="eastAsia" w:ascii="宋体" w:hAnsi="宋体"/>
                <w:sz w:val="24"/>
              </w:rPr>
              <w:t>⑦</w:t>
            </w:r>
            <w:r>
              <w:rPr>
                <w:rFonts w:hint="eastAsia"/>
                <w:sz w:val="24"/>
              </w:rPr>
              <w:t>定期检查储罐区事故池及导排沟的完好性，并定期清理导排沟，避免导排沟出现堵塞现象，保证发生事故时消防废水能全部进入事故池。</w:t>
            </w:r>
          </w:p>
          <w:p>
            <w:pPr>
              <w:widowControl/>
              <w:adjustRightInd w:val="0"/>
              <w:snapToGrid w:val="0"/>
              <w:spacing w:line="360" w:lineRule="auto"/>
              <w:ind w:firstLine="480" w:firstLineChars="200"/>
              <w:rPr>
                <w:sz w:val="24"/>
              </w:rPr>
            </w:pPr>
            <w:r>
              <w:rPr>
                <w:rFonts w:hint="eastAsia"/>
                <w:sz w:val="24"/>
              </w:rPr>
              <w:t>（4）运输过程中的防范措施</w:t>
            </w:r>
          </w:p>
          <w:p>
            <w:pPr>
              <w:widowControl/>
              <w:adjustRightInd w:val="0"/>
              <w:snapToGrid w:val="0"/>
              <w:spacing w:line="360" w:lineRule="auto"/>
              <w:ind w:firstLine="480" w:firstLineChars="200"/>
              <w:rPr>
                <w:sz w:val="24"/>
              </w:rPr>
            </w:pPr>
            <w:r>
              <w:rPr>
                <w:rFonts w:hint="eastAsia"/>
                <w:sz w:val="24"/>
              </w:rPr>
              <w:t>本项目原料的运输都由第三方有资质的单位进行危化品运输。液化石油气属于危险化学品，在钢瓶运输过程中，需特别关注其运输过程中的风险防范。一旦运输过程中发生事故，将对周边水体产生影响，运输道路根据《集中式饮用水水源环境保护指南（试行）》（2012 年3月），应在钢瓶运输车辆运输过程中采取以下防范措施：</w:t>
            </w:r>
          </w:p>
          <w:p>
            <w:pPr>
              <w:widowControl/>
              <w:adjustRightInd w:val="0"/>
              <w:snapToGrid w:val="0"/>
              <w:spacing w:line="360" w:lineRule="auto"/>
              <w:ind w:firstLine="480" w:firstLineChars="200"/>
              <w:rPr>
                <w:sz w:val="24"/>
              </w:rPr>
            </w:pPr>
            <w:r>
              <w:rPr>
                <w:rFonts w:hint="eastAsia" w:ascii="宋体" w:hAnsi="宋体"/>
                <w:sz w:val="24"/>
              </w:rPr>
              <w:t>①</w:t>
            </w:r>
            <w:r>
              <w:rPr>
                <w:rFonts w:hint="eastAsia"/>
                <w:sz w:val="24"/>
              </w:rPr>
              <w:t>应建立健全安全生产管理制度，并严格落实。对液化石油气道路运输要进行安全评估，辨识各种危险因素，制定相应的安全对策。应制定液化石油气运输的突发事件应急预案，通过培训使驾驶员及押运人员能够采取正确有效的补救措施。</w:t>
            </w:r>
          </w:p>
          <w:p>
            <w:pPr>
              <w:widowControl/>
              <w:adjustRightInd w:val="0"/>
              <w:snapToGrid w:val="0"/>
              <w:spacing w:line="360" w:lineRule="auto"/>
              <w:ind w:firstLine="480" w:firstLineChars="200"/>
              <w:rPr>
                <w:sz w:val="24"/>
              </w:rPr>
            </w:pPr>
            <w:r>
              <w:rPr>
                <w:rFonts w:hint="eastAsia" w:ascii="宋体" w:hAnsi="宋体" w:cs="宋体"/>
                <w:sz w:val="24"/>
              </w:rPr>
              <w:t>②</w:t>
            </w:r>
            <w:r>
              <w:rPr>
                <w:sz w:val="24"/>
              </w:rPr>
              <w:t>要对液化石油气道路运输全过程进行安全控制，对运输车辆实行GPS全程监控，配备必要的防护用品和应急救援器材。公司实时掌握车辆的运输动态，约束驾驶员的行为</w:t>
            </w:r>
            <w:r>
              <w:rPr>
                <w:rFonts w:hint="eastAsia"/>
                <w:sz w:val="24"/>
              </w:rPr>
              <w:t>，</w:t>
            </w:r>
            <w:r>
              <w:rPr>
                <w:sz w:val="24"/>
              </w:rPr>
              <w:t>加大对驾驶员超速驾驶等不安全行为的处罚力度，加强风险控制，增加安全性。</w:t>
            </w:r>
          </w:p>
          <w:p>
            <w:pPr>
              <w:widowControl/>
              <w:adjustRightInd w:val="0"/>
              <w:snapToGrid w:val="0"/>
              <w:spacing w:line="360" w:lineRule="auto"/>
              <w:ind w:firstLine="480" w:firstLineChars="200"/>
              <w:rPr>
                <w:rFonts w:ascii="宋体" w:hAnsi="宋体"/>
                <w:sz w:val="24"/>
              </w:rPr>
            </w:pPr>
            <w:r>
              <w:rPr>
                <w:rFonts w:hint="eastAsia" w:ascii="宋体" w:hAnsi="宋体"/>
                <w:sz w:val="24"/>
              </w:rPr>
              <w:t>③驾驶员要做到小心安全驾驶，不留事故隐患。驾驶员及押运员要了解液化石油气的性质、危害特性及钢瓶的使用情况，一旦钢瓶出现安全问题等意外事故时能采取紧急处置措施。事故发生时，要及时使用干粉灭火器灭火，不可用水直接喷淋液体泄漏处。在遇到紧急情况时，要及时向当地公安机关报告，避免事故后果进一步扩大。采取一切措施，配合当地事故救援单位，减少事故危害性，确保安全第一。</w:t>
            </w:r>
          </w:p>
          <w:p>
            <w:pPr>
              <w:widowControl/>
              <w:adjustRightInd w:val="0"/>
              <w:snapToGrid w:val="0"/>
              <w:spacing w:line="360" w:lineRule="auto"/>
              <w:ind w:firstLine="480" w:firstLineChars="200"/>
              <w:rPr>
                <w:sz w:val="24"/>
              </w:rPr>
            </w:pPr>
            <w:r>
              <w:rPr>
                <w:rFonts w:hint="eastAsia" w:ascii="宋体" w:hAnsi="宋体"/>
                <w:sz w:val="24"/>
              </w:rPr>
              <w:t>④突发事件发生后，应在政府的统一指挥下，积极配合相关部门配合，完成应急工作。</w:t>
            </w:r>
          </w:p>
          <w:p>
            <w:pPr>
              <w:widowControl/>
              <w:adjustRightInd w:val="0"/>
              <w:snapToGrid w:val="0"/>
              <w:spacing w:line="360" w:lineRule="auto"/>
              <w:ind w:firstLine="480" w:firstLineChars="200"/>
              <w:rPr>
                <w:sz w:val="24"/>
              </w:rPr>
            </w:pPr>
            <w:r>
              <w:rPr>
                <w:rFonts w:hint="eastAsia"/>
                <w:sz w:val="24"/>
              </w:rPr>
              <w:t>（5）管理措施</w:t>
            </w:r>
          </w:p>
          <w:p>
            <w:pPr>
              <w:widowControl/>
              <w:adjustRightInd w:val="0"/>
              <w:snapToGrid w:val="0"/>
              <w:spacing w:line="360" w:lineRule="auto"/>
              <w:ind w:firstLine="480" w:firstLineChars="200"/>
              <w:rPr>
                <w:sz w:val="24"/>
              </w:rPr>
            </w:pPr>
            <w:r>
              <w:rPr>
                <w:rFonts w:hint="eastAsia" w:ascii="宋体" w:hAnsi="宋体"/>
                <w:sz w:val="24"/>
              </w:rPr>
              <w:t>①</w:t>
            </w:r>
            <w:r>
              <w:rPr>
                <w:rFonts w:hint="eastAsia"/>
                <w:sz w:val="24"/>
              </w:rPr>
              <w:t>在管理方面要有一系列详细的安全管理制度及有效的安全管理组织，确保各种有关的安全管理规定能在各个环节上得到充分落实，并能有所改进与提高。</w:t>
            </w:r>
          </w:p>
          <w:p>
            <w:pPr>
              <w:widowControl/>
              <w:adjustRightInd w:val="0"/>
              <w:snapToGrid w:val="0"/>
              <w:spacing w:line="360" w:lineRule="auto"/>
              <w:ind w:firstLine="480" w:firstLineChars="200"/>
              <w:rPr>
                <w:sz w:val="24"/>
              </w:rPr>
            </w:pPr>
            <w:r>
              <w:rPr>
                <w:rFonts w:hint="eastAsia" w:ascii="宋体" w:hAnsi="宋体"/>
                <w:sz w:val="24"/>
              </w:rPr>
              <w:t>②</w:t>
            </w:r>
            <w:r>
              <w:rPr>
                <w:rFonts w:hint="eastAsia"/>
                <w:sz w:val="24"/>
              </w:rPr>
              <w:t>在投产运行前，应制定出正常、异常或紧急状态下的操作手册和维修手册，并对操作、维修人员进行培训，持证上岗，避免因严重操作失误而造成的事故；</w:t>
            </w:r>
          </w:p>
          <w:p>
            <w:pPr>
              <w:widowControl/>
              <w:adjustRightInd w:val="0"/>
              <w:snapToGrid w:val="0"/>
              <w:spacing w:line="360" w:lineRule="auto"/>
              <w:ind w:firstLine="480" w:firstLineChars="200"/>
              <w:rPr>
                <w:sz w:val="24"/>
              </w:rPr>
            </w:pPr>
            <w:r>
              <w:rPr>
                <w:rFonts w:hint="eastAsia" w:ascii="宋体" w:hAnsi="宋体"/>
                <w:sz w:val="24"/>
              </w:rPr>
              <w:t>③</w:t>
            </w:r>
            <w:r>
              <w:rPr>
                <w:rFonts w:hint="eastAsia"/>
                <w:sz w:val="24"/>
              </w:rPr>
              <w:t>加强对工作人员安全素质方面的教育及训练，包括安全知识、安全技术、安全心理、职业卫生及排险与消防活动等，而且要时常演练与考核；</w:t>
            </w:r>
          </w:p>
          <w:p>
            <w:pPr>
              <w:widowControl/>
              <w:adjustRightInd w:val="0"/>
              <w:snapToGrid w:val="0"/>
              <w:spacing w:line="360" w:lineRule="auto"/>
              <w:ind w:firstLine="480" w:firstLineChars="200"/>
              <w:rPr>
                <w:sz w:val="24"/>
              </w:rPr>
            </w:pPr>
            <w:r>
              <w:rPr>
                <w:rFonts w:hint="eastAsia" w:ascii="宋体" w:hAnsi="宋体"/>
                <w:sz w:val="24"/>
              </w:rPr>
              <w:t>④</w:t>
            </w:r>
            <w:r>
              <w:rPr>
                <w:rFonts w:hint="eastAsia"/>
                <w:sz w:val="24"/>
              </w:rPr>
              <w:t>制定应急操作规程，在规程中应说明发生事故时应采取的操作步骤，规定抢修进度，限制事故的影响；</w:t>
            </w:r>
          </w:p>
          <w:p>
            <w:pPr>
              <w:widowControl/>
              <w:adjustRightInd w:val="0"/>
              <w:snapToGrid w:val="0"/>
              <w:spacing w:line="360" w:lineRule="auto"/>
              <w:ind w:firstLine="480" w:firstLineChars="200"/>
              <w:rPr>
                <w:sz w:val="24"/>
              </w:rPr>
            </w:pPr>
            <w:r>
              <w:rPr>
                <w:rFonts w:hint="eastAsia" w:ascii="宋体" w:hAnsi="宋体"/>
                <w:sz w:val="24"/>
              </w:rPr>
              <w:t>⑤</w:t>
            </w:r>
            <w:r>
              <w:rPr>
                <w:rFonts w:hint="eastAsia"/>
                <w:sz w:val="24"/>
              </w:rPr>
              <w:t>对重要的仪器设备有完善的检查项目、维护方法；按计划进行定期维护；有专门档案（包括维护记录档案），文件齐全；</w:t>
            </w:r>
          </w:p>
          <w:p>
            <w:pPr>
              <w:widowControl/>
              <w:adjustRightInd w:val="0"/>
              <w:snapToGrid w:val="0"/>
              <w:spacing w:line="360" w:lineRule="auto"/>
              <w:ind w:firstLine="480" w:firstLineChars="200"/>
              <w:rPr>
                <w:sz w:val="24"/>
              </w:rPr>
            </w:pPr>
            <w:r>
              <w:rPr>
                <w:rFonts w:hint="eastAsia" w:ascii="宋体" w:hAnsi="宋体"/>
                <w:sz w:val="24"/>
              </w:rPr>
              <w:t>⑥</w:t>
            </w:r>
            <w:r>
              <w:rPr>
                <w:rFonts w:hint="eastAsia"/>
                <w:sz w:val="24"/>
              </w:rPr>
              <w:t>站区内设有醒目的“严禁烟火”标志和防火安全制度。</w:t>
            </w:r>
          </w:p>
          <w:p>
            <w:pPr>
              <w:adjustRightInd w:val="0"/>
              <w:snapToGrid w:val="0"/>
              <w:spacing w:line="360" w:lineRule="auto"/>
              <w:ind w:firstLine="480" w:firstLineChars="200"/>
              <w:rPr>
                <w:color w:val="000000"/>
                <w:sz w:val="24"/>
              </w:rPr>
            </w:pPr>
            <w:r>
              <w:rPr>
                <w:rFonts w:hint="eastAsia"/>
                <w:color w:val="000000"/>
                <w:sz w:val="24"/>
              </w:rPr>
              <w:t>7.4.2风险应急预案</w:t>
            </w:r>
          </w:p>
          <w:p>
            <w:pPr>
              <w:adjustRightInd w:val="0"/>
              <w:snapToGrid w:val="0"/>
              <w:spacing w:line="360" w:lineRule="auto"/>
              <w:ind w:firstLine="480" w:firstLineChars="200"/>
              <w:rPr>
                <w:color w:val="000000"/>
                <w:sz w:val="24"/>
              </w:rPr>
            </w:pPr>
            <w:r>
              <w:rPr>
                <w:rFonts w:hint="eastAsia"/>
                <w:color w:val="000000"/>
                <w:sz w:val="24"/>
              </w:rPr>
              <w:t>根据国家环保局（90）环管字第057号文</w:t>
            </w:r>
            <w:r>
              <w:rPr>
                <w:color w:val="000000"/>
                <w:sz w:val="24"/>
              </w:rPr>
              <w:t>《关于对重大环境污染事故隐患进行风险评价的通知》</w:t>
            </w:r>
            <w:r>
              <w:rPr>
                <w:rFonts w:hint="eastAsia"/>
                <w:color w:val="000000"/>
                <w:sz w:val="24"/>
              </w:rPr>
              <w:t>的要求，通过对污染事故的风险评价，各有关企业单位应加强安全生产管理，制定重大环境事故发生的应急预案，消除事故隐患的实施及突发性事故应急办法等。</w:t>
            </w:r>
          </w:p>
          <w:p>
            <w:pPr>
              <w:adjustRightInd w:val="0"/>
              <w:snapToGrid w:val="0"/>
              <w:spacing w:line="360" w:lineRule="auto"/>
              <w:ind w:firstLine="480" w:firstLineChars="200"/>
              <w:rPr>
                <w:color w:val="000000"/>
                <w:sz w:val="24"/>
              </w:rPr>
            </w:pPr>
            <w:r>
              <w:rPr>
                <w:rFonts w:hint="eastAsia"/>
                <w:color w:val="000000"/>
                <w:sz w:val="24"/>
              </w:rPr>
              <w:t>本项目应根据生产特点和事故隐患分析，制定突发事故应急预案，见下表。</w:t>
            </w:r>
          </w:p>
          <w:p>
            <w:pPr>
              <w:adjustRightInd w:val="0"/>
              <w:snapToGrid w:val="0"/>
              <w:spacing w:line="360" w:lineRule="auto"/>
              <w:ind w:left="71" w:leftChars="34"/>
              <w:jc w:val="center"/>
              <w:rPr>
                <w:b/>
                <w:bCs/>
                <w:color w:val="000000"/>
                <w:kern w:val="0"/>
                <w:sz w:val="24"/>
              </w:rPr>
            </w:pPr>
            <w:r>
              <w:rPr>
                <w:rFonts w:hint="eastAsia"/>
                <w:b/>
                <w:bCs/>
                <w:color w:val="000000"/>
                <w:kern w:val="0"/>
                <w:sz w:val="24"/>
              </w:rPr>
              <w:t>表4-29        应急预案内容</w:t>
            </w:r>
          </w:p>
          <w:tbl>
            <w:tblPr>
              <w:tblStyle w:val="30"/>
              <w:tblW w:w="80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182"/>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right"/>
              </w:trPr>
              <w:tc>
                <w:tcPr>
                  <w:tcW w:w="890" w:type="dxa"/>
                  <w:vAlign w:val="center"/>
                </w:tcPr>
                <w:p>
                  <w:pPr>
                    <w:jc w:val="center"/>
                    <w:rPr>
                      <w:rFonts w:ascii="宋体" w:hAnsi="宋体"/>
                      <w:color w:val="000000"/>
                    </w:rPr>
                  </w:pPr>
                  <w:r>
                    <w:rPr>
                      <w:rFonts w:hint="eastAsia" w:ascii="宋体" w:hAnsi="宋体"/>
                      <w:color w:val="000000"/>
                    </w:rPr>
                    <w:t>序号</w:t>
                  </w:r>
                </w:p>
              </w:tc>
              <w:tc>
                <w:tcPr>
                  <w:tcW w:w="2182" w:type="dxa"/>
                  <w:vAlign w:val="center"/>
                </w:tcPr>
                <w:p>
                  <w:pPr>
                    <w:jc w:val="center"/>
                    <w:rPr>
                      <w:rFonts w:ascii="宋体" w:hAnsi="宋体"/>
                      <w:color w:val="000000"/>
                    </w:rPr>
                  </w:pPr>
                  <w:r>
                    <w:rPr>
                      <w:rFonts w:hint="eastAsia" w:ascii="宋体" w:hAnsi="宋体"/>
                      <w:color w:val="000000"/>
                    </w:rPr>
                    <w:t>项目</w:t>
                  </w:r>
                </w:p>
              </w:tc>
              <w:tc>
                <w:tcPr>
                  <w:tcW w:w="4999" w:type="dxa"/>
                  <w:vAlign w:val="center"/>
                </w:tcPr>
                <w:p>
                  <w:pPr>
                    <w:jc w:val="center"/>
                    <w:rPr>
                      <w:rFonts w:ascii="宋体" w:hAnsi="宋体"/>
                      <w:color w:val="000000"/>
                    </w:rPr>
                  </w:pPr>
                  <w:r>
                    <w:rPr>
                      <w:rFonts w:hint="eastAsia" w:ascii="宋体" w:hAnsi="宋体"/>
                      <w:color w:val="000000"/>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890" w:type="dxa"/>
                  <w:vAlign w:val="center"/>
                </w:tcPr>
                <w:p>
                  <w:pPr>
                    <w:jc w:val="center"/>
                    <w:rPr>
                      <w:color w:val="000000"/>
                    </w:rPr>
                  </w:pPr>
                  <w:r>
                    <w:rPr>
                      <w:color w:val="000000"/>
                    </w:rPr>
                    <w:t>1</w:t>
                  </w:r>
                </w:p>
              </w:tc>
              <w:tc>
                <w:tcPr>
                  <w:tcW w:w="2182" w:type="dxa"/>
                  <w:vAlign w:val="center"/>
                </w:tcPr>
                <w:p>
                  <w:pPr>
                    <w:snapToGrid w:val="0"/>
                    <w:jc w:val="center"/>
                    <w:rPr>
                      <w:rFonts w:ascii="宋体" w:hAnsi="宋体"/>
                      <w:color w:val="000000"/>
                    </w:rPr>
                  </w:pPr>
                  <w:r>
                    <w:rPr>
                      <w:rFonts w:hint="eastAsia" w:ascii="宋体" w:hAnsi="宋体"/>
                      <w:color w:val="000000"/>
                    </w:rPr>
                    <w:t>应急计划区</w:t>
                  </w:r>
                </w:p>
              </w:tc>
              <w:tc>
                <w:tcPr>
                  <w:tcW w:w="4999" w:type="dxa"/>
                  <w:vAlign w:val="center"/>
                </w:tcPr>
                <w:p>
                  <w:pPr>
                    <w:jc w:val="center"/>
                    <w:rPr>
                      <w:rFonts w:ascii="宋体" w:hAnsi="宋体"/>
                      <w:color w:val="000000"/>
                    </w:rPr>
                  </w:pPr>
                  <w:r>
                    <w:rPr>
                      <w:rFonts w:hint="eastAsia" w:ascii="宋体" w:hAnsi="宋体"/>
                      <w:color w:val="000000"/>
                    </w:rPr>
                    <w:t>危险目标：储罐区、环境保护目标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890" w:type="dxa"/>
                  <w:vAlign w:val="center"/>
                </w:tcPr>
                <w:p>
                  <w:pPr>
                    <w:jc w:val="center"/>
                    <w:rPr>
                      <w:color w:val="000000"/>
                    </w:rPr>
                  </w:pPr>
                  <w:r>
                    <w:rPr>
                      <w:color w:val="000000"/>
                    </w:rPr>
                    <w:t>2</w:t>
                  </w:r>
                </w:p>
              </w:tc>
              <w:tc>
                <w:tcPr>
                  <w:tcW w:w="2182" w:type="dxa"/>
                  <w:vAlign w:val="center"/>
                </w:tcPr>
                <w:p>
                  <w:pPr>
                    <w:jc w:val="center"/>
                    <w:rPr>
                      <w:rFonts w:ascii="宋体" w:hAnsi="宋体"/>
                      <w:color w:val="000000"/>
                    </w:rPr>
                  </w:pPr>
                  <w:r>
                    <w:rPr>
                      <w:rFonts w:hint="eastAsia" w:ascii="宋体" w:hAnsi="宋体"/>
                      <w:color w:val="000000"/>
                    </w:rPr>
                    <w:t>应急组织机构、人员</w:t>
                  </w:r>
                </w:p>
              </w:tc>
              <w:tc>
                <w:tcPr>
                  <w:tcW w:w="4999" w:type="dxa"/>
                  <w:vAlign w:val="center"/>
                </w:tcPr>
                <w:p>
                  <w:pPr>
                    <w:jc w:val="center"/>
                    <w:rPr>
                      <w:rFonts w:ascii="宋体" w:hAnsi="宋体"/>
                      <w:color w:val="000000"/>
                    </w:rPr>
                  </w:pPr>
                  <w:r>
                    <w:rPr>
                      <w:rFonts w:hint="eastAsia" w:ascii="宋体" w:hAnsi="宋体"/>
                      <w:color w:val="000000"/>
                    </w:rPr>
                    <w:t>工厂、地区应急组织机构、人员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right"/>
              </w:trPr>
              <w:tc>
                <w:tcPr>
                  <w:tcW w:w="890" w:type="dxa"/>
                  <w:vAlign w:val="center"/>
                </w:tcPr>
                <w:p>
                  <w:pPr>
                    <w:jc w:val="center"/>
                    <w:rPr>
                      <w:color w:val="000000"/>
                    </w:rPr>
                  </w:pPr>
                  <w:r>
                    <w:rPr>
                      <w:color w:val="000000"/>
                    </w:rPr>
                    <w:t>3</w:t>
                  </w:r>
                </w:p>
              </w:tc>
              <w:tc>
                <w:tcPr>
                  <w:tcW w:w="2182" w:type="dxa"/>
                  <w:vAlign w:val="center"/>
                </w:tcPr>
                <w:p>
                  <w:pPr>
                    <w:jc w:val="center"/>
                    <w:rPr>
                      <w:rFonts w:ascii="宋体" w:hAnsi="宋体"/>
                      <w:color w:val="000000"/>
                    </w:rPr>
                  </w:pPr>
                  <w:r>
                    <w:rPr>
                      <w:rFonts w:hint="eastAsia" w:ascii="宋体" w:hAnsi="宋体"/>
                      <w:color w:val="000000"/>
                    </w:rPr>
                    <w:t>预案分级响应条件</w:t>
                  </w:r>
                </w:p>
              </w:tc>
              <w:tc>
                <w:tcPr>
                  <w:tcW w:w="4999" w:type="dxa"/>
                  <w:vAlign w:val="center"/>
                </w:tcPr>
                <w:p>
                  <w:pPr>
                    <w:jc w:val="center"/>
                    <w:rPr>
                      <w:rFonts w:ascii="宋体" w:hAnsi="宋体"/>
                      <w:color w:val="000000"/>
                    </w:rPr>
                  </w:pPr>
                  <w:r>
                    <w:rPr>
                      <w:rFonts w:hint="eastAsia" w:ascii="宋体" w:hAnsi="宋体"/>
                      <w:color w:val="000000"/>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right"/>
              </w:trPr>
              <w:tc>
                <w:tcPr>
                  <w:tcW w:w="890" w:type="dxa"/>
                  <w:vAlign w:val="center"/>
                </w:tcPr>
                <w:p>
                  <w:pPr>
                    <w:jc w:val="center"/>
                    <w:rPr>
                      <w:color w:val="000000"/>
                    </w:rPr>
                  </w:pPr>
                  <w:r>
                    <w:rPr>
                      <w:color w:val="000000"/>
                    </w:rPr>
                    <w:t>4</w:t>
                  </w:r>
                </w:p>
              </w:tc>
              <w:tc>
                <w:tcPr>
                  <w:tcW w:w="2182" w:type="dxa"/>
                  <w:vAlign w:val="center"/>
                </w:tcPr>
                <w:p>
                  <w:pPr>
                    <w:jc w:val="center"/>
                    <w:rPr>
                      <w:rFonts w:ascii="宋体" w:hAnsi="宋体"/>
                      <w:color w:val="000000"/>
                    </w:rPr>
                  </w:pPr>
                  <w:r>
                    <w:rPr>
                      <w:rFonts w:hint="eastAsia" w:ascii="宋体" w:hAnsi="宋体"/>
                      <w:color w:val="000000"/>
                    </w:rPr>
                    <w:t>应急救援保障</w:t>
                  </w:r>
                </w:p>
              </w:tc>
              <w:tc>
                <w:tcPr>
                  <w:tcW w:w="4999" w:type="dxa"/>
                  <w:vAlign w:val="center"/>
                </w:tcPr>
                <w:p>
                  <w:pPr>
                    <w:jc w:val="center"/>
                    <w:rPr>
                      <w:rFonts w:ascii="宋体" w:hAnsi="宋体"/>
                      <w:color w:val="000000"/>
                    </w:rPr>
                  </w:pPr>
                  <w:r>
                    <w:rPr>
                      <w:rFonts w:hint="eastAsia" w:ascii="宋体" w:hAnsi="宋体"/>
                      <w:color w:val="000000"/>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right"/>
              </w:trPr>
              <w:tc>
                <w:tcPr>
                  <w:tcW w:w="890" w:type="dxa"/>
                  <w:vAlign w:val="center"/>
                </w:tcPr>
                <w:p>
                  <w:pPr>
                    <w:jc w:val="center"/>
                    <w:rPr>
                      <w:color w:val="000000"/>
                    </w:rPr>
                  </w:pPr>
                  <w:r>
                    <w:rPr>
                      <w:color w:val="000000"/>
                    </w:rPr>
                    <w:t>5</w:t>
                  </w:r>
                </w:p>
              </w:tc>
              <w:tc>
                <w:tcPr>
                  <w:tcW w:w="2182" w:type="dxa"/>
                  <w:vAlign w:val="center"/>
                </w:tcPr>
                <w:p>
                  <w:pPr>
                    <w:jc w:val="center"/>
                    <w:rPr>
                      <w:rFonts w:ascii="宋体" w:hAnsi="宋体"/>
                      <w:color w:val="000000"/>
                    </w:rPr>
                  </w:pPr>
                  <w:r>
                    <w:rPr>
                      <w:rFonts w:hint="eastAsia" w:ascii="宋体" w:hAnsi="宋体"/>
                      <w:color w:val="000000"/>
                    </w:rPr>
                    <w:t>报警、通讯联络方式</w:t>
                  </w:r>
                </w:p>
              </w:tc>
              <w:tc>
                <w:tcPr>
                  <w:tcW w:w="4999" w:type="dxa"/>
                  <w:vAlign w:val="center"/>
                </w:tcPr>
                <w:p>
                  <w:pPr>
                    <w:jc w:val="center"/>
                    <w:rPr>
                      <w:rFonts w:ascii="宋体" w:hAnsi="宋体"/>
                      <w:color w:val="000000"/>
                    </w:rPr>
                  </w:pPr>
                  <w:r>
                    <w:rPr>
                      <w:rFonts w:hint="eastAsia" w:ascii="宋体" w:hAnsi="宋体"/>
                      <w:color w:val="000000"/>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right"/>
              </w:trPr>
              <w:tc>
                <w:tcPr>
                  <w:tcW w:w="890" w:type="dxa"/>
                  <w:vAlign w:val="center"/>
                </w:tcPr>
                <w:p>
                  <w:pPr>
                    <w:jc w:val="center"/>
                    <w:rPr>
                      <w:color w:val="000000"/>
                    </w:rPr>
                  </w:pPr>
                  <w:r>
                    <w:rPr>
                      <w:color w:val="000000"/>
                    </w:rPr>
                    <w:t>6</w:t>
                  </w:r>
                </w:p>
              </w:tc>
              <w:tc>
                <w:tcPr>
                  <w:tcW w:w="2182" w:type="dxa"/>
                  <w:vAlign w:val="center"/>
                </w:tcPr>
                <w:p>
                  <w:pPr>
                    <w:jc w:val="center"/>
                    <w:rPr>
                      <w:rFonts w:ascii="宋体" w:hAnsi="宋体"/>
                      <w:color w:val="000000"/>
                    </w:rPr>
                  </w:pPr>
                  <w:r>
                    <w:rPr>
                      <w:rFonts w:hint="eastAsia" w:ascii="宋体" w:hAnsi="宋体"/>
                      <w:color w:val="000000"/>
                    </w:rPr>
                    <w:t>应急环境监测、抢险、救援及控制措施</w:t>
                  </w:r>
                </w:p>
              </w:tc>
              <w:tc>
                <w:tcPr>
                  <w:tcW w:w="4999" w:type="dxa"/>
                  <w:vAlign w:val="center"/>
                </w:tcPr>
                <w:p>
                  <w:pPr>
                    <w:jc w:val="center"/>
                    <w:rPr>
                      <w:rFonts w:ascii="宋体" w:hAnsi="宋体"/>
                      <w:color w:val="000000"/>
                    </w:rPr>
                  </w:pPr>
                  <w:r>
                    <w:rPr>
                      <w:rFonts w:hint="eastAsia" w:ascii="宋体" w:hAnsi="宋体"/>
                      <w:color w:val="000000"/>
                    </w:rPr>
                    <w:t>由专业队伍负责对事故现场进行侦查监测，对事故性质、参数与后果进行评估，为指挥部门提供决策依据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right"/>
              </w:trPr>
              <w:tc>
                <w:tcPr>
                  <w:tcW w:w="890" w:type="dxa"/>
                  <w:vAlign w:val="center"/>
                </w:tcPr>
                <w:p>
                  <w:pPr>
                    <w:jc w:val="center"/>
                    <w:rPr>
                      <w:color w:val="000000"/>
                    </w:rPr>
                  </w:pPr>
                  <w:r>
                    <w:rPr>
                      <w:color w:val="000000"/>
                    </w:rPr>
                    <w:t>7</w:t>
                  </w:r>
                </w:p>
              </w:tc>
              <w:tc>
                <w:tcPr>
                  <w:tcW w:w="2182" w:type="dxa"/>
                  <w:vAlign w:val="center"/>
                </w:tcPr>
                <w:p>
                  <w:pPr>
                    <w:jc w:val="center"/>
                    <w:rPr>
                      <w:rFonts w:ascii="宋体" w:hAnsi="宋体"/>
                      <w:color w:val="000000"/>
                    </w:rPr>
                  </w:pPr>
                  <w:r>
                    <w:rPr>
                      <w:rFonts w:hint="eastAsia" w:ascii="宋体" w:hAnsi="宋体"/>
                      <w:color w:val="000000"/>
                    </w:rPr>
                    <w:t>应急检测、防护措施、清除措施和器材</w:t>
                  </w:r>
                </w:p>
              </w:tc>
              <w:tc>
                <w:tcPr>
                  <w:tcW w:w="4999" w:type="dxa"/>
                  <w:vAlign w:val="center"/>
                </w:tcPr>
                <w:p>
                  <w:pPr>
                    <w:jc w:val="center"/>
                    <w:rPr>
                      <w:rFonts w:ascii="宋体" w:hAnsi="宋体"/>
                      <w:color w:val="000000"/>
                    </w:rPr>
                  </w:pPr>
                  <w:r>
                    <w:rPr>
                      <w:rFonts w:hint="eastAsia" w:ascii="宋体" w:hAnsi="宋体"/>
                      <w:color w:val="000000"/>
                    </w:rPr>
                    <w:t>事故现场、邻近区域、控制防火区域、控制和清除污染措施及相应设备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right"/>
              </w:trPr>
              <w:tc>
                <w:tcPr>
                  <w:tcW w:w="890" w:type="dxa"/>
                  <w:vAlign w:val="center"/>
                </w:tcPr>
                <w:p>
                  <w:pPr>
                    <w:jc w:val="center"/>
                    <w:rPr>
                      <w:color w:val="000000"/>
                    </w:rPr>
                  </w:pPr>
                  <w:r>
                    <w:rPr>
                      <w:color w:val="000000"/>
                    </w:rPr>
                    <w:t>8</w:t>
                  </w:r>
                </w:p>
              </w:tc>
              <w:tc>
                <w:tcPr>
                  <w:tcW w:w="2182" w:type="dxa"/>
                  <w:vAlign w:val="center"/>
                </w:tcPr>
                <w:p>
                  <w:pPr>
                    <w:jc w:val="center"/>
                    <w:rPr>
                      <w:rFonts w:ascii="宋体" w:hAnsi="宋体"/>
                      <w:color w:val="000000"/>
                    </w:rPr>
                  </w:pPr>
                  <w:r>
                    <w:rPr>
                      <w:rFonts w:hint="eastAsia" w:ascii="宋体" w:hAnsi="宋体"/>
                      <w:color w:val="000000"/>
                    </w:rPr>
                    <w:t>人员紧急撤离、疏散，应急剂量控制、撤离组织计划</w:t>
                  </w:r>
                </w:p>
              </w:tc>
              <w:tc>
                <w:tcPr>
                  <w:tcW w:w="4999" w:type="dxa"/>
                  <w:vAlign w:val="center"/>
                </w:tcPr>
                <w:p>
                  <w:pPr>
                    <w:jc w:val="center"/>
                    <w:rPr>
                      <w:rFonts w:ascii="宋体" w:hAnsi="宋体"/>
                      <w:color w:val="000000"/>
                    </w:rPr>
                  </w:pPr>
                  <w:r>
                    <w:rPr>
                      <w:rFonts w:hint="eastAsia" w:ascii="宋体" w:hAnsi="宋体"/>
                      <w:color w:val="000000"/>
                    </w:rPr>
                    <w:t>事故现场、工厂邻近区、受事故影响的区域人员及公众对毒物应急剂量控制规定，撤离组织计划及救护，医疗救护与公众健康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right"/>
              </w:trPr>
              <w:tc>
                <w:tcPr>
                  <w:tcW w:w="890" w:type="dxa"/>
                  <w:vAlign w:val="center"/>
                </w:tcPr>
                <w:p>
                  <w:pPr>
                    <w:jc w:val="center"/>
                    <w:rPr>
                      <w:color w:val="000000"/>
                    </w:rPr>
                  </w:pPr>
                  <w:r>
                    <w:rPr>
                      <w:color w:val="000000"/>
                    </w:rPr>
                    <w:t>9</w:t>
                  </w:r>
                </w:p>
              </w:tc>
              <w:tc>
                <w:tcPr>
                  <w:tcW w:w="2182" w:type="dxa"/>
                  <w:vAlign w:val="center"/>
                </w:tcPr>
                <w:p>
                  <w:pPr>
                    <w:jc w:val="center"/>
                    <w:rPr>
                      <w:rFonts w:ascii="宋体" w:hAnsi="宋体"/>
                      <w:color w:val="000000"/>
                    </w:rPr>
                  </w:pPr>
                  <w:r>
                    <w:rPr>
                      <w:rFonts w:hint="eastAsia" w:ascii="宋体" w:hAnsi="宋体"/>
                      <w:color w:val="000000"/>
                    </w:rPr>
                    <w:t>事故应急救援关闭程序与恢复措施</w:t>
                  </w:r>
                </w:p>
              </w:tc>
              <w:tc>
                <w:tcPr>
                  <w:tcW w:w="4999" w:type="dxa"/>
                  <w:vAlign w:val="center"/>
                </w:tcPr>
                <w:p>
                  <w:pPr>
                    <w:jc w:val="center"/>
                    <w:rPr>
                      <w:rFonts w:ascii="宋体" w:hAnsi="宋体"/>
                      <w:color w:val="000000"/>
                    </w:rPr>
                  </w:pPr>
                  <w:r>
                    <w:rPr>
                      <w:rFonts w:hint="eastAsia" w:ascii="宋体" w:hAnsi="宋体"/>
                      <w:color w:val="000000"/>
                    </w:rPr>
                    <w:t>规定应急状态终止程序；事故现场善后处理，恢复措施；邻近区域解除事故警戒及善后恢复措施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890" w:type="dxa"/>
                  <w:vAlign w:val="center"/>
                </w:tcPr>
                <w:p>
                  <w:pPr>
                    <w:jc w:val="center"/>
                    <w:rPr>
                      <w:color w:val="000000"/>
                    </w:rPr>
                  </w:pPr>
                  <w:r>
                    <w:rPr>
                      <w:color w:val="000000"/>
                    </w:rPr>
                    <w:t>10</w:t>
                  </w:r>
                </w:p>
              </w:tc>
              <w:tc>
                <w:tcPr>
                  <w:tcW w:w="2182" w:type="dxa"/>
                  <w:vAlign w:val="center"/>
                </w:tcPr>
                <w:p>
                  <w:pPr>
                    <w:jc w:val="center"/>
                    <w:rPr>
                      <w:rFonts w:ascii="宋体" w:hAnsi="宋体"/>
                      <w:color w:val="000000"/>
                    </w:rPr>
                  </w:pPr>
                  <w:r>
                    <w:rPr>
                      <w:rFonts w:hint="eastAsia" w:ascii="宋体" w:hAnsi="宋体"/>
                      <w:color w:val="000000"/>
                    </w:rPr>
                    <w:t>应急培训计划</w:t>
                  </w:r>
                </w:p>
              </w:tc>
              <w:tc>
                <w:tcPr>
                  <w:tcW w:w="4999" w:type="dxa"/>
                  <w:vAlign w:val="center"/>
                </w:tcPr>
                <w:p>
                  <w:pPr>
                    <w:jc w:val="center"/>
                    <w:rPr>
                      <w:rFonts w:ascii="宋体" w:hAnsi="宋体"/>
                      <w:color w:val="000000"/>
                    </w:rPr>
                  </w:pPr>
                  <w:r>
                    <w:rPr>
                      <w:rFonts w:hint="eastAsia" w:ascii="宋体" w:hAnsi="宋体"/>
                      <w:color w:val="000000"/>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890" w:type="dxa"/>
                  <w:vAlign w:val="center"/>
                </w:tcPr>
                <w:p>
                  <w:pPr>
                    <w:jc w:val="center"/>
                    <w:rPr>
                      <w:color w:val="000000"/>
                    </w:rPr>
                  </w:pPr>
                  <w:r>
                    <w:rPr>
                      <w:color w:val="000000"/>
                    </w:rPr>
                    <w:t>11</w:t>
                  </w:r>
                </w:p>
              </w:tc>
              <w:tc>
                <w:tcPr>
                  <w:tcW w:w="2182" w:type="dxa"/>
                  <w:vAlign w:val="center"/>
                </w:tcPr>
                <w:p>
                  <w:pPr>
                    <w:jc w:val="center"/>
                    <w:rPr>
                      <w:rFonts w:ascii="宋体" w:hAnsi="宋体"/>
                      <w:color w:val="000000"/>
                    </w:rPr>
                  </w:pPr>
                  <w:r>
                    <w:rPr>
                      <w:rFonts w:hint="eastAsia" w:ascii="宋体" w:hAnsi="宋体"/>
                      <w:color w:val="000000"/>
                    </w:rPr>
                    <w:t>公众教育和信息</w:t>
                  </w:r>
                </w:p>
              </w:tc>
              <w:tc>
                <w:tcPr>
                  <w:tcW w:w="4999" w:type="dxa"/>
                  <w:vAlign w:val="center"/>
                </w:tcPr>
                <w:p>
                  <w:pPr>
                    <w:jc w:val="center"/>
                    <w:rPr>
                      <w:rFonts w:ascii="宋体" w:hAnsi="宋体"/>
                      <w:color w:val="000000"/>
                    </w:rPr>
                  </w:pPr>
                  <w:r>
                    <w:rPr>
                      <w:rFonts w:hint="eastAsia" w:ascii="宋体" w:hAnsi="宋体"/>
                      <w:color w:val="000000"/>
                    </w:rPr>
                    <w:t>对工厂邻近地区开展公众教育、培训和发布有关信息</w:t>
                  </w:r>
                </w:p>
              </w:tc>
            </w:tr>
          </w:tbl>
          <w:p>
            <w:pPr>
              <w:snapToGrid w:val="0"/>
              <w:spacing w:line="360" w:lineRule="auto"/>
              <w:ind w:firstLine="480" w:firstLineChars="200"/>
              <w:rPr>
                <w:color w:val="000000"/>
                <w:sz w:val="24"/>
              </w:rPr>
            </w:pPr>
            <w:r>
              <w:rPr>
                <w:rFonts w:hint="eastAsia"/>
                <w:color w:val="000000"/>
                <w:sz w:val="24"/>
              </w:rPr>
              <w:t>7.5分析结论</w:t>
            </w:r>
          </w:p>
          <w:p>
            <w:pPr>
              <w:snapToGrid w:val="0"/>
              <w:spacing w:line="360" w:lineRule="auto"/>
              <w:ind w:firstLine="480" w:firstLineChars="200"/>
              <w:rPr>
                <w:color w:val="000000"/>
                <w:sz w:val="24"/>
              </w:rPr>
            </w:pPr>
            <w:r>
              <w:rPr>
                <w:rFonts w:hint="eastAsia"/>
                <w:color w:val="000000"/>
                <w:sz w:val="24"/>
              </w:rPr>
              <w:t>综上，本项目营运期涉及的风险物质主要为液化石油气，在落实本次环评提出的风险防范措施后，其发生事故的概率降低，环境危害较小，环境风险影响可以接受。</w:t>
            </w:r>
          </w:p>
          <w:p>
            <w:pPr>
              <w:tabs>
                <w:tab w:val="left" w:pos="1081"/>
              </w:tabs>
              <w:adjustRightInd w:val="0"/>
              <w:snapToGrid w:val="0"/>
              <w:spacing w:line="360" w:lineRule="auto"/>
              <w:jc w:val="center"/>
              <w:rPr>
                <w:b/>
                <w:bCs/>
                <w:color w:val="000000"/>
                <w:kern w:val="0"/>
                <w:sz w:val="24"/>
              </w:rPr>
            </w:pPr>
            <w:r>
              <w:rPr>
                <w:rFonts w:hint="eastAsia"/>
                <w:b/>
                <w:bCs/>
                <w:color w:val="000000"/>
                <w:kern w:val="0"/>
                <w:sz w:val="24"/>
              </w:rPr>
              <w:t>表4-30       建设项目</w:t>
            </w:r>
            <w:r>
              <w:rPr>
                <w:rFonts w:hint="eastAsia"/>
                <w:b/>
                <w:color w:val="000000"/>
                <w:sz w:val="24"/>
              </w:rPr>
              <w:t>环境</w:t>
            </w:r>
            <w:r>
              <w:rPr>
                <w:rFonts w:hint="eastAsia"/>
                <w:b/>
                <w:bCs/>
                <w:color w:val="000000"/>
                <w:kern w:val="0"/>
                <w:sz w:val="24"/>
              </w:rPr>
              <w:t>风险简单</w:t>
            </w:r>
            <w:r>
              <w:rPr>
                <w:rFonts w:hint="eastAsia"/>
                <w:b/>
                <w:sz w:val="24"/>
                <w:szCs w:val="24"/>
              </w:rPr>
              <w:t>分析</w:t>
            </w:r>
            <w:r>
              <w:rPr>
                <w:rFonts w:hint="eastAsia"/>
                <w:b/>
                <w:bCs/>
                <w:color w:val="000000"/>
                <w:kern w:val="0"/>
                <w:sz w:val="24"/>
              </w:rPr>
              <w:t>内容表</w:t>
            </w:r>
          </w:p>
          <w:tbl>
            <w:tblPr>
              <w:tblStyle w:val="30"/>
              <w:tblW w:w="8064"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1255"/>
              <w:gridCol w:w="1843"/>
              <w:gridCol w:w="1559"/>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 w:hRule="atLeast"/>
                <w:jc w:val="right"/>
              </w:trPr>
              <w:tc>
                <w:tcPr>
                  <w:tcW w:w="1348" w:type="dxa"/>
                  <w:tcBorders>
                    <w:top w:val="single" w:color="auto" w:sz="4" w:space="0"/>
                    <w:left w:val="single" w:color="000000" w:sz="4" w:space="0"/>
                    <w:bottom w:val="single" w:color="000000" w:sz="4" w:space="0"/>
                    <w:right w:val="single" w:color="000000" w:sz="4" w:space="0"/>
                  </w:tcBorders>
                  <w:vAlign w:val="center"/>
                </w:tcPr>
                <w:p>
                  <w:pPr>
                    <w:pStyle w:val="53"/>
                    <w:jc w:val="center"/>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建设项目名称</w:t>
                  </w:r>
                </w:p>
              </w:tc>
              <w:tc>
                <w:tcPr>
                  <w:tcW w:w="6716" w:type="dxa"/>
                  <w:gridSpan w:val="4"/>
                  <w:tcBorders>
                    <w:top w:val="single" w:color="auto"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kern w:val="21"/>
                      <w:szCs w:val="21"/>
                    </w:rPr>
                    <w:t>新野县军诚木材加工厂板材贴面项目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right"/>
              </w:trPr>
              <w:tc>
                <w:tcPr>
                  <w:tcW w:w="1348"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建设地点</w:t>
                  </w:r>
                </w:p>
              </w:tc>
              <w:tc>
                <w:tcPr>
                  <w:tcW w:w="1255"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（河南）省</w:t>
                  </w:r>
                </w:p>
              </w:tc>
              <w:tc>
                <w:tcPr>
                  <w:tcW w:w="1843"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（南阳）市</w:t>
                  </w:r>
                </w:p>
              </w:tc>
              <w:tc>
                <w:tcPr>
                  <w:tcW w:w="1559"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（新野）县</w:t>
                  </w:r>
                </w:p>
              </w:tc>
              <w:tc>
                <w:tcPr>
                  <w:tcW w:w="2059"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上港乡香桥村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hRule="atLeast"/>
                <w:jc w:val="right"/>
              </w:trPr>
              <w:tc>
                <w:tcPr>
                  <w:tcW w:w="1348"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地理坐标</w:t>
                  </w:r>
                </w:p>
              </w:tc>
              <w:tc>
                <w:tcPr>
                  <w:tcW w:w="1255"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经度</w:t>
                  </w:r>
                </w:p>
              </w:tc>
              <w:tc>
                <w:tcPr>
                  <w:tcW w:w="1843"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112°19′51.67″</w:t>
                  </w:r>
                </w:p>
              </w:tc>
              <w:tc>
                <w:tcPr>
                  <w:tcW w:w="1559"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纬度</w:t>
                  </w:r>
                </w:p>
              </w:tc>
              <w:tc>
                <w:tcPr>
                  <w:tcW w:w="2059" w:type="dxa"/>
                  <w:tcBorders>
                    <w:top w:val="single" w:color="000000" w:sz="4" w:space="0"/>
                    <w:left w:val="nil"/>
                    <w:bottom w:val="single" w:color="000000" w:sz="4" w:space="0"/>
                    <w:right w:val="single" w:color="000000" w:sz="4" w:space="0"/>
                  </w:tcBorders>
                  <w:vAlign w:val="center"/>
                </w:tcPr>
                <w:p>
                  <w:pPr>
                    <w:pStyle w:val="53"/>
                    <w:jc w:val="center"/>
                    <w:rPr>
                      <w:rFonts w:ascii="Times New Roman" w:hAnsi="Times New Roman" w:cs="Times New Roman" w:eastAsiaTheme="minorEastAsia"/>
                      <w:color w:val="000000"/>
                      <w:szCs w:val="21"/>
                    </w:rPr>
                  </w:pPr>
                  <w:r>
                    <w:rPr>
                      <w:rFonts w:ascii="Times New Roman" w:hAnsi="Times New Roman" w:cs="Times New Roman" w:eastAsiaTheme="minorEastAsia"/>
                      <w:szCs w:val="21"/>
                    </w:rPr>
                    <w:t>32°30′36.97″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right"/>
              </w:trPr>
              <w:tc>
                <w:tcPr>
                  <w:tcW w:w="1348" w:type="dxa"/>
                  <w:tcBorders>
                    <w:top w:val="single" w:color="000000" w:sz="4" w:space="0"/>
                    <w:left w:val="single" w:color="000000" w:sz="4" w:space="0"/>
                    <w:bottom w:val="single" w:color="000000" w:sz="4" w:space="0"/>
                    <w:right w:val="single" w:color="000000" w:sz="4" w:space="0"/>
                  </w:tcBorders>
                </w:tcPr>
                <w:p>
                  <w:pPr>
                    <w:pStyle w:val="53"/>
                    <w:jc w:val="center"/>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主要危险物质</w:t>
                  </w:r>
                </w:p>
                <w:p>
                  <w:pPr>
                    <w:widowControl/>
                    <w:ind w:firstLine="316" w:firstLineChars="150"/>
                    <w:rPr>
                      <w:rFonts w:eastAsiaTheme="minorEastAsia"/>
                      <w:b/>
                      <w:color w:val="000000"/>
                      <w:szCs w:val="21"/>
                    </w:rPr>
                  </w:pPr>
                  <w:r>
                    <w:rPr>
                      <w:rFonts w:eastAsiaTheme="minorEastAsia"/>
                      <w:b/>
                      <w:color w:val="000000"/>
                      <w:szCs w:val="21"/>
                    </w:rPr>
                    <w:t>及分布</w:t>
                  </w:r>
                </w:p>
              </w:tc>
              <w:tc>
                <w:tcPr>
                  <w:tcW w:w="6716" w:type="dxa"/>
                  <w:gridSpan w:val="4"/>
                  <w:tcBorders>
                    <w:top w:val="single" w:color="000000" w:sz="4" w:space="0"/>
                    <w:left w:val="nil"/>
                    <w:bottom w:val="single" w:color="000000" w:sz="4" w:space="0"/>
                    <w:right w:val="single" w:color="000000" w:sz="4" w:space="0"/>
                  </w:tcBorders>
                  <w:vAlign w:val="center"/>
                </w:tcPr>
                <w:p>
                  <w:pPr>
                    <w:pStyle w:val="53"/>
                    <w:kinsoku w:val="0"/>
                    <w:overflowPunct w:val="0"/>
                    <w:ind w:firstLine="205" w:firstLineChars="98"/>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主要危险物质：液化石油气；分布：储罐区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right"/>
              </w:trPr>
              <w:tc>
                <w:tcPr>
                  <w:tcW w:w="1348" w:type="dxa"/>
                  <w:tcBorders>
                    <w:top w:val="single" w:color="000000" w:sz="4" w:space="0"/>
                    <w:left w:val="single" w:color="000000" w:sz="4" w:space="0"/>
                    <w:bottom w:val="single" w:color="000000" w:sz="4" w:space="0"/>
                    <w:right w:val="single" w:color="000000" w:sz="4" w:space="0"/>
                  </w:tcBorders>
                  <w:vAlign w:val="center"/>
                </w:tcPr>
                <w:p>
                  <w:pPr>
                    <w:pStyle w:val="53"/>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环境影响途径</w:t>
                  </w:r>
                </w:p>
                <w:p>
                  <w:pPr>
                    <w:pStyle w:val="53"/>
                    <w:jc w:val="center"/>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及危害后果</w:t>
                  </w:r>
                </w:p>
              </w:tc>
              <w:tc>
                <w:tcPr>
                  <w:tcW w:w="6716" w:type="dxa"/>
                  <w:gridSpan w:val="4"/>
                  <w:tcBorders>
                    <w:top w:val="single" w:color="000000" w:sz="4" w:space="0"/>
                    <w:left w:val="nil"/>
                    <w:bottom w:val="single" w:color="000000" w:sz="4" w:space="0"/>
                    <w:right w:val="single" w:color="000000" w:sz="4" w:space="0"/>
                  </w:tcBorders>
                  <w:vAlign w:val="center"/>
                </w:tcPr>
                <w:p>
                  <w:pPr>
                    <w:widowControl/>
                    <w:ind w:firstLine="315" w:firstLineChars="150"/>
                    <w:rPr>
                      <w:rFonts w:eastAsiaTheme="minorEastAsia"/>
                      <w:color w:val="000000"/>
                      <w:szCs w:val="21"/>
                    </w:rPr>
                  </w:pPr>
                  <w:r>
                    <w:rPr>
                      <w:rFonts w:hint="eastAsia" w:ascii="宋体" w:hAnsi="宋体" w:cs="宋体"/>
                      <w:color w:val="000000"/>
                      <w:szCs w:val="21"/>
                    </w:rPr>
                    <w:t>①</w:t>
                  </w:r>
                  <w:r>
                    <w:rPr>
                      <w:rFonts w:eastAsiaTheme="minorEastAsia"/>
                      <w:color w:val="000000"/>
                      <w:szCs w:val="21"/>
                    </w:rPr>
                    <w:t>泄漏液化石油气对人群健康危害影响</w:t>
                  </w:r>
                </w:p>
                <w:p>
                  <w:pPr>
                    <w:widowControl/>
                    <w:ind w:firstLine="315" w:firstLineChars="150"/>
                    <w:rPr>
                      <w:rFonts w:eastAsiaTheme="minorEastAsia"/>
                      <w:color w:val="000000"/>
                      <w:szCs w:val="21"/>
                    </w:rPr>
                  </w:pPr>
                  <w:r>
                    <w:rPr>
                      <w:rFonts w:eastAsiaTheme="minorEastAsia"/>
                      <w:color w:val="000000"/>
                      <w:szCs w:val="21"/>
                    </w:rPr>
                    <w:t>液化石油气泄漏事故对大气环境造成的影响较大，液化石油气的主要成份是丙烷、丙烯、丁烷、丁烯的混合物，对大气环境造成污染的主要是其中较轻的烃类组份，这些成份挥发进入大气形成烃类污染。若泄漏得不到及时处理，则烃类挥发时间持续较长，形成的污染就较严重。由于液化石油气极易燃，与空气混合能形成爆炸性混合物，遇热源和明火有燃烧爆炸的危险。且液化石油气一旦发生泄漏，极易气化，周围降温，并结冰成霜，若接触人体，会造成冻伤。</w:t>
                  </w:r>
                </w:p>
                <w:p>
                  <w:pPr>
                    <w:widowControl/>
                    <w:ind w:firstLine="315" w:firstLineChars="150"/>
                    <w:rPr>
                      <w:rFonts w:eastAsiaTheme="minorEastAsia"/>
                      <w:color w:val="000000"/>
                      <w:szCs w:val="21"/>
                    </w:rPr>
                  </w:pPr>
                  <w:r>
                    <w:rPr>
                      <w:rFonts w:hint="eastAsia" w:ascii="宋体" w:hAnsi="宋体" w:cs="宋体"/>
                      <w:color w:val="000000"/>
                      <w:szCs w:val="21"/>
                    </w:rPr>
                    <w:t>②</w:t>
                  </w:r>
                  <w:r>
                    <w:rPr>
                      <w:rFonts w:eastAsiaTheme="minorEastAsia"/>
                      <w:color w:val="000000"/>
                      <w:szCs w:val="21"/>
                    </w:rPr>
                    <w:t>次生污染物对环境影响</w:t>
                  </w:r>
                </w:p>
                <w:p>
                  <w:pPr>
                    <w:widowControl/>
                    <w:ind w:firstLine="315" w:firstLineChars="150"/>
                    <w:rPr>
                      <w:rFonts w:eastAsiaTheme="minorEastAsia"/>
                      <w:color w:val="000000"/>
                      <w:szCs w:val="21"/>
                    </w:rPr>
                  </w:pPr>
                  <w:r>
                    <w:rPr>
                      <w:rFonts w:eastAsiaTheme="minorEastAsia"/>
                      <w:color w:val="000000"/>
                      <w:szCs w:val="21"/>
                    </w:rPr>
                    <w:t>在事故状态下，若发生火灾或者爆炸事故，液化石油气燃烧产生的污染物主要是二氧化碳、水，仅在事故刚发生时有少量的丙烷、丙烯及丁烷等释放，且很快扩散，对环境空气产生的影响较小。当项目发生火灾时，立即用干粉灭火器（主要是含磷酸铵盐）灭火。磷酸铵盐无毒、无害、不溶于水。因此，项目灭火后可将磷酸铵盐清扫收集用作绿化肥料。</w:t>
                  </w:r>
                </w:p>
                <w:p>
                  <w:pPr>
                    <w:widowControl/>
                    <w:ind w:firstLine="315" w:firstLineChars="150"/>
                    <w:rPr>
                      <w:rFonts w:eastAsiaTheme="minorEastAsia"/>
                      <w:color w:val="000000"/>
                      <w:szCs w:val="21"/>
                    </w:rPr>
                  </w:pPr>
                  <w:r>
                    <w:rPr>
                      <w:rFonts w:hint="eastAsia" w:ascii="宋体" w:hAnsi="宋体" w:cs="宋体"/>
                      <w:color w:val="000000"/>
                      <w:szCs w:val="21"/>
                    </w:rPr>
                    <w:t>③</w:t>
                  </w:r>
                  <w:r>
                    <w:rPr>
                      <w:rFonts w:eastAsiaTheme="minorEastAsia"/>
                      <w:color w:val="000000"/>
                      <w:szCs w:val="21"/>
                    </w:rPr>
                    <w:t>对环境敏感点的影响分析</w:t>
                  </w:r>
                </w:p>
                <w:p>
                  <w:pPr>
                    <w:widowControl/>
                    <w:ind w:firstLine="315" w:firstLineChars="150"/>
                    <w:rPr>
                      <w:rFonts w:eastAsiaTheme="minorEastAsia"/>
                      <w:color w:val="000000"/>
                      <w:szCs w:val="21"/>
                    </w:rPr>
                  </w:pPr>
                  <w:r>
                    <w:rPr>
                      <w:rFonts w:eastAsiaTheme="minorEastAsia"/>
                      <w:color w:val="000000"/>
                      <w:szCs w:val="21"/>
                    </w:rPr>
                    <w:t>项目液化石油气事故状态下，通过采取相应的风险防范措施和建立突发事故应急预案后，发生事故的概率较低，事故的影响也能降至可接受水平。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right"/>
              </w:trPr>
              <w:tc>
                <w:tcPr>
                  <w:tcW w:w="1348" w:type="dxa"/>
                  <w:tcBorders>
                    <w:top w:val="single" w:color="000000" w:sz="4" w:space="0"/>
                    <w:left w:val="single" w:color="000000" w:sz="4" w:space="0"/>
                    <w:bottom w:val="single" w:color="auto" w:sz="4" w:space="0"/>
                    <w:right w:val="single" w:color="000000" w:sz="4" w:space="0"/>
                  </w:tcBorders>
                  <w:vAlign w:val="center"/>
                </w:tcPr>
                <w:p>
                  <w:pPr>
                    <w:pStyle w:val="53"/>
                    <w:jc w:val="center"/>
                    <w:rPr>
                      <w:rFonts w:ascii="Times New Roman" w:hAnsi="Times New Roman" w:cs="Times New Roman" w:eastAsiaTheme="minorEastAsia"/>
                      <w:b/>
                      <w:color w:val="000000"/>
                      <w:szCs w:val="21"/>
                    </w:rPr>
                  </w:pPr>
                  <w:r>
                    <w:rPr>
                      <w:rFonts w:ascii="Times New Roman" w:hAnsi="Times New Roman" w:cs="Times New Roman" w:eastAsiaTheme="minorEastAsia"/>
                      <w:b/>
                      <w:color w:val="000000"/>
                      <w:szCs w:val="21"/>
                    </w:rPr>
                    <w:t>风险防范措施要求</w:t>
                  </w:r>
                </w:p>
              </w:tc>
              <w:tc>
                <w:tcPr>
                  <w:tcW w:w="6716" w:type="dxa"/>
                  <w:gridSpan w:val="4"/>
                  <w:tcBorders>
                    <w:top w:val="single" w:color="000000" w:sz="4" w:space="0"/>
                    <w:left w:val="nil"/>
                    <w:bottom w:val="single" w:color="000000" w:sz="4" w:space="0"/>
                    <w:right w:val="single" w:color="000000" w:sz="4" w:space="0"/>
                  </w:tcBorders>
                </w:tcPr>
                <w:p>
                  <w:pPr>
                    <w:widowControl/>
                    <w:ind w:firstLine="315" w:firstLineChars="150"/>
                    <w:rPr>
                      <w:rFonts w:eastAsiaTheme="minorEastAsia"/>
                      <w:color w:val="000000"/>
                      <w:szCs w:val="21"/>
                    </w:rPr>
                  </w:pPr>
                  <w:r>
                    <w:rPr>
                      <w:rFonts w:eastAsiaTheme="minorEastAsia"/>
                      <w:color w:val="000000"/>
                      <w:szCs w:val="21"/>
                    </w:rPr>
                    <w:t>（1）选址、总图布置防范措施</w:t>
                  </w:r>
                </w:p>
                <w:p>
                  <w:pPr>
                    <w:widowControl/>
                    <w:ind w:firstLine="315" w:firstLineChars="150"/>
                    <w:rPr>
                      <w:rFonts w:eastAsiaTheme="minorEastAsia"/>
                      <w:color w:val="000000"/>
                      <w:szCs w:val="21"/>
                    </w:rPr>
                  </w:pPr>
                  <w:r>
                    <w:rPr>
                      <w:rFonts w:eastAsiaTheme="minorEastAsia"/>
                      <w:color w:val="000000"/>
                      <w:szCs w:val="21"/>
                    </w:rPr>
                    <w:t>厂区平面布置时，充分考虑具有火灾和爆炸危险性建筑的安全布局。满足防火、防爆规定，保证各建筑物间的足够距离和消防通道，实现生产运行、防火安全与工业卫生的协调。</w:t>
                  </w:r>
                </w:p>
                <w:p>
                  <w:pPr>
                    <w:widowControl/>
                    <w:ind w:firstLine="315" w:firstLineChars="150"/>
                    <w:rPr>
                      <w:rFonts w:eastAsiaTheme="minorEastAsia"/>
                      <w:color w:val="000000"/>
                      <w:szCs w:val="21"/>
                    </w:rPr>
                  </w:pPr>
                  <w:r>
                    <w:rPr>
                      <w:rFonts w:eastAsiaTheme="minorEastAsia"/>
                      <w:color w:val="000000"/>
                      <w:szCs w:val="21"/>
                    </w:rPr>
                    <w:t>（2）工程设计配备的安全对策、措施</w:t>
                  </w:r>
                </w:p>
                <w:p>
                  <w:pPr>
                    <w:widowControl/>
                    <w:ind w:firstLine="315" w:firstLineChars="150"/>
                    <w:rPr>
                      <w:rFonts w:eastAsiaTheme="minorEastAsia"/>
                      <w:color w:val="000000"/>
                      <w:szCs w:val="21"/>
                    </w:rPr>
                  </w:pPr>
                  <w:r>
                    <w:rPr>
                      <w:rFonts w:hint="eastAsia" w:ascii="宋体" w:hAnsi="宋体" w:cs="宋体"/>
                      <w:color w:val="000000"/>
                      <w:szCs w:val="21"/>
                    </w:rPr>
                    <w:t>①</w:t>
                  </w:r>
                  <w:r>
                    <w:rPr>
                      <w:rFonts w:eastAsiaTheme="minorEastAsia"/>
                      <w:color w:val="000000"/>
                      <w:szCs w:val="21"/>
                    </w:rPr>
                    <w:t>设置预防事故设施：检测、报警设施如设置可燃气体报警仪，站区设置防雷和静电接地设施，电器过载保护设施，配备一定的防爆工具，设置防噪音设施，站区设置安全警示标志等。</w:t>
                  </w:r>
                </w:p>
                <w:p>
                  <w:pPr>
                    <w:widowControl/>
                    <w:ind w:firstLine="315" w:firstLineChars="150"/>
                    <w:rPr>
                      <w:rFonts w:eastAsiaTheme="minorEastAsia"/>
                      <w:color w:val="000000"/>
                      <w:szCs w:val="21"/>
                    </w:rPr>
                  </w:pPr>
                  <w:r>
                    <w:rPr>
                      <w:rFonts w:hint="eastAsia" w:ascii="宋体" w:hAnsi="宋体" w:cs="宋体"/>
                      <w:color w:val="000000"/>
                      <w:szCs w:val="21"/>
                    </w:rPr>
                    <w:t>②</w:t>
                  </w:r>
                  <w:r>
                    <w:rPr>
                      <w:rFonts w:eastAsiaTheme="minorEastAsia"/>
                      <w:color w:val="000000"/>
                      <w:szCs w:val="21"/>
                    </w:rPr>
                    <w:t>设置控制事故设施如安全阀、紧急备用电源设施、紧急停车设施等。</w:t>
                  </w:r>
                </w:p>
                <w:p>
                  <w:pPr>
                    <w:widowControl/>
                    <w:ind w:firstLine="315" w:firstLineChars="150"/>
                    <w:rPr>
                      <w:rFonts w:eastAsiaTheme="minorEastAsia"/>
                      <w:color w:val="000000"/>
                      <w:szCs w:val="21"/>
                    </w:rPr>
                  </w:pPr>
                  <w:r>
                    <w:rPr>
                      <w:rFonts w:hint="eastAsia" w:ascii="宋体" w:hAnsi="宋体" w:cs="宋体"/>
                      <w:color w:val="000000"/>
                      <w:szCs w:val="21"/>
                    </w:rPr>
                    <w:t>③</w:t>
                  </w:r>
                  <w:r>
                    <w:rPr>
                      <w:rFonts w:eastAsiaTheme="minorEastAsia"/>
                      <w:color w:val="000000"/>
                      <w:szCs w:val="21"/>
                    </w:rPr>
                    <w:t>设置减少与消除事故影响设施如设置防爆墙，涂刷防火涂料，设置灭火设施，配备一定种类和数量的药品及医疗器械，员工配备劳动防护用品及装备等。</w:t>
                  </w:r>
                </w:p>
                <w:p>
                  <w:pPr>
                    <w:widowControl/>
                    <w:ind w:firstLine="315" w:firstLineChars="150"/>
                    <w:rPr>
                      <w:rFonts w:eastAsiaTheme="minorEastAsia"/>
                      <w:color w:val="000000"/>
                      <w:szCs w:val="21"/>
                    </w:rPr>
                  </w:pPr>
                  <w:r>
                    <w:rPr>
                      <w:rFonts w:hint="eastAsia" w:ascii="宋体" w:hAnsi="宋体" w:cs="宋体"/>
                      <w:color w:val="000000"/>
                      <w:szCs w:val="21"/>
                    </w:rPr>
                    <w:t>④</w:t>
                  </w:r>
                  <w:r>
                    <w:rPr>
                      <w:rFonts w:eastAsiaTheme="minorEastAsia"/>
                      <w:color w:val="000000"/>
                      <w:szCs w:val="21"/>
                    </w:rPr>
                    <w:t>严格按照有关法规及规范选址，防火间距必须满足规范的有关要求；</w:t>
                  </w:r>
                </w:p>
                <w:p>
                  <w:pPr>
                    <w:widowControl/>
                    <w:ind w:firstLine="315" w:firstLineChars="150"/>
                    <w:rPr>
                      <w:rFonts w:eastAsiaTheme="minorEastAsia"/>
                      <w:color w:val="000000"/>
                      <w:szCs w:val="21"/>
                    </w:rPr>
                  </w:pPr>
                  <w:r>
                    <w:rPr>
                      <w:rFonts w:hint="eastAsia" w:ascii="宋体" w:hAnsi="宋体" w:cs="宋体"/>
                      <w:color w:val="000000"/>
                      <w:szCs w:val="21"/>
                    </w:rPr>
                    <w:t>⑤</w:t>
                  </w:r>
                  <w:r>
                    <w:rPr>
                      <w:rFonts w:eastAsiaTheme="minorEastAsia"/>
                      <w:color w:val="000000"/>
                      <w:szCs w:val="21"/>
                    </w:rPr>
                    <w:t>为减轻储罐腐蚀，采取环氧粉末涂层防腐结构，外加电流阴极保护；</w:t>
                  </w:r>
                </w:p>
                <w:p>
                  <w:pPr>
                    <w:widowControl/>
                    <w:ind w:firstLine="315" w:firstLineChars="150"/>
                    <w:rPr>
                      <w:rFonts w:eastAsiaTheme="minorEastAsia"/>
                      <w:color w:val="000000"/>
                      <w:szCs w:val="21"/>
                    </w:rPr>
                  </w:pPr>
                  <w:r>
                    <w:rPr>
                      <w:rFonts w:hint="eastAsia" w:ascii="宋体" w:hAnsi="宋体" w:cs="宋体"/>
                      <w:color w:val="000000"/>
                      <w:szCs w:val="21"/>
                    </w:rPr>
                    <w:t>⑥</w:t>
                  </w:r>
                  <w:r>
                    <w:rPr>
                      <w:rFonts w:eastAsiaTheme="minorEastAsia"/>
                      <w:color w:val="000000"/>
                      <w:szCs w:val="21"/>
                    </w:rPr>
                    <w:t>储罐区设置导排沟，让事故废水进入应急水池中，保证发生火灾、爆炸事故时产生的消防废水能全部进入事故池，避免事故废水外排。</w:t>
                  </w:r>
                </w:p>
                <w:p>
                  <w:pPr>
                    <w:widowControl/>
                    <w:ind w:firstLine="315" w:firstLineChars="150"/>
                    <w:rPr>
                      <w:rFonts w:eastAsiaTheme="minorEastAsia"/>
                      <w:color w:val="000000"/>
                      <w:szCs w:val="21"/>
                    </w:rPr>
                  </w:pPr>
                  <w:r>
                    <w:rPr>
                      <w:rFonts w:eastAsiaTheme="minorEastAsia"/>
                      <w:color w:val="000000"/>
                      <w:szCs w:val="21"/>
                    </w:rPr>
                    <w:t>（3）事故防范措施</w:t>
                  </w:r>
                </w:p>
                <w:p>
                  <w:pPr>
                    <w:widowControl/>
                    <w:ind w:firstLine="315" w:firstLineChars="150"/>
                    <w:rPr>
                      <w:rFonts w:eastAsiaTheme="minorEastAsia"/>
                      <w:color w:val="000000"/>
                      <w:szCs w:val="21"/>
                    </w:rPr>
                  </w:pPr>
                  <w:r>
                    <w:rPr>
                      <w:rFonts w:hint="eastAsia" w:ascii="宋体" w:hAnsi="宋体" w:cs="宋体"/>
                      <w:color w:val="000000"/>
                      <w:szCs w:val="21"/>
                    </w:rPr>
                    <w:t>①</w:t>
                  </w:r>
                  <w:r>
                    <w:rPr>
                      <w:rFonts w:eastAsiaTheme="minorEastAsia"/>
                      <w:color w:val="000000"/>
                      <w:szCs w:val="21"/>
                    </w:rPr>
                    <w:t>泄露的液化石油气遇明火引起爆炸或火灾，在用水进行灭火时，会产生消防废水。项目站区设置1个20m</w:t>
                  </w:r>
                  <w:r>
                    <w:rPr>
                      <w:rFonts w:eastAsiaTheme="minorEastAsia"/>
                      <w:color w:val="000000"/>
                      <w:szCs w:val="21"/>
                      <w:vertAlign w:val="superscript"/>
                    </w:rPr>
                    <w:t>3</w:t>
                  </w:r>
                  <w:r>
                    <w:rPr>
                      <w:rFonts w:eastAsiaTheme="minorEastAsia"/>
                      <w:color w:val="000000"/>
                      <w:szCs w:val="21"/>
                    </w:rPr>
                    <w:t>的消防水池，并配套建设1个10m</w:t>
                  </w:r>
                  <w:r>
                    <w:rPr>
                      <w:rFonts w:eastAsiaTheme="minorEastAsia"/>
                      <w:color w:val="000000"/>
                      <w:szCs w:val="21"/>
                      <w:vertAlign w:val="superscript"/>
                    </w:rPr>
                    <w:t>3</w:t>
                  </w:r>
                  <w:r>
                    <w:rPr>
                      <w:rFonts w:eastAsiaTheme="minorEastAsia"/>
                      <w:color w:val="000000"/>
                      <w:szCs w:val="21"/>
                    </w:rPr>
                    <w:t>的事故应急池。</w:t>
                  </w:r>
                </w:p>
                <w:p>
                  <w:pPr>
                    <w:widowControl/>
                    <w:ind w:firstLine="315" w:firstLineChars="150"/>
                    <w:rPr>
                      <w:rFonts w:eastAsiaTheme="minorEastAsia"/>
                      <w:color w:val="000000"/>
                      <w:szCs w:val="21"/>
                    </w:rPr>
                  </w:pPr>
                  <w:r>
                    <w:rPr>
                      <w:rFonts w:hint="eastAsia" w:ascii="宋体" w:hAnsi="宋体" w:cs="宋体"/>
                      <w:color w:val="000000"/>
                      <w:szCs w:val="21"/>
                    </w:rPr>
                    <w:t>②</w:t>
                  </w:r>
                  <w:r>
                    <w:rPr>
                      <w:rFonts w:eastAsiaTheme="minorEastAsia"/>
                      <w:color w:val="000000"/>
                      <w:szCs w:val="21"/>
                    </w:rPr>
                    <w:t>设置过流保护及紧急切断装置，进一步提高工艺管线及阀门质量，并加强其日常维护保养。</w:t>
                  </w:r>
                </w:p>
                <w:p>
                  <w:pPr>
                    <w:widowControl/>
                    <w:ind w:firstLine="315" w:firstLineChars="150"/>
                    <w:rPr>
                      <w:rFonts w:eastAsiaTheme="minorEastAsia"/>
                      <w:color w:val="000000"/>
                      <w:szCs w:val="21"/>
                    </w:rPr>
                  </w:pPr>
                  <w:r>
                    <w:rPr>
                      <w:rFonts w:hint="eastAsia" w:ascii="宋体" w:hAnsi="宋体" w:cs="宋体"/>
                      <w:color w:val="000000"/>
                      <w:szCs w:val="21"/>
                    </w:rPr>
                    <w:t>③</w:t>
                  </w:r>
                  <w:r>
                    <w:rPr>
                      <w:rFonts w:eastAsiaTheme="minorEastAsia"/>
                      <w:color w:val="000000"/>
                      <w:szCs w:val="21"/>
                    </w:rPr>
                    <w:t>做好用气设备和钢瓶的维修检验工作；</w:t>
                  </w:r>
                </w:p>
                <w:p>
                  <w:pPr>
                    <w:widowControl/>
                    <w:ind w:firstLine="315" w:firstLineChars="150"/>
                    <w:rPr>
                      <w:rFonts w:eastAsiaTheme="minorEastAsia"/>
                      <w:color w:val="000000"/>
                      <w:szCs w:val="21"/>
                    </w:rPr>
                  </w:pPr>
                  <w:r>
                    <w:rPr>
                      <w:rFonts w:hint="eastAsia" w:ascii="宋体" w:hAnsi="宋体" w:cs="宋体"/>
                      <w:color w:val="000000"/>
                      <w:szCs w:val="21"/>
                    </w:rPr>
                    <w:t>④</w:t>
                  </w:r>
                  <w:r>
                    <w:rPr>
                      <w:rFonts w:eastAsiaTheme="minorEastAsia"/>
                      <w:color w:val="000000"/>
                      <w:szCs w:val="21"/>
                    </w:rPr>
                    <w:t>配置消防器材、加强防爆电气设备的日常巡视和检查工作；</w:t>
                  </w:r>
                </w:p>
                <w:p>
                  <w:pPr>
                    <w:widowControl/>
                    <w:ind w:firstLine="315" w:firstLineChars="150"/>
                    <w:rPr>
                      <w:rFonts w:eastAsiaTheme="minorEastAsia"/>
                      <w:color w:val="000000"/>
                      <w:szCs w:val="21"/>
                    </w:rPr>
                  </w:pPr>
                  <w:r>
                    <w:rPr>
                      <w:rFonts w:hint="eastAsia" w:ascii="宋体" w:hAnsi="宋体" w:cs="宋体"/>
                      <w:color w:val="000000"/>
                      <w:szCs w:val="21"/>
                    </w:rPr>
                    <w:t>⑤</w:t>
                  </w:r>
                  <w:r>
                    <w:rPr>
                      <w:rFonts w:eastAsiaTheme="minorEastAsia"/>
                      <w:color w:val="000000"/>
                      <w:szCs w:val="21"/>
                    </w:rPr>
                    <w:t>装有石油液化气的气罐，严禁运输距离超过50公里；罐内气体相互接触可引起燃烧、爆炸、产生毒物的气瓶，不得同车（厢）运输；易燃、易爆、腐蚀性物品或与罐内气体起化学反应的物品，不得与气罐一起运输；</w:t>
                  </w:r>
                </w:p>
                <w:p>
                  <w:pPr>
                    <w:widowControl/>
                    <w:ind w:firstLine="315" w:firstLineChars="150"/>
                    <w:rPr>
                      <w:rFonts w:eastAsiaTheme="minorEastAsia"/>
                      <w:color w:val="000000"/>
                      <w:szCs w:val="21"/>
                    </w:rPr>
                  </w:pPr>
                  <w:r>
                    <w:rPr>
                      <w:rFonts w:hint="eastAsia" w:ascii="宋体" w:hAnsi="宋体" w:cs="宋体"/>
                      <w:color w:val="000000"/>
                      <w:szCs w:val="21"/>
                    </w:rPr>
                    <w:t>⑥</w:t>
                  </w:r>
                  <w:r>
                    <w:rPr>
                      <w:rFonts w:eastAsiaTheme="minorEastAsia"/>
                      <w:color w:val="000000"/>
                      <w:szCs w:val="21"/>
                    </w:rPr>
                    <w:t>应保证有减轻事故危害与确保现场人员有足够的抢救或撤离时间等方面的技术措施；</w:t>
                  </w:r>
                </w:p>
                <w:p>
                  <w:pPr>
                    <w:widowControl/>
                    <w:ind w:firstLine="315" w:firstLineChars="150"/>
                    <w:rPr>
                      <w:rFonts w:eastAsiaTheme="minorEastAsia"/>
                      <w:szCs w:val="21"/>
                    </w:rPr>
                  </w:pPr>
                  <w:r>
                    <w:rPr>
                      <w:rFonts w:hint="eastAsia" w:ascii="宋体" w:hAnsi="宋体" w:cs="宋体"/>
                      <w:color w:val="000000"/>
                      <w:szCs w:val="21"/>
                    </w:rPr>
                    <w:t>⑦</w:t>
                  </w:r>
                  <w:r>
                    <w:rPr>
                      <w:rFonts w:eastAsiaTheme="minorEastAsia"/>
                      <w:color w:val="000000"/>
                      <w:szCs w:val="21"/>
                    </w:rPr>
                    <w:t>定期检查储罐区事故池及导排沟的完好性，并定期清理导排沟，避免导排沟出现堵塞现象，保证发生事故时消防废水能全部进入事故池。</w:t>
                  </w:r>
                </w:p>
              </w:tc>
            </w:tr>
          </w:tbl>
          <w:p>
            <w:pPr>
              <w:tabs>
                <w:tab w:val="left" w:pos="1081"/>
              </w:tabs>
              <w:adjustRightInd w:val="0"/>
              <w:snapToGrid w:val="0"/>
              <w:spacing w:line="360" w:lineRule="auto"/>
              <w:ind w:firstLine="482" w:firstLineChars="200"/>
              <w:rPr>
                <w:b/>
                <w:color w:val="000000"/>
                <w:sz w:val="24"/>
              </w:rPr>
            </w:pPr>
            <w:r>
              <w:rPr>
                <w:rFonts w:hint="eastAsia"/>
                <w:b/>
                <w:color w:val="000000"/>
                <w:sz w:val="24"/>
              </w:rPr>
              <w:t>8、环保投资估算</w:t>
            </w:r>
          </w:p>
          <w:p>
            <w:pPr>
              <w:widowControl/>
              <w:adjustRightInd w:val="0"/>
              <w:snapToGrid w:val="0"/>
              <w:spacing w:line="360" w:lineRule="auto"/>
              <w:ind w:firstLine="480" w:firstLineChars="200"/>
              <w:rPr>
                <w:bCs/>
                <w:color w:val="000000"/>
                <w:sz w:val="24"/>
              </w:rPr>
            </w:pPr>
            <w:r>
              <w:rPr>
                <w:bCs/>
                <w:color w:val="000000"/>
                <w:sz w:val="24"/>
              </w:rPr>
              <w:t>本</w:t>
            </w:r>
            <w:r>
              <w:rPr>
                <w:rFonts w:hint="eastAsia"/>
                <w:bCs/>
                <w:color w:val="000000"/>
                <w:sz w:val="24"/>
              </w:rPr>
              <w:t>项目</w:t>
            </w:r>
            <w:r>
              <w:rPr>
                <w:bCs/>
                <w:color w:val="000000"/>
                <w:sz w:val="24"/>
              </w:rPr>
              <w:t>总投资为</w:t>
            </w:r>
            <w:r>
              <w:rPr>
                <w:rFonts w:hint="eastAsia"/>
                <w:bCs/>
                <w:color w:val="000000"/>
                <w:sz w:val="24"/>
              </w:rPr>
              <w:t>30万元</w:t>
            </w:r>
            <w:r>
              <w:rPr>
                <w:bCs/>
                <w:color w:val="000000"/>
                <w:sz w:val="24"/>
              </w:rPr>
              <w:t>，环保投资占总投资的比例约为</w:t>
            </w:r>
            <w:r>
              <w:rPr>
                <w:rFonts w:hint="eastAsia"/>
                <w:bCs/>
                <w:color w:val="000000"/>
                <w:sz w:val="24"/>
              </w:rPr>
              <w:t>38.3%，</w:t>
            </w:r>
            <w:r>
              <w:rPr>
                <w:bCs/>
                <w:color w:val="000000"/>
                <w:sz w:val="24"/>
              </w:rPr>
              <w:t>见</w:t>
            </w:r>
            <w:r>
              <w:rPr>
                <w:rFonts w:hint="eastAsia"/>
                <w:bCs/>
                <w:color w:val="000000"/>
                <w:sz w:val="24"/>
              </w:rPr>
              <w:t>下表</w:t>
            </w:r>
            <w:r>
              <w:rPr>
                <w:bCs/>
                <w:color w:val="000000"/>
                <w:sz w:val="24"/>
              </w:rPr>
              <w:t>。</w:t>
            </w:r>
          </w:p>
          <w:p>
            <w:pPr>
              <w:widowControl/>
              <w:adjustRightInd w:val="0"/>
              <w:snapToGrid w:val="0"/>
              <w:spacing w:line="360" w:lineRule="auto"/>
              <w:ind w:firstLine="482"/>
              <w:jc w:val="center"/>
              <w:rPr>
                <w:b/>
                <w:sz w:val="24"/>
              </w:rPr>
            </w:pPr>
            <w:r>
              <w:rPr>
                <w:b/>
                <w:sz w:val="24"/>
              </w:rPr>
              <w:t>表</w:t>
            </w:r>
            <w:r>
              <w:rPr>
                <w:rFonts w:hint="eastAsia"/>
                <w:b/>
                <w:sz w:val="24"/>
              </w:rPr>
              <w:t xml:space="preserve">4-31         </w:t>
            </w:r>
            <w:r>
              <w:rPr>
                <w:b/>
                <w:sz w:val="24"/>
              </w:rPr>
              <w:t>环保投资一览表</w:t>
            </w:r>
          </w:p>
          <w:tbl>
            <w:tblPr>
              <w:tblStyle w:val="30"/>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85"/>
              <w:gridCol w:w="1276"/>
              <w:gridCol w:w="338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41" w:type="dxa"/>
                  <w:vAlign w:val="center"/>
                </w:tcPr>
                <w:p>
                  <w:pPr>
                    <w:spacing w:line="320" w:lineRule="exact"/>
                    <w:jc w:val="center"/>
                    <w:outlineLvl w:val="1"/>
                    <w:rPr>
                      <w:rFonts w:hAnsi="宋体"/>
                      <w:szCs w:val="21"/>
                    </w:rPr>
                  </w:pPr>
                  <w:r>
                    <w:rPr>
                      <w:rFonts w:hint="eastAsia" w:hAnsi="宋体"/>
                      <w:szCs w:val="21"/>
                    </w:rPr>
                    <w:t>类型</w:t>
                  </w:r>
                </w:p>
              </w:tc>
              <w:tc>
                <w:tcPr>
                  <w:tcW w:w="1585" w:type="dxa"/>
                  <w:vAlign w:val="center"/>
                </w:tcPr>
                <w:p>
                  <w:pPr>
                    <w:spacing w:line="320" w:lineRule="exact"/>
                    <w:jc w:val="center"/>
                    <w:outlineLvl w:val="1"/>
                    <w:rPr>
                      <w:rFonts w:hAnsi="宋体"/>
                      <w:szCs w:val="21"/>
                    </w:rPr>
                  </w:pPr>
                  <w:r>
                    <w:rPr>
                      <w:rFonts w:hint="eastAsia" w:hAnsi="宋体"/>
                      <w:szCs w:val="21"/>
                    </w:rPr>
                    <w:t>污染源</w:t>
                  </w:r>
                </w:p>
              </w:tc>
              <w:tc>
                <w:tcPr>
                  <w:tcW w:w="1276" w:type="dxa"/>
                  <w:vAlign w:val="center"/>
                </w:tcPr>
                <w:p>
                  <w:pPr>
                    <w:spacing w:line="320" w:lineRule="exact"/>
                    <w:jc w:val="center"/>
                    <w:outlineLvl w:val="1"/>
                    <w:rPr>
                      <w:rFonts w:hAnsi="宋体"/>
                      <w:szCs w:val="21"/>
                    </w:rPr>
                  </w:pPr>
                  <w:r>
                    <w:rPr>
                      <w:rFonts w:hint="eastAsia" w:hAnsi="宋体"/>
                      <w:szCs w:val="21"/>
                    </w:rPr>
                    <w:t>主要污染物</w:t>
                  </w:r>
                </w:p>
              </w:tc>
              <w:tc>
                <w:tcPr>
                  <w:tcW w:w="3384" w:type="dxa"/>
                  <w:vAlign w:val="center"/>
                </w:tcPr>
                <w:p>
                  <w:pPr>
                    <w:spacing w:line="320" w:lineRule="exact"/>
                    <w:jc w:val="center"/>
                    <w:outlineLvl w:val="1"/>
                    <w:rPr>
                      <w:rFonts w:hAnsi="宋体"/>
                      <w:szCs w:val="21"/>
                    </w:rPr>
                  </w:pPr>
                  <w:r>
                    <w:rPr>
                      <w:rFonts w:hint="eastAsia" w:hAnsi="宋体"/>
                      <w:szCs w:val="21"/>
                    </w:rPr>
                    <w:t>环保措施</w:t>
                  </w:r>
                </w:p>
              </w:tc>
              <w:tc>
                <w:tcPr>
                  <w:tcW w:w="1060" w:type="dxa"/>
                  <w:vAlign w:val="center"/>
                </w:tcPr>
                <w:p>
                  <w:pPr>
                    <w:spacing w:line="320" w:lineRule="exact"/>
                    <w:jc w:val="center"/>
                    <w:outlineLvl w:val="1"/>
                    <w:rPr>
                      <w:rFonts w:hAnsi="宋体"/>
                      <w:szCs w:val="21"/>
                    </w:rPr>
                  </w:pPr>
                  <w:r>
                    <w:rPr>
                      <w:rFonts w:hAnsi="宋体"/>
                      <w:szCs w:val="21"/>
                    </w:rPr>
                    <w:t>投资</w:t>
                  </w:r>
                </w:p>
                <w:p>
                  <w:pPr>
                    <w:spacing w:line="320" w:lineRule="exact"/>
                    <w:jc w:val="center"/>
                    <w:outlineLvl w:val="1"/>
                    <w:rPr>
                      <w:rFonts w:hAnsi="宋体"/>
                      <w:szCs w:val="21"/>
                    </w:rPr>
                  </w:pPr>
                  <w:r>
                    <w:rPr>
                      <w:rFonts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vAlign w:val="center"/>
                </w:tcPr>
                <w:p>
                  <w:pPr>
                    <w:spacing w:line="320" w:lineRule="exact"/>
                    <w:jc w:val="center"/>
                    <w:outlineLvl w:val="1"/>
                    <w:rPr>
                      <w:rFonts w:hAnsi="宋体"/>
                      <w:szCs w:val="21"/>
                    </w:rPr>
                  </w:pPr>
                  <w:r>
                    <w:rPr>
                      <w:rFonts w:hint="eastAsia" w:hAnsi="宋体"/>
                      <w:szCs w:val="21"/>
                    </w:rPr>
                    <w:t>废水</w:t>
                  </w:r>
                </w:p>
              </w:tc>
              <w:tc>
                <w:tcPr>
                  <w:tcW w:w="1585" w:type="dxa"/>
                  <w:vAlign w:val="center"/>
                </w:tcPr>
                <w:p>
                  <w:pPr>
                    <w:spacing w:line="320" w:lineRule="exact"/>
                    <w:jc w:val="center"/>
                    <w:outlineLvl w:val="1"/>
                    <w:rPr>
                      <w:rFonts w:hAnsi="宋体"/>
                      <w:szCs w:val="21"/>
                    </w:rPr>
                  </w:pPr>
                  <w:r>
                    <w:rPr>
                      <w:rFonts w:hint="eastAsia" w:hAnsi="宋体"/>
                      <w:szCs w:val="21"/>
                    </w:rPr>
                    <w:t>职工生活污水</w:t>
                  </w:r>
                </w:p>
              </w:tc>
              <w:tc>
                <w:tcPr>
                  <w:tcW w:w="1276" w:type="dxa"/>
                  <w:vAlign w:val="center"/>
                </w:tcPr>
                <w:p>
                  <w:pPr>
                    <w:spacing w:line="320" w:lineRule="exact"/>
                    <w:jc w:val="center"/>
                    <w:outlineLvl w:val="1"/>
                    <w:rPr>
                      <w:rFonts w:hAnsi="宋体"/>
                      <w:szCs w:val="21"/>
                    </w:rPr>
                  </w:pPr>
                  <w:r>
                    <w:rPr>
                      <w:rFonts w:hint="eastAsia" w:hAnsi="宋体"/>
                      <w:szCs w:val="21"/>
                    </w:rPr>
                    <w:t>COD、NH</w:t>
                  </w:r>
                  <w:r>
                    <w:rPr>
                      <w:rFonts w:hint="eastAsia" w:hAnsi="宋体"/>
                      <w:szCs w:val="21"/>
                      <w:vertAlign w:val="subscript"/>
                    </w:rPr>
                    <w:t>3</w:t>
                  </w:r>
                  <w:r>
                    <w:rPr>
                      <w:rFonts w:hint="eastAsia" w:hAnsi="宋体"/>
                      <w:szCs w:val="21"/>
                    </w:rPr>
                    <w:t>-N、SS</w:t>
                  </w:r>
                </w:p>
              </w:tc>
              <w:tc>
                <w:tcPr>
                  <w:tcW w:w="3384" w:type="dxa"/>
                  <w:vAlign w:val="center"/>
                </w:tcPr>
                <w:p>
                  <w:pPr>
                    <w:spacing w:line="320" w:lineRule="exact"/>
                    <w:jc w:val="center"/>
                    <w:outlineLvl w:val="1"/>
                    <w:rPr>
                      <w:rFonts w:hAnsi="宋体"/>
                      <w:szCs w:val="21"/>
                    </w:rPr>
                  </w:pPr>
                  <w:r>
                    <w:rPr>
                      <w:rFonts w:hint="eastAsia"/>
                      <w:bCs/>
                      <w:color w:val="000000"/>
                      <w:szCs w:val="21"/>
                    </w:rPr>
                    <w:t>经化粪池（容积3m</w:t>
                  </w:r>
                  <w:r>
                    <w:rPr>
                      <w:rFonts w:hint="eastAsia"/>
                      <w:bCs/>
                      <w:color w:val="000000"/>
                      <w:szCs w:val="21"/>
                      <w:vertAlign w:val="superscript"/>
                    </w:rPr>
                    <w:t>3</w:t>
                  </w:r>
                  <w:r>
                    <w:rPr>
                      <w:rFonts w:hint="eastAsia"/>
                      <w:bCs/>
                      <w:color w:val="000000"/>
                      <w:szCs w:val="21"/>
                    </w:rPr>
                    <w:t>，三防措施）处理后用于周围农田施肥</w:t>
                  </w:r>
                </w:p>
              </w:tc>
              <w:tc>
                <w:tcPr>
                  <w:tcW w:w="1060" w:type="dxa"/>
                  <w:vAlign w:val="center"/>
                </w:tcPr>
                <w:p>
                  <w:pPr>
                    <w:spacing w:line="320" w:lineRule="exact"/>
                    <w:jc w:val="center"/>
                    <w:outlineLvl w:val="1"/>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vMerge w:val="restart"/>
                  <w:vAlign w:val="center"/>
                </w:tcPr>
                <w:p>
                  <w:pPr>
                    <w:spacing w:line="320" w:lineRule="exact"/>
                    <w:jc w:val="center"/>
                    <w:outlineLvl w:val="1"/>
                    <w:rPr>
                      <w:rFonts w:hAnsi="宋体"/>
                      <w:szCs w:val="21"/>
                    </w:rPr>
                  </w:pPr>
                  <w:r>
                    <w:rPr>
                      <w:rFonts w:hAnsi="宋体"/>
                      <w:szCs w:val="21"/>
                    </w:rPr>
                    <w:t>废气</w:t>
                  </w:r>
                </w:p>
              </w:tc>
              <w:tc>
                <w:tcPr>
                  <w:tcW w:w="1585"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热压工序</w:t>
                  </w:r>
                </w:p>
              </w:tc>
              <w:tc>
                <w:tcPr>
                  <w:tcW w:w="1276"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甲醛</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非甲烷总烃</w:t>
                  </w:r>
                </w:p>
              </w:tc>
              <w:tc>
                <w:tcPr>
                  <w:tcW w:w="3384" w:type="dxa"/>
                  <w:vAlign w:val="center"/>
                </w:tcPr>
                <w:p>
                  <w:pPr>
                    <w:spacing w:line="320" w:lineRule="exact"/>
                    <w:jc w:val="center"/>
                    <w:outlineLvl w:val="1"/>
                    <w:rPr>
                      <w:color w:val="000000" w:themeColor="text1"/>
                      <w:szCs w:val="21"/>
                      <w14:textFill>
                        <w14:solidFill>
                          <w14:schemeClr w14:val="tx1"/>
                        </w14:solidFill>
                      </w14:textFill>
                    </w:rPr>
                  </w:pPr>
                  <w:r>
                    <w:rPr>
                      <w:rFonts w:hint="eastAsia"/>
                      <w:color w:val="000000"/>
                    </w:rPr>
                    <w:t>热压机上方设置1套集气罩，有机废气经集气罩收集后通过管道引至1套UV光氧催化+低温等离子处理装置处理后经1根15m高排气筒排放</w:t>
                  </w:r>
                </w:p>
              </w:tc>
              <w:tc>
                <w:tcPr>
                  <w:tcW w:w="1060"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vMerge w:val="continue"/>
                  <w:vAlign w:val="center"/>
                </w:tcPr>
                <w:p>
                  <w:pPr>
                    <w:spacing w:line="320" w:lineRule="exact"/>
                    <w:jc w:val="center"/>
                    <w:outlineLvl w:val="1"/>
                    <w:rPr>
                      <w:rFonts w:hAnsi="宋体"/>
                      <w:szCs w:val="21"/>
                    </w:rPr>
                  </w:pPr>
                </w:p>
              </w:tc>
              <w:tc>
                <w:tcPr>
                  <w:tcW w:w="1585"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color w:val="000000"/>
                      <w:szCs w:val="21"/>
                    </w:rPr>
                    <w:t>液化石油气燃烧废气</w:t>
                  </w:r>
                </w:p>
              </w:tc>
              <w:tc>
                <w:tcPr>
                  <w:tcW w:w="1276"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颗粒物、</w:t>
                  </w:r>
                  <w:r>
                    <w:rPr>
                      <w:rFonts w:hint="eastAsia"/>
                      <w:color w:val="000000"/>
                      <w:szCs w:val="21"/>
                    </w:rPr>
                    <w:t>SO</w:t>
                  </w:r>
                  <w:r>
                    <w:rPr>
                      <w:rFonts w:hint="eastAsia"/>
                      <w:color w:val="000000"/>
                      <w:szCs w:val="21"/>
                      <w:vertAlign w:val="subscript"/>
                    </w:rPr>
                    <w:t>2</w:t>
                  </w:r>
                  <w:r>
                    <w:rPr>
                      <w:rFonts w:hint="eastAsia"/>
                      <w:color w:val="000000"/>
                      <w:szCs w:val="21"/>
                    </w:rPr>
                    <w:t>、NOx</w:t>
                  </w:r>
                </w:p>
              </w:tc>
              <w:tc>
                <w:tcPr>
                  <w:tcW w:w="3384" w:type="dxa"/>
                  <w:vAlign w:val="center"/>
                </w:tcPr>
                <w:p>
                  <w:pPr>
                    <w:spacing w:line="320" w:lineRule="exact"/>
                    <w:jc w:val="center"/>
                    <w:outlineLvl w:val="1"/>
                    <w:rPr>
                      <w:color w:val="000000"/>
                    </w:rPr>
                  </w:pPr>
                  <w:r>
                    <w:rPr>
                      <w:rFonts w:hint="eastAsia"/>
                      <w:color w:val="000000"/>
                    </w:rPr>
                    <w:t>模温机（导热油炉）液化石油气燃烧机加装低氮燃烧器，燃烧废气经1根8m高排气筒排放</w:t>
                  </w:r>
                </w:p>
              </w:tc>
              <w:tc>
                <w:tcPr>
                  <w:tcW w:w="1060"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vMerge w:val="continue"/>
                  <w:vAlign w:val="center"/>
                </w:tcPr>
                <w:p>
                  <w:pPr>
                    <w:spacing w:line="320" w:lineRule="exact"/>
                    <w:jc w:val="center"/>
                    <w:outlineLvl w:val="1"/>
                    <w:rPr>
                      <w:rFonts w:hAnsi="宋体"/>
                      <w:szCs w:val="21"/>
                    </w:rPr>
                  </w:pPr>
                </w:p>
              </w:tc>
              <w:tc>
                <w:tcPr>
                  <w:tcW w:w="1585"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热压工序</w:t>
                  </w:r>
                </w:p>
              </w:tc>
              <w:tc>
                <w:tcPr>
                  <w:tcW w:w="1276"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甲醛</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非甲烷总烃</w:t>
                  </w:r>
                </w:p>
              </w:tc>
              <w:tc>
                <w:tcPr>
                  <w:tcW w:w="3384" w:type="dxa"/>
                  <w:vAlign w:val="center"/>
                </w:tcPr>
                <w:p>
                  <w:pPr>
                    <w:spacing w:line="320" w:lineRule="exact"/>
                    <w:jc w:val="center"/>
                    <w:outlineLvl w:val="1"/>
                    <w:rPr>
                      <w:color w:val="000000"/>
                    </w:rPr>
                  </w:pPr>
                  <w:r>
                    <w:rPr>
                      <w:rFonts w:hint="eastAsia"/>
                      <w:color w:val="000000"/>
                    </w:rPr>
                    <w:t>加强车间通风换气</w:t>
                  </w:r>
                </w:p>
              </w:tc>
              <w:tc>
                <w:tcPr>
                  <w:tcW w:w="1060" w:type="dxa"/>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1" w:type="dxa"/>
                  <w:vMerge w:val="restart"/>
                  <w:vAlign w:val="center"/>
                </w:tcPr>
                <w:p>
                  <w:pPr>
                    <w:spacing w:line="320" w:lineRule="exact"/>
                    <w:jc w:val="center"/>
                    <w:outlineLvl w:val="1"/>
                    <w:rPr>
                      <w:rFonts w:hAnsi="宋体"/>
                      <w:b/>
                      <w:szCs w:val="21"/>
                    </w:rPr>
                  </w:pPr>
                  <w:r>
                    <w:rPr>
                      <w:rFonts w:hint="eastAsia" w:hAnsi="宋体"/>
                      <w:szCs w:val="21"/>
                      <w:lang w:eastAsia="zh-CN"/>
                    </w:rPr>
                    <w:t>一般</w:t>
                  </w:r>
                  <w:r>
                    <w:rPr>
                      <w:rFonts w:hint="eastAsia" w:hAnsi="宋体"/>
                      <w:szCs w:val="21"/>
                    </w:rPr>
                    <w:t>固废</w:t>
                  </w:r>
                </w:p>
              </w:tc>
              <w:tc>
                <w:tcPr>
                  <w:tcW w:w="1585" w:type="dxa"/>
                  <w:vAlign w:val="center"/>
                </w:tcPr>
                <w:p>
                  <w:pPr>
                    <w:spacing w:line="360" w:lineRule="exact"/>
                    <w:jc w:val="center"/>
                    <w:outlineLvl w:val="1"/>
                    <w:rPr>
                      <w:rFonts w:hAnsi="宋体"/>
                      <w:szCs w:val="21"/>
                    </w:rPr>
                  </w:pPr>
                  <w:r>
                    <w:rPr>
                      <w:rFonts w:hint="eastAsia" w:hAnsi="宋体"/>
                      <w:szCs w:val="21"/>
                    </w:rPr>
                    <w:t>在厂职工</w:t>
                  </w:r>
                </w:p>
              </w:tc>
              <w:tc>
                <w:tcPr>
                  <w:tcW w:w="1276" w:type="dxa"/>
                  <w:vAlign w:val="center"/>
                </w:tcPr>
                <w:p>
                  <w:pPr>
                    <w:spacing w:line="360" w:lineRule="exact"/>
                    <w:jc w:val="center"/>
                    <w:outlineLvl w:val="1"/>
                    <w:rPr>
                      <w:rFonts w:hAnsi="宋体"/>
                      <w:szCs w:val="21"/>
                    </w:rPr>
                  </w:pPr>
                  <w:r>
                    <w:rPr>
                      <w:rFonts w:hint="eastAsia" w:hAnsi="宋体"/>
                      <w:szCs w:val="21"/>
                    </w:rPr>
                    <w:t xml:space="preserve">生活垃圾 </w:t>
                  </w:r>
                </w:p>
              </w:tc>
              <w:tc>
                <w:tcPr>
                  <w:tcW w:w="3384" w:type="dxa"/>
                  <w:vAlign w:val="center"/>
                </w:tcPr>
                <w:p>
                  <w:pPr>
                    <w:spacing w:line="360" w:lineRule="exact"/>
                    <w:jc w:val="center"/>
                    <w:outlineLvl w:val="1"/>
                    <w:rPr>
                      <w:szCs w:val="21"/>
                    </w:rPr>
                  </w:pPr>
                  <w:r>
                    <w:rPr>
                      <w:rFonts w:hint="eastAsia"/>
                      <w:color w:val="000000"/>
                      <w:szCs w:val="21"/>
                    </w:rPr>
                    <w:t>经垃圾桶分类收集后交由环卫部门</w:t>
                  </w:r>
                  <w:r>
                    <w:rPr>
                      <w:rFonts w:hint="eastAsia" w:hAnsi="宋体"/>
                      <w:color w:val="000000"/>
                      <w:szCs w:val="21"/>
                    </w:rPr>
                    <w:t>运至垃圾中转站处理</w:t>
                  </w:r>
                </w:p>
              </w:tc>
              <w:tc>
                <w:tcPr>
                  <w:tcW w:w="1060" w:type="dxa"/>
                  <w:vAlign w:val="center"/>
                </w:tcPr>
                <w:p>
                  <w:pPr>
                    <w:spacing w:line="320" w:lineRule="exact"/>
                    <w:jc w:val="center"/>
                    <w:outlineLvl w:val="1"/>
                    <w:rPr>
                      <w:rFonts w:hAnsi="宋体"/>
                      <w:szCs w:val="21"/>
                    </w:rPr>
                  </w:pPr>
                  <w:r>
                    <w:rPr>
                      <w:rFonts w:hint="eastAsia"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continue"/>
                  <w:vAlign w:val="center"/>
                </w:tcPr>
                <w:p>
                  <w:pPr>
                    <w:spacing w:line="320" w:lineRule="exact"/>
                    <w:jc w:val="center"/>
                    <w:outlineLvl w:val="1"/>
                    <w:rPr>
                      <w:rFonts w:hAnsi="宋体"/>
                      <w:szCs w:val="21"/>
                    </w:rPr>
                  </w:pPr>
                </w:p>
              </w:tc>
              <w:tc>
                <w:tcPr>
                  <w:tcW w:w="1585" w:type="dxa"/>
                  <w:vAlign w:val="center"/>
                </w:tcPr>
                <w:p>
                  <w:pPr>
                    <w:spacing w:line="360" w:lineRule="exact"/>
                    <w:jc w:val="center"/>
                    <w:outlineLvl w:val="1"/>
                    <w:rPr>
                      <w:rFonts w:hAnsi="宋体"/>
                      <w:szCs w:val="21"/>
                    </w:rPr>
                  </w:pPr>
                  <w:r>
                    <w:rPr>
                      <w:rFonts w:hint="eastAsia" w:hAnsi="宋体"/>
                      <w:szCs w:val="21"/>
                    </w:rPr>
                    <w:t>化粪池</w:t>
                  </w:r>
                </w:p>
              </w:tc>
              <w:tc>
                <w:tcPr>
                  <w:tcW w:w="1276" w:type="dxa"/>
                  <w:vAlign w:val="center"/>
                </w:tcPr>
                <w:p>
                  <w:pPr>
                    <w:spacing w:line="360" w:lineRule="exact"/>
                    <w:jc w:val="center"/>
                    <w:outlineLvl w:val="1"/>
                    <w:rPr>
                      <w:rFonts w:hAnsi="宋体"/>
                      <w:szCs w:val="21"/>
                    </w:rPr>
                  </w:pPr>
                  <w:r>
                    <w:rPr>
                      <w:rFonts w:hint="eastAsia" w:hAnsi="宋体"/>
                      <w:szCs w:val="21"/>
                    </w:rPr>
                    <w:t>污泥</w:t>
                  </w:r>
                </w:p>
              </w:tc>
              <w:tc>
                <w:tcPr>
                  <w:tcW w:w="3384" w:type="dxa"/>
                  <w:vAlign w:val="center"/>
                </w:tcPr>
                <w:p>
                  <w:pPr>
                    <w:spacing w:line="360" w:lineRule="exact"/>
                    <w:jc w:val="center"/>
                    <w:outlineLvl w:val="1"/>
                    <w:rPr>
                      <w:color w:val="000000"/>
                      <w:szCs w:val="21"/>
                    </w:rPr>
                  </w:pPr>
                  <w:r>
                    <w:rPr>
                      <w:rFonts w:hint="eastAsia"/>
                      <w:color w:val="000000"/>
                      <w:szCs w:val="21"/>
                    </w:rPr>
                    <w:t>定期清掏后用于周围农田施肥</w:t>
                  </w:r>
                </w:p>
              </w:tc>
              <w:tc>
                <w:tcPr>
                  <w:tcW w:w="1060" w:type="dxa"/>
                  <w:vAlign w:val="center"/>
                </w:tcPr>
                <w:p>
                  <w:pPr>
                    <w:spacing w:line="320" w:lineRule="exact"/>
                    <w:jc w:val="center"/>
                    <w:outlineLvl w:val="1"/>
                    <w:rPr>
                      <w:rFonts w:hAnsi="宋体"/>
                      <w:szCs w:val="21"/>
                    </w:rPr>
                  </w:pPr>
                  <w:r>
                    <w:rPr>
                      <w:rFonts w:hint="eastAsia"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1" w:type="dxa"/>
                  <w:vMerge w:val="continue"/>
                  <w:vAlign w:val="center"/>
                </w:tcPr>
                <w:p>
                  <w:pPr>
                    <w:spacing w:line="320" w:lineRule="exact"/>
                    <w:jc w:val="center"/>
                    <w:outlineLvl w:val="1"/>
                    <w:rPr>
                      <w:rFonts w:hAnsi="宋体"/>
                      <w:szCs w:val="21"/>
                    </w:rPr>
                  </w:pPr>
                </w:p>
              </w:tc>
              <w:tc>
                <w:tcPr>
                  <w:tcW w:w="1585" w:type="dxa"/>
                  <w:vAlign w:val="center"/>
                </w:tcPr>
                <w:p>
                  <w:pPr>
                    <w:spacing w:line="360" w:lineRule="exact"/>
                    <w:jc w:val="center"/>
                    <w:outlineLvl w:val="1"/>
                    <w:rPr>
                      <w:rFonts w:hAnsi="宋体"/>
                      <w:szCs w:val="21"/>
                    </w:rPr>
                  </w:pPr>
                  <w:r>
                    <w:rPr>
                      <w:rFonts w:hAnsi="宋体"/>
                      <w:szCs w:val="21"/>
                    </w:rPr>
                    <w:t>修整</w:t>
                  </w:r>
                  <w:r>
                    <w:rPr>
                      <w:rFonts w:hint="eastAsia" w:hAnsi="宋体"/>
                      <w:szCs w:val="21"/>
                    </w:rPr>
                    <w:t>、</w:t>
                  </w:r>
                  <w:r>
                    <w:rPr>
                      <w:rFonts w:hAnsi="宋体"/>
                      <w:szCs w:val="21"/>
                    </w:rPr>
                    <w:t>检验过程</w:t>
                  </w:r>
                </w:p>
              </w:tc>
              <w:tc>
                <w:tcPr>
                  <w:tcW w:w="1276" w:type="dxa"/>
                  <w:vAlign w:val="center"/>
                </w:tcPr>
                <w:p>
                  <w:pPr>
                    <w:spacing w:line="360" w:lineRule="exact"/>
                    <w:jc w:val="center"/>
                    <w:outlineLvl w:val="1"/>
                    <w:rPr>
                      <w:rFonts w:hAnsi="宋体"/>
                      <w:szCs w:val="21"/>
                    </w:rPr>
                  </w:pPr>
                  <w:r>
                    <w:rPr>
                      <w:rFonts w:hAnsi="宋体"/>
                      <w:szCs w:val="21"/>
                    </w:rPr>
                    <w:t>边角料及不合格品</w:t>
                  </w:r>
                </w:p>
              </w:tc>
              <w:tc>
                <w:tcPr>
                  <w:tcW w:w="3384" w:type="dxa"/>
                  <w:vMerge w:val="restart"/>
                  <w:vAlign w:val="center"/>
                </w:tcPr>
                <w:p>
                  <w:pPr>
                    <w:spacing w:line="360" w:lineRule="exact"/>
                    <w:jc w:val="center"/>
                    <w:outlineLvl w:val="1"/>
                    <w:rPr>
                      <w:color w:val="auto"/>
                      <w:szCs w:val="21"/>
                      <w:u w:val="single"/>
                    </w:rPr>
                  </w:pPr>
                  <w:r>
                    <w:rPr>
                      <w:rFonts w:hint="eastAsia"/>
                      <w:color w:val="auto"/>
                      <w:szCs w:val="21"/>
                      <w:u w:val="single"/>
                    </w:rPr>
                    <w:t>集中收集于一般固废暂存间（位于车间内，面积10m</w:t>
                  </w:r>
                  <w:r>
                    <w:rPr>
                      <w:rFonts w:hint="eastAsia"/>
                      <w:color w:val="auto"/>
                      <w:szCs w:val="21"/>
                      <w:u w:val="single"/>
                      <w:vertAlign w:val="superscript"/>
                    </w:rPr>
                    <w:t>2</w:t>
                  </w:r>
                  <w:r>
                    <w:rPr>
                      <w:rFonts w:hint="eastAsia"/>
                      <w:color w:val="auto"/>
                      <w:szCs w:val="21"/>
                      <w:u w:val="single"/>
                    </w:rPr>
                    <w:t>），定期外售给废品回收站</w:t>
                  </w:r>
                </w:p>
              </w:tc>
              <w:tc>
                <w:tcPr>
                  <w:tcW w:w="1060" w:type="dxa"/>
                  <w:vMerge w:val="restart"/>
                  <w:vAlign w:val="center"/>
                </w:tcPr>
                <w:p>
                  <w:pPr>
                    <w:spacing w:line="320" w:lineRule="exact"/>
                    <w:jc w:val="center"/>
                    <w:outlineLvl w:val="1"/>
                    <w:rPr>
                      <w:rFonts w:hAnsi="宋体"/>
                      <w:szCs w:val="21"/>
                    </w:rPr>
                  </w:pPr>
                  <w:r>
                    <w:rPr>
                      <w:rFonts w:hint="eastAsia"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1" w:type="dxa"/>
                  <w:vMerge w:val="continue"/>
                  <w:vAlign w:val="center"/>
                </w:tcPr>
                <w:p>
                  <w:pPr>
                    <w:spacing w:line="320" w:lineRule="exact"/>
                    <w:jc w:val="center"/>
                    <w:outlineLvl w:val="1"/>
                    <w:rPr>
                      <w:rFonts w:hAnsi="宋体"/>
                      <w:szCs w:val="21"/>
                    </w:rPr>
                  </w:pPr>
                </w:p>
              </w:tc>
              <w:tc>
                <w:tcPr>
                  <w:tcW w:w="1585" w:type="dxa"/>
                  <w:vAlign w:val="center"/>
                </w:tcPr>
                <w:p>
                  <w:pPr>
                    <w:spacing w:line="360" w:lineRule="exact"/>
                    <w:jc w:val="center"/>
                    <w:outlineLvl w:val="1"/>
                    <w:rPr>
                      <w:rFonts w:hAnsi="宋体"/>
                      <w:szCs w:val="21"/>
                    </w:rPr>
                  </w:pPr>
                  <w:r>
                    <w:rPr>
                      <w:rFonts w:hint="eastAsia" w:hAnsi="宋体"/>
                      <w:szCs w:val="21"/>
                    </w:rPr>
                    <w:t>生产过程</w:t>
                  </w:r>
                </w:p>
              </w:tc>
              <w:tc>
                <w:tcPr>
                  <w:tcW w:w="1276" w:type="dxa"/>
                  <w:vAlign w:val="center"/>
                </w:tcPr>
                <w:p>
                  <w:pPr>
                    <w:spacing w:line="360" w:lineRule="exact"/>
                    <w:jc w:val="center"/>
                    <w:outlineLvl w:val="1"/>
                    <w:rPr>
                      <w:rFonts w:hAnsi="宋体"/>
                      <w:szCs w:val="21"/>
                    </w:rPr>
                  </w:pPr>
                  <w:r>
                    <w:rPr>
                      <w:rFonts w:hint="eastAsia" w:hAnsi="宋体"/>
                      <w:szCs w:val="21"/>
                    </w:rPr>
                    <w:t>废包装材料</w:t>
                  </w:r>
                </w:p>
              </w:tc>
              <w:tc>
                <w:tcPr>
                  <w:tcW w:w="3384" w:type="dxa"/>
                  <w:vMerge w:val="continue"/>
                  <w:vAlign w:val="center"/>
                </w:tcPr>
                <w:p>
                  <w:pPr>
                    <w:spacing w:line="360" w:lineRule="exact"/>
                    <w:jc w:val="center"/>
                    <w:outlineLvl w:val="1"/>
                    <w:rPr>
                      <w:color w:val="auto"/>
                      <w:szCs w:val="21"/>
                    </w:rPr>
                  </w:pPr>
                </w:p>
              </w:tc>
              <w:tc>
                <w:tcPr>
                  <w:tcW w:w="1060" w:type="dxa"/>
                  <w:vMerge w:val="continue"/>
                  <w:vAlign w:val="center"/>
                </w:tcPr>
                <w:p>
                  <w:pPr>
                    <w:spacing w:line="320" w:lineRule="exact"/>
                    <w:jc w:val="center"/>
                    <w:outlineLvl w:val="1"/>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1" w:type="dxa"/>
                  <w:vMerge w:val="restart"/>
                  <w:vAlign w:val="center"/>
                </w:tcPr>
                <w:p>
                  <w:pPr>
                    <w:spacing w:line="320" w:lineRule="exact"/>
                    <w:jc w:val="center"/>
                    <w:outlineLvl w:val="1"/>
                    <w:rPr>
                      <w:rFonts w:hint="eastAsia" w:hAnsi="宋体" w:eastAsia="宋体"/>
                      <w:b/>
                      <w:szCs w:val="21"/>
                      <w:lang w:eastAsia="zh-CN"/>
                    </w:rPr>
                  </w:pPr>
                  <w:r>
                    <w:rPr>
                      <w:rFonts w:hint="eastAsia" w:hAnsi="宋体"/>
                      <w:b/>
                      <w:szCs w:val="21"/>
                      <w:lang w:eastAsia="zh-CN"/>
                    </w:rPr>
                    <w:t>危险废物</w:t>
                  </w:r>
                </w:p>
              </w:tc>
              <w:tc>
                <w:tcPr>
                  <w:tcW w:w="1585" w:type="dxa"/>
                  <w:vAlign w:val="center"/>
                </w:tcPr>
                <w:p>
                  <w:pPr>
                    <w:spacing w:line="320" w:lineRule="exact"/>
                    <w:jc w:val="center"/>
                    <w:outlineLvl w:val="1"/>
                    <w:rPr>
                      <w:rFonts w:hAnsi="宋体"/>
                      <w:szCs w:val="21"/>
                    </w:rPr>
                  </w:pPr>
                  <w:r>
                    <w:rPr>
                      <w:rFonts w:hint="eastAsia" w:hAnsi="宋体"/>
                      <w:szCs w:val="21"/>
                    </w:rPr>
                    <w:t>设备维护</w:t>
                  </w:r>
                </w:p>
              </w:tc>
              <w:tc>
                <w:tcPr>
                  <w:tcW w:w="1276" w:type="dxa"/>
                  <w:vAlign w:val="center"/>
                </w:tcPr>
                <w:p>
                  <w:pPr>
                    <w:spacing w:line="320" w:lineRule="exact"/>
                    <w:jc w:val="center"/>
                    <w:outlineLvl w:val="1"/>
                    <w:rPr>
                      <w:rFonts w:hAnsi="宋体"/>
                      <w:szCs w:val="21"/>
                    </w:rPr>
                  </w:pPr>
                  <w:r>
                    <w:rPr>
                      <w:rFonts w:hint="eastAsia" w:hAnsi="宋体"/>
                      <w:szCs w:val="21"/>
                    </w:rPr>
                    <w:t>废液压油</w:t>
                  </w:r>
                </w:p>
              </w:tc>
              <w:tc>
                <w:tcPr>
                  <w:tcW w:w="3384" w:type="dxa"/>
                  <w:vMerge w:val="restart"/>
                  <w:vAlign w:val="center"/>
                </w:tcPr>
                <w:p>
                  <w:pPr>
                    <w:spacing w:line="320" w:lineRule="exact"/>
                    <w:jc w:val="center"/>
                    <w:outlineLvl w:val="1"/>
                    <w:rPr>
                      <w:color w:val="auto"/>
                      <w:szCs w:val="21"/>
                    </w:rPr>
                  </w:pPr>
                  <w:r>
                    <w:rPr>
                      <w:rFonts w:hint="eastAsia"/>
                      <w:color w:val="auto"/>
                      <w:szCs w:val="21"/>
                    </w:rPr>
                    <w:t>分类</w:t>
                  </w:r>
                  <w:r>
                    <w:rPr>
                      <w:color w:val="auto"/>
                      <w:szCs w:val="21"/>
                    </w:rPr>
                    <w:t>集中收集</w:t>
                  </w:r>
                  <w:r>
                    <w:rPr>
                      <w:rFonts w:hint="eastAsia"/>
                      <w:color w:val="auto"/>
                      <w:szCs w:val="21"/>
                    </w:rPr>
                    <w:t>于厂区现有危废</w:t>
                  </w:r>
                  <w:r>
                    <w:rPr>
                      <w:color w:val="auto"/>
                      <w:szCs w:val="21"/>
                    </w:rPr>
                    <w:t>暂存间</w:t>
                  </w:r>
                  <w:r>
                    <w:rPr>
                      <w:rFonts w:hint="eastAsia"/>
                      <w:color w:val="auto"/>
                      <w:szCs w:val="21"/>
                    </w:rPr>
                    <w:t>（</w:t>
                  </w:r>
                  <w:r>
                    <w:rPr>
                      <w:rFonts w:hint="eastAsia"/>
                      <w:color w:val="auto"/>
                      <w:szCs w:val="21"/>
                      <w:u w:val="single"/>
                    </w:rPr>
                    <w:t>面积10m</w:t>
                  </w:r>
                  <w:r>
                    <w:rPr>
                      <w:rFonts w:hint="eastAsia"/>
                      <w:color w:val="auto"/>
                      <w:szCs w:val="21"/>
                      <w:u w:val="single"/>
                      <w:vertAlign w:val="superscript"/>
                    </w:rPr>
                    <w:t>2</w:t>
                  </w:r>
                  <w:r>
                    <w:rPr>
                      <w:rFonts w:hint="eastAsia"/>
                      <w:color w:val="auto"/>
                      <w:szCs w:val="21"/>
                      <w:u w:val="single"/>
                    </w:rPr>
                    <w:t>，采取四防措施</w:t>
                  </w:r>
                  <w:r>
                    <w:rPr>
                      <w:rFonts w:hint="eastAsia"/>
                      <w:color w:val="auto"/>
                      <w:szCs w:val="21"/>
                    </w:rPr>
                    <w:t>），</w:t>
                  </w:r>
                  <w:r>
                    <w:rPr>
                      <w:color w:val="auto"/>
                      <w:szCs w:val="21"/>
                    </w:rPr>
                    <w:t>定期交由有危废处理资质的单位进行处置</w:t>
                  </w:r>
                </w:p>
              </w:tc>
              <w:tc>
                <w:tcPr>
                  <w:tcW w:w="1060" w:type="dxa"/>
                  <w:vMerge w:val="restart"/>
                  <w:vAlign w:val="center"/>
                </w:tcPr>
                <w:p>
                  <w:pPr>
                    <w:spacing w:line="320" w:lineRule="exact"/>
                    <w:jc w:val="center"/>
                    <w:outlineLvl w:val="1"/>
                    <w:rPr>
                      <w:rFonts w:hAnsi="宋体"/>
                      <w:szCs w:val="21"/>
                    </w:rPr>
                  </w:pPr>
                  <w:r>
                    <w:rPr>
                      <w:rFonts w:hint="eastAsia"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dxa"/>
                  <w:vMerge w:val="continue"/>
                  <w:vAlign w:val="center"/>
                </w:tcPr>
                <w:p>
                  <w:pPr>
                    <w:spacing w:line="320" w:lineRule="exact"/>
                    <w:jc w:val="center"/>
                    <w:outlineLvl w:val="1"/>
                    <w:rPr>
                      <w:rFonts w:hAnsi="宋体"/>
                      <w:b/>
                      <w:szCs w:val="21"/>
                    </w:rPr>
                  </w:pPr>
                </w:p>
              </w:tc>
              <w:tc>
                <w:tcPr>
                  <w:tcW w:w="1585" w:type="dxa"/>
                  <w:vAlign w:val="center"/>
                </w:tcPr>
                <w:p>
                  <w:pPr>
                    <w:spacing w:line="320" w:lineRule="exact"/>
                    <w:jc w:val="center"/>
                    <w:outlineLvl w:val="1"/>
                    <w:rPr>
                      <w:rFonts w:hAnsi="宋体"/>
                      <w:szCs w:val="21"/>
                    </w:rPr>
                  </w:pPr>
                  <w:r>
                    <w:rPr>
                      <w:rFonts w:hint="eastAsia" w:hAnsi="宋体"/>
                      <w:szCs w:val="21"/>
                    </w:rPr>
                    <w:t>废气处理设施运行过程</w:t>
                  </w:r>
                </w:p>
              </w:tc>
              <w:tc>
                <w:tcPr>
                  <w:tcW w:w="1276"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废UV灯管</w:t>
                  </w:r>
                </w:p>
              </w:tc>
              <w:tc>
                <w:tcPr>
                  <w:tcW w:w="3384" w:type="dxa"/>
                  <w:vMerge w:val="continue"/>
                  <w:vAlign w:val="center"/>
                </w:tcPr>
                <w:p>
                  <w:pPr>
                    <w:spacing w:line="320" w:lineRule="exact"/>
                    <w:jc w:val="center"/>
                    <w:outlineLvl w:val="1"/>
                    <w:rPr>
                      <w:szCs w:val="21"/>
                    </w:rPr>
                  </w:pPr>
                </w:p>
              </w:tc>
              <w:tc>
                <w:tcPr>
                  <w:tcW w:w="1060" w:type="dxa"/>
                  <w:vMerge w:val="continue"/>
                  <w:vAlign w:val="center"/>
                </w:tcPr>
                <w:p>
                  <w:pPr>
                    <w:spacing w:line="320" w:lineRule="exact"/>
                    <w:jc w:val="center"/>
                    <w:outlineLvl w:val="1"/>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1" w:type="dxa"/>
                  <w:vAlign w:val="center"/>
                </w:tcPr>
                <w:p>
                  <w:pPr>
                    <w:spacing w:line="320" w:lineRule="exact"/>
                    <w:jc w:val="center"/>
                    <w:outlineLvl w:val="1"/>
                    <w:rPr>
                      <w:rFonts w:hAnsi="宋体"/>
                      <w:szCs w:val="21"/>
                    </w:rPr>
                  </w:pPr>
                  <w:r>
                    <w:rPr>
                      <w:rFonts w:hint="eastAsia" w:hAnsi="宋体"/>
                      <w:szCs w:val="21"/>
                    </w:rPr>
                    <w:t>噪声</w:t>
                  </w:r>
                </w:p>
              </w:tc>
              <w:tc>
                <w:tcPr>
                  <w:tcW w:w="1585" w:type="dxa"/>
                  <w:vAlign w:val="center"/>
                </w:tcPr>
                <w:p>
                  <w:pPr>
                    <w:spacing w:line="320" w:lineRule="exact"/>
                    <w:jc w:val="center"/>
                    <w:outlineLvl w:val="1"/>
                    <w:rPr>
                      <w:rFonts w:hAnsi="宋体"/>
                      <w:szCs w:val="21"/>
                    </w:rPr>
                  </w:pPr>
                  <w:r>
                    <w:rPr>
                      <w:rFonts w:hint="eastAsia"/>
                      <w:szCs w:val="21"/>
                    </w:rPr>
                    <w:t>热压机、模温机、风机等设备</w:t>
                  </w:r>
                </w:p>
              </w:tc>
              <w:tc>
                <w:tcPr>
                  <w:tcW w:w="1276" w:type="dxa"/>
                  <w:vAlign w:val="center"/>
                </w:tcPr>
                <w:p>
                  <w:pPr>
                    <w:spacing w:line="320" w:lineRule="exact"/>
                    <w:jc w:val="center"/>
                    <w:outlineLvl w:val="1"/>
                    <w:rPr>
                      <w:rFonts w:hAnsi="宋体"/>
                      <w:szCs w:val="21"/>
                    </w:rPr>
                  </w:pPr>
                  <w:r>
                    <w:rPr>
                      <w:rFonts w:hint="eastAsia" w:hAnsi="宋体"/>
                      <w:szCs w:val="21"/>
                    </w:rPr>
                    <w:t>机械噪声</w:t>
                  </w:r>
                </w:p>
              </w:tc>
              <w:tc>
                <w:tcPr>
                  <w:tcW w:w="3384" w:type="dxa"/>
                  <w:vAlign w:val="center"/>
                </w:tcPr>
                <w:p>
                  <w:pPr>
                    <w:spacing w:line="320" w:lineRule="exact"/>
                    <w:jc w:val="center"/>
                    <w:outlineLvl w:val="1"/>
                    <w:rPr>
                      <w:rFonts w:hAnsi="宋体"/>
                      <w:szCs w:val="21"/>
                    </w:rPr>
                  </w:pPr>
                  <w:r>
                    <w:rPr>
                      <w:rFonts w:hint="eastAsia" w:cs="宋体"/>
                    </w:rPr>
                    <w:t>合理布局；产噪设备采取基础减振</w:t>
                  </w:r>
                  <w:r>
                    <w:rPr>
                      <w:rFonts w:hint="eastAsia" w:hAnsi="宋体"/>
                      <w:szCs w:val="21"/>
                    </w:rPr>
                    <w:t>、</w:t>
                  </w:r>
                  <w:r>
                    <w:rPr>
                      <w:rFonts w:hAnsi="宋体"/>
                      <w:szCs w:val="21"/>
                    </w:rPr>
                    <w:t>厂房隔声等降噪措施</w:t>
                  </w:r>
                </w:p>
              </w:tc>
              <w:tc>
                <w:tcPr>
                  <w:tcW w:w="1060" w:type="dxa"/>
                  <w:vAlign w:val="center"/>
                </w:tcPr>
                <w:p>
                  <w:pPr>
                    <w:spacing w:line="320" w:lineRule="exact"/>
                    <w:jc w:val="center"/>
                    <w:outlineLvl w:val="1"/>
                    <w:rPr>
                      <w:rFonts w:hAnsi="宋体"/>
                      <w:szCs w:val="21"/>
                    </w:rPr>
                  </w:pPr>
                  <w:r>
                    <w:rPr>
                      <w:rFonts w:hint="eastAsia"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86" w:type="dxa"/>
                  <w:gridSpan w:val="4"/>
                  <w:vAlign w:val="center"/>
                </w:tcPr>
                <w:p>
                  <w:pPr>
                    <w:spacing w:line="320" w:lineRule="exact"/>
                    <w:jc w:val="center"/>
                    <w:outlineLvl w:val="1"/>
                    <w:rPr>
                      <w:szCs w:val="21"/>
                    </w:rPr>
                  </w:pPr>
                  <w:r>
                    <w:rPr>
                      <w:rFonts w:hint="eastAsia"/>
                      <w:szCs w:val="21"/>
                    </w:rPr>
                    <w:t>合计</w:t>
                  </w:r>
                </w:p>
              </w:tc>
              <w:tc>
                <w:tcPr>
                  <w:tcW w:w="1060" w:type="dxa"/>
                  <w:vAlign w:val="center"/>
                </w:tcPr>
                <w:p>
                  <w:pPr>
                    <w:spacing w:line="320" w:lineRule="exact"/>
                    <w:jc w:val="center"/>
                    <w:outlineLvl w:val="1"/>
                    <w:rPr>
                      <w:rFonts w:hAnsi="宋体"/>
                      <w:szCs w:val="21"/>
                    </w:rPr>
                  </w:pPr>
                  <w:r>
                    <w:rPr>
                      <w:rFonts w:hint="eastAsia" w:hAnsi="宋体"/>
                      <w:szCs w:val="21"/>
                    </w:rPr>
                    <w:t>11.5</w:t>
                  </w:r>
                </w:p>
              </w:tc>
            </w:tr>
          </w:tbl>
          <w:p>
            <w:pPr>
              <w:pStyle w:val="2"/>
              <w:ind w:left="0" w:leftChars="0" w:firstLine="0"/>
            </w:pPr>
          </w:p>
          <w:p>
            <w:pPr>
              <w:spacing w:line="360" w:lineRule="auto"/>
              <w:ind w:firstLine="420" w:firstLineChars="200"/>
            </w:pPr>
          </w:p>
          <w:p/>
          <w:p>
            <w:pPr>
              <w:pStyle w:val="2"/>
            </w:pPr>
          </w:p>
          <w:p/>
          <w:p/>
          <w:p>
            <w:pPr>
              <w:pStyle w:val="2"/>
            </w:pPr>
          </w:p>
          <w:p/>
          <w:p>
            <w:pPr>
              <w:pStyle w:val="2"/>
            </w:pPr>
          </w:p>
          <w:p>
            <w:pPr>
              <w:pStyle w:val="2"/>
              <w:rPr>
                <w:rFonts w:hint="eastAsia"/>
              </w:rPr>
            </w:pPr>
          </w:p>
          <w:p/>
          <w:p>
            <w:pPr>
              <w:pStyle w:val="2"/>
            </w:pPr>
          </w:p>
        </w:tc>
      </w:tr>
    </w:tbl>
    <w:p>
      <w:pPr>
        <w:pStyle w:val="2"/>
        <w:ind w:firstLine="0"/>
        <w:sectPr>
          <w:pgSz w:w="11906" w:h="16838"/>
          <w:pgMar w:top="1440" w:right="1800" w:bottom="1440" w:left="1800" w:header="851" w:footer="992" w:gutter="0"/>
          <w:cols w:space="425" w:num="1"/>
          <w:docGrid w:type="lines" w:linePitch="312" w:charSpace="0"/>
        </w:sectPr>
      </w:pPr>
    </w:p>
    <w:p>
      <w:pPr>
        <w:numPr>
          <w:ilvl w:val="0"/>
          <w:numId w:val="1"/>
        </w:numPr>
        <w:jc w:val="center"/>
        <w:outlineLvl w:val="0"/>
        <w:rPr>
          <w:rFonts w:eastAsia="黑体"/>
          <w:snapToGrid w:val="0"/>
          <w:kern w:val="21"/>
          <w:sz w:val="30"/>
          <w:szCs w:val="30"/>
        </w:rPr>
      </w:pPr>
      <w:bookmarkStart w:id="3" w:name="_Hlk54167917"/>
      <w:r>
        <w:rPr>
          <w:rFonts w:eastAsia="黑体"/>
          <w:snapToGrid w:val="0"/>
          <w:kern w:val="21"/>
          <w:sz w:val="30"/>
          <w:szCs w:val="30"/>
        </w:rPr>
        <w:t>环境保护措施监督检查清单</w:t>
      </w:r>
      <w:bookmarkEnd w:id="3"/>
    </w:p>
    <w:tbl>
      <w:tblPr>
        <w:tblStyle w:val="3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701"/>
        <w:gridCol w:w="1418"/>
        <w:gridCol w:w="2688"/>
        <w:gridCol w:w="2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single" w:color="auto" w:sz="4" w:space="0"/>
              <w:tr2bl w:val="nil"/>
            </w:tcBorders>
            <w:vAlign w:val="center"/>
          </w:tcPr>
          <w:p>
            <w:pPr>
              <w:adjustRightInd w:val="0"/>
              <w:snapToGrid w:val="0"/>
              <w:spacing w:line="400" w:lineRule="exact"/>
              <w:jc w:val="center"/>
              <w:rPr>
                <w:kern w:val="21"/>
                <w:szCs w:val="21"/>
              </w:rPr>
            </w:pPr>
            <w:r>
              <w:rPr>
                <w:rFonts w:hint="eastAsia"/>
                <w:kern w:val="21"/>
                <w:szCs w:val="21"/>
              </w:rPr>
              <w:t xml:space="preserve">  </w:t>
            </w:r>
            <w:r>
              <w:rPr>
                <w:kern w:val="21"/>
                <w:szCs w:val="21"/>
              </w:rPr>
              <w:t>内容</w:t>
            </w:r>
          </w:p>
          <w:p>
            <w:pPr>
              <w:adjustRightInd w:val="0"/>
              <w:snapToGrid w:val="0"/>
              <w:spacing w:line="400" w:lineRule="exact"/>
              <w:rPr>
                <w:kern w:val="21"/>
                <w:szCs w:val="21"/>
              </w:rPr>
            </w:pPr>
            <w:r>
              <w:rPr>
                <w:kern w:val="21"/>
                <w:szCs w:val="21"/>
              </w:rPr>
              <w:t>要素</w:t>
            </w:r>
          </w:p>
        </w:tc>
        <w:tc>
          <w:tcPr>
            <w:tcW w:w="1701" w:type="dxa"/>
            <w:tcBorders>
              <w:tl2br w:val="nil"/>
              <w:tr2bl w:val="nil"/>
            </w:tcBorders>
            <w:vAlign w:val="center"/>
          </w:tcPr>
          <w:p>
            <w:pPr>
              <w:adjustRightInd w:val="0"/>
              <w:snapToGrid w:val="0"/>
              <w:spacing w:line="400" w:lineRule="exact"/>
              <w:jc w:val="center"/>
              <w:rPr>
                <w:kern w:val="21"/>
                <w:szCs w:val="21"/>
              </w:rPr>
            </w:pPr>
            <w:r>
              <w:rPr>
                <w:kern w:val="21"/>
                <w:szCs w:val="21"/>
              </w:rPr>
              <w:t>排放口</w:t>
            </w:r>
            <w:r>
              <w:rPr>
                <w:rFonts w:hint="eastAsia"/>
                <w:kern w:val="21"/>
                <w:szCs w:val="21"/>
              </w:rPr>
              <w:t>（</w:t>
            </w:r>
            <w:r>
              <w:rPr>
                <w:kern w:val="21"/>
                <w:szCs w:val="21"/>
              </w:rPr>
              <w:t>编号、</w:t>
            </w:r>
          </w:p>
          <w:p>
            <w:pPr>
              <w:adjustRightInd w:val="0"/>
              <w:snapToGrid w:val="0"/>
              <w:spacing w:line="400" w:lineRule="exact"/>
              <w:jc w:val="center"/>
              <w:rPr>
                <w:kern w:val="21"/>
                <w:szCs w:val="21"/>
              </w:rPr>
            </w:pPr>
            <w:r>
              <w:rPr>
                <w:kern w:val="21"/>
                <w:szCs w:val="21"/>
              </w:rPr>
              <w:t>名称</w:t>
            </w:r>
            <w:r>
              <w:rPr>
                <w:rFonts w:hint="eastAsia"/>
                <w:kern w:val="21"/>
                <w:szCs w:val="21"/>
              </w:rPr>
              <w:t>）</w:t>
            </w:r>
            <w:r>
              <w:rPr>
                <w:kern w:val="21"/>
                <w:szCs w:val="21"/>
              </w:rPr>
              <w:t>/</w:t>
            </w:r>
            <w:r>
              <w:rPr>
                <w:bCs/>
                <w:color w:val="000000"/>
                <w:szCs w:val="21"/>
              </w:rPr>
              <w:t>污染源</w:t>
            </w:r>
          </w:p>
        </w:tc>
        <w:tc>
          <w:tcPr>
            <w:tcW w:w="1418" w:type="dxa"/>
            <w:tcBorders>
              <w:tl2br w:val="nil"/>
              <w:tr2bl w:val="nil"/>
            </w:tcBorders>
            <w:vAlign w:val="center"/>
          </w:tcPr>
          <w:p>
            <w:pPr>
              <w:adjustRightInd w:val="0"/>
              <w:snapToGrid w:val="0"/>
              <w:spacing w:line="400" w:lineRule="exact"/>
              <w:jc w:val="center"/>
              <w:rPr>
                <w:kern w:val="21"/>
                <w:szCs w:val="21"/>
              </w:rPr>
            </w:pPr>
            <w:r>
              <w:rPr>
                <w:kern w:val="21"/>
                <w:szCs w:val="21"/>
              </w:rPr>
              <w:t>污染物项目</w:t>
            </w:r>
          </w:p>
        </w:tc>
        <w:tc>
          <w:tcPr>
            <w:tcW w:w="2688" w:type="dxa"/>
            <w:tcBorders>
              <w:tl2br w:val="nil"/>
              <w:tr2bl w:val="nil"/>
            </w:tcBorders>
            <w:vAlign w:val="center"/>
          </w:tcPr>
          <w:p>
            <w:pPr>
              <w:adjustRightInd w:val="0"/>
              <w:snapToGrid w:val="0"/>
              <w:spacing w:line="400" w:lineRule="exact"/>
              <w:jc w:val="center"/>
              <w:rPr>
                <w:kern w:val="21"/>
                <w:szCs w:val="21"/>
              </w:rPr>
            </w:pPr>
            <w:r>
              <w:rPr>
                <w:kern w:val="21"/>
                <w:szCs w:val="21"/>
              </w:rPr>
              <w:t>环境保护</w:t>
            </w:r>
            <w:r>
              <w:rPr>
                <w:bCs/>
                <w:color w:val="000000"/>
                <w:szCs w:val="21"/>
              </w:rPr>
              <w:t>措施</w:t>
            </w:r>
          </w:p>
        </w:tc>
        <w:tc>
          <w:tcPr>
            <w:tcW w:w="2172" w:type="dxa"/>
            <w:tcBorders>
              <w:tl2br w:val="nil"/>
              <w:tr2bl w:val="nil"/>
            </w:tcBorders>
            <w:vAlign w:val="center"/>
          </w:tcPr>
          <w:p>
            <w:pPr>
              <w:adjustRightInd w:val="0"/>
              <w:snapToGrid w:val="0"/>
              <w:spacing w:line="400" w:lineRule="exact"/>
              <w:jc w:val="center"/>
              <w:rPr>
                <w:kern w:val="21"/>
                <w:szCs w:val="21"/>
              </w:rPr>
            </w:pPr>
            <w:r>
              <w:rPr>
                <w:kern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restart"/>
            <w:tcBorders>
              <w:tl2br w:val="nil"/>
              <w:tr2bl w:val="nil"/>
            </w:tcBorders>
            <w:vAlign w:val="center"/>
          </w:tcPr>
          <w:p>
            <w:pPr>
              <w:adjustRightInd w:val="0"/>
              <w:snapToGrid w:val="0"/>
              <w:spacing w:line="400" w:lineRule="exact"/>
              <w:jc w:val="center"/>
              <w:rPr>
                <w:kern w:val="21"/>
                <w:szCs w:val="21"/>
              </w:rPr>
            </w:pPr>
            <w:r>
              <w:rPr>
                <w:kern w:val="21"/>
                <w:szCs w:val="21"/>
              </w:rPr>
              <w:t>大气环境</w:t>
            </w:r>
          </w:p>
        </w:tc>
        <w:tc>
          <w:tcPr>
            <w:tcW w:w="1701" w:type="dxa"/>
            <w:tcBorders>
              <w:tl2br w:val="nil"/>
              <w:tr2bl w:val="nil"/>
            </w:tcBorders>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DA001热压工序</w:t>
            </w:r>
          </w:p>
        </w:tc>
        <w:tc>
          <w:tcPr>
            <w:tcW w:w="1418" w:type="dxa"/>
            <w:tcBorders>
              <w:tl2br w:val="nil"/>
              <w:tr2bl w:val="nil"/>
            </w:tcBorders>
            <w:vAlign w:val="center"/>
          </w:tcPr>
          <w:p>
            <w:pPr>
              <w:spacing w:line="320" w:lineRule="exact"/>
              <w:jc w:val="center"/>
              <w:outlineLvl w:val="1"/>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甲醛</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非甲烷总烃</w:t>
            </w:r>
          </w:p>
        </w:tc>
        <w:tc>
          <w:tcPr>
            <w:tcW w:w="2688" w:type="dxa"/>
            <w:tcBorders>
              <w:tl2br w:val="nil"/>
              <w:tr2bl w:val="nil"/>
            </w:tcBorders>
            <w:vAlign w:val="center"/>
          </w:tcPr>
          <w:p>
            <w:pPr>
              <w:spacing w:line="320" w:lineRule="exact"/>
              <w:jc w:val="center"/>
              <w:outlineLvl w:val="1"/>
              <w:rPr>
                <w:color w:val="000000" w:themeColor="text1"/>
                <w:szCs w:val="21"/>
                <w14:textFill>
                  <w14:solidFill>
                    <w14:schemeClr w14:val="tx1"/>
                  </w14:solidFill>
                </w14:textFill>
              </w:rPr>
            </w:pPr>
            <w:r>
              <w:rPr>
                <w:rFonts w:hint="eastAsia"/>
                <w:color w:val="000000"/>
              </w:rPr>
              <w:t>热压机上方设置1套集气罩，有机废气经集气罩收集后通过管道引至1套UV光氧催化+低温等离子处理装置处理后经1根15m高排气筒排放</w:t>
            </w:r>
          </w:p>
        </w:tc>
        <w:tc>
          <w:tcPr>
            <w:tcW w:w="2172" w:type="dxa"/>
            <w:vMerge w:val="restart"/>
            <w:tcBorders>
              <w:tl2br w:val="nil"/>
              <w:tr2bl w:val="nil"/>
            </w:tcBorders>
            <w:vAlign w:val="center"/>
          </w:tcPr>
          <w:p>
            <w:pPr>
              <w:adjustRightInd w:val="0"/>
              <w:snapToGrid w:val="0"/>
              <w:spacing w:line="400" w:lineRule="exact"/>
              <w:jc w:val="center"/>
              <w:rPr>
                <w:kern w:val="21"/>
                <w:szCs w:val="21"/>
              </w:rPr>
            </w:pPr>
            <w:r>
              <w:rPr>
                <w:rFonts w:hint="eastAsia"/>
                <w:color w:val="000000" w:themeColor="text1"/>
                <w:szCs w:val="21"/>
                <w14:textFill>
                  <w14:solidFill>
                    <w14:schemeClr w14:val="tx1"/>
                  </w14:solidFill>
                </w14:textFill>
              </w:rPr>
              <w:t>满足《大气污染物综合排放标准》（GB16297-1996）表2二级标准及</w:t>
            </w:r>
            <w:r>
              <w:rPr>
                <w:rFonts w:hint="eastAsia"/>
                <w:color w:val="000000" w:themeColor="text1"/>
                <w:kern w:val="52"/>
                <w:szCs w:val="21"/>
                <w14:textFill>
                  <w14:solidFill>
                    <w14:schemeClr w14:val="tx1"/>
                  </w14:solidFill>
                </w14:textFill>
              </w:rPr>
              <w:t>豫环攻坚办[2017]162号中限值要求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continue"/>
            <w:tcBorders>
              <w:tl2br w:val="nil"/>
              <w:tr2bl w:val="nil"/>
            </w:tcBorders>
            <w:vAlign w:val="center"/>
          </w:tcPr>
          <w:p>
            <w:pPr>
              <w:adjustRightInd w:val="0"/>
              <w:snapToGrid w:val="0"/>
              <w:spacing w:line="400" w:lineRule="exact"/>
              <w:jc w:val="center"/>
              <w:rPr>
                <w:kern w:val="21"/>
                <w:szCs w:val="21"/>
              </w:rPr>
            </w:pPr>
          </w:p>
        </w:tc>
        <w:tc>
          <w:tcPr>
            <w:tcW w:w="1701" w:type="dxa"/>
            <w:tcBorders>
              <w:tl2br w:val="nil"/>
              <w:tr2bl w:val="nil"/>
            </w:tcBorders>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热压工序</w:t>
            </w:r>
          </w:p>
        </w:tc>
        <w:tc>
          <w:tcPr>
            <w:tcW w:w="1418" w:type="dxa"/>
            <w:tcBorders>
              <w:tl2br w:val="nil"/>
              <w:tr2bl w:val="nil"/>
            </w:tcBorders>
            <w:vAlign w:val="center"/>
          </w:tcPr>
          <w:p>
            <w:pPr>
              <w:spacing w:line="320" w:lineRule="exact"/>
              <w:jc w:val="center"/>
              <w:outlineLvl w:val="1"/>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甲醛</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非甲烷总烃</w:t>
            </w:r>
            <w:r>
              <w:rPr>
                <w:rFonts w:hint="eastAsia" w:hAnsi="宋体"/>
                <w:color w:val="000000" w:themeColor="text1"/>
                <w:szCs w:val="21"/>
                <w14:textFill>
                  <w14:solidFill>
                    <w14:schemeClr w14:val="tx1"/>
                  </w14:solidFill>
                </w14:textFill>
              </w:rPr>
              <w:t>无组织排放</w:t>
            </w:r>
          </w:p>
        </w:tc>
        <w:tc>
          <w:tcPr>
            <w:tcW w:w="2688" w:type="dxa"/>
            <w:tcBorders>
              <w:tl2br w:val="nil"/>
              <w:tr2bl w:val="nil"/>
            </w:tcBorders>
            <w:vAlign w:val="center"/>
          </w:tcPr>
          <w:p>
            <w:pPr>
              <w:spacing w:line="320" w:lineRule="exact"/>
              <w:jc w:val="center"/>
              <w:outlineLvl w:val="1"/>
              <w:rPr>
                <w:color w:val="000000"/>
              </w:rPr>
            </w:pPr>
            <w:r>
              <w:rPr>
                <w:rFonts w:hint="eastAsia"/>
                <w:color w:val="000000"/>
              </w:rPr>
              <w:t>加强车间通风换气</w:t>
            </w:r>
          </w:p>
        </w:tc>
        <w:tc>
          <w:tcPr>
            <w:tcW w:w="2172" w:type="dxa"/>
            <w:vMerge w:val="continue"/>
            <w:tcBorders>
              <w:tl2br w:val="nil"/>
              <w:tr2bl w:val="nil"/>
            </w:tcBorders>
            <w:vAlign w:val="center"/>
          </w:tcPr>
          <w:p>
            <w:pPr>
              <w:adjustRightInd w:val="0"/>
              <w:snapToGrid w:val="0"/>
              <w:spacing w:line="40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continue"/>
            <w:tcBorders>
              <w:tl2br w:val="nil"/>
              <w:tr2bl w:val="nil"/>
            </w:tcBorders>
            <w:vAlign w:val="center"/>
          </w:tcPr>
          <w:p>
            <w:pPr>
              <w:adjustRightInd w:val="0"/>
              <w:snapToGrid w:val="0"/>
              <w:spacing w:line="400" w:lineRule="exact"/>
              <w:jc w:val="center"/>
              <w:rPr>
                <w:kern w:val="21"/>
                <w:szCs w:val="21"/>
              </w:rPr>
            </w:pPr>
          </w:p>
        </w:tc>
        <w:tc>
          <w:tcPr>
            <w:tcW w:w="1701" w:type="dxa"/>
            <w:tcBorders>
              <w:tl2br w:val="nil"/>
              <w:tr2bl w:val="nil"/>
            </w:tcBorders>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color w:val="000000"/>
                <w:szCs w:val="21"/>
              </w:rPr>
              <w:t>DA002液化石油气燃烧废气</w:t>
            </w:r>
          </w:p>
        </w:tc>
        <w:tc>
          <w:tcPr>
            <w:tcW w:w="1418" w:type="dxa"/>
            <w:tcBorders>
              <w:tl2br w:val="nil"/>
              <w:tr2bl w:val="nil"/>
            </w:tcBorders>
            <w:vAlign w:val="center"/>
          </w:tcPr>
          <w:p>
            <w:pPr>
              <w:spacing w:line="320" w:lineRule="exact"/>
              <w:jc w:val="center"/>
              <w:outlineLvl w:val="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颗粒物、</w:t>
            </w:r>
            <w:r>
              <w:rPr>
                <w:rFonts w:hint="eastAsia"/>
                <w:color w:val="000000"/>
                <w:szCs w:val="21"/>
              </w:rPr>
              <w:t>SO</w:t>
            </w:r>
            <w:r>
              <w:rPr>
                <w:rFonts w:hint="eastAsia"/>
                <w:color w:val="000000"/>
                <w:szCs w:val="21"/>
                <w:vertAlign w:val="subscript"/>
              </w:rPr>
              <w:t>2</w:t>
            </w:r>
            <w:r>
              <w:rPr>
                <w:rFonts w:hint="eastAsia"/>
                <w:color w:val="000000"/>
                <w:szCs w:val="21"/>
              </w:rPr>
              <w:t>、NOx</w:t>
            </w:r>
          </w:p>
        </w:tc>
        <w:tc>
          <w:tcPr>
            <w:tcW w:w="2688" w:type="dxa"/>
            <w:tcBorders>
              <w:tl2br w:val="nil"/>
              <w:tr2bl w:val="nil"/>
            </w:tcBorders>
            <w:vAlign w:val="center"/>
          </w:tcPr>
          <w:p>
            <w:pPr>
              <w:spacing w:line="320" w:lineRule="exact"/>
              <w:jc w:val="center"/>
              <w:outlineLvl w:val="1"/>
              <w:rPr>
                <w:color w:val="000000"/>
              </w:rPr>
            </w:pPr>
            <w:r>
              <w:rPr>
                <w:rFonts w:hint="eastAsia"/>
                <w:color w:val="000000"/>
              </w:rPr>
              <w:t>模温机（导热油炉）液化石油气燃烧机加装低氮燃烧器，燃烧废气经1根8m高排气筒排放</w:t>
            </w:r>
          </w:p>
        </w:tc>
        <w:tc>
          <w:tcPr>
            <w:tcW w:w="2172" w:type="dxa"/>
            <w:tcBorders>
              <w:tl2br w:val="nil"/>
              <w:tr2bl w:val="nil"/>
            </w:tcBorders>
            <w:vAlign w:val="center"/>
          </w:tcPr>
          <w:p>
            <w:pPr>
              <w:adjustRightInd w:val="0"/>
              <w:snapToGrid w:val="0"/>
              <w:spacing w:line="400" w:lineRule="exact"/>
              <w:jc w:val="center"/>
              <w:rPr>
                <w:kern w:val="21"/>
                <w:szCs w:val="21"/>
              </w:rPr>
            </w:pPr>
            <w:r>
              <w:rPr>
                <w:rFonts w:hint="eastAsia"/>
                <w:kern w:val="21"/>
                <w:szCs w:val="21"/>
              </w:rPr>
              <w:t>《锅炉大气污染物排放标准》（DB41/2089-2021）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地表水环境</w:t>
            </w:r>
          </w:p>
        </w:tc>
        <w:tc>
          <w:tcPr>
            <w:tcW w:w="1701" w:type="dxa"/>
            <w:tcBorders>
              <w:tl2br w:val="nil"/>
              <w:tr2bl w:val="nil"/>
            </w:tcBorders>
            <w:vAlign w:val="center"/>
          </w:tcPr>
          <w:p>
            <w:pPr>
              <w:spacing w:line="320" w:lineRule="exact"/>
              <w:jc w:val="center"/>
              <w:outlineLvl w:val="1"/>
              <w:rPr>
                <w:rFonts w:hAnsi="宋体"/>
                <w:szCs w:val="21"/>
              </w:rPr>
            </w:pPr>
            <w:r>
              <w:rPr>
                <w:rFonts w:hint="eastAsia" w:hAnsi="宋体"/>
                <w:szCs w:val="21"/>
              </w:rPr>
              <w:t>职工生活污水</w:t>
            </w:r>
          </w:p>
        </w:tc>
        <w:tc>
          <w:tcPr>
            <w:tcW w:w="1418" w:type="dxa"/>
            <w:tcBorders>
              <w:tl2br w:val="nil"/>
              <w:tr2bl w:val="nil"/>
            </w:tcBorders>
            <w:vAlign w:val="center"/>
          </w:tcPr>
          <w:p>
            <w:pPr>
              <w:spacing w:line="320" w:lineRule="exact"/>
              <w:jc w:val="center"/>
              <w:outlineLvl w:val="1"/>
              <w:rPr>
                <w:rFonts w:hAnsi="宋体"/>
                <w:szCs w:val="21"/>
              </w:rPr>
            </w:pPr>
            <w:r>
              <w:rPr>
                <w:rFonts w:hint="eastAsia" w:hAnsi="宋体"/>
                <w:szCs w:val="21"/>
              </w:rPr>
              <w:t>COD、NH</w:t>
            </w:r>
            <w:r>
              <w:rPr>
                <w:rFonts w:hint="eastAsia" w:hAnsi="宋体"/>
                <w:szCs w:val="21"/>
                <w:vertAlign w:val="subscript"/>
              </w:rPr>
              <w:t>3</w:t>
            </w:r>
            <w:r>
              <w:rPr>
                <w:rFonts w:hint="eastAsia" w:hAnsi="宋体"/>
                <w:szCs w:val="21"/>
              </w:rPr>
              <w:t>-N、SS</w:t>
            </w:r>
          </w:p>
        </w:tc>
        <w:tc>
          <w:tcPr>
            <w:tcW w:w="2688" w:type="dxa"/>
            <w:tcBorders>
              <w:tl2br w:val="nil"/>
              <w:tr2bl w:val="nil"/>
            </w:tcBorders>
            <w:vAlign w:val="center"/>
          </w:tcPr>
          <w:p>
            <w:pPr>
              <w:spacing w:line="320" w:lineRule="exact"/>
              <w:jc w:val="center"/>
              <w:outlineLvl w:val="1"/>
              <w:rPr>
                <w:rFonts w:hAnsi="宋体"/>
                <w:szCs w:val="21"/>
              </w:rPr>
            </w:pPr>
            <w:r>
              <w:rPr>
                <w:rFonts w:hint="eastAsia"/>
                <w:bCs/>
                <w:color w:val="000000"/>
                <w:szCs w:val="21"/>
              </w:rPr>
              <w:t>经化粪池（容积3m</w:t>
            </w:r>
            <w:r>
              <w:rPr>
                <w:rFonts w:hint="eastAsia"/>
                <w:bCs/>
                <w:color w:val="000000"/>
                <w:szCs w:val="21"/>
                <w:vertAlign w:val="superscript"/>
              </w:rPr>
              <w:t>3</w:t>
            </w:r>
            <w:r>
              <w:rPr>
                <w:rFonts w:hint="eastAsia"/>
                <w:bCs/>
                <w:color w:val="000000"/>
                <w:szCs w:val="21"/>
              </w:rPr>
              <w:t>，三防措施）处理后用于周围农田施肥</w:t>
            </w:r>
          </w:p>
        </w:tc>
        <w:tc>
          <w:tcPr>
            <w:tcW w:w="2172" w:type="dxa"/>
            <w:tcBorders>
              <w:tl2br w:val="nil"/>
              <w:tr2bl w:val="nil"/>
            </w:tcBorders>
            <w:vAlign w:val="center"/>
          </w:tcPr>
          <w:p>
            <w:pPr>
              <w:spacing w:line="400" w:lineRule="exact"/>
              <w:jc w:val="center"/>
              <w:outlineLvl w:val="1"/>
              <w:rPr>
                <w:rFonts w:hAnsi="宋体"/>
                <w:szCs w:val="21"/>
              </w:rPr>
            </w:pPr>
            <w:r>
              <w:rPr>
                <w:rFonts w:hAnsi="宋体"/>
                <w:szCs w:val="21"/>
              </w:rPr>
              <w:t>对周围水环境无不良影响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声环境</w:t>
            </w:r>
          </w:p>
        </w:tc>
        <w:tc>
          <w:tcPr>
            <w:tcW w:w="1701" w:type="dxa"/>
            <w:tcBorders>
              <w:tl2br w:val="nil"/>
              <w:tr2bl w:val="nil"/>
            </w:tcBorders>
            <w:vAlign w:val="center"/>
          </w:tcPr>
          <w:p>
            <w:pPr>
              <w:adjustRightInd w:val="0"/>
              <w:snapToGrid w:val="0"/>
              <w:spacing w:line="400" w:lineRule="exact"/>
              <w:jc w:val="center"/>
              <w:rPr>
                <w:kern w:val="21"/>
                <w:szCs w:val="21"/>
              </w:rPr>
            </w:pPr>
            <w:r>
              <w:rPr>
                <w:rFonts w:hint="eastAsia"/>
                <w:szCs w:val="21"/>
              </w:rPr>
              <w:t>热压机、模温机、风机等设备</w:t>
            </w:r>
          </w:p>
        </w:tc>
        <w:tc>
          <w:tcPr>
            <w:tcW w:w="1418" w:type="dxa"/>
            <w:tcBorders>
              <w:tl2br w:val="nil"/>
              <w:tr2bl w:val="nil"/>
            </w:tcBorders>
            <w:vAlign w:val="center"/>
          </w:tcPr>
          <w:p>
            <w:pPr>
              <w:adjustRightInd w:val="0"/>
              <w:snapToGrid w:val="0"/>
              <w:spacing w:line="400" w:lineRule="exact"/>
              <w:jc w:val="center"/>
              <w:rPr>
                <w:kern w:val="21"/>
                <w:szCs w:val="21"/>
              </w:rPr>
            </w:pPr>
            <w:r>
              <w:rPr>
                <w:rFonts w:hint="eastAsia" w:ascii="宋体" w:hAnsi="宋体" w:cs="宋体"/>
                <w:szCs w:val="21"/>
              </w:rPr>
              <w:t>机械</w:t>
            </w:r>
            <w:r>
              <w:rPr>
                <w:rFonts w:hint="eastAsia"/>
                <w:kern w:val="21"/>
                <w:szCs w:val="21"/>
              </w:rPr>
              <w:t>噪声</w:t>
            </w:r>
          </w:p>
        </w:tc>
        <w:tc>
          <w:tcPr>
            <w:tcW w:w="2688" w:type="dxa"/>
            <w:tcBorders>
              <w:tl2br w:val="nil"/>
              <w:tr2bl w:val="nil"/>
            </w:tcBorders>
            <w:vAlign w:val="center"/>
          </w:tcPr>
          <w:p>
            <w:pPr>
              <w:adjustRightInd w:val="0"/>
              <w:snapToGrid w:val="0"/>
              <w:spacing w:line="400" w:lineRule="exact"/>
              <w:jc w:val="center"/>
              <w:rPr>
                <w:kern w:val="21"/>
                <w:szCs w:val="21"/>
              </w:rPr>
            </w:pPr>
            <w:r>
              <w:rPr>
                <w:rFonts w:hint="eastAsia" w:cs="宋体"/>
              </w:rPr>
              <w:t>合理布局；产噪设备采取基础减振</w:t>
            </w:r>
            <w:r>
              <w:rPr>
                <w:rFonts w:hint="eastAsia" w:hAnsi="宋体"/>
                <w:szCs w:val="21"/>
              </w:rPr>
              <w:t>、</w:t>
            </w:r>
            <w:r>
              <w:rPr>
                <w:rFonts w:hAnsi="宋体"/>
                <w:szCs w:val="21"/>
              </w:rPr>
              <w:t>厂房隔声等降噪措施</w:t>
            </w:r>
          </w:p>
        </w:tc>
        <w:tc>
          <w:tcPr>
            <w:tcW w:w="2172" w:type="dxa"/>
            <w:tcBorders>
              <w:tl2br w:val="nil"/>
              <w:tr2bl w:val="nil"/>
            </w:tcBorders>
            <w:vAlign w:val="center"/>
          </w:tcPr>
          <w:p>
            <w:pPr>
              <w:adjustRightInd w:val="0"/>
              <w:snapToGrid w:val="0"/>
              <w:spacing w:line="400" w:lineRule="exact"/>
              <w:jc w:val="center"/>
              <w:rPr>
                <w:kern w:val="21"/>
                <w:szCs w:val="21"/>
              </w:rPr>
            </w:pPr>
            <w:r>
              <w:rPr>
                <w:rFonts w:hint="eastAsia"/>
                <w:szCs w:val="21"/>
              </w:rPr>
              <w:t>执行</w:t>
            </w:r>
            <w:r>
              <w:rPr>
                <w:szCs w:val="21"/>
              </w:rPr>
              <w:t>《工业企业厂界噪声排放标准》（</w:t>
            </w:r>
            <w:r>
              <w:rPr>
                <w:kern w:val="21"/>
                <w:szCs w:val="21"/>
              </w:rPr>
              <w:t>GB12348</w:t>
            </w:r>
            <w:r>
              <w:rPr>
                <w:szCs w:val="21"/>
              </w:rPr>
              <w:t>-2008）</w:t>
            </w:r>
            <w:r>
              <w:rPr>
                <w:rFonts w:hint="eastAsia"/>
                <w:szCs w:val="21"/>
              </w:rPr>
              <w:t>2</w:t>
            </w:r>
            <w:r>
              <w:rPr>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电磁辐射</w:t>
            </w:r>
          </w:p>
        </w:tc>
        <w:tc>
          <w:tcPr>
            <w:tcW w:w="1701" w:type="dxa"/>
            <w:tcBorders>
              <w:tl2br w:val="nil"/>
              <w:tr2bl w:val="nil"/>
            </w:tcBorders>
            <w:vAlign w:val="center"/>
          </w:tcPr>
          <w:p>
            <w:pPr>
              <w:adjustRightInd w:val="0"/>
              <w:snapToGrid w:val="0"/>
              <w:spacing w:line="400" w:lineRule="exact"/>
              <w:jc w:val="center"/>
              <w:rPr>
                <w:kern w:val="21"/>
                <w:szCs w:val="21"/>
              </w:rPr>
            </w:pPr>
            <w:r>
              <w:rPr>
                <w:szCs w:val="21"/>
              </w:rPr>
              <w:t>无</w:t>
            </w:r>
          </w:p>
        </w:tc>
        <w:tc>
          <w:tcPr>
            <w:tcW w:w="1418" w:type="dxa"/>
            <w:tcBorders>
              <w:tl2br w:val="nil"/>
              <w:tr2bl w:val="nil"/>
            </w:tcBorders>
            <w:vAlign w:val="center"/>
          </w:tcPr>
          <w:p>
            <w:pPr>
              <w:adjustRightInd w:val="0"/>
              <w:snapToGrid w:val="0"/>
              <w:spacing w:line="400" w:lineRule="exact"/>
              <w:jc w:val="center"/>
              <w:rPr>
                <w:kern w:val="21"/>
                <w:szCs w:val="21"/>
              </w:rPr>
            </w:pPr>
            <w:r>
              <w:rPr>
                <w:szCs w:val="21"/>
              </w:rPr>
              <w:t>无</w:t>
            </w:r>
          </w:p>
        </w:tc>
        <w:tc>
          <w:tcPr>
            <w:tcW w:w="2688" w:type="dxa"/>
            <w:tcBorders>
              <w:tl2br w:val="nil"/>
              <w:tr2bl w:val="nil"/>
            </w:tcBorders>
            <w:vAlign w:val="center"/>
          </w:tcPr>
          <w:p>
            <w:pPr>
              <w:adjustRightInd w:val="0"/>
              <w:snapToGrid w:val="0"/>
              <w:spacing w:line="400" w:lineRule="exact"/>
              <w:jc w:val="center"/>
              <w:rPr>
                <w:kern w:val="21"/>
                <w:szCs w:val="21"/>
              </w:rPr>
            </w:pPr>
            <w:r>
              <w:rPr>
                <w:kern w:val="21"/>
                <w:szCs w:val="21"/>
              </w:rPr>
              <w:t>无</w:t>
            </w:r>
          </w:p>
        </w:tc>
        <w:tc>
          <w:tcPr>
            <w:tcW w:w="2172" w:type="dxa"/>
            <w:tcBorders>
              <w:tl2br w:val="nil"/>
              <w:tr2bl w:val="nil"/>
            </w:tcBorders>
            <w:vAlign w:val="center"/>
          </w:tcPr>
          <w:p>
            <w:pPr>
              <w:adjustRightInd w:val="0"/>
              <w:snapToGrid w:val="0"/>
              <w:spacing w:line="400" w:lineRule="exact"/>
              <w:jc w:val="center"/>
              <w:rPr>
                <w:kern w:val="21"/>
                <w:szCs w:val="21"/>
              </w:rPr>
            </w:pPr>
            <w:r>
              <w:rPr>
                <w:kern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restart"/>
            <w:tcBorders>
              <w:tl2br w:val="nil"/>
              <w:tr2bl w:val="nil"/>
            </w:tcBorders>
            <w:vAlign w:val="center"/>
          </w:tcPr>
          <w:p>
            <w:pPr>
              <w:adjustRightInd w:val="0"/>
              <w:snapToGrid w:val="0"/>
              <w:spacing w:line="400" w:lineRule="exact"/>
              <w:jc w:val="center"/>
              <w:rPr>
                <w:kern w:val="21"/>
                <w:szCs w:val="21"/>
              </w:rPr>
            </w:pPr>
            <w:r>
              <w:rPr>
                <w:rFonts w:hint="eastAsia"/>
                <w:kern w:val="21"/>
                <w:szCs w:val="21"/>
                <w:lang w:eastAsia="zh-CN"/>
              </w:rPr>
              <w:t>一般</w:t>
            </w:r>
            <w:r>
              <w:rPr>
                <w:kern w:val="21"/>
                <w:szCs w:val="21"/>
              </w:rPr>
              <w:t>固体废物</w:t>
            </w:r>
          </w:p>
        </w:tc>
        <w:tc>
          <w:tcPr>
            <w:tcW w:w="1701" w:type="dxa"/>
            <w:tcBorders>
              <w:tl2br w:val="nil"/>
              <w:tr2bl w:val="nil"/>
            </w:tcBorders>
            <w:vAlign w:val="center"/>
          </w:tcPr>
          <w:p>
            <w:pPr>
              <w:spacing w:line="360" w:lineRule="exact"/>
              <w:jc w:val="center"/>
              <w:outlineLvl w:val="1"/>
              <w:rPr>
                <w:rFonts w:hAnsi="宋体"/>
                <w:szCs w:val="21"/>
              </w:rPr>
            </w:pPr>
            <w:r>
              <w:rPr>
                <w:rFonts w:hint="eastAsia" w:hAnsi="宋体"/>
                <w:szCs w:val="21"/>
              </w:rPr>
              <w:t>在厂职工</w:t>
            </w:r>
          </w:p>
        </w:tc>
        <w:tc>
          <w:tcPr>
            <w:tcW w:w="1418" w:type="dxa"/>
            <w:tcBorders>
              <w:tl2br w:val="nil"/>
              <w:tr2bl w:val="nil"/>
            </w:tcBorders>
            <w:vAlign w:val="center"/>
          </w:tcPr>
          <w:p>
            <w:pPr>
              <w:spacing w:line="360" w:lineRule="exact"/>
              <w:jc w:val="center"/>
              <w:outlineLvl w:val="1"/>
              <w:rPr>
                <w:rFonts w:hAnsi="宋体"/>
                <w:szCs w:val="21"/>
              </w:rPr>
            </w:pPr>
            <w:r>
              <w:rPr>
                <w:rFonts w:hint="eastAsia" w:hAnsi="宋体"/>
                <w:szCs w:val="21"/>
              </w:rPr>
              <w:t xml:space="preserve">生活垃圾 </w:t>
            </w:r>
          </w:p>
        </w:tc>
        <w:tc>
          <w:tcPr>
            <w:tcW w:w="2688" w:type="dxa"/>
            <w:tcBorders>
              <w:tl2br w:val="nil"/>
              <w:tr2bl w:val="nil"/>
            </w:tcBorders>
            <w:vAlign w:val="center"/>
          </w:tcPr>
          <w:p>
            <w:pPr>
              <w:spacing w:line="360" w:lineRule="exact"/>
              <w:jc w:val="center"/>
              <w:outlineLvl w:val="1"/>
              <w:rPr>
                <w:szCs w:val="21"/>
              </w:rPr>
            </w:pPr>
            <w:r>
              <w:rPr>
                <w:rFonts w:hint="eastAsia"/>
                <w:color w:val="000000"/>
                <w:szCs w:val="21"/>
              </w:rPr>
              <w:t>经垃圾桶分类收集后交由环卫部门</w:t>
            </w:r>
            <w:r>
              <w:rPr>
                <w:rFonts w:hint="eastAsia" w:hAnsi="宋体"/>
                <w:color w:val="000000"/>
                <w:szCs w:val="21"/>
              </w:rPr>
              <w:t>运至垃圾中转站处理</w:t>
            </w:r>
          </w:p>
        </w:tc>
        <w:tc>
          <w:tcPr>
            <w:tcW w:w="2172" w:type="dxa"/>
            <w:vMerge w:val="restart"/>
            <w:tcBorders>
              <w:tl2br w:val="nil"/>
              <w:tr2bl w:val="nil"/>
            </w:tcBorders>
            <w:vAlign w:val="center"/>
          </w:tcPr>
          <w:p>
            <w:pPr>
              <w:adjustRightInd w:val="0"/>
              <w:snapToGrid w:val="0"/>
              <w:spacing w:line="400" w:lineRule="exact"/>
              <w:jc w:val="center"/>
              <w:rPr>
                <w:kern w:val="21"/>
                <w:szCs w:val="21"/>
              </w:rPr>
            </w:pPr>
            <w:r>
              <w:rPr>
                <w:rFonts w:hint="eastAsia"/>
                <w:szCs w:val="21"/>
              </w:rPr>
              <w:t>执行</w:t>
            </w:r>
            <w:r>
              <w:rPr>
                <w:szCs w:val="21"/>
              </w:rPr>
              <w:t>《一般工业固体废物贮存、处置场污染控制标准》（GB18599-2001）</w:t>
            </w:r>
            <w:r>
              <w:rPr>
                <w:rFonts w:hint="eastAsia"/>
                <w:szCs w:val="21"/>
              </w:rPr>
              <w:t>及2013年修改单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continue"/>
            <w:tcBorders>
              <w:tl2br w:val="nil"/>
              <w:tr2bl w:val="nil"/>
            </w:tcBorders>
            <w:vAlign w:val="center"/>
          </w:tcPr>
          <w:p>
            <w:pPr>
              <w:adjustRightInd w:val="0"/>
              <w:snapToGrid w:val="0"/>
              <w:spacing w:line="400" w:lineRule="exact"/>
              <w:jc w:val="center"/>
              <w:rPr>
                <w:kern w:val="21"/>
                <w:szCs w:val="21"/>
              </w:rPr>
            </w:pPr>
          </w:p>
        </w:tc>
        <w:tc>
          <w:tcPr>
            <w:tcW w:w="1701" w:type="dxa"/>
            <w:tcBorders>
              <w:tl2br w:val="nil"/>
              <w:tr2bl w:val="nil"/>
            </w:tcBorders>
            <w:vAlign w:val="center"/>
          </w:tcPr>
          <w:p>
            <w:pPr>
              <w:spacing w:line="360" w:lineRule="exact"/>
              <w:jc w:val="center"/>
              <w:outlineLvl w:val="1"/>
              <w:rPr>
                <w:rFonts w:hAnsi="宋体"/>
                <w:szCs w:val="21"/>
              </w:rPr>
            </w:pPr>
            <w:r>
              <w:rPr>
                <w:rFonts w:hint="eastAsia" w:hAnsi="宋体"/>
                <w:szCs w:val="21"/>
              </w:rPr>
              <w:t>化粪池</w:t>
            </w:r>
          </w:p>
        </w:tc>
        <w:tc>
          <w:tcPr>
            <w:tcW w:w="1418" w:type="dxa"/>
            <w:tcBorders>
              <w:tl2br w:val="nil"/>
              <w:tr2bl w:val="nil"/>
            </w:tcBorders>
            <w:vAlign w:val="center"/>
          </w:tcPr>
          <w:p>
            <w:pPr>
              <w:spacing w:line="360" w:lineRule="exact"/>
              <w:jc w:val="center"/>
              <w:outlineLvl w:val="1"/>
              <w:rPr>
                <w:rFonts w:hAnsi="宋体"/>
                <w:szCs w:val="21"/>
              </w:rPr>
            </w:pPr>
            <w:r>
              <w:rPr>
                <w:rFonts w:hint="eastAsia" w:hAnsi="宋体"/>
                <w:szCs w:val="21"/>
              </w:rPr>
              <w:t>污泥</w:t>
            </w:r>
          </w:p>
        </w:tc>
        <w:tc>
          <w:tcPr>
            <w:tcW w:w="2688" w:type="dxa"/>
            <w:tcBorders>
              <w:tl2br w:val="nil"/>
              <w:tr2bl w:val="nil"/>
            </w:tcBorders>
            <w:vAlign w:val="center"/>
          </w:tcPr>
          <w:p>
            <w:pPr>
              <w:spacing w:line="360" w:lineRule="exact"/>
              <w:jc w:val="center"/>
              <w:outlineLvl w:val="1"/>
              <w:rPr>
                <w:color w:val="000000"/>
                <w:szCs w:val="21"/>
              </w:rPr>
            </w:pPr>
            <w:r>
              <w:rPr>
                <w:rFonts w:hint="eastAsia"/>
                <w:color w:val="000000"/>
                <w:szCs w:val="21"/>
              </w:rPr>
              <w:t>定期清掏后用于周围农田施肥</w:t>
            </w:r>
          </w:p>
        </w:tc>
        <w:tc>
          <w:tcPr>
            <w:tcW w:w="2172" w:type="dxa"/>
            <w:vMerge w:val="continue"/>
            <w:tcBorders>
              <w:tl2br w:val="nil"/>
              <w:tr2bl w:val="nil"/>
            </w:tcBorders>
            <w:vAlign w:val="center"/>
          </w:tcPr>
          <w:p>
            <w:pPr>
              <w:adjustRightInd w:val="0"/>
              <w:snapToGrid w:val="0"/>
              <w:spacing w:line="400" w:lineRule="exact"/>
              <w:jc w:val="center"/>
              <w:rPr>
                <w:kern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continue"/>
            <w:tcBorders>
              <w:tl2br w:val="nil"/>
              <w:tr2bl w:val="nil"/>
            </w:tcBorders>
            <w:vAlign w:val="center"/>
          </w:tcPr>
          <w:p>
            <w:pPr>
              <w:adjustRightInd w:val="0"/>
              <w:snapToGrid w:val="0"/>
              <w:spacing w:line="400" w:lineRule="exact"/>
              <w:jc w:val="center"/>
              <w:rPr>
                <w:kern w:val="21"/>
                <w:szCs w:val="21"/>
              </w:rPr>
            </w:pPr>
          </w:p>
        </w:tc>
        <w:tc>
          <w:tcPr>
            <w:tcW w:w="1701" w:type="dxa"/>
            <w:tcBorders>
              <w:tl2br w:val="nil"/>
              <w:tr2bl w:val="nil"/>
            </w:tcBorders>
            <w:vAlign w:val="center"/>
          </w:tcPr>
          <w:p>
            <w:pPr>
              <w:spacing w:line="360" w:lineRule="exact"/>
              <w:jc w:val="center"/>
              <w:outlineLvl w:val="1"/>
              <w:rPr>
                <w:rFonts w:hAnsi="宋体"/>
                <w:szCs w:val="21"/>
              </w:rPr>
            </w:pPr>
            <w:r>
              <w:rPr>
                <w:rFonts w:hAnsi="宋体"/>
                <w:szCs w:val="21"/>
              </w:rPr>
              <w:t>修整</w:t>
            </w:r>
            <w:r>
              <w:rPr>
                <w:rFonts w:hint="eastAsia" w:hAnsi="宋体"/>
                <w:szCs w:val="21"/>
              </w:rPr>
              <w:t>、</w:t>
            </w:r>
            <w:r>
              <w:rPr>
                <w:rFonts w:hAnsi="宋体"/>
                <w:szCs w:val="21"/>
              </w:rPr>
              <w:t>检验过程</w:t>
            </w:r>
          </w:p>
        </w:tc>
        <w:tc>
          <w:tcPr>
            <w:tcW w:w="1418" w:type="dxa"/>
            <w:tcBorders>
              <w:tl2br w:val="nil"/>
              <w:tr2bl w:val="nil"/>
            </w:tcBorders>
            <w:vAlign w:val="center"/>
          </w:tcPr>
          <w:p>
            <w:pPr>
              <w:spacing w:line="360" w:lineRule="exact"/>
              <w:jc w:val="center"/>
              <w:outlineLvl w:val="1"/>
              <w:rPr>
                <w:rFonts w:hAnsi="宋体"/>
                <w:szCs w:val="21"/>
              </w:rPr>
            </w:pPr>
            <w:r>
              <w:rPr>
                <w:rFonts w:hAnsi="宋体"/>
                <w:szCs w:val="21"/>
              </w:rPr>
              <w:t>边角料及不合格品</w:t>
            </w:r>
          </w:p>
        </w:tc>
        <w:tc>
          <w:tcPr>
            <w:tcW w:w="2688" w:type="dxa"/>
            <w:vMerge w:val="restart"/>
            <w:tcBorders>
              <w:tl2br w:val="nil"/>
              <w:tr2bl w:val="nil"/>
            </w:tcBorders>
            <w:vAlign w:val="center"/>
          </w:tcPr>
          <w:p>
            <w:pPr>
              <w:spacing w:line="360" w:lineRule="exact"/>
              <w:jc w:val="center"/>
              <w:outlineLvl w:val="1"/>
              <w:rPr>
                <w:color w:val="auto"/>
                <w:szCs w:val="21"/>
                <w:u w:val="single"/>
              </w:rPr>
            </w:pPr>
            <w:r>
              <w:rPr>
                <w:rFonts w:hint="eastAsia"/>
                <w:color w:val="auto"/>
                <w:szCs w:val="21"/>
                <w:u w:val="single"/>
              </w:rPr>
              <w:t>集中收集于一般固废暂存间（位于车间内，面积10m</w:t>
            </w:r>
            <w:r>
              <w:rPr>
                <w:rFonts w:hint="eastAsia"/>
                <w:color w:val="auto"/>
                <w:szCs w:val="21"/>
                <w:u w:val="single"/>
                <w:vertAlign w:val="superscript"/>
              </w:rPr>
              <w:t>2</w:t>
            </w:r>
            <w:r>
              <w:rPr>
                <w:rFonts w:hint="eastAsia"/>
                <w:color w:val="auto"/>
                <w:szCs w:val="21"/>
                <w:u w:val="single"/>
              </w:rPr>
              <w:t>），定期外售给废品回收站</w:t>
            </w:r>
          </w:p>
        </w:tc>
        <w:tc>
          <w:tcPr>
            <w:tcW w:w="2172" w:type="dxa"/>
            <w:vMerge w:val="continue"/>
            <w:tcBorders>
              <w:tl2br w:val="nil"/>
              <w:tr2bl w:val="nil"/>
            </w:tcBorders>
            <w:vAlign w:val="center"/>
          </w:tcPr>
          <w:p>
            <w:pPr>
              <w:adjustRightInd w:val="0"/>
              <w:snapToGrid w:val="0"/>
              <w:spacing w:line="400" w:lineRule="exact"/>
              <w:jc w:val="center"/>
              <w:rPr>
                <w:kern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Merge w:val="continue"/>
            <w:tcBorders>
              <w:tl2br w:val="nil"/>
              <w:tr2bl w:val="nil"/>
            </w:tcBorders>
            <w:vAlign w:val="center"/>
          </w:tcPr>
          <w:p>
            <w:pPr>
              <w:adjustRightInd w:val="0"/>
              <w:snapToGrid w:val="0"/>
              <w:spacing w:line="400" w:lineRule="exact"/>
              <w:jc w:val="center"/>
              <w:rPr>
                <w:kern w:val="21"/>
                <w:szCs w:val="21"/>
              </w:rPr>
            </w:pPr>
          </w:p>
        </w:tc>
        <w:tc>
          <w:tcPr>
            <w:tcW w:w="1701" w:type="dxa"/>
            <w:tcBorders>
              <w:tl2br w:val="nil"/>
              <w:tr2bl w:val="nil"/>
            </w:tcBorders>
            <w:vAlign w:val="center"/>
          </w:tcPr>
          <w:p>
            <w:pPr>
              <w:spacing w:line="360" w:lineRule="exact"/>
              <w:jc w:val="center"/>
              <w:outlineLvl w:val="1"/>
              <w:rPr>
                <w:rFonts w:hAnsi="宋体"/>
                <w:szCs w:val="21"/>
              </w:rPr>
            </w:pPr>
            <w:r>
              <w:rPr>
                <w:rFonts w:hint="eastAsia" w:hAnsi="宋体"/>
                <w:szCs w:val="21"/>
              </w:rPr>
              <w:t>生产过程</w:t>
            </w:r>
          </w:p>
        </w:tc>
        <w:tc>
          <w:tcPr>
            <w:tcW w:w="1418" w:type="dxa"/>
            <w:tcBorders>
              <w:tl2br w:val="nil"/>
              <w:tr2bl w:val="nil"/>
            </w:tcBorders>
            <w:vAlign w:val="center"/>
          </w:tcPr>
          <w:p>
            <w:pPr>
              <w:spacing w:line="360" w:lineRule="exact"/>
              <w:jc w:val="center"/>
              <w:outlineLvl w:val="1"/>
              <w:rPr>
                <w:rFonts w:hAnsi="宋体"/>
                <w:szCs w:val="21"/>
              </w:rPr>
            </w:pPr>
            <w:r>
              <w:rPr>
                <w:rFonts w:hint="eastAsia" w:hAnsi="宋体"/>
                <w:szCs w:val="21"/>
              </w:rPr>
              <w:t>废包装材料</w:t>
            </w:r>
          </w:p>
        </w:tc>
        <w:tc>
          <w:tcPr>
            <w:tcW w:w="2688" w:type="dxa"/>
            <w:vMerge w:val="continue"/>
            <w:tcBorders>
              <w:tl2br w:val="nil"/>
              <w:tr2bl w:val="nil"/>
            </w:tcBorders>
            <w:vAlign w:val="center"/>
          </w:tcPr>
          <w:p>
            <w:pPr>
              <w:spacing w:line="360" w:lineRule="exact"/>
              <w:jc w:val="center"/>
              <w:outlineLvl w:val="1"/>
              <w:rPr>
                <w:color w:val="auto"/>
                <w:szCs w:val="21"/>
              </w:rPr>
            </w:pPr>
          </w:p>
        </w:tc>
        <w:tc>
          <w:tcPr>
            <w:tcW w:w="2172" w:type="dxa"/>
            <w:vMerge w:val="continue"/>
            <w:tcBorders>
              <w:tl2br w:val="nil"/>
              <w:tr2bl w:val="nil"/>
            </w:tcBorders>
            <w:vAlign w:val="center"/>
          </w:tcPr>
          <w:p>
            <w:pPr>
              <w:adjustRightInd w:val="0"/>
              <w:snapToGrid w:val="0"/>
              <w:spacing w:line="400" w:lineRule="exact"/>
              <w:jc w:val="center"/>
              <w:rPr>
                <w:kern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92" w:type="dxa"/>
            <w:vMerge w:val="restart"/>
            <w:tcBorders>
              <w:tl2br w:val="nil"/>
              <w:tr2bl w:val="nil"/>
            </w:tcBorders>
            <w:vAlign w:val="center"/>
          </w:tcPr>
          <w:p>
            <w:pPr>
              <w:adjustRightInd w:val="0"/>
              <w:snapToGrid w:val="0"/>
              <w:spacing w:line="400" w:lineRule="exact"/>
              <w:jc w:val="center"/>
              <w:rPr>
                <w:rFonts w:hint="eastAsia" w:eastAsia="宋体"/>
                <w:kern w:val="21"/>
                <w:szCs w:val="21"/>
                <w:lang w:eastAsia="zh-CN"/>
              </w:rPr>
            </w:pPr>
            <w:r>
              <w:rPr>
                <w:rFonts w:hint="eastAsia"/>
                <w:kern w:val="21"/>
                <w:szCs w:val="21"/>
                <w:lang w:eastAsia="zh-CN"/>
              </w:rPr>
              <w:t>危险废物</w:t>
            </w:r>
          </w:p>
        </w:tc>
        <w:tc>
          <w:tcPr>
            <w:tcW w:w="1701" w:type="dxa"/>
            <w:tcBorders>
              <w:tl2br w:val="nil"/>
              <w:tr2bl w:val="nil"/>
            </w:tcBorders>
            <w:vAlign w:val="center"/>
          </w:tcPr>
          <w:p>
            <w:pPr>
              <w:spacing w:line="320" w:lineRule="exact"/>
              <w:jc w:val="center"/>
              <w:outlineLvl w:val="1"/>
              <w:rPr>
                <w:rFonts w:hAnsi="宋体"/>
                <w:szCs w:val="21"/>
              </w:rPr>
            </w:pPr>
            <w:r>
              <w:rPr>
                <w:rFonts w:hint="eastAsia" w:hAnsi="宋体"/>
                <w:szCs w:val="21"/>
              </w:rPr>
              <w:t>设备维护</w:t>
            </w:r>
          </w:p>
        </w:tc>
        <w:tc>
          <w:tcPr>
            <w:tcW w:w="1418" w:type="dxa"/>
            <w:tcBorders>
              <w:tl2br w:val="nil"/>
              <w:tr2bl w:val="nil"/>
            </w:tcBorders>
            <w:vAlign w:val="center"/>
          </w:tcPr>
          <w:p>
            <w:pPr>
              <w:spacing w:line="320" w:lineRule="exact"/>
              <w:jc w:val="center"/>
              <w:outlineLvl w:val="1"/>
              <w:rPr>
                <w:rFonts w:hAnsi="宋体"/>
                <w:szCs w:val="21"/>
              </w:rPr>
            </w:pPr>
            <w:r>
              <w:rPr>
                <w:rFonts w:hint="eastAsia" w:hAnsi="宋体"/>
                <w:szCs w:val="21"/>
              </w:rPr>
              <w:t>废液压油</w:t>
            </w:r>
          </w:p>
        </w:tc>
        <w:tc>
          <w:tcPr>
            <w:tcW w:w="2688" w:type="dxa"/>
            <w:vMerge w:val="restart"/>
            <w:tcBorders>
              <w:tl2br w:val="nil"/>
              <w:tr2bl w:val="nil"/>
            </w:tcBorders>
            <w:vAlign w:val="center"/>
          </w:tcPr>
          <w:p>
            <w:pPr>
              <w:spacing w:line="320" w:lineRule="exact"/>
              <w:jc w:val="center"/>
              <w:outlineLvl w:val="1"/>
              <w:rPr>
                <w:color w:val="auto"/>
                <w:szCs w:val="21"/>
              </w:rPr>
            </w:pPr>
            <w:r>
              <w:rPr>
                <w:rFonts w:hint="eastAsia"/>
                <w:color w:val="auto"/>
                <w:szCs w:val="21"/>
              </w:rPr>
              <w:t>分类</w:t>
            </w:r>
            <w:r>
              <w:rPr>
                <w:color w:val="auto"/>
                <w:szCs w:val="21"/>
              </w:rPr>
              <w:t>集中收集</w:t>
            </w:r>
            <w:r>
              <w:rPr>
                <w:rFonts w:hint="eastAsia"/>
                <w:color w:val="auto"/>
                <w:szCs w:val="21"/>
              </w:rPr>
              <w:t>于厂区现有危废</w:t>
            </w:r>
            <w:r>
              <w:rPr>
                <w:color w:val="auto"/>
                <w:szCs w:val="21"/>
              </w:rPr>
              <w:t>暂存间</w:t>
            </w:r>
            <w:r>
              <w:rPr>
                <w:rFonts w:hint="eastAsia"/>
                <w:color w:val="auto"/>
                <w:szCs w:val="21"/>
              </w:rPr>
              <w:t>（</w:t>
            </w:r>
            <w:r>
              <w:rPr>
                <w:rFonts w:hint="eastAsia"/>
                <w:color w:val="auto"/>
                <w:szCs w:val="21"/>
                <w:u w:val="single"/>
              </w:rPr>
              <w:t>面积10m</w:t>
            </w:r>
            <w:r>
              <w:rPr>
                <w:rFonts w:hint="eastAsia"/>
                <w:color w:val="auto"/>
                <w:szCs w:val="21"/>
                <w:u w:val="single"/>
                <w:vertAlign w:val="superscript"/>
              </w:rPr>
              <w:t>2</w:t>
            </w:r>
            <w:r>
              <w:rPr>
                <w:rFonts w:hint="eastAsia"/>
                <w:color w:val="auto"/>
                <w:szCs w:val="21"/>
                <w:u w:val="single"/>
              </w:rPr>
              <w:t>，采取四防措施</w:t>
            </w:r>
            <w:r>
              <w:rPr>
                <w:rFonts w:hint="eastAsia"/>
                <w:color w:val="auto"/>
                <w:szCs w:val="21"/>
              </w:rPr>
              <w:t>），</w:t>
            </w:r>
            <w:r>
              <w:rPr>
                <w:color w:val="auto"/>
                <w:szCs w:val="21"/>
              </w:rPr>
              <w:t>定期交由有危废处理资质的单位进行处置</w:t>
            </w:r>
          </w:p>
        </w:tc>
        <w:tc>
          <w:tcPr>
            <w:tcW w:w="2172" w:type="dxa"/>
            <w:vMerge w:val="restart"/>
            <w:tcBorders>
              <w:tl2br w:val="nil"/>
              <w:tr2bl w:val="nil"/>
            </w:tcBorders>
            <w:vAlign w:val="center"/>
          </w:tcPr>
          <w:p>
            <w:pPr>
              <w:adjustRightInd w:val="0"/>
              <w:snapToGrid w:val="0"/>
              <w:spacing w:line="400" w:lineRule="exact"/>
              <w:jc w:val="center"/>
              <w:rPr>
                <w:kern w:val="21"/>
                <w:szCs w:val="21"/>
              </w:rPr>
            </w:pPr>
            <w:r>
              <w:rPr>
                <w:rFonts w:hint="eastAsia"/>
                <w:szCs w:val="21"/>
              </w:rPr>
              <w:t>执行</w:t>
            </w:r>
            <w:r>
              <w:rPr>
                <w:szCs w:val="21"/>
              </w:rPr>
              <w:t>《危险废物贮存污染控制标准》（GB18597-2001）</w:t>
            </w:r>
            <w:r>
              <w:rPr>
                <w:rFonts w:hint="eastAsia"/>
                <w:szCs w:val="21"/>
              </w:rPr>
              <w:t>及2013年修改单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92" w:type="dxa"/>
            <w:vMerge w:val="continue"/>
            <w:tcBorders>
              <w:tl2br w:val="nil"/>
              <w:tr2bl w:val="nil"/>
            </w:tcBorders>
            <w:vAlign w:val="center"/>
          </w:tcPr>
          <w:p>
            <w:pPr>
              <w:adjustRightInd w:val="0"/>
              <w:snapToGrid w:val="0"/>
              <w:spacing w:line="400" w:lineRule="exact"/>
              <w:jc w:val="center"/>
              <w:rPr>
                <w:kern w:val="21"/>
                <w:szCs w:val="21"/>
              </w:rPr>
            </w:pPr>
          </w:p>
        </w:tc>
        <w:tc>
          <w:tcPr>
            <w:tcW w:w="1701" w:type="dxa"/>
            <w:tcBorders>
              <w:tl2br w:val="nil"/>
              <w:tr2bl w:val="nil"/>
            </w:tcBorders>
            <w:vAlign w:val="center"/>
          </w:tcPr>
          <w:p>
            <w:pPr>
              <w:spacing w:line="320" w:lineRule="exact"/>
              <w:jc w:val="center"/>
              <w:outlineLvl w:val="1"/>
              <w:rPr>
                <w:rFonts w:hAnsi="宋体"/>
                <w:szCs w:val="21"/>
              </w:rPr>
            </w:pPr>
            <w:r>
              <w:rPr>
                <w:rFonts w:hint="eastAsia" w:hAnsi="宋体"/>
                <w:szCs w:val="21"/>
              </w:rPr>
              <w:t>废气处理设施运行过程</w:t>
            </w:r>
          </w:p>
        </w:tc>
        <w:tc>
          <w:tcPr>
            <w:tcW w:w="1418"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废UV灯管</w:t>
            </w:r>
          </w:p>
        </w:tc>
        <w:tc>
          <w:tcPr>
            <w:tcW w:w="2688" w:type="dxa"/>
            <w:vMerge w:val="continue"/>
            <w:tcBorders>
              <w:tl2br w:val="nil"/>
              <w:tr2bl w:val="nil"/>
            </w:tcBorders>
            <w:vAlign w:val="center"/>
          </w:tcPr>
          <w:p>
            <w:pPr>
              <w:spacing w:line="320" w:lineRule="exact"/>
              <w:jc w:val="center"/>
              <w:outlineLvl w:val="1"/>
              <w:rPr>
                <w:szCs w:val="21"/>
              </w:rPr>
            </w:pPr>
          </w:p>
        </w:tc>
        <w:tc>
          <w:tcPr>
            <w:tcW w:w="2172" w:type="dxa"/>
            <w:vMerge w:val="continue"/>
            <w:tcBorders>
              <w:tl2br w:val="nil"/>
              <w:tr2bl w:val="nil"/>
            </w:tcBorders>
            <w:vAlign w:val="center"/>
          </w:tcPr>
          <w:p>
            <w:pPr>
              <w:adjustRightInd w:val="0"/>
              <w:snapToGrid w:val="0"/>
              <w:spacing w:line="400" w:lineRule="exact"/>
              <w:jc w:val="center"/>
              <w:rPr>
                <w:kern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土壤及地下水污染防治措施</w:t>
            </w:r>
          </w:p>
        </w:tc>
        <w:tc>
          <w:tcPr>
            <w:tcW w:w="7979" w:type="dxa"/>
            <w:gridSpan w:val="4"/>
            <w:tcBorders>
              <w:tl2br w:val="nil"/>
              <w:tr2bl w:val="nil"/>
            </w:tcBorders>
            <w:vAlign w:val="center"/>
          </w:tcPr>
          <w:p>
            <w:pPr>
              <w:adjustRightInd w:val="0"/>
              <w:snapToGrid w:val="0"/>
              <w:spacing w:line="400" w:lineRule="exact"/>
              <w:jc w:val="center"/>
              <w:rPr>
                <w:kern w:val="21"/>
                <w:szCs w:val="21"/>
              </w:rPr>
            </w:pPr>
            <w:r>
              <w:rPr>
                <w:rFonts w:hint="eastAsia"/>
                <w:kern w:val="21"/>
                <w:szCs w:val="21"/>
              </w:rPr>
              <w:t>生产</w:t>
            </w:r>
            <w:r>
              <w:rPr>
                <w:kern w:val="21"/>
                <w:szCs w:val="21"/>
              </w:rPr>
              <w:t>车间</w:t>
            </w:r>
            <w:r>
              <w:rPr>
                <w:rFonts w:hint="eastAsia"/>
                <w:kern w:val="21"/>
                <w:szCs w:val="21"/>
              </w:rPr>
              <w:t>、</w:t>
            </w:r>
            <w:r>
              <w:rPr>
                <w:kern w:val="21"/>
                <w:szCs w:val="21"/>
              </w:rPr>
              <w:t>原料库采取</w:t>
            </w:r>
            <w:r>
              <w:rPr>
                <w:rFonts w:hint="eastAsia"/>
                <w:kern w:val="21"/>
                <w:szCs w:val="21"/>
              </w:rPr>
              <w:t>硬化</w:t>
            </w:r>
            <w:r>
              <w:rPr>
                <w:kern w:val="21"/>
                <w:szCs w:val="21"/>
              </w:rPr>
              <w:t>防渗措施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生态保护措施</w:t>
            </w:r>
          </w:p>
        </w:tc>
        <w:tc>
          <w:tcPr>
            <w:tcW w:w="7979" w:type="dxa"/>
            <w:gridSpan w:val="4"/>
            <w:tcBorders>
              <w:tl2br w:val="nil"/>
              <w:tr2bl w:val="nil"/>
            </w:tcBorders>
            <w:vAlign w:val="center"/>
          </w:tcPr>
          <w:p>
            <w:pPr>
              <w:adjustRightInd w:val="0"/>
              <w:snapToGrid w:val="0"/>
              <w:spacing w:line="400" w:lineRule="exact"/>
              <w:jc w:val="center"/>
              <w:rPr>
                <w:kern w:val="21"/>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环境风险</w:t>
            </w:r>
          </w:p>
          <w:p>
            <w:pPr>
              <w:adjustRightInd w:val="0"/>
              <w:snapToGrid w:val="0"/>
              <w:spacing w:line="400" w:lineRule="exact"/>
              <w:jc w:val="center"/>
              <w:rPr>
                <w:kern w:val="21"/>
                <w:szCs w:val="21"/>
              </w:rPr>
            </w:pPr>
            <w:r>
              <w:rPr>
                <w:kern w:val="21"/>
                <w:szCs w:val="21"/>
              </w:rPr>
              <w:t>防范措施</w:t>
            </w:r>
          </w:p>
        </w:tc>
        <w:tc>
          <w:tcPr>
            <w:tcW w:w="7979" w:type="dxa"/>
            <w:gridSpan w:val="4"/>
            <w:tcBorders>
              <w:tl2br w:val="nil"/>
              <w:tr2bl w:val="nil"/>
            </w:tcBorders>
            <w:vAlign w:val="center"/>
          </w:tcPr>
          <w:p>
            <w:pPr>
              <w:adjustRightInd w:val="0"/>
              <w:snapToGrid w:val="0"/>
              <w:spacing w:line="400" w:lineRule="exact"/>
              <w:jc w:val="center"/>
              <w:rPr>
                <w:kern w:val="21"/>
                <w:szCs w:val="21"/>
              </w:rPr>
            </w:pPr>
            <w:r>
              <w:rPr>
                <w:rFonts w:hint="eastAsia"/>
                <w:kern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Borders>
              <w:tl2br w:val="nil"/>
              <w:tr2bl w:val="nil"/>
            </w:tcBorders>
            <w:vAlign w:val="center"/>
          </w:tcPr>
          <w:p>
            <w:pPr>
              <w:adjustRightInd w:val="0"/>
              <w:snapToGrid w:val="0"/>
              <w:spacing w:line="400" w:lineRule="exact"/>
              <w:jc w:val="center"/>
              <w:rPr>
                <w:kern w:val="21"/>
                <w:szCs w:val="21"/>
              </w:rPr>
            </w:pPr>
            <w:r>
              <w:rPr>
                <w:kern w:val="21"/>
                <w:szCs w:val="21"/>
              </w:rPr>
              <w:t>其他环境</w:t>
            </w:r>
          </w:p>
          <w:p>
            <w:pPr>
              <w:adjustRightInd w:val="0"/>
              <w:snapToGrid w:val="0"/>
              <w:spacing w:line="400" w:lineRule="exact"/>
              <w:jc w:val="center"/>
              <w:rPr>
                <w:kern w:val="21"/>
                <w:szCs w:val="21"/>
              </w:rPr>
            </w:pPr>
            <w:r>
              <w:rPr>
                <w:kern w:val="21"/>
                <w:szCs w:val="21"/>
              </w:rPr>
              <w:t>管理要求</w:t>
            </w:r>
          </w:p>
        </w:tc>
        <w:tc>
          <w:tcPr>
            <w:tcW w:w="7979" w:type="dxa"/>
            <w:gridSpan w:val="4"/>
            <w:tcBorders>
              <w:tl2br w:val="nil"/>
              <w:tr2bl w:val="nil"/>
            </w:tcBorders>
            <w:vAlign w:val="center"/>
          </w:tcPr>
          <w:p>
            <w:pPr>
              <w:pStyle w:val="2"/>
              <w:spacing w:line="400" w:lineRule="exact"/>
              <w:ind w:left="0" w:leftChars="0" w:firstLine="0"/>
              <w:jc w:val="center"/>
              <w:rPr>
                <w:szCs w:val="21"/>
              </w:rPr>
            </w:pPr>
            <w:r>
              <w:rPr>
                <w:szCs w:val="21"/>
              </w:rPr>
              <w:t>/</w:t>
            </w:r>
          </w:p>
        </w:tc>
      </w:tr>
    </w:tbl>
    <w:p>
      <w:pPr>
        <w:pStyle w:val="2"/>
        <w:ind w:firstLine="0"/>
        <w:sectPr>
          <w:pgSz w:w="11906" w:h="16838"/>
          <w:pgMar w:top="1440" w:right="1800" w:bottom="1440" w:left="1800" w:header="851" w:footer="992" w:gutter="0"/>
          <w:cols w:space="425" w:num="1"/>
          <w:docGrid w:type="lines" w:linePitch="312" w:charSpace="0"/>
        </w:sectPr>
      </w:pPr>
    </w:p>
    <w:p>
      <w:pPr>
        <w:numPr>
          <w:ilvl w:val="0"/>
          <w:numId w:val="1"/>
        </w:numPr>
        <w:jc w:val="center"/>
        <w:outlineLvl w:val="0"/>
        <w:rPr>
          <w:rFonts w:eastAsia="黑体"/>
          <w:snapToGrid w:val="0"/>
          <w:kern w:val="21"/>
          <w:sz w:val="30"/>
          <w:szCs w:val="30"/>
        </w:rPr>
      </w:pPr>
      <w:r>
        <w:rPr>
          <w:rFonts w:eastAsia="黑体"/>
          <w:snapToGrid w:val="0"/>
          <w:kern w:val="21"/>
          <w:sz w:val="30"/>
          <w:szCs w:val="30"/>
        </w:rPr>
        <w:t>结论</w:t>
      </w:r>
    </w:p>
    <w:tbl>
      <w:tblPr>
        <w:tblStyle w:val="30"/>
        <w:tblW w:w="9071"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34" w:hRule="atLeast"/>
          <w:jc w:val="center"/>
        </w:trPr>
        <w:tc>
          <w:tcPr>
            <w:tcW w:w="8865" w:type="dxa"/>
            <w:tcBorders>
              <w:tl2br w:val="nil"/>
              <w:tr2bl w:val="nil"/>
            </w:tcBorders>
            <w:vAlign w:val="center"/>
          </w:tcPr>
          <w:p>
            <w:pPr>
              <w:adjustRightInd w:val="0"/>
              <w:snapToGrid w:val="0"/>
              <w:spacing w:line="360" w:lineRule="auto"/>
              <w:ind w:firstLine="480" w:firstLineChars="200"/>
              <w:rPr>
                <w:sz w:val="24"/>
              </w:rPr>
            </w:pPr>
            <w:r>
              <w:rPr>
                <w:rFonts w:hint="eastAsia"/>
                <w:sz w:val="24"/>
                <w:szCs w:val="22"/>
              </w:rPr>
              <w:t>新野县军诚木材加工厂板材贴面项目的建设符合国家产业政策要求，项目符合规划、选址合理。在严格执行有关环保法规和“三同时”制度，认真落实环评提出的环保措施和对策的基础上能够实现污染物达标排放和合理处置，实现社会效益、经济效益和环境效益的协调发展，从环保角度分析，该项目建设是可行的。</w:t>
            </w: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
            <w:pPr>
              <w:rPr>
                <w:sz w:val="24"/>
              </w:rPr>
            </w:pPr>
          </w:p>
          <w:p>
            <w:pPr>
              <w:pStyle w:val="2"/>
              <w:rPr>
                <w:sz w:val="24"/>
              </w:rPr>
            </w:pPr>
          </w:p>
          <w:p>
            <w:pPr>
              <w:rPr>
                <w:sz w:val="24"/>
              </w:rPr>
            </w:pPr>
          </w:p>
          <w:p>
            <w:pPr>
              <w:adjustRightInd w:val="0"/>
              <w:snapToGrid w:val="0"/>
              <w:rPr>
                <w:sz w:val="24"/>
              </w:rPr>
            </w:pPr>
          </w:p>
          <w:p>
            <w:pPr>
              <w:pStyle w:val="2"/>
            </w:pPr>
          </w:p>
          <w:p/>
          <w:p>
            <w:pPr>
              <w:pStyle w:val="2"/>
            </w:pPr>
          </w:p>
          <w:p>
            <w:pPr>
              <w:adjustRightInd w:val="0"/>
              <w:snapToGrid w:val="0"/>
              <w:ind w:firstLine="480" w:firstLineChars="200"/>
              <w:rPr>
                <w:kern w:val="21"/>
                <w:sz w:val="24"/>
              </w:rPr>
            </w:pPr>
          </w:p>
        </w:tc>
      </w:tr>
    </w:tbl>
    <w:p>
      <w:pPr>
        <w:pStyle w:val="2"/>
        <w:ind w:firstLine="0"/>
        <w:sectPr>
          <w:pgSz w:w="11906" w:h="16838"/>
          <w:pgMar w:top="1440" w:right="1800" w:bottom="1440" w:left="1800" w:header="851" w:footer="992" w:gutter="0"/>
          <w:cols w:space="425" w:num="1"/>
          <w:docGrid w:type="lines" w:linePitch="312" w:charSpace="0"/>
        </w:sectPr>
      </w:pPr>
    </w:p>
    <w:p>
      <w:pPr>
        <w:pStyle w:val="26"/>
        <w:adjustRightInd w:val="0"/>
        <w:snapToGrid w:val="0"/>
        <w:spacing w:before="0" w:beforeAutospacing="0" w:after="0" w:afterAutospacing="0"/>
        <w:outlineLvl w:val="0"/>
        <w:rPr>
          <w:rFonts w:ascii="Times New Roman" w:hAnsi="Times New Roman" w:eastAsia="黑体"/>
          <w:snapToGrid w:val="0"/>
          <w:kern w:val="21"/>
          <w:sz w:val="21"/>
          <w:szCs w:val="21"/>
        </w:rPr>
      </w:pPr>
      <w:r>
        <w:rPr>
          <w:rFonts w:ascii="Times New Roman" w:hAnsi="Times New Roman" w:eastAsia="黑体"/>
          <w:snapToGrid w:val="0"/>
          <w:kern w:val="21"/>
          <w:sz w:val="32"/>
          <w:szCs w:val="32"/>
        </w:rPr>
        <w:t>附表</w:t>
      </w:r>
    </w:p>
    <w:p>
      <w:pPr>
        <w:pStyle w:val="26"/>
        <w:adjustRightInd w:val="0"/>
        <w:snapToGrid w:val="0"/>
        <w:spacing w:before="0" w:beforeAutospacing="0" w:after="0" w:afterAutospacing="0"/>
        <w:jc w:val="center"/>
        <w:outlineLvl w:val="0"/>
        <w:rPr>
          <w:rFonts w:ascii="Times New Roman" w:hAnsi="Times New Roman" w:eastAsia="方正小标宋_GBK"/>
          <w:snapToGrid w:val="0"/>
          <w:kern w:val="21"/>
          <w:sz w:val="38"/>
          <w:szCs w:val="38"/>
        </w:rPr>
      </w:pPr>
      <w:r>
        <w:rPr>
          <w:rFonts w:ascii="Times New Roman" w:hAnsi="Times New Roman" w:eastAsia="方正小标宋_GBK"/>
          <w:snapToGrid w:val="0"/>
          <w:kern w:val="21"/>
          <w:sz w:val="38"/>
          <w:szCs w:val="38"/>
        </w:rPr>
        <w:t>建设项目污染物排放量汇总表</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410"/>
        <w:gridCol w:w="1701"/>
        <w:gridCol w:w="1134"/>
        <w:gridCol w:w="1276"/>
        <w:gridCol w:w="1417"/>
        <w:gridCol w:w="1576"/>
        <w:gridCol w:w="1812"/>
        <w:gridCol w:w="1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04" w:type="dxa"/>
            <w:tcBorders>
              <w:tl2br w:val="single" w:color="auto" w:sz="4" w:space="0"/>
            </w:tcBorders>
            <w:tcMar>
              <w:left w:w="28" w:type="dxa"/>
              <w:right w:w="28" w:type="dxa"/>
            </w:tcMar>
            <w:vAlign w:val="center"/>
          </w:tcPr>
          <w:p>
            <w:pPr>
              <w:pStyle w:val="40"/>
              <w:spacing w:beforeLines="0" w:afterLines="0" w:line="320" w:lineRule="exact"/>
              <w:ind w:right="210"/>
              <w:jc w:val="right"/>
              <w:rPr>
                <w:rFonts w:ascii="黑体" w:hAnsi="黑体" w:eastAsia="黑体"/>
                <w:snapToGrid w:val="0"/>
                <w:kern w:val="21"/>
                <w:szCs w:val="21"/>
              </w:rPr>
            </w:pPr>
            <w:r>
              <w:rPr>
                <w:rFonts w:ascii="黑体" w:hAnsi="黑体" w:eastAsia="黑体"/>
                <w:snapToGrid w:val="0"/>
                <w:kern w:val="21"/>
                <w:szCs w:val="21"/>
              </w:rPr>
              <w:t>项目</w:t>
            </w:r>
          </w:p>
          <w:p>
            <w:pPr>
              <w:pStyle w:val="40"/>
              <w:spacing w:beforeLines="0" w:afterLines="0" w:line="320" w:lineRule="exact"/>
              <w:jc w:val="both"/>
              <w:rPr>
                <w:rFonts w:ascii="黑体" w:hAnsi="黑体" w:eastAsia="黑体"/>
                <w:snapToGrid w:val="0"/>
                <w:kern w:val="21"/>
                <w:szCs w:val="21"/>
              </w:rPr>
            </w:pPr>
            <w:r>
              <w:rPr>
                <w:rFonts w:ascii="黑体" w:hAnsi="黑体" w:eastAsia="黑体"/>
                <w:snapToGrid w:val="0"/>
                <w:kern w:val="21"/>
                <w:szCs w:val="21"/>
              </w:rPr>
              <w:t>分类</w:t>
            </w:r>
          </w:p>
        </w:tc>
        <w:tc>
          <w:tcPr>
            <w:tcW w:w="2410" w:type="dxa"/>
            <w:tcMar>
              <w:left w:w="28" w:type="dxa"/>
              <w:right w:w="28" w:type="dxa"/>
            </w:tcMar>
            <w:vAlign w:val="center"/>
          </w:tcPr>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t>污染物名称</w:t>
            </w:r>
          </w:p>
        </w:tc>
        <w:tc>
          <w:tcPr>
            <w:tcW w:w="1701" w:type="dxa"/>
            <w:tcMar>
              <w:left w:w="28" w:type="dxa"/>
              <w:right w:w="28" w:type="dxa"/>
            </w:tcMar>
            <w:vAlign w:val="center"/>
          </w:tcPr>
          <w:p>
            <w:pPr>
              <w:adjustRightInd w:val="0"/>
              <w:snapToGrid w:val="0"/>
              <w:spacing w:line="320" w:lineRule="exact"/>
              <w:jc w:val="center"/>
              <w:textAlignment w:val="baseline"/>
              <w:rPr>
                <w:rFonts w:ascii="黑体" w:hAnsi="黑体" w:eastAsia="黑体"/>
                <w:szCs w:val="21"/>
              </w:rPr>
            </w:pPr>
            <w:r>
              <w:rPr>
                <w:rFonts w:ascii="黑体" w:hAnsi="黑体" w:eastAsia="黑体"/>
                <w:szCs w:val="21"/>
              </w:rPr>
              <w:t>现有工程</w:t>
            </w:r>
          </w:p>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zCs w:val="21"/>
              </w:rPr>
              <w:t>排放量（固体废物产生量）</w:t>
            </w:r>
            <w:r>
              <w:rPr>
                <w:rFonts w:ascii="黑体" w:hAnsi="黑体" w:eastAsia="黑体"/>
                <w:szCs w:val="21"/>
              </w:rPr>
              <w:fldChar w:fldCharType="begin"/>
            </w:r>
            <w:r>
              <w:rPr>
                <w:rFonts w:ascii="黑体" w:hAnsi="黑体" w:eastAsia="黑体"/>
                <w:szCs w:val="21"/>
              </w:rPr>
              <w:instrText xml:space="preserve"> = 1 \* GB3 \* MERGEFORMAT </w:instrText>
            </w:r>
            <w:r>
              <w:rPr>
                <w:rFonts w:ascii="黑体" w:hAnsi="黑体" w:eastAsia="黑体"/>
                <w:szCs w:val="21"/>
              </w:rPr>
              <w:fldChar w:fldCharType="separate"/>
            </w:r>
            <w:r>
              <w:rPr>
                <w:rFonts w:ascii="黑体" w:hAnsi="黑体" w:eastAsia="黑体"/>
                <w:szCs w:val="21"/>
              </w:rPr>
              <w:t>①</w:t>
            </w:r>
            <w:r>
              <w:rPr>
                <w:rFonts w:ascii="黑体" w:hAnsi="黑体" w:eastAsia="黑体"/>
                <w:szCs w:val="21"/>
              </w:rPr>
              <w:fldChar w:fldCharType="end"/>
            </w:r>
          </w:p>
        </w:tc>
        <w:tc>
          <w:tcPr>
            <w:tcW w:w="1134" w:type="dxa"/>
            <w:tcMar>
              <w:left w:w="28" w:type="dxa"/>
              <w:right w:w="28" w:type="dxa"/>
            </w:tcMar>
            <w:vAlign w:val="center"/>
          </w:tcPr>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t>现有工程</w:t>
            </w:r>
          </w:p>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napToGrid w:val="0"/>
                <w:kern w:val="21"/>
                <w:szCs w:val="21"/>
              </w:rPr>
              <w:t>许可</w:t>
            </w:r>
            <w:r>
              <w:rPr>
                <w:rFonts w:ascii="黑体" w:hAnsi="黑体" w:eastAsia="黑体"/>
                <w:szCs w:val="21"/>
              </w:rPr>
              <w:t>排放量</w:t>
            </w:r>
          </w:p>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napToGrid w:val="0"/>
                <w:kern w:val="21"/>
                <w:szCs w:val="21"/>
              </w:rPr>
              <w:fldChar w:fldCharType="begin"/>
            </w:r>
            <w:r>
              <w:rPr>
                <w:rFonts w:ascii="黑体" w:hAnsi="黑体" w:eastAsia="黑体"/>
                <w:snapToGrid w:val="0"/>
                <w:kern w:val="21"/>
                <w:szCs w:val="21"/>
              </w:rPr>
              <w:instrText xml:space="preserve"> = 2 \* GB3 \* MERGEFORMAT </w:instrText>
            </w:r>
            <w:r>
              <w:rPr>
                <w:rFonts w:ascii="黑体" w:hAnsi="黑体" w:eastAsia="黑体"/>
                <w:snapToGrid w:val="0"/>
                <w:kern w:val="21"/>
                <w:szCs w:val="21"/>
              </w:rPr>
              <w:fldChar w:fldCharType="separate"/>
            </w:r>
            <w:r>
              <w:rPr>
                <w:rFonts w:ascii="黑体" w:hAnsi="黑体" w:eastAsia="黑体"/>
                <w:snapToGrid w:val="0"/>
                <w:kern w:val="21"/>
                <w:szCs w:val="21"/>
              </w:rPr>
              <w:t>②</w:t>
            </w:r>
            <w:r>
              <w:rPr>
                <w:rFonts w:ascii="黑体" w:hAnsi="黑体" w:eastAsia="黑体"/>
                <w:snapToGrid w:val="0"/>
                <w:kern w:val="21"/>
                <w:szCs w:val="21"/>
              </w:rPr>
              <w:fldChar w:fldCharType="end"/>
            </w:r>
          </w:p>
        </w:tc>
        <w:tc>
          <w:tcPr>
            <w:tcW w:w="1276" w:type="dxa"/>
            <w:tcMar>
              <w:left w:w="28" w:type="dxa"/>
              <w:right w:w="28" w:type="dxa"/>
            </w:tcMar>
            <w:vAlign w:val="center"/>
          </w:tcPr>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t>在建工程</w:t>
            </w:r>
          </w:p>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napToGrid w:val="0"/>
                <w:kern w:val="21"/>
                <w:szCs w:val="21"/>
              </w:rPr>
              <w:t>排放量（固体废物产生量）</w:t>
            </w:r>
            <w:r>
              <w:rPr>
                <w:rFonts w:ascii="黑体" w:hAnsi="黑体" w:eastAsia="黑体"/>
                <w:snapToGrid w:val="0"/>
                <w:kern w:val="21"/>
                <w:szCs w:val="21"/>
              </w:rPr>
              <w:fldChar w:fldCharType="begin"/>
            </w:r>
            <w:r>
              <w:rPr>
                <w:rFonts w:ascii="黑体" w:hAnsi="黑体" w:eastAsia="黑体"/>
                <w:snapToGrid w:val="0"/>
                <w:kern w:val="21"/>
                <w:szCs w:val="21"/>
              </w:rPr>
              <w:instrText xml:space="preserve"> = 3 \* GB3 \* MERGEFORMAT </w:instrText>
            </w:r>
            <w:r>
              <w:rPr>
                <w:rFonts w:ascii="黑体" w:hAnsi="黑体" w:eastAsia="黑体"/>
                <w:snapToGrid w:val="0"/>
                <w:kern w:val="21"/>
                <w:szCs w:val="21"/>
              </w:rPr>
              <w:fldChar w:fldCharType="separate"/>
            </w:r>
            <w:r>
              <w:rPr>
                <w:rFonts w:ascii="黑体" w:hAnsi="黑体" w:eastAsia="黑体"/>
                <w:kern w:val="21"/>
                <w:szCs w:val="21"/>
              </w:rPr>
              <w:t>③</w:t>
            </w:r>
            <w:r>
              <w:rPr>
                <w:rFonts w:ascii="黑体" w:hAnsi="黑体" w:eastAsia="黑体"/>
                <w:snapToGrid w:val="0"/>
                <w:kern w:val="21"/>
                <w:szCs w:val="21"/>
              </w:rPr>
              <w:fldChar w:fldCharType="end"/>
            </w:r>
          </w:p>
        </w:tc>
        <w:tc>
          <w:tcPr>
            <w:tcW w:w="1417" w:type="dxa"/>
            <w:tcMar>
              <w:left w:w="28" w:type="dxa"/>
              <w:right w:w="28" w:type="dxa"/>
            </w:tcMar>
            <w:vAlign w:val="center"/>
          </w:tcPr>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t>本项目排放量（固体废物产生量）</w:t>
            </w:r>
            <w:r>
              <w:rPr>
                <w:rFonts w:ascii="黑体" w:hAnsi="黑体" w:eastAsia="黑体"/>
                <w:snapToGrid w:val="0"/>
                <w:kern w:val="21"/>
                <w:szCs w:val="21"/>
              </w:rPr>
              <w:fldChar w:fldCharType="begin"/>
            </w:r>
            <w:r>
              <w:rPr>
                <w:rFonts w:ascii="黑体" w:hAnsi="黑体" w:eastAsia="黑体"/>
                <w:snapToGrid w:val="0"/>
                <w:kern w:val="21"/>
                <w:szCs w:val="21"/>
              </w:rPr>
              <w:instrText xml:space="preserve"> = 4 \* GB3 \* MERGEFORMAT </w:instrText>
            </w:r>
            <w:r>
              <w:rPr>
                <w:rFonts w:ascii="黑体" w:hAnsi="黑体" w:eastAsia="黑体"/>
                <w:snapToGrid w:val="0"/>
                <w:kern w:val="21"/>
                <w:szCs w:val="21"/>
              </w:rPr>
              <w:fldChar w:fldCharType="separate"/>
            </w:r>
            <w:r>
              <w:rPr>
                <w:rFonts w:ascii="黑体" w:hAnsi="黑体" w:eastAsia="黑体"/>
                <w:kern w:val="21"/>
                <w:szCs w:val="21"/>
              </w:rPr>
              <w:t>④</w:t>
            </w:r>
            <w:r>
              <w:rPr>
                <w:rFonts w:ascii="黑体" w:hAnsi="黑体" w:eastAsia="黑体"/>
                <w:snapToGrid w:val="0"/>
                <w:kern w:val="21"/>
                <w:szCs w:val="21"/>
              </w:rPr>
              <w:fldChar w:fldCharType="end"/>
            </w:r>
          </w:p>
        </w:tc>
        <w:tc>
          <w:tcPr>
            <w:tcW w:w="1576" w:type="dxa"/>
            <w:tcMar>
              <w:left w:w="28" w:type="dxa"/>
              <w:right w:w="28" w:type="dxa"/>
            </w:tcMar>
            <w:vAlign w:val="center"/>
          </w:tcPr>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t>以新带老削减量</w:t>
            </w:r>
          </w:p>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napToGrid w:val="0"/>
                <w:kern w:val="21"/>
                <w:szCs w:val="21"/>
              </w:rPr>
              <w:t>（新建项目不填）</w:t>
            </w:r>
            <w:r>
              <w:rPr>
                <w:rFonts w:ascii="黑体" w:hAnsi="黑体" w:eastAsia="黑体"/>
                <w:snapToGrid w:val="0"/>
                <w:kern w:val="21"/>
                <w:szCs w:val="21"/>
              </w:rPr>
              <w:fldChar w:fldCharType="begin"/>
            </w:r>
            <w:r>
              <w:rPr>
                <w:rFonts w:ascii="黑体" w:hAnsi="黑体" w:eastAsia="黑体"/>
                <w:snapToGrid w:val="0"/>
                <w:kern w:val="21"/>
                <w:szCs w:val="21"/>
              </w:rPr>
              <w:instrText xml:space="preserve"> = 5 \* GB3 \* MERGEFORMAT </w:instrText>
            </w:r>
            <w:r>
              <w:rPr>
                <w:rFonts w:ascii="黑体" w:hAnsi="黑体" w:eastAsia="黑体"/>
                <w:snapToGrid w:val="0"/>
                <w:kern w:val="21"/>
                <w:szCs w:val="21"/>
              </w:rPr>
              <w:fldChar w:fldCharType="separate"/>
            </w:r>
            <w:r>
              <w:rPr>
                <w:rFonts w:ascii="黑体" w:hAnsi="黑体" w:eastAsia="黑体"/>
                <w:kern w:val="21"/>
                <w:szCs w:val="21"/>
              </w:rPr>
              <w:t>⑤</w:t>
            </w:r>
            <w:r>
              <w:rPr>
                <w:rFonts w:ascii="黑体" w:hAnsi="黑体" w:eastAsia="黑体"/>
                <w:snapToGrid w:val="0"/>
                <w:kern w:val="21"/>
                <w:szCs w:val="21"/>
              </w:rPr>
              <w:fldChar w:fldCharType="end"/>
            </w:r>
          </w:p>
        </w:tc>
        <w:tc>
          <w:tcPr>
            <w:tcW w:w="1812" w:type="dxa"/>
            <w:tcMar>
              <w:left w:w="28" w:type="dxa"/>
              <w:right w:w="28" w:type="dxa"/>
            </w:tcMar>
            <w:vAlign w:val="center"/>
          </w:tcPr>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t>本项目建成后</w:t>
            </w:r>
          </w:p>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napToGrid w:val="0"/>
                <w:kern w:val="21"/>
                <w:szCs w:val="21"/>
              </w:rPr>
              <w:t>全厂</w:t>
            </w:r>
            <w:r>
              <w:rPr>
                <w:rFonts w:ascii="黑体" w:hAnsi="黑体" w:eastAsia="黑体"/>
                <w:szCs w:val="21"/>
              </w:rPr>
              <w:t>排放量</w:t>
            </w:r>
            <w:r>
              <w:rPr>
                <w:rFonts w:ascii="黑体" w:hAnsi="黑体" w:eastAsia="黑体"/>
                <w:snapToGrid w:val="0"/>
                <w:kern w:val="21"/>
                <w:szCs w:val="21"/>
              </w:rPr>
              <w:t>（固体废物产生量）</w:t>
            </w:r>
            <w:r>
              <w:rPr>
                <w:rFonts w:ascii="黑体" w:hAnsi="黑体" w:eastAsia="黑体"/>
                <w:snapToGrid w:val="0"/>
                <w:kern w:val="21"/>
                <w:szCs w:val="21"/>
              </w:rPr>
              <w:fldChar w:fldCharType="begin"/>
            </w:r>
            <w:r>
              <w:rPr>
                <w:rFonts w:ascii="黑体" w:hAnsi="黑体" w:eastAsia="黑体"/>
                <w:snapToGrid w:val="0"/>
                <w:kern w:val="21"/>
                <w:szCs w:val="21"/>
              </w:rPr>
              <w:instrText xml:space="preserve"> = 6 \* GB3 \* MERGEFORMAT </w:instrText>
            </w:r>
            <w:r>
              <w:rPr>
                <w:rFonts w:ascii="黑体" w:hAnsi="黑体" w:eastAsia="黑体"/>
                <w:snapToGrid w:val="0"/>
                <w:kern w:val="21"/>
                <w:szCs w:val="21"/>
              </w:rPr>
              <w:fldChar w:fldCharType="separate"/>
            </w:r>
            <w:r>
              <w:rPr>
                <w:rFonts w:ascii="黑体" w:hAnsi="黑体" w:eastAsia="黑体"/>
                <w:kern w:val="21"/>
                <w:szCs w:val="21"/>
              </w:rPr>
              <w:t>⑥</w:t>
            </w:r>
            <w:r>
              <w:rPr>
                <w:rFonts w:ascii="黑体" w:hAnsi="黑体" w:eastAsia="黑体"/>
                <w:snapToGrid w:val="0"/>
                <w:kern w:val="21"/>
                <w:szCs w:val="21"/>
              </w:rPr>
              <w:fldChar w:fldCharType="end"/>
            </w:r>
          </w:p>
        </w:tc>
        <w:tc>
          <w:tcPr>
            <w:tcW w:w="1158" w:type="dxa"/>
            <w:tcMar>
              <w:left w:w="28" w:type="dxa"/>
              <w:right w:w="28" w:type="dxa"/>
            </w:tcMar>
            <w:vAlign w:val="center"/>
          </w:tcPr>
          <w:p>
            <w:pPr>
              <w:adjustRightInd w:val="0"/>
              <w:snapToGrid w:val="0"/>
              <w:spacing w:line="320" w:lineRule="exact"/>
              <w:jc w:val="center"/>
              <w:textAlignment w:val="baseline"/>
              <w:rPr>
                <w:rFonts w:ascii="黑体" w:hAnsi="黑体" w:eastAsia="黑体"/>
                <w:snapToGrid w:val="0"/>
                <w:kern w:val="21"/>
                <w:szCs w:val="21"/>
              </w:rPr>
            </w:pPr>
            <w:r>
              <w:rPr>
                <w:rFonts w:ascii="黑体" w:hAnsi="黑体" w:eastAsia="黑体"/>
                <w:szCs w:val="21"/>
              </w:rPr>
              <w:t>变化</w:t>
            </w:r>
            <w:r>
              <w:rPr>
                <w:rFonts w:ascii="黑体" w:hAnsi="黑体" w:eastAsia="黑体"/>
                <w:snapToGrid w:val="0"/>
                <w:kern w:val="21"/>
                <w:szCs w:val="21"/>
              </w:rPr>
              <w:t>量</w:t>
            </w:r>
          </w:p>
          <w:p>
            <w:pPr>
              <w:pStyle w:val="40"/>
              <w:spacing w:beforeLines="0" w:afterLines="0" w:line="320" w:lineRule="exact"/>
              <w:rPr>
                <w:rFonts w:ascii="黑体" w:hAnsi="黑体" w:eastAsia="黑体"/>
                <w:snapToGrid w:val="0"/>
                <w:kern w:val="21"/>
                <w:szCs w:val="21"/>
              </w:rPr>
            </w:pPr>
            <w:r>
              <w:rPr>
                <w:rFonts w:ascii="黑体" w:hAnsi="黑体" w:eastAsia="黑体"/>
                <w:snapToGrid w:val="0"/>
                <w:kern w:val="21"/>
                <w:szCs w:val="21"/>
              </w:rPr>
              <w:fldChar w:fldCharType="begin"/>
            </w:r>
            <w:r>
              <w:rPr>
                <w:rFonts w:ascii="黑体" w:hAnsi="黑体" w:eastAsia="黑体"/>
                <w:snapToGrid w:val="0"/>
                <w:kern w:val="21"/>
                <w:szCs w:val="21"/>
              </w:rPr>
              <w:instrText xml:space="preserve"> = 7 \* GB3 \* MERGEFORMAT </w:instrText>
            </w:r>
            <w:r>
              <w:rPr>
                <w:rFonts w:ascii="黑体" w:hAnsi="黑体" w:eastAsia="黑体"/>
                <w:snapToGrid w:val="0"/>
                <w:kern w:val="21"/>
                <w:szCs w:val="21"/>
              </w:rPr>
              <w:fldChar w:fldCharType="separate"/>
            </w:r>
            <w:r>
              <w:rPr>
                <w:rFonts w:ascii="黑体" w:hAnsi="黑体" w:eastAsia="黑体"/>
                <w:kern w:val="21"/>
                <w:szCs w:val="21"/>
              </w:rPr>
              <w:t>⑦</w:t>
            </w:r>
            <w:r>
              <w:rPr>
                <w:rFonts w:ascii="黑体" w:hAnsi="黑体" w:eastAsia="黑体"/>
                <w:snapToGrid w:val="0"/>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04" w:type="dxa"/>
            <w:vMerge w:val="restart"/>
            <w:vAlign w:val="center"/>
          </w:tcPr>
          <w:p>
            <w:pPr>
              <w:pStyle w:val="40"/>
              <w:spacing w:beforeLines="0" w:afterLines="0" w:line="320" w:lineRule="exact"/>
              <w:rPr>
                <w:rFonts w:ascii="Times New Roman" w:eastAsiaTheme="minorEastAsia"/>
                <w:snapToGrid w:val="0"/>
                <w:kern w:val="21"/>
                <w:szCs w:val="21"/>
              </w:rPr>
            </w:pPr>
            <w:r>
              <w:rPr>
                <w:rFonts w:ascii="Times New Roman" w:eastAsiaTheme="minorEastAsia"/>
                <w:snapToGrid w:val="0"/>
                <w:kern w:val="21"/>
                <w:szCs w:val="21"/>
              </w:rPr>
              <w:t>废气</w:t>
            </w:r>
          </w:p>
        </w:tc>
        <w:tc>
          <w:tcPr>
            <w:tcW w:w="2410" w:type="dxa"/>
            <w:vAlign w:val="center"/>
          </w:tcPr>
          <w:p>
            <w:pPr>
              <w:adjustRightInd w:val="0"/>
              <w:snapToGrid w:val="0"/>
              <w:spacing w:line="320" w:lineRule="exact"/>
              <w:jc w:val="center"/>
              <w:textAlignment w:val="baseline"/>
              <w:rPr>
                <w:rFonts w:eastAsiaTheme="minorEastAsia"/>
                <w:snapToGrid w:val="0"/>
                <w:kern w:val="21"/>
                <w:szCs w:val="21"/>
              </w:rPr>
            </w:pPr>
            <w:r>
              <w:rPr>
                <w:rFonts w:eastAsiaTheme="minorEastAsia"/>
                <w:szCs w:val="21"/>
              </w:rPr>
              <w:t>颗粒物</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黑体" w:hAnsi="黑体" w:eastAsia="黑体"/>
                <w:snapToGrid w:val="0"/>
                <w:kern w:val="21"/>
                <w:szCs w:val="21"/>
              </w:rPr>
            </w:pPr>
          </w:p>
        </w:tc>
        <w:tc>
          <w:tcPr>
            <w:tcW w:w="1276" w:type="dxa"/>
            <w:vAlign w:val="center"/>
          </w:tcPr>
          <w:p>
            <w:pPr>
              <w:pStyle w:val="40"/>
              <w:spacing w:beforeLines="0" w:afterLines="0" w:line="320" w:lineRule="exact"/>
              <w:rPr>
                <w:rFonts w:ascii="黑体" w:hAnsi="黑体" w:eastAsia="黑体"/>
                <w:snapToGrid w:val="0"/>
                <w:kern w:val="21"/>
                <w:szCs w:val="21"/>
              </w:rPr>
            </w:pPr>
          </w:p>
        </w:tc>
        <w:tc>
          <w:tcPr>
            <w:tcW w:w="1417"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zCs w:val="21"/>
              </w:rPr>
              <w:t>0.00085</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zCs w:val="21"/>
              </w:rPr>
              <w:t>0.00085</w:t>
            </w:r>
          </w:p>
        </w:tc>
        <w:tc>
          <w:tcPr>
            <w:tcW w:w="1158"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zCs w:val="21"/>
              </w:rPr>
              <w:t>+ 0.00085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adjustRightInd w:val="0"/>
              <w:snapToGrid w:val="0"/>
              <w:spacing w:line="320" w:lineRule="exact"/>
              <w:jc w:val="center"/>
              <w:textAlignment w:val="baseline"/>
              <w:rPr>
                <w:rFonts w:eastAsiaTheme="minorEastAsia"/>
                <w:snapToGrid w:val="0"/>
                <w:kern w:val="21"/>
                <w:szCs w:val="21"/>
              </w:rPr>
            </w:pPr>
            <w:r>
              <w:rPr>
                <w:rFonts w:eastAsiaTheme="minorEastAsia"/>
                <w:szCs w:val="21"/>
              </w:rPr>
              <w:t>SO</w:t>
            </w:r>
            <w:r>
              <w:rPr>
                <w:rFonts w:eastAsiaTheme="minorEastAsia"/>
                <w:szCs w:val="21"/>
                <w:vertAlign w:val="subscript"/>
              </w:rPr>
              <w:t>2</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0.00034</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0.00034</w:t>
            </w:r>
          </w:p>
        </w:tc>
        <w:tc>
          <w:tcPr>
            <w:tcW w:w="1158"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 xml:space="preserve"> +0.00034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adjustRightInd w:val="0"/>
              <w:snapToGrid w:val="0"/>
              <w:spacing w:line="320" w:lineRule="exact"/>
              <w:jc w:val="center"/>
              <w:textAlignment w:val="baseline"/>
              <w:rPr>
                <w:rFonts w:eastAsiaTheme="minorEastAsia"/>
                <w:snapToGrid w:val="0"/>
                <w:kern w:val="21"/>
                <w:szCs w:val="21"/>
              </w:rPr>
            </w:pPr>
            <w:r>
              <w:rPr>
                <w:rFonts w:eastAsiaTheme="minorEastAsia"/>
                <w:szCs w:val="21"/>
              </w:rPr>
              <w:t>NO</w:t>
            </w:r>
            <w:r>
              <w:rPr>
                <w:rFonts w:hint="eastAsia" w:eastAsiaTheme="minorEastAsia"/>
                <w:szCs w:val="21"/>
                <w:vertAlign w:val="subscript"/>
              </w:rPr>
              <w:t>X</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0.0102</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0.0102</w:t>
            </w:r>
          </w:p>
        </w:tc>
        <w:tc>
          <w:tcPr>
            <w:tcW w:w="1158"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甲醛</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0.008</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0.008</w:t>
            </w:r>
          </w:p>
        </w:tc>
        <w:tc>
          <w:tcPr>
            <w:tcW w:w="1158"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非甲烷</w:t>
            </w:r>
            <w:r>
              <w:rPr>
                <w:rFonts w:eastAsiaTheme="minorEastAsia"/>
                <w:szCs w:val="21"/>
              </w:rPr>
              <w:t>总烃</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0.049</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0.049</w:t>
            </w:r>
          </w:p>
        </w:tc>
        <w:tc>
          <w:tcPr>
            <w:tcW w:w="1158" w:type="dxa"/>
            <w:vAlign w:val="center"/>
          </w:tcPr>
          <w:p>
            <w:pPr>
              <w:pStyle w:val="40"/>
              <w:spacing w:beforeLines="0" w:afterLines="0" w:line="320" w:lineRule="exact"/>
              <w:rPr>
                <w:rFonts w:ascii="Times New Roman" w:eastAsiaTheme="minorEastAsia"/>
                <w:snapToGrid w:val="0"/>
                <w:kern w:val="21"/>
                <w:szCs w:val="21"/>
              </w:rPr>
            </w:pPr>
            <w:r>
              <w:rPr>
                <w:rFonts w:hint="eastAsia" w:ascii="Times New Roman" w:eastAsiaTheme="minorEastAsia"/>
                <w:snapToGrid w:val="0"/>
                <w:kern w:val="21"/>
                <w:szCs w:val="21"/>
              </w:rPr>
              <w:t>+0.049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04" w:type="dxa"/>
            <w:vMerge w:val="restart"/>
            <w:vAlign w:val="center"/>
          </w:tcPr>
          <w:p>
            <w:pPr>
              <w:pStyle w:val="40"/>
              <w:spacing w:beforeLines="0" w:afterLines="0" w:line="320" w:lineRule="exact"/>
              <w:rPr>
                <w:rFonts w:ascii="Times New Roman" w:eastAsiaTheme="minorEastAsia"/>
                <w:snapToGrid w:val="0"/>
                <w:kern w:val="21"/>
                <w:szCs w:val="21"/>
              </w:rPr>
            </w:pPr>
            <w:r>
              <w:rPr>
                <w:rFonts w:ascii="Times New Roman" w:eastAsiaTheme="minorEastAsia"/>
                <w:snapToGrid w:val="0"/>
                <w:kern w:val="21"/>
                <w:szCs w:val="21"/>
              </w:rPr>
              <w:t>废水</w:t>
            </w:r>
          </w:p>
        </w:tc>
        <w:tc>
          <w:tcPr>
            <w:tcW w:w="2410" w:type="dxa"/>
            <w:vAlign w:val="center"/>
          </w:tcPr>
          <w:p>
            <w:pPr>
              <w:adjustRightInd w:val="0"/>
              <w:snapToGrid w:val="0"/>
              <w:spacing w:line="320" w:lineRule="exact"/>
              <w:jc w:val="center"/>
              <w:textAlignment w:val="baseline"/>
              <w:rPr>
                <w:rFonts w:eastAsiaTheme="minorEastAsia"/>
                <w:snapToGrid w:val="0"/>
                <w:kern w:val="21"/>
                <w:szCs w:val="21"/>
              </w:rPr>
            </w:pPr>
            <w:r>
              <w:rPr>
                <w:rFonts w:eastAsiaTheme="minorEastAsia"/>
                <w:snapToGrid w:val="0"/>
                <w:kern w:val="21"/>
                <w:szCs w:val="21"/>
              </w:rPr>
              <w:t>废水量</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c>
          <w:tcPr>
            <w:tcW w:w="1158"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adjustRightInd w:val="0"/>
              <w:snapToGrid w:val="0"/>
              <w:spacing w:line="320" w:lineRule="exact"/>
              <w:jc w:val="center"/>
              <w:textAlignment w:val="baseline"/>
              <w:rPr>
                <w:rFonts w:eastAsiaTheme="minorEastAsia"/>
                <w:snapToGrid w:val="0"/>
                <w:kern w:val="21"/>
                <w:szCs w:val="21"/>
              </w:rPr>
            </w:pPr>
            <w:r>
              <w:rPr>
                <w:rFonts w:eastAsiaTheme="minorEastAsia"/>
                <w:kern w:val="0"/>
                <w:szCs w:val="21"/>
              </w:rPr>
              <w:t>COD</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c>
          <w:tcPr>
            <w:tcW w:w="1158"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adjustRightInd w:val="0"/>
              <w:snapToGrid w:val="0"/>
              <w:spacing w:line="320" w:lineRule="exact"/>
              <w:jc w:val="center"/>
              <w:textAlignment w:val="baseline"/>
              <w:rPr>
                <w:rFonts w:eastAsiaTheme="minorEastAsia"/>
                <w:snapToGrid w:val="0"/>
                <w:kern w:val="21"/>
                <w:szCs w:val="21"/>
              </w:rPr>
            </w:pPr>
            <w:r>
              <w:rPr>
                <w:rFonts w:eastAsiaTheme="minorEastAsia"/>
                <w:snapToGrid w:val="0"/>
                <w:kern w:val="21"/>
                <w:szCs w:val="21"/>
              </w:rPr>
              <w:t>NH</w:t>
            </w:r>
            <w:r>
              <w:rPr>
                <w:rFonts w:eastAsiaTheme="minorEastAsia"/>
                <w:snapToGrid w:val="0"/>
                <w:kern w:val="21"/>
                <w:szCs w:val="21"/>
                <w:vertAlign w:val="subscript"/>
              </w:rPr>
              <w:t>3</w:t>
            </w:r>
            <w:r>
              <w:rPr>
                <w:rFonts w:eastAsiaTheme="minorEastAsia"/>
                <w:snapToGrid w:val="0"/>
                <w:kern w:val="21"/>
                <w:szCs w:val="21"/>
              </w:rPr>
              <w:t>-N</w:t>
            </w:r>
            <w:r>
              <w:rPr>
                <w:rFonts w:hint="eastAsia"/>
                <w:szCs w:val="21"/>
              </w:rPr>
              <w:t>（t/a）</w:t>
            </w:r>
          </w:p>
        </w:tc>
        <w:tc>
          <w:tcPr>
            <w:tcW w:w="1701" w:type="dxa"/>
            <w:vAlign w:val="center"/>
          </w:tcPr>
          <w:p>
            <w:pPr>
              <w:pStyle w:val="40"/>
              <w:spacing w:beforeLines="0" w:afterLines="0" w:line="320" w:lineRule="exact"/>
              <w:rPr>
                <w:rFonts w:ascii="Times New Roman" w:eastAsiaTheme="minorEastAsia"/>
                <w:snapToGrid w:val="0"/>
                <w:kern w:val="21"/>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c>
          <w:tcPr>
            <w:tcW w:w="1576" w:type="dxa"/>
            <w:vAlign w:val="center"/>
          </w:tcPr>
          <w:p>
            <w:pPr>
              <w:pStyle w:val="40"/>
              <w:spacing w:beforeLines="0" w:afterLines="0" w:line="320" w:lineRule="exact"/>
              <w:textAlignment w:val="baseline"/>
              <w:rPr>
                <w:rFonts w:ascii="Times New Roman" w:eastAsiaTheme="minorEastAsia"/>
                <w:kern w:val="2"/>
                <w:szCs w:val="21"/>
              </w:rPr>
            </w:pPr>
          </w:p>
        </w:tc>
        <w:tc>
          <w:tcPr>
            <w:tcW w:w="1812"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c>
          <w:tcPr>
            <w:tcW w:w="1158" w:type="dxa"/>
            <w:vAlign w:val="center"/>
          </w:tcPr>
          <w:p>
            <w:pPr>
              <w:adjustRightInd w:val="0"/>
              <w:snapToGrid w:val="0"/>
              <w:spacing w:line="320" w:lineRule="exact"/>
              <w:jc w:val="center"/>
              <w:textAlignment w:val="baseline"/>
              <w:rPr>
                <w:rFonts w:eastAsiaTheme="minorEastAsia"/>
                <w:szCs w:val="21"/>
              </w:rPr>
            </w:pPr>
            <w:r>
              <w:rPr>
                <w:rFonts w:hint="eastAsia" w:eastAsiaTheme="minorEastAsia"/>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04" w:type="dxa"/>
            <w:vMerge w:val="restart"/>
            <w:vAlign w:val="center"/>
          </w:tcPr>
          <w:p>
            <w:pPr>
              <w:pStyle w:val="40"/>
              <w:spacing w:beforeLines="0" w:afterLines="0" w:line="320" w:lineRule="exact"/>
              <w:rPr>
                <w:rFonts w:ascii="Times New Roman" w:eastAsiaTheme="minorEastAsia"/>
                <w:snapToGrid w:val="0"/>
                <w:kern w:val="21"/>
                <w:szCs w:val="21"/>
              </w:rPr>
            </w:pPr>
            <w:r>
              <w:rPr>
                <w:rFonts w:ascii="Times New Roman" w:eastAsiaTheme="minorEastAsia"/>
                <w:snapToGrid w:val="0"/>
                <w:kern w:val="21"/>
                <w:szCs w:val="21"/>
              </w:rPr>
              <w:t>一般工业</w:t>
            </w:r>
          </w:p>
          <w:p>
            <w:pPr>
              <w:pStyle w:val="40"/>
              <w:spacing w:beforeLines="0" w:afterLines="0" w:line="320" w:lineRule="exact"/>
              <w:rPr>
                <w:rFonts w:ascii="Times New Roman" w:eastAsiaTheme="minorEastAsia"/>
                <w:snapToGrid w:val="0"/>
                <w:kern w:val="21"/>
                <w:szCs w:val="21"/>
              </w:rPr>
            </w:pPr>
            <w:r>
              <w:rPr>
                <w:rFonts w:ascii="Times New Roman" w:eastAsiaTheme="minorEastAsia"/>
                <w:snapToGrid w:val="0"/>
                <w:kern w:val="21"/>
                <w:szCs w:val="21"/>
              </w:rPr>
              <w:t>固体废物</w:t>
            </w:r>
          </w:p>
        </w:tc>
        <w:tc>
          <w:tcPr>
            <w:tcW w:w="2410" w:type="dxa"/>
            <w:vAlign w:val="center"/>
          </w:tcPr>
          <w:p>
            <w:pPr>
              <w:spacing w:line="320" w:lineRule="exact"/>
              <w:jc w:val="center"/>
              <w:rPr>
                <w:color w:val="000000"/>
                <w:szCs w:val="21"/>
              </w:rPr>
            </w:pPr>
            <w:r>
              <w:rPr>
                <w:rFonts w:hint="eastAsia"/>
                <w:color w:val="000000"/>
                <w:szCs w:val="21"/>
              </w:rPr>
              <w:t>职工生活垃圾</w:t>
            </w:r>
            <w:r>
              <w:rPr>
                <w:color w:val="000000"/>
                <w:szCs w:val="21"/>
              </w:rPr>
              <w:t>（t/a）</w:t>
            </w:r>
          </w:p>
        </w:tc>
        <w:tc>
          <w:tcPr>
            <w:tcW w:w="1701" w:type="dxa"/>
            <w:vAlign w:val="center"/>
          </w:tcPr>
          <w:p>
            <w:pPr>
              <w:spacing w:line="320" w:lineRule="exact"/>
              <w:jc w:val="center"/>
              <w:rPr>
                <w:color w:val="000000"/>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spacing w:line="320" w:lineRule="exact"/>
              <w:jc w:val="center"/>
              <w:rPr>
                <w:color w:val="000000"/>
                <w:szCs w:val="21"/>
              </w:rPr>
            </w:pPr>
            <w:r>
              <w:rPr>
                <w:rFonts w:hint="eastAsia"/>
                <w:color w:val="000000"/>
                <w:szCs w:val="21"/>
              </w:rPr>
              <w:t>0.3</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spacing w:line="320" w:lineRule="exact"/>
              <w:jc w:val="center"/>
              <w:rPr>
                <w:color w:val="000000"/>
                <w:szCs w:val="21"/>
              </w:rPr>
            </w:pPr>
            <w:r>
              <w:rPr>
                <w:rFonts w:hint="eastAsia"/>
                <w:color w:val="000000"/>
                <w:szCs w:val="21"/>
              </w:rPr>
              <w:t>0.3</w:t>
            </w:r>
          </w:p>
        </w:tc>
        <w:tc>
          <w:tcPr>
            <w:tcW w:w="1158" w:type="dxa"/>
            <w:vAlign w:val="center"/>
          </w:tcPr>
          <w:p>
            <w:pPr>
              <w:spacing w:line="320" w:lineRule="exact"/>
              <w:jc w:val="center"/>
              <w:rPr>
                <w:color w:val="000000"/>
                <w:szCs w:val="21"/>
              </w:rPr>
            </w:pPr>
            <w:r>
              <w:rPr>
                <w:rFonts w:hint="eastAsia"/>
                <w:color w:val="000000"/>
                <w:szCs w:val="21"/>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spacing w:line="320" w:lineRule="exact"/>
              <w:jc w:val="center"/>
              <w:rPr>
                <w:color w:val="000000"/>
                <w:szCs w:val="21"/>
              </w:rPr>
            </w:pPr>
            <w:r>
              <w:rPr>
                <w:rFonts w:hint="eastAsia"/>
                <w:color w:val="000000"/>
                <w:kern w:val="32"/>
              </w:rPr>
              <w:t>废包装</w:t>
            </w:r>
            <w:r>
              <w:rPr>
                <w:color w:val="000000"/>
                <w:kern w:val="32"/>
              </w:rPr>
              <w:t>材料</w:t>
            </w:r>
            <w:r>
              <w:rPr>
                <w:color w:val="000000"/>
                <w:szCs w:val="21"/>
              </w:rPr>
              <w:t>（t/a）</w:t>
            </w:r>
          </w:p>
        </w:tc>
        <w:tc>
          <w:tcPr>
            <w:tcW w:w="1701" w:type="dxa"/>
            <w:vAlign w:val="center"/>
          </w:tcPr>
          <w:p>
            <w:pPr>
              <w:spacing w:line="320" w:lineRule="exact"/>
              <w:jc w:val="center"/>
              <w:rPr>
                <w:color w:val="000000"/>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spacing w:line="320" w:lineRule="exact"/>
              <w:jc w:val="center"/>
              <w:rPr>
                <w:color w:val="000000"/>
                <w:szCs w:val="21"/>
              </w:rPr>
            </w:pPr>
            <w:r>
              <w:rPr>
                <w:rFonts w:hint="eastAsia"/>
                <w:color w:val="000000"/>
                <w:szCs w:val="21"/>
              </w:rPr>
              <w:t>0.05</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spacing w:line="320" w:lineRule="exact"/>
              <w:jc w:val="center"/>
              <w:rPr>
                <w:color w:val="000000"/>
                <w:szCs w:val="21"/>
              </w:rPr>
            </w:pPr>
            <w:r>
              <w:rPr>
                <w:rFonts w:hint="eastAsia"/>
                <w:color w:val="000000"/>
                <w:szCs w:val="21"/>
              </w:rPr>
              <w:t>0.05</w:t>
            </w:r>
          </w:p>
        </w:tc>
        <w:tc>
          <w:tcPr>
            <w:tcW w:w="1158" w:type="dxa"/>
            <w:vAlign w:val="center"/>
          </w:tcPr>
          <w:p>
            <w:pPr>
              <w:spacing w:line="320" w:lineRule="exact"/>
              <w:jc w:val="center"/>
              <w:rPr>
                <w:color w:val="000000"/>
                <w:szCs w:val="21"/>
              </w:rPr>
            </w:pPr>
            <w:r>
              <w:rPr>
                <w:rFonts w:hint="eastAsia"/>
                <w:color w:val="000000"/>
                <w:szCs w:val="21"/>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spacing w:line="320" w:lineRule="exact"/>
              <w:jc w:val="center"/>
              <w:rPr>
                <w:color w:val="000000"/>
                <w:szCs w:val="21"/>
              </w:rPr>
            </w:pPr>
            <w:r>
              <w:rPr>
                <w:rFonts w:hint="eastAsia"/>
              </w:rPr>
              <w:t>不合格</w:t>
            </w:r>
            <w:r>
              <w:t>品及边角料</w:t>
            </w:r>
            <w:r>
              <w:rPr>
                <w:color w:val="000000"/>
                <w:szCs w:val="21"/>
              </w:rPr>
              <w:t>（t/a）</w:t>
            </w:r>
          </w:p>
        </w:tc>
        <w:tc>
          <w:tcPr>
            <w:tcW w:w="1701" w:type="dxa"/>
            <w:vAlign w:val="center"/>
          </w:tcPr>
          <w:p>
            <w:pPr>
              <w:spacing w:line="320" w:lineRule="exact"/>
              <w:jc w:val="center"/>
              <w:rPr>
                <w:color w:val="000000"/>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spacing w:line="320" w:lineRule="exact"/>
              <w:jc w:val="center"/>
              <w:rPr>
                <w:color w:val="000000"/>
                <w:szCs w:val="21"/>
              </w:rPr>
            </w:pPr>
            <w:r>
              <w:rPr>
                <w:rFonts w:hint="eastAsia"/>
                <w:color w:val="000000"/>
                <w:szCs w:val="21"/>
              </w:rPr>
              <w:t>0.5</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spacing w:line="320" w:lineRule="exact"/>
              <w:jc w:val="center"/>
              <w:rPr>
                <w:color w:val="000000"/>
                <w:szCs w:val="21"/>
              </w:rPr>
            </w:pPr>
            <w:r>
              <w:rPr>
                <w:rFonts w:hint="eastAsia"/>
                <w:color w:val="000000"/>
                <w:szCs w:val="21"/>
              </w:rPr>
              <w:t>0.5</w:t>
            </w:r>
          </w:p>
        </w:tc>
        <w:tc>
          <w:tcPr>
            <w:tcW w:w="1158" w:type="dxa"/>
            <w:vAlign w:val="center"/>
          </w:tcPr>
          <w:p>
            <w:pPr>
              <w:spacing w:line="320" w:lineRule="exact"/>
              <w:jc w:val="center"/>
              <w:rPr>
                <w:color w:val="000000"/>
                <w:szCs w:val="21"/>
              </w:rPr>
            </w:pPr>
            <w:r>
              <w:rPr>
                <w:rFonts w:hint="eastAsia"/>
                <w:color w:val="000000"/>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spacing w:line="320" w:lineRule="exact"/>
              <w:jc w:val="center"/>
              <w:rPr>
                <w:szCs w:val="21"/>
              </w:rPr>
            </w:pPr>
            <w:r>
              <w:rPr>
                <w:rFonts w:hint="eastAsia"/>
              </w:rPr>
              <w:t>化粪池</w:t>
            </w:r>
            <w:r>
              <w:t>污泥</w:t>
            </w:r>
            <w:r>
              <w:rPr>
                <w:szCs w:val="21"/>
              </w:rPr>
              <w:t>（t/a）</w:t>
            </w:r>
          </w:p>
        </w:tc>
        <w:tc>
          <w:tcPr>
            <w:tcW w:w="1701" w:type="dxa"/>
            <w:vAlign w:val="center"/>
          </w:tcPr>
          <w:p>
            <w:pPr>
              <w:spacing w:line="320" w:lineRule="exact"/>
              <w:jc w:val="center"/>
              <w:rPr>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spacing w:line="320" w:lineRule="exact"/>
              <w:jc w:val="center"/>
              <w:rPr>
                <w:szCs w:val="21"/>
              </w:rPr>
            </w:pPr>
            <w:r>
              <w:rPr>
                <w:rFonts w:hint="eastAsia"/>
                <w:szCs w:val="21"/>
              </w:rPr>
              <w:t>0.12</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spacing w:line="320" w:lineRule="exact"/>
              <w:jc w:val="center"/>
              <w:rPr>
                <w:szCs w:val="21"/>
              </w:rPr>
            </w:pPr>
            <w:r>
              <w:rPr>
                <w:rFonts w:hint="eastAsia"/>
                <w:szCs w:val="21"/>
              </w:rPr>
              <w:t>0.12</w:t>
            </w:r>
          </w:p>
        </w:tc>
        <w:tc>
          <w:tcPr>
            <w:tcW w:w="1158" w:type="dxa"/>
            <w:vAlign w:val="center"/>
          </w:tcPr>
          <w:p>
            <w:pPr>
              <w:spacing w:line="320" w:lineRule="exact"/>
              <w:jc w:val="center"/>
              <w:rPr>
                <w:szCs w:val="21"/>
              </w:rPr>
            </w:pPr>
            <w:r>
              <w:rPr>
                <w:rFonts w:hint="eastAsia"/>
                <w:szCs w:val="21"/>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restart"/>
            <w:vAlign w:val="center"/>
          </w:tcPr>
          <w:p>
            <w:pPr>
              <w:pStyle w:val="40"/>
              <w:spacing w:beforeLines="0" w:afterLines="0" w:line="320" w:lineRule="exact"/>
              <w:rPr>
                <w:rFonts w:ascii="Times New Roman" w:eastAsiaTheme="minorEastAsia"/>
                <w:snapToGrid w:val="0"/>
                <w:kern w:val="21"/>
                <w:szCs w:val="21"/>
              </w:rPr>
            </w:pPr>
            <w:r>
              <w:rPr>
                <w:rFonts w:ascii="Times New Roman" w:eastAsiaTheme="minorEastAsia"/>
                <w:snapToGrid w:val="0"/>
                <w:kern w:val="21"/>
                <w:szCs w:val="21"/>
              </w:rPr>
              <w:t>危险废物</w:t>
            </w:r>
          </w:p>
        </w:tc>
        <w:tc>
          <w:tcPr>
            <w:tcW w:w="2410" w:type="dxa"/>
            <w:vAlign w:val="center"/>
          </w:tcPr>
          <w:p>
            <w:pPr>
              <w:spacing w:line="320" w:lineRule="exact"/>
              <w:jc w:val="center"/>
              <w:rPr>
                <w:szCs w:val="21"/>
              </w:rPr>
            </w:pPr>
            <w:r>
              <w:rPr>
                <w:rFonts w:hint="eastAsia"/>
              </w:rPr>
              <w:t>废液压油</w:t>
            </w:r>
            <w:r>
              <w:rPr>
                <w:szCs w:val="21"/>
              </w:rPr>
              <w:t>（</w:t>
            </w:r>
            <w:r>
              <w:rPr>
                <w:rFonts w:hint="eastAsia"/>
                <w:szCs w:val="21"/>
              </w:rPr>
              <w:t>t</w:t>
            </w:r>
            <w:r>
              <w:rPr>
                <w:szCs w:val="21"/>
              </w:rPr>
              <w:t>/a）</w:t>
            </w:r>
          </w:p>
        </w:tc>
        <w:tc>
          <w:tcPr>
            <w:tcW w:w="1701" w:type="dxa"/>
            <w:vAlign w:val="center"/>
          </w:tcPr>
          <w:p>
            <w:pPr>
              <w:spacing w:line="320" w:lineRule="exact"/>
              <w:jc w:val="center"/>
              <w:rPr>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spacing w:line="320" w:lineRule="exact"/>
              <w:jc w:val="center"/>
              <w:rPr>
                <w:szCs w:val="21"/>
              </w:rPr>
            </w:pPr>
            <w:r>
              <w:rPr>
                <w:rFonts w:hint="eastAsia"/>
                <w:szCs w:val="21"/>
              </w:rPr>
              <w:t>0.02</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spacing w:line="320" w:lineRule="exact"/>
              <w:jc w:val="center"/>
              <w:rPr>
                <w:szCs w:val="21"/>
              </w:rPr>
            </w:pPr>
            <w:r>
              <w:rPr>
                <w:rFonts w:hint="eastAsia"/>
                <w:szCs w:val="21"/>
              </w:rPr>
              <w:t>0.02</w:t>
            </w:r>
          </w:p>
        </w:tc>
        <w:tc>
          <w:tcPr>
            <w:tcW w:w="1158" w:type="dxa"/>
            <w:vAlign w:val="center"/>
          </w:tcPr>
          <w:p>
            <w:pPr>
              <w:spacing w:line="320" w:lineRule="exact"/>
              <w:jc w:val="center"/>
              <w:rPr>
                <w:szCs w:val="21"/>
              </w:rPr>
            </w:pPr>
            <w:r>
              <w:rPr>
                <w:rFonts w:hint="eastAsia"/>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4" w:type="dxa"/>
            <w:vMerge w:val="continue"/>
            <w:vAlign w:val="center"/>
          </w:tcPr>
          <w:p>
            <w:pPr>
              <w:pStyle w:val="40"/>
              <w:spacing w:beforeLines="0" w:afterLines="0" w:line="320" w:lineRule="exact"/>
              <w:rPr>
                <w:rFonts w:ascii="Times New Roman" w:eastAsiaTheme="minorEastAsia"/>
                <w:snapToGrid w:val="0"/>
                <w:kern w:val="21"/>
                <w:szCs w:val="21"/>
              </w:rPr>
            </w:pPr>
          </w:p>
        </w:tc>
        <w:tc>
          <w:tcPr>
            <w:tcW w:w="2410" w:type="dxa"/>
            <w:vAlign w:val="center"/>
          </w:tcPr>
          <w:p>
            <w:pPr>
              <w:spacing w:line="320" w:lineRule="exact"/>
              <w:jc w:val="center"/>
              <w:rPr>
                <w:color w:val="000000"/>
                <w:szCs w:val="21"/>
              </w:rPr>
            </w:pPr>
            <w:r>
              <w:rPr>
                <w:rFonts w:hint="eastAsia"/>
                <w:color w:val="000000"/>
                <w:szCs w:val="21"/>
              </w:rPr>
              <w:t>废UV灯管</w:t>
            </w:r>
            <w:r>
              <w:rPr>
                <w:szCs w:val="21"/>
              </w:rPr>
              <w:t>（t/a）</w:t>
            </w:r>
          </w:p>
        </w:tc>
        <w:tc>
          <w:tcPr>
            <w:tcW w:w="1701" w:type="dxa"/>
            <w:vAlign w:val="center"/>
          </w:tcPr>
          <w:p>
            <w:pPr>
              <w:spacing w:line="320" w:lineRule="exact"/>
              <w:jc w:val="center"/>
              <w:rPr>
                <w:szCs w:val="21"/>
              </w:rPr>
            </w:pPr>
          </w:p>
        </w:tc>
        <w:tc>
          <w:tcPr>
            <w:tcW w:w="1134" w:type="dxa"/>
            <w:vAlign w:val="center"/>
          </w:tcPr>
          <w:p>
            <w:pPr>
              <w:pStyle w:val="40"/>
              <w:spacing w:beforeLines="0" w:afterLines="0" w:line="320" w:lineRule="exact"/>
              <w:rPr>
                <w:rFonts w:ascii="Times New Roman" w:eastAsiaTheme="minorEastAsia"/>
                <w:snapToGrid w:val="0"/>
                <w:kern w:val="21"/>
                <w:szCs w:val="21"/>
              </w:rPr>
            </w:pPr>
          </w:p>
        </w:tc>
        <w:tc>
          <w:tcPr>
            <w:tcW w:w="1276" w:type="dxa"/>
            <w:vAlign w:val="center"/>
          </w:tcPr>
          <w:p>
            <w:pPr>
              <w:pStyle w:val="40"/>
              <w:spacing w:beforeLines="0" w:afterLines="0" w:line="320" w:lineRule="exact"/>
              <w:rPr>
                <w:rFonts w:ascii="Times New Roman" w:eastAsiaTheme="minorEastAsia"/>
                <w:snapToGrid w:val="0"/>
                <w:kern w:val="21"/>
                <w:szCs w:val="21"/>
              </w:rPr>
            </w:pPr>
          </w:p>
        </w:tc>
        <w:tc>
          <w:tcPr>
            <w:tcW w:w="1417" w:type="dxa"/>
            <w:vAlign w:val="center"/>
          </w:tcPr>
          <w:p>
            <w:pPr>
              <w:spacing w:line="320" w:lineRule="exact"/>
              <w:jc w:val="center"/>
              <w:rPr>
                <w:szCs w:val="21"/>
              </w:rPr>
            </w:pPr>
            <w:r>
              <w:rPr>
                <w:rFonts w:hint="eastAsia"/>
                <w:szCs w:val="21"/>
              </w:rPr>
              <w:t>0.01</w:t>
            </w:r>
          </w:p>
        </w:tc>
        <w:tc>
          <w:tcPr>
            <w:tcW w:w="1576" w:type="dxa"/>
            <w:vAlign w:val="center"/>
          </w:tcPr>
          <w:p>
            <w:pPr>
              <w:adjustRightInd w:val="0"/>
              <w:snapToGrid w:val="0"/>
              <w:spacing w:line="320" w:lineRule="exact"/>
              <w:jc w:val="center"/>
              <w:textAlignment w:val="baseline"/>
              <w:rPr>
                <w:rFonts w:eastAsiaTheme="minorEastAsia"/>
                <w:szCs w:val="21"/>
              </w:rPr>
            </w:pPr>
          </w:p>
        </w:tc>
        <w:tc>
          <w:tcPr>
            <w:tcW w:w="1812" w:type="dxa"/>
            <w:vAlign w:val="center"/>
          </w:tcPr>
          <w:p>
            <w:pPr>
              <w:spacing w:line="320" w:lineRule="exact"/>
              <w:jc w:val="center"/>
              <w:rPr>
                <w:szCs w:val="21"/>
              </w:rPr>
            </w:pPr>
            <w:r>
              <w:rPr>
                <w:rFonts w:hint="eastAsia"/>
                <w:szCs w:val="21"/>
              </w:rPr>
              <w:t>0.01</w:t>
            </w:r>
          </w:p>
        </w:tc>
        <w:tc>
          <w:tcPr>
            <w:tcW w:w="1158" w:type="dxa"/>
            <w:vAlign w:val="center"/>
          </w:tcPr>
          <w:p>
            <w:pPr>
              <w:spacing w:line="320" w:lineRule="exact"/>
              <w:jc w:val="center"/>
              <w:rPr>
                <w:szCs w:val="21"/>
              </w:rPr>
            </w:pPr>
            <w:r>
              <w:rPr>
                <w:rFonts w:hint="eastAsia"/>
                <w:szCs w:val="21"/>
              </w:rPr>
              <w:t>+0.01</w:t>
            </w:r>
          </w:p>
        </w:tc>
      </w:tr>
    </w:tbl>
    <w:p>
      <w:pPr>
        <w:pStyle w:val="40"/>
        <w:spacing w:before="249" w:beforeLines="80" w:after="31"/>
        <w:jc w:val="left"/>
        <w:rPr>
          <w:rFonts w:ascii="Times New Roman"/>
        </w:rPr>
      </w:pPr>
      <w:r>
        <w:rPr>
          <w:rFonts w:ascii="Times New Roman"/>
          <w:snapToGrid w:val="0"/>
          <w:kern w:val="21"/>
          <w:szCs w:val="21"/>
        </w:rPr>
        <w:t>注：</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ascii="Times New Roman"/>
          <w:kern w:val="21"/>
          <w:szCs w:val="21"/>
        </w:rPr>
        <w:t>⑥</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ascii="Times New Roman"/>
          <w:kern w:val="21"/>
          <w:szCs w:val="21"/>
        </w:rPr>
        <w:t>①</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3 \* GB3 \* MERGEFORMAT </w:instrText>
      </w:r>
      <w:r>
        <w:rPr>
          <w:rFonts w:ascii="Times New Roman"/>
          <w:snapToGrid w:val="0"/>
          <w:kern w:val="21"/>
          <w:szCs w:val="21"/>
        </w:rPr>
        <w:fldChar w:fldCharType="separate"/>
      </w:r>
      <w:r>
        <w:rPr>
          <w:rFonts w:ascii="Times New Roman"/>
          <w:kern w:val="21"/>
          <w:szCs w:val="21"/>
        </w:rPr>
        <w:t>③</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4 \* GB3 \* MERGEFORMAT </w:instrText>
      </w:r>
      <w:r>
        <w:rPr>
          <w:rFonts w:ascii="Times New Roman"/>
          <w:snapToGrid w:val="0"/>
          <w:kern w:val="21"/>
          <w:szCs w:val="21"/>
        </w:rPr>
        <w:fldChar w:fldCharType="separate"/>
      </w:r>
      <w:r>
        <w:rPr>
          <w:rFonts w:ascii="Times New Roman"/>
          <w:kern w:val="21"/>
          <w:szCs w:val="21"/>
        </w:rPr>
        <w:t>④</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5 \* GB3 \* MERGEFORMAT </w:instrText>
      </w:r>
      <w:r>
        <w:rPr>
          <w:rFonts w:ascii="Times New Roman"/>
          <w:snapToGrid w:val="0"/>
          <w:kern w:val="21"/>
          <w:szCs w:val="21"/>
        </w:rPr>
        <w:fldChar w:fldCharType="separate"/>
      </w:r>
      <w:r>
        <w:rPr>
          <w:rFonts w:ascii="Times New Roman"/>
          <w:kern w:val="21"/>
          <w:szCs w:val="21"/>
        </w:rPr>
        <w:t>⑤</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7 \* GB3 \* MERGEFORMAT </w:instrText>
      </w:r>
      <w:r>
        <w:rPr>
          <w:rFonts w:ascii="Times New Roman"/>
          <w:snapToGrid w:val="0"/>
          <w:kern w:val="21"/>
          <w:szCs w:val="21"/>
        </w:rPr>
        <w:fldChar w:fldCharType="separate"/>
      </w:r>
      <w:r>
        <w:rPr>
          <w:rFonts w:ascii="Times New Roman"/>
          <w:kern w:val="21"/>
          <w:szCs w:val="21"/>
        </w:rPr>
        <w:t>⑦</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ascii="Times New Roman"/>
          <w:kern w:val="21"/>
          <w:szCs w:val="21"/>
        </w:rPr>
        <w:t>⑥</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ascii="Times New Roman"/>
          <w:kern w:val="21"/>
          <w:szCs w:val="21"/>
        </w:rPr>
        <w:t>①</w:t>
      </w:r>
      <w:r>
        <w:rPr>
          <w:rFonts w:ascii="Times New Roman"/>
          <w:snapToGrid w:val="0"/>
          <w:kern w:val="21"/>
          <w:szCs w:val="21"/>
        </w:rPr>
        <w:fldChar w:fldCharType="end"/>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_GBK">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1A29F"/>
    <w:multiLevelType w:val="singleLevel"/>
    <w:tmpl w:val="6BE1A2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C7213"/>
    <w:rsid w:val="000064F9"/>
    <w:rsid w:val="000163F5"/>
    <w:rsid w:val="00021511"/>
    <w:rsid w:val="00022670"/>
    <w:rsid w:val="000234DD"/>
    <w:rsid w:val="00032477"/>
    <w:rsid w:val="0003791C"/>
    <w:rsid w:val="00037945"/>
    <w:rsid w:val="000421AB"/>
    <w:rsid w:val="00064153"/>
    <w:rsid w:val="0008276C"/>
    <w:rsid w:val="00087626"/>
    <w:rsid w:val="000A0226"/>
    <w:rsid w:val="000A22DE"/>
    <w:rsid w:val="000A3CAB"/>
    <w:rsid w:val="000B2B4C"/>
    <w:rsid w:val="000B2CE0"/>
    <w:rsid w:val="000C6756"/>
    <w:rsid w:val="000D45C7"/>
    <w:rsid w:val="000D5101"/>
    <w:rsid w:val="000D63A9"/>
    <w:rsid w:val="000F6743"/>
    <w:rsid w:val="000F6934"/>
    <w:rsid w:val="00100205"/>
    <w:rsid w:val="00133991"/>
    <w:rsid w:val="0014695B"/>
    <w:rsid w:val="0015119A"/>
    <w:rsid w:val="00154845"/>
    <w:rsid w:val="001549EE"/>
    <w:rsid w:val="00155C9A"/>
    <w:rsid w:val="00160019"/>
    <w:rsid w:val="00164D02"/>
    <w:rsid w:val="001749C2"/>
    <w:rsid w:val="00177050"/>
    <w:rsid w:val="0018095C"/>
    <w:rsid w:val="001901CA"/>
    <w:rsid w:val="001927D8"/>
    <w:rsid w:val="00197F9B"/>
    <w:rsid w:val="001A0D51"/>
    <w:rsid w:val="001A10C7"/>
    <w:rsid w:val="001B6098"/>
    <w:rsid w:val="001B64F9"/>
    <w:rsid w:val="001C7C7C"/>
    <w:rsid w:val="001D066B"/>
    <w:rsid w:val="001F0E61"/>
    <w:rsid w:val="001F1952"/>
    <w:rsid w:val="001F6735"/>
    <w:rsid w:val="00201B24"/>
    <w:rsid w:val="002046C3"/>
    <w:rsid w:val="002073DC"/>
    <w:rsid w:val="00235EED"/>
    <w:rsid w:val="00242D81"/>
    <w:rsid w:val="00266DAF"/>
    <w:rsid w:val="002670F4"/>
    <w:rsid w:val="00272514"/>
    <w:rsid w:val="00286091"/>
    <w:rsid w:val="002A2836"/>
    <w:rsid w:val="002A28C8"/>
    <w:rsid w:val="002A2A02"/>
    <w:rsid w:val="002B62E3"/>
    <w:rsid w:val="002C6689"/>
    <w:rsid w:val="002E56D1"/>
    <w:rsid w:val="002F5586"/>
    <w:rsid w:val="00300268"/>
    <w:rsid w:val="0030248D"/>
    <w:rsid w:val="003162A7"/>
    <w:rsid w:val="00327C6C"/>
    <w:rsid w:val="00337CAA"/>
    <w:rsid w:val="00340C8A"/>
    <w:rsid w:val="003416B5"/>
    <w:rsid w:val="003569DC"/>
    <w:rsid w:val="00363133"/>
    <w:rsid w:val="00371EE6"/>
    <w:rsid w:val="00377B02"/>
    <w:rsid w:val="00387E16"/>
    <w:rsid w:val="00393EC4"/>
    <w:rsid w:val="003A7E7F"/>
    <w:rsid w:val="003B53E9"/>
    <w:rsid w:val="003C2BCD"/>
    <w:rsid w:val="003C57A2"/>
    <w:rsid w:val="003C598A"/>
    <w:rsid w:val="003C787E"/>
    <w:rsid w:val="003E10AF"/>
    <w:rsid w:val="003E26CA"/>
    <w:rsid w:val="003E52A3"/>
    <w:rsid w:val="0040324F"/>
    <w:rsid w:val="004055EE"/>
    <w:rsid w:val="00412C4E"/>
    <w:rsid w:val="004133D7"/>
    <w:rsid w:val="00422A6C"/>
    <w:rsid w:val="004372BE"/>
    <w:rsid w:val="00452322"/>
    <w:rsid w:val="00457E6F"/>
    <w:rsid w:val="00483220"/>
    <w:rsid w:val="004838DE"/>
    <w:rsid w:val="0048503A"/>
    <w:rsid w:val="004929DA"/>
    <w:rsid w:val="00497C1D"/>
    <w:rsid w:val="004A0FA4"/>
    <w:rsid w:val="004B0CFF"/>
    <w:rsid w:val="004E523E"/>
    <w:rsid w:val="0050460B"/>
    <w:rsid w:val="0051724B"/>
    <w:rsid w:val="00543179"/>
    <w:rsid w:val="00552A3E"/>
    <w:rsid w:val="005614F7"/>
    <w:rsid w:val="0056171E"/>
    <w:rsid w:val="00577D4D"/>
    <w:rsid w:val="00582687"/>
    <w:rsid w:val="0059069B"/>
    <w:rsid w:val="005927B7"/>
    <w:rsid w:val="005A0CCA"/>
    <w:rsid w:val="005C60CD"/>
    <w:rsid w:val="005D7683"/>
    <w:rsid w:val="005E48FE"/>
    <w:rsid w:val="005E6BE3"/>
    <w:rsid w:val="005F521A"/>
    <w:rsid w:val="00611AFD"/>
    <w:rsid w:val="00626B25"/>
    <w:rsid w:val="00630E58"/>
    <w:rsid w:val="00632446"/>
    <w:rsid w:val="0063661B"/>
    <w:rsid w:val="006405D6"/>
    <w:rsid w:val="00640D72"/>
    <w:rsid w:val="00646A26"/>
    <w:rsid w:val="00685BF9"/>
    <w:rsid w:val="006A2127"/>
    <w:rsid w:val="006B0796"/>
    <w:rsid w:val="006B48D5"/>
    <w:rsid w:val="006C17FC"/>
    <w:rsid w:val="006E15E5"/>
    <w:rsid w:val="006E59C1"/>
    <w:rsid w:val="006E6985"/>
    <w:rsid w:val="00710158"/>
    <w:rsid w:val="00713C41"/>
    <w:rsid w:val="007169C7"/>
    <w:rsid w:val="00720D46"/>
    <w:rsid w:val="0073537F"/>
    <w:rsid w:val="007446CD"/>
    <w:rsid w:val="00754C66"/>
    <w:rsid w:val="0075712B"/>
    <w:rsid w:val="007607AD"/>
    <w:rsid w:val="00760B09"/>
    <w:rsid w:val="00770C2E"/>
    <w:rsid w:val="00774F23"/>
    <w:rsid w:val="007854E9"/>
    <w:rsid w:val="00795E89"/>
    <w:rsid w:val="007A0679"/>
    <w:rsid w:val="007A4DFD"/>
    <w:rsid w:val="007B3E7E"/>
    <w:rsid w:val="007B6940"/>
    <w:rsid w:val="007C674F"/>
    <w:rsid w:val="007D449A"/>
    <w:rsid w:val="007E0A63"/>
    <w:rsid w:val="007E1D5C"/>
    <w:rsid w:val="00804806"/>
    <w:rsid w:val="0080731A"/>
    <w:rsid w:val="00814827"/>
    <w:rsid w:val="00822584"/>
    <w:rsid w:val="00830884"/>
    <w:rsid w:val="008502FA"/>
    <w:rsid w:val="008579FC"/>
    <w:rsid w:val="00862806"/>
    <w:rsid w:val="0086623D"/>
    <w:rsid w:val="00894FB9"/>
    <w:rsid w:val="008A2C9A"/>
    <w:rsid w:val="008B504D"/>
    <w:rsid w:val="008B78E8"/>
    <w:rsid w:val="008D32DB"/>
    <w:rsid w:val="008D39B2"/>
    <w:rsid w:val="008E14B2"/>
    <w:rsid w:val="008F3A59"/>
    <w:rsid w:val="008F4948"/>
    <w:rsid w:val="008F73A7"/>
    <w:rsid w:val="00901AEE"/>
    <w:rsid w:val="009038CB"/>
    <w:rsid w:val="0091348F"/>
    <w:rsid w:val="00913BDD"/>
    <w:rsid w:val="009210DB"/>
    <w:rsid w:val="0092716B"/>
    <w:rsid w:val="00942285"/>
    <w:rsid w:val="00964AD9"/>
    <w:rsid w:val="009671D3"/>
    <w:rsid w:val="00971122"/>
    <w:rsid w:val="0098658A"/>
    <w:rsid w:val="009933FD"/>
    <w:rsid w:val="00996717"/>
    <w:rsid w:val="009B1684"/>
    <w:rsid w:val="009C07CB"/>
    <w:rsid w:val="00A1056A"/>
    <w:rsid w:val="00A1077D"/>
    <w:rsid w:val="00A11047"/>
    <w:rsid w:val="00A1234B"/>
    <w:rsid w:val="00A1242B"/>
    <w:rsid w:val="00A135EE"/>
    <w:rsid w:val="00A23139"/>
    <w:rsid w:val="00A256B8"/>
    <w:rsid w:val="00A42EE2"/>
    <w:rsid w:val="00A458F1"/>
    <w:rsid w:val="00A50E3C"/>
    <w:rsid w:val="00A51B15"/>
    <w:rsid w:val="00A60F39"/>
    <w:rsid w:val="00A65851"/>
    <w:rsid w:val="00A67E0F"/>
    <w:rsid w:val="00A755A8"/>
    <w:rsid w:val="00A83801"/>
    <w:rsid w:val="00A962CD"/>
    <w:rsid w:val="00AA2DEC"/>
    <w:rsid w:val="00AB03E4"/>
    <w:rsid w:val="00AB3380"/>
    <w:rsid w:val="00AB5B7E"/>
    <w:rsid w:val="00AF38AE"/>
    <w:rsid w:val="00AF696A"/>
    <w:rsid w:val="00B002D9"/>
    <w:rsid w:val="00B03708"/>
    <w:rsid w:val="00B11261"/>
    <w:rsid w:val="00B15B5E"/>
    <w:rsid w:val="00B208C4"/>
    <w:rsid w:val="00B30228"/>
    <w:rsid w:val="00B304EF"/>
    <w:rsid w:val="00B42D79"/>
    <w:rsid w:val="00B60C1C"/>
    <w:rsid w:val="00B6483C"/>
    <w:rsid w:val="00B6642A"/>
    <w:rsid w:val="00B7535E"/>
    <w:rsid w:val="00B76775"/>
    <w:rsid w:val="00B82F11"/>
    <w:rsid w:val="00B87855"/>
    <w:rsid w:val="00BA6114"/>
    <w:rsid w:val="00BB2590"/>
    <w:rsid w:val="00BB513E"/>
    <w:rsid w:val="00BC3C38"/>
    <w:rsid w:val="00BD65F7"/>
    <w:rsid w:val="00C27D8D"/>
    <w:rsid w:val="00C331FD"/>
    <w:rsid w:val="00C35A16"/>
    <w:rsid w:val="00C37932"/>
    <w:rsid w:val="00C51646"/>
    <w:rsid w:val="00C559C6"/>
    <w:rsid w:val="00C629F7"/>
    <w:rsid w:val="00C64737"/>
    <w:rsid w:val="00C75348"/>
    <w:rsid w:val="00C85FAF"/>
    <w:rsid w:val="00C910C5"/>
    <w:rsid w:val="00C9298A"/>
    <w:rsid w:val="00C958F0"/>
    <w:rsid w:val="00CA2074"/>
    <w:rsid w:val="00CA2FCB"/>
    <w:rsid w:val="00CB04F8"/>
    <w:rsid w:val="00CB4F18"/>
    <w:rsid w:val="00CB5750"/>
    <w:rsid w:val="00CB6D74"/>
    <w:rsid w:val="00CB7B02"/>
    <w:rsid w:val="00CD2E7D"/>
    <w:rsid w:val="00CE1912"/>
    <w:rsid w:val="00CE6CB7"/>
    <w:rsid w:val="00CE76EA"/>
    <w:rsid w:val="00CE7E9F"/>
    <w:rsid w:val="00D160D8"/>
    <w:rsid w:val="00D224D3"/>
    <w:rsid w:val="00D2788E"/>
    <w:rsid w:val="00D40AAF"/>
    <w:rsid w:val="00D534A2"/>
    <w:rsid w:val="00D546FB"/>
    <w:rsid w:val="00D55ECF"/>
    <w:rsid w:val="00D60A52"/>
    <w:rsid w:val="00D620EE"/>
    <w:rsid w:val="00D64707"/>
    <w:rsid w:val="00D76C99"/>
    <w:rsid w:val="00D81B46"/>
    <w:rsid w:val="00D85033"/>
    <w:rsid w:val="00D90A80"/>
    <w:rsid w:val="00D90AFE"/>
    <w:rsid w:val="00D91983"/>
    <w:rsid w:val="00DA3056"/>
    <w:rsid w:val="00DA531D"/>
    <w:rsid w:val="00DC075B"/>
    <w:rsid w:val="00DC0C83"/>
    <w:rsid w:val="00DC31B8"/>
    <w:rsid w:val="00DC3C3D"/>
    <w:rsid w:val="00DC6CCC"/>
    <w:rsid w:val="00DE0B8E"/>
    <w:rsid w:val="00DE7775"/>
    <w:rsid w:val="00DF0DC6"/>
    <w:rsid w:val="00DF0E37"/>
    <w:rsid w:val="00E0035C"/>
    <w:rsid w:val="00E12E90"/>
    <w:rsid w:val="00E279BD"/>
    <w:rsid w:val="00E30320"/>
    <w:rsid w:val="00E41298"/>
    <w:rsid w:val="00E44B80"/>
    <w:rsid w:val="00E45E89"/>
    <w:rsid w:val="00E52DE6"/>
    <w:rsid w:val="00E611EE"/>
    <w:rsid w:val="00E6629E"/>
    <w:rsid w:val="00E67120"/>
    <w:rsid w:val="00E74801"/>
    <w:rsid w:val="00E854BF"/>
    <w:rsid w:val="00EA5992"/>
    <w:rsid w:val="00EB120D"/>
    <w:rsid w:val="00EC3B69"/>
    <w:rsid w:val="00EF2786"/>
    <w:rsid w:val="00EF5C32"/>
    <w:rsid w:val="00F047CC"/>
    <w:rsid w:val="00F04B7C"/>
    <w:rsid w:val="00F114EE"/>
    <w:rsid w:val="00F140F5"/>
    <w:rsid w:val="00F41C10"/>
    <w:rsid w:val="00F5074A"/>
    <w:rsid w:val="00F52108"/>
    <w:rsid w:val="00F82B4B"/>
    <w:rsid w:val="00F90CEE"/>
    <w:rsid w:val="00F933AC"/>
    <w:rsid w:val="00FB5CD4"/>
    <w:rsid w:val="00FD3E33"/>
    <w:rsid w:val="00FE5379"/>
    <w:rsid w:val="01571D69"/>
    <w:rsid w:val="01852D7E"/>
    <w:rsid w:val="01D26210"/>
    <w:rsid w:val="01EC7213"/>
    <w:rsid w:val="023B16D4"/>
    <w:rsid w:val="02405454"/>
    <w:rsid w:val="026526A0"/>
    <w:rsid w:val="026E7BC3"/>
    <w:rsid w:val="027E2AD4"/>
    <w:rsid w:val="03002880"/>
    <w:rsid w:val="030D5CD8"/>
    <w:rsid w:val="035F3665"/>
    <w:rsid w:val="035F7005"/>
    <w:rsid w:val="03731922"/>
    <w:rsid w:val="04004F5B"/>
    <w:rsid w:val="044F733E"/>
    <w:rsid w:val="04FF5D72"/>
    <w:rsid w:val="050C782E"/>
    <w:rsid w:val="05DB07FE"/>
    <w:rsid w:val="05F11D86"/>
    <w:rsid w:val="06FC7B9D"/>
    <w:rsid w:val="070F3021"/>
    <w:rsid w:val="074F52E0"/>
    <w:rsid w:val="07886582"/>
    <w:rsid w:val="07AD5556"/>
    <w:rsid w:val="07C26806"/>
    <w:rsid w:val="07D725A8"/>
    <w:rsid w:val="08741C4D"/>
    <w:rsid w:val="08D47DC7"/>
    <w:rsid w:val="08ED3C06"/>
    <w:rsid w:val="090543D3"/>
    <w:rsid w:val="0923170E"/>
    <w:rsid w:val="09457387"/>
    <w:rsid w:val="0A4B43F9"/>
    <w:rsid w:val="0A6A39CB"/>
    <w:rsid w:val="0A922BAA"/>
    <w:rsid w:val="0AFB08EA"/>
    <w:rsid w:val="0B067886"/>
    <w:rsid w:val="0B2E5A51"/>
    <w:rsid w:val="0B965EC9"/>
    <w:rsid w:val="0BAE4516"/>
    <w:rsid w:val="0BF60633"/>
    <w:rsid w:val="0C17296E"/>
    <w:rsid w:val="0C265247"/>
    <w:rsid w:val="0C9004AE"/>
    <w:rsid w:val="0CB85BFD"/>
    <w:rsid w:val="0D464364"/>
    <w:rsid w:val="0D7E0608"/>
    <w:rsid w:val="0D89390E"/>
    <w:rsid w:val="0D973F39"/>
    <w:rsid w:val="0DAE4454"/>
    <w:rsid w:val="0E072D32"/>
    <w:rsid w:val="0E76005D"/>
    <w:rsid w:val="0E8A5825"/>
    <w:rsid w:val="0E9E168F"/>
    <w:rsid w:val="0F1C36FE"/>
    <w:rsid w:val="0F1D7E7E"/>
    <w:rsid w:val="0F2331E9"/>
    <w:rsid w:val="0F2C54BC"/>
    <w:rsid w:val="0F314892"/>
    <w:rsid w:val="0F395C5C"/>
    <w:rsid w:val="0F4E07E1"/>
    <w:rsid w:val="0F744AEE"/>
    <w:rsid w:val="0F933CFD"/>
    <w:rsid w:val="0FDC149E"/>
    <w:rsid w:val="0FF4036F"/>
    <w:rsid w:val="103C5A2C"/>
    <w:rsid w:val="103F4191"/>
    <w:rsid w:val="10460009"/>
    <w:rsid w:val="10FD3292"/>
    <w:rsid w:val="115F5256"/>
    <w:rsid w:val="12347B57"/>
    <w:rsid w:val="123F33CB"/>
    <w:rsid w:val="12BE039B"/>
    <w:rsid w:val="134E04CA"/>
    <w:rsid w:val="13510B85"/>
    <w:rsid w:val="13626D46"/>
    <w:rsid w:val="13715647"/>
    <w:rsid w:val="139A5A8E"/>
    <w:rsid w:val="13A77552"/>
    <w:rsid w:val="13AD79D3"/>
    <w:rsid w:val="13CC2653"/>
    <w:rsid w:val="13FA0FBC"/>
    <w:rsid w:val="140A4976"/>
    <w:rsid w:val="1491348F"/>
    <w:rsid w:val="154C0940"/>
    <w:rsid w:val="15581CD5"/>
    <w:rsid w:val="159628B6"/>
    <w:rsid w:val="15D95FAC"/>
    <w:rsid w:val="163C029A"/>
    <w:rsid w:val="164C057B"/>
    <w:rsid w:val="1665384B"/>
    <w:rsid w:val="16977483"/>
    <w:rsid w:val="16BE042D"/>
    <w:rsid w:val="16D81847"/>
    <w:rsid w:val="16F82EB3"/>
    <w:rsid w:val="171047CD"/>
    <w:rsid w:val="178E2367"/>
    <w:rsid w:val="17AB4437"/>
    <w:rsid w:val="17FB594A"/>
    <w:rsid w:val="18661574"/>
    <w:rsid w:val="1877613D"/>
    <w:rsid w:val="187B0281"/>
    <w:rsid w:val="18954E84"/>
    <w:rsid w:val="189A7F08"/>
    <w:rsid w:val="18B42D0D"/>
    <w:rsid w:val="18C37F5E"/>
    <w:rsid w:val="193A1600"/>
    <w:rsid w:val="19590E65"/>
    <w:rsid w:val="19AB4D0E"/>
    <w:rsid w:val="1A2152E6"/>
    <w:rsid w:val="1A351082"/>
    <w:rsid w:val="1A3F074E"/>
    <w:rsid w:val="1A57282E"/>
    <w:rsid w:val="1A765190"/>
    <w:rsid w:val="1ACB1E66"/>
    <w:rsid w:val="1ACD0120"/>
    <w:rsid w:val="1B131730"/>
    <w:rsid w:val="1B4E1C36"/>
    <w:rsid w:val="1B64477C"/>
    <w:rsid w:val="1B6F0C16"/>
    <w:rsid w:val="1C14436A"/>
    <w:rsid w:val="1C3E7004"/>
    <w:rsid w:val="1C4745C1"/>
    <w:rsid w:val="1C5A2B6C"/>
    <w:rsid w:val="1C79484C"/>
    <w:rsid w:val="1CA11B6E"/>
    <w:rsid w:val="1CBA26D1"/>
    <w:rsid w:val="1D211578"/>
    <w:rsid w:val="1D562446"/>
    <w:rsid w:val="1DEF7800"/>
    <w:rsid w:val="1E4B0BC8"/>
    <w:rsid w:val="1E6636EA"/>
    <w:rsid w:val="1E817334"/>
    <w:rsid w:val="1EA30E10"/>
    <w:rsid w:val="1EA45172"/>
    <w:rsid w:val="1EB07035"/>
    <w:rsid w:val="1ED279B7"/>
    <w:rsid w:val="1EE1306D"/>
    <w:rsid w:val="1F1501AE"/>
    <w:rsid w:val="1F164B6B"/>
    <w:rsid w:val="1F3A751B"/>
    <w:rsid w:val="1F740D20"/>
    <w:rsid w:val="1F8C41B6"/>
    <w:rsid w:val="1F99572A"/>
    <w:rsid w:val="1FD33B34"/>
    <w:rsid w:val="1FFB4C30"/>
    <w:rsid w:val="20CA4077"/>
    <w:rsid w:val="20FF0B36"/>
    <w:rsid w:val="210F2077"/>
    <w:rsid w:val="216C653E"/>
    <w:rsid w:val="218E7EF2"/>
    <w:rsid w:val="21970803"/>
    <w:rsid w:val="219C643A"/>
    <w:rsid w:val="21FE6EBB"/>
    <w:rsid w:val="225D31E5"/>
    <w:rsid w:val="227814D9"/>
    <w:rsid w:val="22EB74F2"/>
    <w:rsid w:val="22FB2576"/>
    <w:rsid w:val="232C115B"/>
    <w:rsid w:val="237B3AA4"/>
    <w:rsid w:val="241D28C7"/>
    <w:rsid w:val="24241883"/>
    <w:rsid w:val="243466F4"/>
    <w:rsid w:val="24D768E1"/>
    <w:rsid w:val="24F4183E"/>
    <w:rsid w:val="24F727E1"/>
    <w:rsid w:val="253D2AD7"/>
    <w:rsid w:val="25905313"/>
    <w:rsid w:val="25A114BE"/>
    <w:rsid w:val="25C65DCF"/>
    <w:rsid w:val="25FD4C3D"/>
    <w:rsid w:val="26235304"/>
    <w:rsid w:val="272B1E2D"/>
    <w:rsid w:val="275A0DBC"/>
    <w:rsid w:val="275B60C5"/>
    <w:rsid w:val="2789615A"/>
    <w:rsid w:val="28137615"/>
    <w:rsid w:val="28EA4467"/>
    <w:rsid w:val="29B0140A"/>
    <w:rsid w:val="2A02058E"/>
    <w:rsid w:val="2A592844"/>
    <w:rsid w:val="2A847282"/>
    <w:rsid w:val="2AAA6F3A"/>
    <w:rsid w:val="2AAF599D"/>
    <w:rsid w:val="2AC118AA"/>
    <w:rsid w:val="2B3115A3"/>
    <w:rsid w:val="2B7D7832"/>
    <w:rsid w:val="2B8422CC"/>
    <w:rsid w:val="2B8661C9"/>
    <w:rsid w:val="2B9958C4"/>
    <w:rsid w:val="2BA31A18"/>
    <w:rsid w:val="2BBC03AC"/>
    <w:rsid w:val="2BD76F50"/>
    <w:rsid w:val="2BDA485C"/>
    <w:rsid w:val="2C0A11FC"/>
    <w:rsid w:val="2C2C0CD4"/>
    <w:rsid w:val="2C6D0947"/>
    <w:rsid w:val="2C824AF6"/>
    <w:rsid w:val="2CB54B9C"/>
    <w:rsid w:val="2D5003A9"/>
    <w:rsid w:val="2DC97EBB"/>
    <w:rsid w:val="2DED2F9F"/>
    <w:rsid w:val="2E69208C"/>
    <w:rsid w:val="2EB175EE"/>
    <w:rsid w:val="2EED02AB"/>
    <w:rsid w:val="300D2340"/>
    <w:rsid w:val="304B1867"/>
    <w:rsid w:val="30A62832"/>
    <w:rsid w:val="30B71DB8"/>
    <w:rsid w:val="31542B55"/>
    <w:rsid w:val="317A10BA"/>
    <w:rsid w:val="31CA514D"/>
    <w:rsid w:val="31E52EED"/>
    <w:rsid w:val="31EC179E"/>
    <w:rsid w:val="32397DF2"/>
    <w:rsid w:val="32942644"/>
    <w:rsid w:val="32BF3089"/>
    <w:rsid w:val="33766C91"/>
    <w:rsid w:val="33A651AA"/>
    <w:rsid w:val="33C2619F"/>
    <w:rsid w:val="33F00157"/>
    <w:rsid w:val="348F5ABF"/>
    <w:rsid w:val="34961B4F"/>
    <w:rsid w:val="34D35A66"/>
    <w:rsid w:val="350D54D1"/>
    <w:rsid w:val="3512359B"/>
    <w:rsid w:val="354A7C0C"/>
    <w:rsid w:val="357E5C5F"/>
    <w:rsid w:val="35F422C0"/>
    <w:rsid w:val="361F4BB4"/>
    <w:rsid w:val="364A1447"/>
    <w:rsid w:val="368A47DA"/>
    <w:rsid w:val="37302C46"/>
    <w:rsid w:val="37666F39"/>
    <w:rsid w:val="37AE6297"/>
    <w:rsid w:val="37DC4266"/>
    <w:rsid w:val="37FF22D7"/>
    <w:rsid w:val="380C0988"/>
    <w:rsid w:val="381D5081"/>
    <w:rsid w:val="385076D3"/>
    <w:rsid w:val="38647D6C"/>
    <w:rsid w:val="38AD1057"/>
    <w:rsid w:val="394D5268"/>
    <w:rsid w:val="39546167"/>
    <w:rsid w:val="398A6FB9"/>
    <w:rsid w:val="3A003D2D"/>
    <w:rsid w:val="3A045D5A"/>
    <w:rsid w:val="3A4840E3"/>
    <w:rsid w:val="3A716011"/>
    <w:rsid w:val="3AE17140"/>
    <w:rsid w:val="3AE71EEE"/>
    <w:rsid w:val="3AE76249"/>
    <w:rsid w:val="3AEB007F"/>
    <w:rsid w:val="3B763C63"/>
    <w:rsid w:val="3B8C1EBD"/>
    <w:rsid w:val="3B964075"/>
    <w:rsid w:val="3C71745E"/>
    <w:rsid w:val="3CAE7C7B"/>
    <w:rsid w:val="3CD03966"/>
    <w:rsid w:val="3D0365F9"/>
    <w:rsid w:val="3D926308"/>
    <w:rsid w:val="3DB74607"/>
    <w:rsid w:val="3DC546C4"/>
    <w:rsid w:val="3DCB0007"/>
    <w:rsid w:val="3DDE1A28"/>
    <w:rsid w:val="3DEE322C"/>
    <w:rsid w:val="3DFE3E33"/>
    <w:rsid w:val="3E2D2647"/>
    <w:rsid w:val="3E6514C5"/>
    <w:rsid w:val="3E9C0DBF"/>
    <w:rsid w:val="3ED71979"/>
    <w:rsid w:val="3F1F33D1"/>
    <w:rsid w:val="3F765400"/>
    <w:rsid w:val="3F76619A"/>
    <w:rsid w:val="3FE6785C"/>
    <w:rsid w:val="40273277"/>
    <w:rsid w:val="409F56D9"/>
    <w:rsid w:val="40E832EB"/>
    <w:rsid w:val="411D598B"/>
    <w:rsid w:val="416068C2"/>
    <w:rsid w:val="41767472"/>
    <w:rsid w:val="42077E65"/>
    <w:rsid w:val="42187D46"/>
    <w:rsid w:val="427F277F"/>
    <w:rsid w:val="428D5EB0"/>
    <w:rsid w:val="429E6F79"/>
    <w:rsid w:val="42C27303"/>
    <w:rsid w:val="42EA3C7E"/>
    <w:rsid w:val="438F678E"/>
    <w:rsid w:val="44055AFA"/>
    <w:rsid w:val="44293347"/>
    <w:rsid w:val="445B2EEA"/>
    <w:rsid w:val="44802E04"/>
    <w:rsid w:val="44914329"/>
    <w:rsid w:val="44FB29B3"/>
    <w:rsid w:val="45504237"/>
    <w:rsid w:val="45E71F5E"/>
    <w:rsid w:val="45F70286"/>
    <w:rsid w:val="461C7DBC"/>
    <w:rsid w:val="463E4501"/>
    <w:rsid w:val="46B14226"/>
    <w:rsid w:val="4708308E"/>
    <w:rsid w:val="47FC100E"/>
    <w:rsid w:val="483A5B4A"/>
    <w:rsid w:val="485F5EEF"/>
    <w:rsid w:val="488661F9"/>
    <w:rsid w:val="48AF73AB"/>
    <w:rsid w:val="48F473BA"/>
    <w:rsid w:val="490B636F"/>
    <w:rsid w:val="49325554"/>
    <w:rsid w:val="4964658D"/>
    <w:rsid w:val="49675707"/>
    <w:rsid w:val="497D0A27"/>
    <w:rsid w:val="49861190"/>
    <w:rsid w:val="49E334FA"/>
    <w:rsid w:val="49E72212"/>
    <w:rsid w:val="4A067613"/>
    <w:rsid w:val="4A390A1F"/>
    <w:rsid w:val="4A470483"/>
    <w:rsid w:val="4A826F91"/>
    <w:rsid w:val="4B4950CF"/>
    <w:rsid w:val="4B5770DE"/>
    <w:rsid w:val="4BC61C04"/>
    <w:rsid w:val="4C17181B"/>
    <w:rsid w:val="4C3B797E"/>
    <w:rsid w:val="4C521D29"/>
    <w:rsid w:val="4C607AFD"/>
    <w:rsid w:val="4C8C0F45"/>
    <w:rsid w:val="4D5B219C"/>
    <w:rsid w:val="4D88571B"/>
    <w:rsid w:val="4DE87353"/>
    <w:rsid w:val="4E082C4A"/>
    <w:rsid w:val="4F227799"/>
    <w:rsid w:val="4F35056F"/>
    <w:rsid w:val="4F6E39FF"/>
    <w:rsid w:val="4F946925"/>
    <w:rsid w:val="4F9B1DB3"/>
    <w:rsid w:val="50430C01"/>
    <w:rsid w:val="50AB7363"/>
    <w:rsid w:val="50DE2186"/>
    <w:rsid w:val="516C237D"/>
    <w:rsid w:val="51F41C1B"/>
    <w:rsid w:val="528434F9"/>
    <w:rsid w:val="52E0186F"/>
    <w:rsid w:val="534F2E36"/>
    <w:rsid w:val="5360403D"/>
    <w:rsid w:val="536A55FC"/>
    <w:rsid w:val="53CD3766"/>
    <w:rsid w:val="53F40FAD"/>
    <w:rsid w:val="53F56441"/>
    <w:rsid w:val="54A7404D"/>
    <w:rsid w:val="55CC2626"/>
    <w:rsid w:val="55CF114B"/>
    <w:rsid w:val="55E778BF"/>
    <w:rsid w:val="56605D11"/>
    <w:rsid w:val="56902B32"/>
    <w:rsid w:val="56A047C5"/>
    <w:rsid w:val="56CE145B"/>
    <w:rsid w:val="57341FC4"/>
    <w:rsid w:val="583D2588"/>
    <w:rsid w:val="58B1644D"/>
    <w:rsid w:val="590042BE"/>
    <w:rsid w:val="59396D79"/>
    <w:rsid w:val="594C7232"/>
    <w:rsid w:val="5A1629C9"/>
    <w:rsid w:val="5A314D67"/>
    <w:rsid w:val="5A3B0E6E"/>
    <w:rsid w:val="5A423F35"/>
    <w:rsid w:val="5A5443D2"/>
    <w:rsid w:val="5A7055BB"/>
    <w:rsid w:val="5A71140C"/>
    <w:rsid w:val="5A9B1590"/>
    <w:rsid w:val="5BBC4ABB"/>
    <w:rsid w:val="5C064858"/>
    <w:rsid w:val="5C196CAC"/>
    <w:rsid w:val="5C28775A"/>
    <w:rsid w:val="5CF84BE5"/>
    <w:rsid w:val="5D271513"/>
    <w:rsid w:val="5D6C63D6"/>
    <w:rsid w:val="5DA01008"/>
    <w:rsid w:val="5DD108C9"/>
    <w:rsid w:val="5E452010"/>
    <w:rsid w:val="5E4A780F"/>
    <w:rsid w:val="5E9C692A"/>
    <w:rsid w:val="5EAF31D0"/>
    <w:rsid w:val="5EEE7717"/>
    <w:rsid w:val="5F353BA4"/>
    <w:rsid w:val="5F7A6628"/>
    <w:rsid w:val="609070B6"/>
    <w:rsid w:val="609F0622"/>
    <w:rsid w:val="60FD0AFC"/>
    <w:rsid w:val="61595782"/>
    <w:rsid w:val="61932EE2"/>
    <w:rsid w:val="61A174E4"/>
    <w:rsid w:val="61EF0C20"/>
    <w:rsid w:val="61F047A2"/>
    <w:rsid w:val="61F36C0F"/>
    <w:rsid w:val="61FD4AAB"/>
    <w:rsid w:val="622264F5"/>
    <w:rsid w:val="6319498A"/>
    <w:rsid w:val="631C140D"/>
    <w:rsid w:val="63675066"/>
    <w:rsid w:val="63A26430"/>
    <w:rsid w:val="63D33369"/>
    <w:rsid w:val="644B61AB"/>
    <w:rsid w:val="64574E5C"/>
    <w:rsid w:val="647118DD"/>
    <w:rsid w:val="647A1272"/>
    <w:rsid w:val="64851DA0"/>
    <w:rsid w:val="64932560"/>
    <w:rsid w:val="64A43562"/>
    <w:rsid w:val="64D755FC"/>
    <w:rsid w:val="64E1328D"/>
    <w:rsid w:val="65470991"/>
    <w:rsid w:val="656C033B"/>
    <w:rsid w:val="65A41E57"/>
    <w:rsid w:val="65C542FE"/>
    <w:rsid w:val="661A48C7"/>
    <w:rsid w:val="665E543B"/>
    <w:rsid w:val="668D6F23"/>
    <w:rsid w:val="66AF350D"/>
    <w:rsid w:val="66B15C12"/>
    <w:rsid w:val="672B6048"/>
    <w:rsid w:val="672F6D98"/>
    <w:rsid w:val="677A5106"/>
    <w:rsid w:val="67D5177B"/>
    <w:rsid w:val="67DF166D"/>
    <w:rsid w:val="6808736D"/>
    <w:rsid w:val="684F31C5"/>
    <w:rsid w:val="68A01EAA"/>
    <w:rsid w:val="68CB4CBF"/>
    <w:rsid w:val="69524212"/>
    <w:rsid w:val="69CB3401"/>
    <w:rsid w:val="69EC6239"/>
    <w:rsid w:val="6A0548FA"/>
    <w:rsid w:val="6A4B31C2"/>
    <w:rsid w:val="6A5252A3"/>
    <w:rsid w:val="6A672579"/>
    <w:rsid w:val="6A772AAA"/>
    <w:rsid w:val="6A92335E"/>
    <w:rsid w:val="6B1D53CC"/>
    <w:rsid w:val="6BA24B25"/>
    <w:rsid w:val="6BBD05A9"/>
    <w:rsid w:val="6C11337F"/>
    <w:rsid w:val="6C2D07A0"/>
    <w:rsid w:val="6C8963D4"/>
    <w:rsid w:val="6D272F07"/>
    <w:rsid w:val="6D855654"/>
    <w:rsid w:val="6DB003B1"/>
    <w:rsid w:val="6EC1581C"/>
    <w:rsid w:val="6EFB3C4B"/>
    <w:rsid w:val="6F82406A"/>
    <w:rsid w:val="6FA92DDF"/>
    <w:rsid w:val="6FD4652A"/>
    <w:rsid w:val="70621CD7"/>
    <w:rsid w:val="706859B4"/>
    <w:rsid w:val="70A25481"/>
    <w:rsid w:val="70BC7402"/>
    <w:rsid w:val="716020F5"/>
    <w:rsid w:val="720C5563"/>
    <w:rsid w:val="723D4D8F"/>
    <w:rsid w:val="724D2287"/>
    <w:rsid w:val="72C92BCC"/>
    <w:rsid w:val="730419DF"/>
    <w:rsid w:val="73534AFE"/>
    <w:rsid w:val="735C0CF2"/>
    <w:rsid w:val="73633A4E"/>
    <w:rsid w:val="739834F4"/>
    <w:rsid w:val="73CC20C2"/>
    <w:rsid w:val="73E440EA"/>
    <w:rsid w:val="74A16C94"/>
    <w:rsid w:val="754F6AD2"/>
    <w:rsid w:val="756C00F0"/>
    <w:rsid w:val="758B7C5D"/>
    <w:rsid w:val="75C07CE0"/>
    <w:rsid w:val="75C416A3"/>
    <w:rsid w:val="760C69D0"/>
    <w:rsid w:val="761271C8"/>
    <w:rsid w:val="762A7B7C"/>
    <w:rsid w:val="765272A2"/>
    <w:rsid w:val="76861DBA"/>
    <w:rsid w:val="769D78D7"/>
    <w:rsid w:val="76B86C14"/>
    <w:rsid w:val="775E365A"/>
    <w:rsid w:val="77BA5893"/>
    <w:rsid w:val="77C7134B"/>
    <w:rsid w:val="77F602B5"/>
    <w:rsid w:val="78011548"/>
    <w:rsid w:val="781F2FF7"/>
    <w:rsid w:val="788A6573"/>
    <w:rsid w:val="78A46B2E"/>
    <w:rsid w:val="7970566C"/>
    <w:rsid w:val="79793A98"/>
    <w:rsid w:val="79920AAC"/>
    <w:rsid w:val="7A3C7F3F"/>
    <w:rsid w:val="7ABF12AC"/>
    <w:rsid w:val="7ACC1725"/>
    <w:rsid w:val="7B0826B2"/>
    <w:rsid w:val="7B0E5F3D"/>
    <w:rsid w:val="7B2C02F4"/>
    <w:rsid w:val="7B47397C"/>
    <w:rsid w:val="7B4D29A9"/>
    <w:rsid w:val="7B7A7B79"/>
    <w:rsid w:val="7BAC01BC"/>
    <w:rsid w:val="7BF04264"/>
    <w:rsid w:val="7C185834"/>
    <w:rsid w:val="7C223E28"/>
    <w:rsid w:val="7C233F48"/>
    <w:rsid w:val="7C44363E"/>
    <w:rsid w:val="7C694E0F"/>
    <w:rsid w:val="7C6A61B0"/>
    <w:rsid w:val="7C867E8E"/>
    <w:rsid w:val="7C9159CD"/>
    <w:rsid w:val="7CDF3BFD"/>
    <w:rsid w:val="7D671760"/>
    <w:rsid w:val="7DD16FF1"/>
    <w:rsid w:val="7DFF5205"/>
    <w:rsid w:val="7E6F7060"/>
    <w:rsid w:val="7EC375C0"/>
    <w:rsid w:val="7EC8768C"/>
    <w:rsid w:val="7EF41082"/>
    <w:rsid w:val="7F2A286F"/>
    <w:rsid w:val="7F866531"/>
    <w:rsid w:val="7FC34B42"/>
    <w:rsid w:val="7FE5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keepNext/>
      <w:keepLines/>
      <w:spacing w:before="340" w:after="330" w:line="576" w:lineRule="auto"/>
      <w:jc w:val="center"/>
      <w:outlineLvl w:val="0"/>
    </w:pPr>
    <w:rPr>
      <w:b/>
      <w:kern w:val="44"/>
      <w:sz w:val="32"/>
    </w:rPr>
  </w:style>
  <w:style w:type="paragraph" w:styleId="4">
    <w:name w:val="heading 2"/>
    <w:basedOn w:val="1"/>
    <w:next w:val="1"/>
    <w:link w:val="80"/>
    <w:unhideWhenUsed/>
    <w:qFormat/>
    <w:uiPriority w:val="0"/>
    <w:pPr>
      <w:topLinePunct/>
      <w:spacing w:before="50" w:beforeLines="50"/>
      <w:jc w:val="left"/>
      <w:outlineLvl w:val="1"/>
    </w:pPr>
    <w:rPr>
      <w:b/>
      <w:bCs/>
      <w:sz w:val="30"/>
      <w:szCs w:val="30"/>
    </w:rPr>
  </w:style>
  <w:style w:type="paragraph" w:styleId="5">
    <w:name w:val="heading 3"/>
    <w:basedOn w:val="1"/>
    <w:next w:val="1"/>
    <w:link w:val="39"/>
    <w:unhideWhenUsed/>
    <w:qFormat/>
    <w:uiPriority w:val="0"/>
    <w:pPr>
      <w:keepNext/>
      <w:keepLines/>
      <w:tabs>
        <w:tab w:val="right" w:leader="dot" w:pos="9060"/>
      </w:tabs>
      <w:spacing w:before="260" w:after="260" w:line="480" w:lineRule="auto"/>
      <w:jc w:val="left"/>
      <w:outlineLvl w:val="2"/>
    </w:pPr>
    <w:rPr>
      <w:b/>
      <w:bCs/>
      <w:sz w:val="28"/>
      <w:szCs w:val="32"/>
    </w:rPr>
  </w:style>
  <w:style w:type="paragraph" w:styleId="6">
    <w:name w:val="heading 4"/>
    <w:basedOn w:val="1"/>
    <w:next w:val="7"/>
    <w:link w:val="82"/>
    <w:unhideWhenUsed/>
    <w:qFormat/>
    <w:uiPriority w:val="0"/>
    <w:pPr>
      <w:keepNext/>
      <w:widowControl/>
      <w:overflowPunct w:val="0"/>
      <w:autoSpaceDE w:val="0"/>
      <w:autoSpaceDN w:val="0"/>
      <w:adjustRightInd w:val="0"/>
      <w:spacing w:before="100" w:beforeLines="100" w:after="100" w:afterLines="100" w:line="360" w:lineRule="auto"/>
      <w:jc w:val="left"/>
      <w:textAlignment w:val="baseline"/>
      <w:outlineLvl w:val="3"/>
    </w:pPr>
    <w:rPr>
      <w:b/>
      <w:i/>
      <w:kern w:val="28"/>
      <w:sz w:val="28"/>
    </w:rPr>
  </w:style>
  <w:style w:type="paragraph" w:styleId="9">
    <w:name w:val="heading 5"/>
    <w:basedOn w:val="1"/>
    <w:next w:val="1"/>
    <w:semiHidden/>
    <w:unhideWhenUsed/>
    <w:qFormat/>
    <w:uiPriority w:val="0"/>
    <w:pPr>
      <w:keepNext/>
      <w:keepLines/>
      <w:spacing w:before="100" w:beforeLines="100" w:after="100" w:afterLines="100" w:line="360" w:lineRule="auto"/>
      <w:jc w:val="left"/>
      <w:outlineLvl w:val="4"/>
    </w:pPr>
    <w:rPr>
      <w:b/>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79"/>
    <w:qFormat/>
    <w:uiPriority w:val="0"/>
    <w:pPr>
      <w:spacing w:after="120"/>
      <w:ind w:left="420" w:leftChars="200" w:firstLine="420"/>
    </w:pPr>
  </w:style>
  <w:style w:type="paragraph" w:styleId="7">
    <w:name w:val="Body Text"/>
    <w:basedOn w:val="1"/>
    <w:next w:val="8"/>
    <w:link w:val="111"/>
    <w:qFormat/>
    <w:uiPriority w:val="0"/>
    <w:pPr>
      <w:spacing w:line="520" w:lineRule="exact"/>
      <w:ind w:firstLine="961" w:firstLineChars="200"/>
      <w:jc w:val="left"/>
    </w:pPr>
    <w:rPr>
      <w:rFonts w:cs="宋体"/>
      <w:sz w:val="24"/>
      <w:szCs w:val="28"/>
      <w:lang w:val="zh-CN" w:bidi="zh-CN"/>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Normal Indent"/>
    <w:basedOn w:val="1"/>
    <w:next w:val="1"/>
    <w:link w:val="61"/>
    <w:qFormat/>
    <w:uiPriority w:val="99"/>
    <w:pPr>
      <w:ind w:firstLine="200" w:firstLineChars="200"/>
    </w:pPr>
    <w:rPr>
      <w:sz w:val="28"/>
      <w:szCs w:val="24"/>
    </w:rPr>
  </w:style>
  <w:style w:type="paragraph" w:styleId="11">
    <w:name w:val="Document Map"/>
    <w:basedOn w:val="1"/>
    <w:link w:val="67"/>
    <w:qFormat/>
    <w:uiPriority w:val="0"/>
    <w:rPr>
      <w:rFonts w:ascii="宋体"/>
      <w:sz w:val="18"/>
      <w:szCs w:val="18"/>
    </w:rPr>
  </w:style>
  <w:style w:type="paragraph" w:styleId="12">
    <w:name w:val="annotation text"/>
    <w:basedOn w:val="1"/>
    <w:link w:val="102"/>
    <w:qFormat/>
    <w:uiPriority w:val="0"/>
    <w:pPr>
      <w:jc w:val="left"/>
    </w:pPr>
  </w:style>
  <w:style w:type="paragraph" w:styleId="13">
    <w:name w:val="Body Text 3"/>
    <w:basedOn w:val="1"/>
    <w:link w:val="104"/>
    <w:qFormat/>
    <w:uiPriority w:val="0"/>
    <w:rPr>
      <w:kern w:val="0"/>
      <w:sz w:val="24"/>
      <w:szCs w:val="24"/>
    </w:rPr>
  </w:style>
  <w:style w:type="paragraph" w:styleId="14">
    <w:name w:val="Body Text Indent"/>
    <w:basedOn w:val="1"/>
    <w:next w:val="1"/>
    <w:link w:val="83"/>
    <w:qFormat/>
    <w:uiPriority w:val="0"/>
    <w:pPr>
      <w:spacing w:line="360" w:lineRule="auto"/>
      <w:ind w:firstLine="480"/>
    </w:pPr>
    <w:rPr>
      <w:sz w:val="24"/>
    </w:rPr>
  </w:style>
  <w:style w:type="paragraph" w:styleId="15">
    <w:name w:val="Block Text"/>
    <w:basedOn w:val="1"/>
    <w:qFormat/>
    <w:uiPriority w:val="0"/>
    <w:pPr>
      <w:autoSpaceDE w:val="0"/>
      <w:autoSpaceDN w:val="0"/>
      <w:adjustRightInd w:val="0"/>
      <w:spacing w:before="1" w:line="537" w:lineRule="exact"/>
      <w:ind w:left="88" w:right="6"/>
    </w:pPr>
    <w:rPr>
      <w:kern w:val="0"/>
      <w:sz w:val="28"/>
    </w:rPr>
  </w:style>
  <w:style w:type="paragraph" w:styleId="16">
    <w:name w:val="toc 3"/>
    <w:basedOn w:val="1"/>
    <w:next w:val="1"/>
    <w:semiHidden/>
    <w:qFormat/>
    <w:uiPriority w:val="0"/>
    <w:pPr>
      <w:widowControl/>
      <w:tabs>
        <w:tab w:val="left" w:pos="1200"/>
        <w:tab w:val="right" w:leader="dot" w:pos="8493"/>
      </w:tabs>
      <w:overflowPunct w:val="0"/>
      <w:autoSpaceDE w:val="0"/>
      <w:autoSpaceDN w:val="0"/>
      <w:adjustRightInd w:val="0"/>
      <w:spacing w:line="360" w:lineRule="auto"/>
      <w:ind w:left="403"/>
      <w:jc w:val="left"/>
      <w:textAlignment w:val="baseline"/>
    </w:pPr>
    <w:rPr>
      <w:kern w:val="0"/>
      <w:sz w:val="24"/>
    </w:rPr>
  </w:style>
  <w:style w:type="paragraph" w:styleId="17">
    <w:name w:val="Plain Text"/>
    <w:basedOn w:val="1"/>
    <w:link w:val="84"/>
    <w:qFormat/>
    <w:uiPriority w:val="0"/>
    <w:rPr>
      <w:rFonts w:ascii="宋体" w:hAnsi="Courier New"/>
      <w:sz w:val="28"/>
    </w:rPr>
  </w:style>
  <w:style w:type="paragraph" w:styleId="18">
    <w:name w:val="Date"/>
    <w:basedOn w:val="1"/>
    <w:next w:val="1"/>
    <w:link w:val="93"/>
    <w:qFormat/>
    <w:uiPriority w:val="0"/>
    <w:rPr>
      <w:kern w:val="0"/>
      <w:sz w:val="20"/>
    </w:rPr>
  </w:style>
  <w:style w:type="paragraph" w:styleId="19">
    <w:name w:val="Body Text Indent 2"/>
    <w:basedOn w:val="1"/>
    <w:link w:val="106"/>
    <w:qFormat/>
    <w:uiPriority w:val="0"/>
    <w:pPr>
      <w:ind w:firstLine="630"/>
    </w:pPr>
    <w:rPr>
      <w:kern w:val="0"/>
      <w:sz w:val="28"/>
      <w:szCs w:val="24"/>
    </w:rPr>
  </w:style>
  <w:style w:type="paragraph" w:styleId="20">
    <w:name w:val="Balloon Text"/>
    <w:basedOn w:val="1"/>
    <w:link w:val="58"/>
    <w:qFormat/>
    <w:uiPriority w:val="0"/>
    <w:rPr>
      <w:sz w:val="18"/>
      <w:szCs w:val="18"/>
    </w:rPr>
  </w:style>
  <w:style w:type="paragraph" w:styleId="21">
    <w:name w:val="footer"/>
    <w:basedOn w:val="1"/>
    <w:link w:val="85"/>
    <w:qFormat/>
    <w:uiPriority w:val="99"/>
    <w:pPr>
      <w:tabs>
        <w:tab w:val="center" w:pos="4153"/>
        <w:tab w:val="right" w:pos="8306"/>
      </w:tabs>
      <w:snapToGrid w:val="0"/>
      <w:jc w:val="left"/>
    </w:pPr>
    <w:rPr>
      <w:sz w:val="18"/>
    </w:rPr>
  </w:style>
  <w:style w:type="paragraph" w:styleId="22">
    <w:name w:val="header"/>
    <w:basedOn w:val="1"/>
    <w:link w:val="8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Body Text Indent 3"/>
    <w:basedOn w:val="1"/>
    <w:link w:val="68"/>
    <w:qFormat/>
    <w:uiPriority w:val="0"/>
    <w:pPr>
      <w:spacing w:after="120"/>
      <w:ind w:left="420" w:leftChars="200"/>
    </w:pPr>
    <w:rPr>
      <w:sz w:val="16"/>
      <w:szCs w:val="16"/>
    </w:rPr>
  </w:style>
  <w:style w:type="paragraph" w:styleId="24">
    <w:name w:val="Body Text 2"/>
    <w:basedOn w:val="1"/>
    <w:link w:val="95"/>
    <w:qFormat/>
    <w:uiPriority w:val="0"/>
    <w:rPr>
      <w:rFonts w:eastAsia="黑体"/>
      <w:kern w:val="0"/>
      <w:sz w:val="30"/>
      <w:szCs w:val="24"/>
    </w:rPr>
  </w:style>
  <w:style w:type="paragraph" w:styleId="2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Title"/>
    <w:basedOn w:val="1"/>
    <w:link w:val="91"/>
    <w:qFormat/>
    <w:uiPriority w:val="0"/>
    <w:pPr>
      <w:spacing w:before="240" w:after="60"/>
      <w:jc w:val="center"/>
      <w:outlineLvl w:val="0"/>
    </w:pPr>
    <w:rPr>
      <w:rFonts w:ascii="Arial" w:hAnsi="Arial" w:cs="Arial"/>
      <w:b/>
      <w:bCs/>
      <w:kern w:val="0"/>
      <w:sz w:val="32"/>
      <w:szCs w:val="32"/>
    </w:rPr>
  </w:style>
  <w:style w:type="paragraph" w:styleId="28">
    <w:name w:val="annotation subject"/>
    <w:basedOn w:val="12"/>
    <w:next w:val="12"/>
    <w:link w:val="101"/>
    <w:qFormat/>
    <w:uiPriority w:val="0"/>
    <w:rPr>
      <w:b/>
      <w:bCs/>
      <w:kern w:val="0"/>
      <w:sz w:val="20"/>
      <w:szCs w:val="24"/>
    </w:rPr>
  </w:style>
  <w:style w:type="paragraph" w:styleId="29">
    <w:name w:val="Body Text First Indent"/>
    <w:basedOn w:val="1"/>
    <w:link w:val="110"/>
    <w:qFormat/>
    <w:uiPriority w:val="0"/>
    <w:pPr>
      <w:topLinePunct/>
      <w:adjustRightInd w:val="0"/>
      <w:snapToGrid w:val="0"/>
      <w:ind w:firstLine="560"/>
    </w:pPr>
    <w:rPr>
      <w:rFonts w:eastAsia="仿宋_GB2312"/>
      <w:kern w:val="0"/>
      <w:sz w:val="28"/>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basedOn w:val="32"/>
    <w:qFormat/>
    <w:uiPriority w:val="0"/>
  </w:style>
  <w:style w:type="character" w:styleId="34">
    <w:name w:val="annotation reference"/>
    <w:basedOn w:val="32"/>
    <w:qFormat/>
    <w:uiPriority w:val="0"/>
    <w:rPr>
      <w:rFonts w:ascii="Tahoma" w:hAnsi="Tahoma"/>
      <w:sz w:val="21"/>
    </w:rPr>
  </w:style>
  <w:style w:type="paragraph" w:customStyle="1" w:styleId="35">
    <w:name w:val="Char Char Char Char"/>
    <w:basedOn w:val="1"/>
    <w:link w:val="87"/>
    <w:qFormat/>
    <w:uiPriority w:val="0"/>
    <w:rPr>
      <w:szCs w:val="21"/>
    </w:rPr>
  </w:style>
  <w:style w:type="paragraph" w:customStyle="1" w:styleId="36">
    <w:name w:val="表头"/>
    <w:basedOn w:val="1"/>
    <w:qFormat/>
    <w:uiPriority w:val="0"/>
    <w:pPr>
      <w:jc w:val="center"/>
    </w:pPr>
    <w:rPr>
      <w:sz w:val="24"/>
    </w:rPr>
  </w:style>
  <w:style w:type="character" w:customStyle="1" w:styleId="37">
    <w:name w:val="标题 1 Char"/>
    <w:basedOn w:val="32"/>
    <w:link w:val="3"/>
    <w:qFormat/>
    <w:uiPriority w:val="0"/>
    <w:rPr>
      <w:rFonts w:hint="default" w:ascii="Times New Roman" w:hAnsi="Times New Roman" w:eastAsia="宋体" w:cs="Calibri"/>
      <w:b/>
      <w:kern w:val="44"/>
      <w:sz w:val="32"/>
      <w:szCs w:val="44"/>
      <w:lang w:val="en-US" w:eastAsia="zh-CN" w:bidi="ar"/>
    </w:rPr>
  </w:style>
  <w:style w:type="paragraph" w:customStyle="1" w:styleId="38">
    <w:name w:val="Default"/>
    <w:basedOn w:val="1"/>
    <w:next w:val="1"/>
    <w:qFormat/>
    <w:uiPriority w:val="0"/>
    <w:pPr>
      <w:autoSpaceDE w:val="0"/>
      <w:autoSpaceDN w:val="0"/>
      <w:jc w:val="left"/>
    </w:pPr>
    <w:rPr>
      <w:rFonts w:hint="eastAsia" w:ascii="宋体"/>
      <w:color w:val="000000"/>
      <w:kern w:val="0"/>
      <w:sz w:val="24"/>
      <w:szCs w:val="24"/>
    </w:rPr>
  </w:style>
  <w:style w:type="character" w:customStyle="1" w:styleId="39">
    <w:name w:val="标题 3 Char"/>
    <w:basedOn w:val="32"/>
    <w:link w:val="5"/>
    <w:qFormat/>
    <w:uiPriority w:val="0"/>
    <w:rPr>
      <w:rFonts w:hint="default" w:ascii="Times New Roman" w:hAnsi="Times New Roman" w:eastAsia="宋体" w:cs="Calibri"/>
      <w:b/>
      <w:kern w:val="2"/>
      <w:sz w:val="28"/>
      <w:szCs w:val="32"/>
      <w:lang w:val="en-US" w:eastAsia="zh-CN" w:bidi="ar"/>
    </w:rPr>
  </w:style>
  <w:style w:type="paragraph" w:customStyle="1" w:styleId="40">
    <w:name w:val="表格"/>
    <w:basedOn w:val="1"/>
    <w:next w:val="1"/>
    <w:qFormat/>
    <w:uiPriority w:val="0"/>
    <w:pPr>
      <w:adjustRightInd w:val="0"/>
      <w:snapToGrid w:val="0"/>
      <w:spacing w:beforeLines="10" w:afterLines="10" w:line="259" w:lineRule="auto"/>
      <w:jc w:val="center"/>
    </w:pPr>
    <w:rPr>
      <w:rFonts w:ascii="宋体"/>
      <w:kern w:val="0"/>
    </w:rPr>
  </w:style>
  <w:style w:type="paragraph" w:customStyle="1" w:styleId="41">
    <w:name w:val="我的表格文字"/>
    <w:basedOn w:val="1"/>
    <w:qFormat/>
    <w:uiPriority w:val="0"/>
    <w:pPr>
      <w:jc w:val="center"/>
    </w:pPr>
    <w:rPr>
      <w:rFonts w:hAnsi="宋体" w:eastAsia="Times New Roman" w:cs="宋体"/>
      <w:color w:val="000000"/>
      <w:szCs w:val="21"/>
    </w:rPr>
  </w:style>
  <w:style w:type="paragraph" w:customStyle="1" w:styleId="42">
    <w:name w:val="样式 小四 行距: 固定值 24 磅"/>
    <w:basedOn w:val="1"/>
    <w:qFormat/>
    <w:uiPriority w:val="0"/>
    <w:pPr>
      <w:adjustRightInd w:val="0"/>
      <w:snapToGrid w:val="0"/>
      <w:spacing w:line="360" w:lineRule="auto"/>
      <w:ind w:firstLine="200" w:firstLineChars="200"/>
    </w:pPr>
    <w:rPr>
      <w:rFonts w:cs="宋体"/>
      <w:sz w:val="24"/>
    </w:rPr>
  </w:style>
  <w:style w:type="paragraph" w:customStyle="1" w:styleId="43">
    <w:name w:val="报告正文"/>
    <w:basedOn w:val="1"/>
    <w:link w:val="75"/>
    <w:qFormat/>
    <w:uiPriority w:val="0"/>
    <w:pPr>
      <w:adjustRightInd w:val="0"/>
      <w:snapToGrid w:val="0"/>
      <w:spacing w:line="480" w:lineRule="exact"/>
      <w:ind w:firstLine="200" w:firstLineChars="200"/>
    </w:pPr>
    <w:rPr>
      <w:color w:val="000000"/>
      <w:kern w:val="0"/>
      <w:sz w:val="24"/>
    </w:rPr>
  </w:style>
  <w:style w:type="character" w:customStyle="1" w:styleId="44">
    <w:name w:val="font61"/>
    <w:basedOn w:val="32"/>
    <w:qFormat/>
    <w:uiPriority w:val="0"/>
    <w:rPr>
      <w:rFonts w:hint="eastAsia" w:ascii="宋体" w:hAnsi="宋体" w:eastAsia="宋体" w:cs="宋体"/>
      <w:color w:val="000000"/>
      <w:sz w:val="24"/>
      <w:szCs w:val="24"/>
      <w:u w:val="none"/>
    </w:rPr>
  </w:style>
  <w:style w:type="character" w:customStyle="1" w:styleId="45">
    <w:name w:val="font11"/>
    <w:basedOn w:val="32"/>
    <w:qFormat/>
    <w:uiPriority w:val="0"/>
    <w:rPr>
      <w:rFonts w:hint="eastAsia" w:ascii="宋体" w:hAnsi="宋体" w:eastAsia="宋体" w:cs="宋体"/>
      <w:color w:val="000000"/>
      <w:sz w:val="18"/>
      <w:szCs w:val="18"/>
      <w:u w:val="none"/>
    </w:rPr>
  </w:style>
  <w:style w:type="character" w:customStyle="1" w:styleId="46">
    <w:name w:val="font41"/>
    <w:basedOn w:val="32"/>
    <w:qFormat/>
    <w:uiPriority w:val="0"/>
    <w:rPr>
      <w:rFonts w:hint="default" w:ascii="Times New Roman" w:hAnsi="Times New Roman" w:cs="Times New Roman"/>
      <w:color w:val="000000"/>
      <w:sz w:val="24"/>
      <w:szCs w:val="24"/>
      <w:u w:val="none"/>
    </w:rPr>
  </w:style>
  <w:style w:type="character" w:customStyle="1" w:styleId="47">
    <w:name w:val="font01"/>
    <w:basedOn w:val="32"/>
    <w:qFormat/>
    <w:uiPriority w:val="0"/>
    <w:rPr>
      <w:rFonts w:hint="eastAsia" w:ascii="宋体" w:hAnsi="宋体" w:eastAsia="宋体" w:cs="宋体"/>
      <w:color w:val="000000"/>
      <w:sz w:val="20"/>
      <w:szCs w:val="20"/>
      <w:u w:val="none"/>
    </w:rPr>
  </w:style>
  <w:style w:type="character" w:customStyle="1" w:styleId="48">
    <w:name w:val="font21"/>
    <w:basedOn w:val="32"/>
    <w:qFormat/>
    <w:uiPriority w:val="0"/>
    <w:rPr>
      <w:rFonts w:hint="default" w:ascii="Times New Roman" w:hAnsi="Times New Roman" w:cs="Times New Roman"/>
      <w:color w:val="000000"/>
      <w:sz w:val="20"/>
      <w:szCs w:val="20"/>
      <w:u w:val="none"/>
    </w:rPr>
  </w:style>
  <w:style w:type="character" w:customStyle="1" w:styleId="49">
    <w:name w:val="font31"/>
    <w:basedOn w:val="32"/>
    <w:qFormat/>
    <w:uiPriority w:val="0"/>
    <w:rPr>
      <w:rFonts w:hint="default" w:ascii="Times New Roman" w:hAnsi="Times New Roman" w:cs="Times New Roman"/>
      <w:color w:val="000000"/>
      <w:sz w:val="18"/>
      <w:szCs w:val="18"/>
      <w:u w:val="none"/>
    </w:rPr>
  </w:style>
  <w:style w:type="paragraph" w:customStyle="1" w:styleId="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中文报告书样式"/>
    <w:basedOn w:val="1"/>
    <w:qFormat/>
    <w:uiPriority w:val="0"/>
    <w:pPr>
      <w:adjustRightInd w:val="0"/>
      <w:spacing w:line="480" w:lineRule="atLeast"/>
      <w:ind w:firstLine="482"/>
      <w:textAlignment w:val="baseline"/>
    </w:pPr>
    <w:rPr>
      <w:kern w:val="24"/>
      <w:sz w:val="24"/>
    </w:rPr>
  </w:style>
  <w:style w:type="paragraph" w:customStyle="1" w:styleId="52">
    <w:name w:val="正文3"/>
    <w:qFormat/>
    <w:uiPriority w:val="0"/>
    <w:pPr>
      <w:spacing w:line="520" w:lineRule="exact"/>
      <w:ind w:firstLine="560" w:firstLineChars="200"/>
    </w:pPr>
    <w:rPr>
      <w:rFonts w:ascii="Times New Roman" w:hAnsi="Times New Roman" w:eastAsia="宋体" w:cs="宋体"/>
      <w:sz w:val="28"/>
      <w:lang w:val="en-US" w:eastAsia="zh-CN" w:bidi="ar-SA"/>
    </w:rPr>
  </w:style>
  <w:style w:type="paragraph" w:customStyle="1" w:styleId="53">
    <w:name w:val="Table Paragraph"/>
    <w:basedOn w:val="1"/>
    <w:qFormat/>
    <w:uiPriority w:val="0"/>
    <w:rPr>
      <w:rFonts w:ascii="Noto Sans Mono CJK JP Regular" w:hAnsi="Noto Sans Mono CJK JP Regular" w:eastAsia="Noto Sans Mono CJK JP Regular" w:cs="Noto Sans Mono CJK JP Regular"/>
    </w:rPr>
  </w:style>
  <w:style w:type="paragraph" w:customStyle="1" w:styleId="54">
    <w:name w:val="p0"/>
    <w:basedOn w:val="1"/>
    <w:qFormat/>
    <w:uiPriority w:val="0"/>
    <w:pPr>
      <w:widowControl/>
    </w:pPr>
    <w:rPr>
      <w:rFonts w:hint="eastAsia"/>
    </w:rPr>
  </w:style>
  <w:style w:type="paragraph" w:customStyle="1" w:styleId="55">
    <w:name w:val="表格正文"/>
    <w:basedOn w:val="1"/>
    <w:next w:val="1"/>
    <w:qFormat/>
    <w:uiPriority w:val="0"/>
    <w:pPr>
      <w:jc w:val="center"/>
    </w:pPr>
    <w:rPr>
      <w:kern w:val="0"/>
    </w:rPr>
  </w:style>
  <w:style w:type="paragraph" w:customStyle="1" w:styleId="56">
    <w:name w:val="表头样式1"/>
    <w:basedOn w:val="1"/>
    <w:qFormat/>
    <w:uiPriority w:val="0"/>
    <w:pPr>
      <w:adjustRightInd w:val="0"/>
      <w:snapToGrid w:val="0"/>
      <w:jc w:val="center"/>
    </w:pPr>
    <w:rPr>
      <w:rFonts w:eastAsia="楷体_GB2312"/>
      <w:bCs/>
      <w:sz w:val="18"/>
      <w:szCs w:val="18"/>
    </w:rPr>
  </w:style>
  <w:style w:type="paragraph" w:customStyle="1" w:styleId="57">
    <w:name w:val="组工"/>
    <w:basedOn w:val="17"/>
    <w:qFormat/>
    <w:uiPriority w:val="0"/>
    <w:pPr>
      <w:ind w:firstLine="630"/>
      <w:jc w:val="center"/>
    </w:pPr>
    <w:rPr>
      <w:b/>
      <w:sz w:val="36"/>
      <w:szCs w:val="24"/>
    </w:rPr>
  </w:style>
  <w:style w:type="character" w:customStyle="1" w:styleId="58">
    <w:name w:val="批注框文本 Char"/>
    <w:basedOn w:val="32"/>
    <w:link w:val="20"/>
    <w:qFormat/>
    <w:uiPriority w:val="0"/>
    <w:rPr>
      <w:kern w:val="2"/>
      <w:sz w:val="18"/>
      <w:szCs w:val="18"/>
    </w:rPr>
  </w:style>
  <w:style w:type="character" w:customStyle="1" w:styleId="59">
    <w:name w:val="报告表  段 Char"/>
    <w:link w:val="60"/>
    <w:qFormat/>
    <w:uiPriority w:val="0"/>
    <w:rPr>
      <w:rFonts w:ascii="宋体"/>
      <w:sz w:val="24"/>
    </w:rPr>
  </w:style>
  <w:style w:type="paragraph" w:customStyle="1" w:styleId="60">
    <w:name w:val="报告表  段"/>
    <w:basedOn w:val="1"/>
    <w:link w:val="59"/>
    <w:qFormat/>
    <w:uiPriority w:val="0"/>
    <w:pPr>
      <w:adjustRightInd w:val="0"/>
      <w:spacing w:line="360" w:lineRule="auto"/>
      <w:ind w:firstLine="505"/>
      <w:textAlignment w:val="baseline"/>
    </w:pPr>
    <w:rPr>
      <w:rFonts w:ascii="宋体"/>
      <w:kern w:val="0"/>
      <w:sz w:val="24"/>
    </w:rPr>
  </w:style>
  <w:style w:type="character" w:customStyle="1" w:styleId="61">
    <w:name w:val="正文缩进 Char"/>
    <w:link w:val="10"/>
    <w:qFormat/>
    <w:uiPriority w:val="99"/>
    <w:rPr>
      <w:kern w:val="2"/>
      <w:sz w:val="28"/>
      <w:szCs w:val="24"/>
    </w:rPr>
  </w:style>
  <w:style w:type="paragraph" w:customStyle="1" w:styleId="62">
    <w:name w:val="纯文本1"/>
    <w:basedOn w:val="1"/>
    <w:qFormat/>
    <w:uiPriority w:val="0"/>
    <w:pPr>
      <w:adjustRightInd w:val="0"/>
      <w:jc w:val="left"/>
    </w:pPr>
    <w:rPr>
      <w:rFonts w:ascii="宋体" w:hAnsi="Courier New"/>
      <w:sz w:val="24"/>
    </w:rPr>
  </w:style>
  <w:style w:type="character" w:customStyle="1" w:styleId="63">
    <w:name w:val="无间隔3 Char"/>
    <w:link w:val="64"/>
    <w:qFormat/>
    <w:uiPriority w:val="1"/>
    <w:rPr>
      <w:kern w:val="2"/>
      <w:sz w:val="21"/>
      <w:szCs w:val="22"/>
    </w:rPr>
  </w:style>
  <w:style w:type="paragraph" w:customStyle="1" w:styleId="64">
    <w:name w:val="无间隔3"/>
    <w:next w:val="1"/>
    <w:link w:val="63"/>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65">
    <w:name w:val="_Style 2"/>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66">
    <w:name w:val="默认段落字体 Para Char Char Char Char Char Char Char Char Char Char Char Char Char1 Char"/>
    <w:basedOn w:val="11"/>
    <w:qFormat/>
    <w:uiPriority w:val="0"/>
    <w:pPr>
      <w:shd w:val="clear" w:color="auto" w:fill="000080"/>
    </w:pPr>
    <w:rPr>
      <w:rFonts w:ascii="Tahoma" w:hAnsi="Tahoma"/>
      <w:sz w:val="24"/>
      <w:szCs w:val="24"/>
    </w:rPr>
  </w:style>
  <w:style w:type="character" w:customStyle="1" w:styleId="67">
    <w:name w:val="文档结构图 Char"/>
    <w:basedOn w:val="32"/>
    <w:link w:val="11"/>
    <w:qFormat/>
    <w:uiPriority w:val="0"/>
    <w:rPr>
      <w:rFonts w:ascii="宋体"/>
      <w:kern w:val="2"/>
      <w:sz w:val="18"/>
      <w:szCs w:val="18"/>
    </w:rPr>
  </w:style>
  <w:style w:type="character" w:customStyle="1" w:styleId="68">
    <w:name w:val="正文文本缩进 3 Char"/>
    <w:basedOn w:val="32"/>
    <w:link w:val="23"/>
    <w:qFormat/>
    <w:uiPriority w:val="0"/>
    <w:rPr>
      <w:kern w:val="2"/>
      <w:sz w:val="16"/>
      <w:szCs w:val="16"/>
    </w:rPr>
  </w:style>
  <w:style w:type="paragraph" w:styleId="69">
    <w:name w:val="List Paragraph"/>
    <w:basedOn w:val="1"/>
    <w:qFormat/>
    <w:uiPriority w:val="99"/>
    <w:pPr>
      <w:ind w:firstLine="420" w:firstLineChars="200"/>
    </w:pPr>
    <w:rPr>
      <w:szCs w:val="24"/>
      <w:lang w:val="en-GB" w:eastAsia="zh-TW"/>
    </w:rPr>
  </w:style>
  <w:style w:type="character" w:customStyle="1" w:styleId="70">
    <w:name w:val="正文样式 Char"/>
    <w:link w:val="71"/>
    <w:qFormat/>
    <w:uiPriority w:val="0"/>
    <w:rPr>
      <w:kern w:val="2"/>
      <w:sz w:val="24"/>
      <w:szCs w:val="24"/>
    </w:rPr>
  </w:style>
  <w:style w:type="paragraph" w:customStyle="1" w:styleId="71">
    <w:name w:val="正文样式"/>
    <w:basedOn w:val="1"/>
    <w:link w:val="70"/>
    <w:qFormat/>
    <w:uiPriority w:val="0"/>
    <w:pPr>
      <w:adjustRightInd w:val="0"/>
      <w:snapToGrid w:val="0"/>
      <w:spacing w:line="360" w:lineRule="auto"/>
      <w:ind w:firstLine="200" w:firstLineChars="200"/>
      <w:jc w:val="left"/>
    </w:pPr>
    <w:rPr>
      <w:sz w:val="24"/>
      <w:szCs w:val="24"/>
    </w:rPr>
  </w:style>
  <w:style w:type="character" w:customStyle="1" w:styleId="72">
    <w:name w:val="无间隔 Char"/>
    <w:link w:val="73"/>
    <w:qFormat/>
    <w:uiPriority w:val="1"/>
    <w:rPr>
      <w:kern w:val="2"/>
      <w:sz w:val="21"/>
      <w:szCs w:val="22"/>
    </w:rPr>
  </w:style>
  <w:style w:type="paragraph" w:customStyle="1" w:styleId="73">
    <w:name w:val="无间隔1"/>
    <w:link w:val="72"/>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74">
    <w:name w:val="小四 间距1.5 缩进2"/>
    <w:basedOn w:val="1"/>
    <w:qFormat/>
    <w:uiPriority w:val="0"/>
    <w:pPr>
      <w:spacing w:line="360" w:lineRule="auto"/>
      <w:ind w:firstLine="415" w:firstLineChars="173"/>
    </w:pPr>
    <w:rPr>
      <w:sz w:val="24"/>
      <w:szCs w:val="24"/>
      <w:lang w:val="en-GB" w:eastAsia="zh-TW"/>
    </w:rPr>
  </w:style>
  <w:style w:type="character" w:customStyle="1" w:styleId="75">
    <w:name w:val="报告正文 Char"/>
    <w:link w:val="43"/>
    <w:qFormat/>
    <w:uiPriority w:val="0"/>
    <w:rPr>
      <w:color w:val="000000"/>
      <w:sz w:val="24"/>
    </w:rPr>
  </w:style>
  <w:style w:type="paragraph" w:styleId="76">
    <w:name w:val="No Spacing"/>
    <w:qFormat/>
    <w:uiPriority w:val="1"/>
    <w:pPr>
      <w:widowControl w:val="0"/>
      <w:spacing w:line="276" w:lineRule="auto"/>
      <w:jc w:val="center"/>
    </w:pPr>
    <w:rPr>
      <w:rFonts w:ascii="Times New Roman" w:hAnsi="Times New Roman" w:eastAsia="宋体" w:cs="Times New Roman"/>
      <w:kern w:val="2"/>
      <w:sz w:val="21"/>
      <w:szCs w:val="22"/>
      <w:lang w:val="en-US" w:eastAsia="zh-CN" w:bidi="ar-SA"/>
    </w:rPr>
  </w:style>
  <w:style w:type="paragraph" w:customStyle="1" w:styleId="77">
    <w:name w:val="表格文字"/>
    <w:basedOn w:val="1"/>
    <w:link w:val="78"/>
    <w:qFormat/>
    <w:uiPriority w:val="0"/>
    <w:pPr>
      <w:tabs>
        <w:tab w:val="left" w:pos="-2848"/>
      </w:tabs>
      <w:spacing w:before="40" w:after="40" w:line="240" w:lineRule="atLeast"/>
      <w:jc w:val="center"/>
    </w:pPr>
    <w:rPr>
      <w:position w:val="-10"/>
      <w:szCs w:val="24"/>
    </w:rPr>
  </w:style>
  <w:style w:type="character" w:customStyle="1" w:styleId="78">
    <w:name w:val="表格文字 Char"/>
    <w:link w:val="77"/>
    <w:uiPriority w:val="0"/>
    <w:rPr>
      <w:kern w:val="2"/>
      <w:position w:val="-10"/>
      <w:sz w:val="21"/>
      <w:szCs w:val="24"/>
    </w:rPr>
  </w:style>
  <w:style w:type="character" w:customStyle="1" w:styleId="79">
    <w:name w:val="正文首行缩进 2 Char"/>
    <w:link w:val="2"/>
    <w:qFormat/>
    <w:uiPriority w:val="0"/>
    <w:rPr>
      <w:kern w:val="2"/>
      <w:sz w:val="21"/>
    </w:rPr>
  </w:style>
  <w:style w:type="character" w:customStyle="1" w:styleId="80">
    <w:name w:val="标题 2 Char"/>
    <w:link w:val="4"/>
    <w:qFormat/>
    <w:uiPriority w:val="0"/>
    <w:rPr>
      <w:b/>
      <w:bCs/>
      <w:kern w:val="2"/>
      <w:sz w:val="30"/>
      <w:szCs w:val="30"/>
    </w:rPr>
  </w:style>
  <w:style w:type="character" w:customStyle="1" w:styleId="81">
    <w:name w:val="正文文本 Char"/>
    <w:basedOn w:val="32"/>
    <w:uiPriority w:val="0"/>
    <w:rPr>
      <w:rFonts w:cs="宋体"/>
      <w:kern w:val="2"/>
      <w:sz w:val="24"/>
      <w:szCs w:val="28"/>
      <w:lang w:val="zh-CN" w:bidi="zh-CN"/>
    </w:rPr>
  </w:style>
  <w:style w:type="character" w:customStyle="1" w:styleId="82">
    <w:name w:val="标题 4 Char"/>
    <w:link w:val="6"/>
    <w:qFormat/>
    <w:uiPriority w:val="0"/>
    <w:rPr>
      <w:b/>
      <w:i/>
      <w:kern w:val="28"/>
      <w:sz w:val="28"/>
    </w:rPr>
  </w:style>
  <w:style w:type="character" w:customStyle="1" w:styleId="83">
    <w:name w:val="正文文本缩进 Char"/>
    <w:link w:val="14"/>
    <w:qFormat/>
    <w:uiPriority w:val="0"/>
    <w:rPr>
      <w:kern w:val="2"/>
      <w:sz w:val="24"/>
    </w:rPr>
  </w:style>
  <w:style w:type="character" w:customStyle="1" w:styleId="84">
    <w:name w:val="纯文本 Char"/>
    <w:link w:val="17"/>
    <w:qFormat/>
    <w:uiPriority w:val="0"/>
    <w:rPr>
      <w:rFonts w:ascii="宋体" w:hAnsi="Courier New"/>
      <w:kern w:val="2"/>
      <w:sz w:val="28"/>
    </w:rPr>
  </w:style>
  <w:style w:type="character" w:customStyle="1" w:styleId="85">
    <w:name w:val="页脚 Char"/>
    <w:link w:val="21"/>
    <w:qFormat/>
    <w:uiPriority w:val="99"/>
    <w:rPr>
      <w:kern w:val="2"/>
      <w:sz w:val="18"/>
    </w:rPr>
  </w:style>
  <w:style w:type="character" w:customStyle="1" w:styleId="86">
    <w:name w:val="页眉 Char"/>
    <w:link w:val="22"/>
    <w:qFormat/>
    <w:uiPriority w:val="0"/>
    <w:rPr>
      <w:kern w:val="2"/>
      <w:sz w:val="18"/>
    </w:rPr>
  </w:style>
  <w:style w:type="character" w:customStyle="1" w:styleId="87">
    <w:name w:val="Char Char Char Char Char"/>
    <w:link w:val="35"/>
    <w:qFormat/>
    <w:uiPriority w:val="0"/>
    <w:rPr>
      <w:kern w:val="2"/>
      <w:sz w:val="21"/>
      <w:szCs w:val="21"/>
    </w:rPr>
  </w:style>
  <w:style w:type="paragraph" w:customStyle="1" w:styleId="88">
    <w:name w:val="纯文本2"/>
    <w:basedOn w:val="1"/>
    <w:qFormat/>
    <w:uiPriority w:val="0"/>
    <w:pPr>
      <w:adjustRightInd w:val="0"/>
      <w:jc w:val="left"/>
    </w:pPr>
    <w:rPr>
      <w:rFonts w:ascii="宋体" w:hAnsi="Courier New"/>
      <w:sz w:val="24"/>
    </w:rPr>
  </w:style>
  <w:style w:type="character" w:customStyle="1" w:styleId="89">
    <w:name w:val="报告 Char1"/>
    <w:link w:val="90"/>
    <w:qFormat/>
    <w:uiPriority w:val="0"/>
    <w:rPr>
      <w:rFonts w:ascii="宋体" w:hAnsi="宋体"/>
      <w:b/>
      <w:bCs/>
      <w:color w:val="000000"/>
      <w:sz w:val="24"/>
      <w:szCs w:val="24"/>
    </w:rPr>
  </w:style>
  <w:style w:type="paragraph" w:customStyle="1" w:styleId="90">
    <w:name w:val="报告"/>
    <w:basedOn w:val="1"/>
    <w:link w:val="89"/>
    <w:uiPriority w:val="0"/>
    <w:pPr>
      <w:widowControl/>
      <w:suppressAutoHyphens/>
      <w:overflowPunct w:val="0"/>
      <w:topLinePunct/>
      <w:adjustRightInd w:val="0"/>
      <w:snapToGrid w:val="0"/>
      <w:spacing w:line="500" w:lineRule="exact"/>
      <w:ind w:left="185" w:leftChars="88" w:firstLine="279" w:firstLineChars="116"/>
      <w:textAlignment w:val="baseline"/>
      <w:outlineLvl w:val="0"/>
    </w:pPr>
    <w:rPr>
      <w:rFonts w:ascii="宋体" w:hAnsi="宋体"/>
      <w:b/>
      <w:bCs/>
      <w:color w:val="000000"/>
      <w:kern w:val="0"/>
      <w:sz w:val="24"/>
      <w:szCs w:val="24"/>
    </w:rPr>
  </w:style>
  <w:style w:type="character" w:customStyle="1" w:styleId="91">
    <w:name w:val="标题 Char"/>
    <w:link w:val="27"/>
    <w:qFormat/>
    <w:uiPriority w:val="0"/>
    <w:rPr>
      <w:rFonts w:ascii="Arial" w:hAnsi="Arial" w:cs="Arial"/>
      <w:b/>
      <w:bCs/>
      <w:sz w:val="32"/>
      <w:szCs w:val="32"/>
    </w:rPr>
  </w:style>
  <w:style w:type="character" w:customStyle="1" w:styleId="92">
    <w:name w:val="标题 Char1"/>
    <w:basedOn w:val="32"/>
    <w:uiPriority w:val="0"/>
    <w:rPr>
      <w:rFonts w:asciiTheme="majorHAnsi" w:hAnsiTheme="majorHAnsi" w:cstheme="majorBidi"/>
      <w:b/>
      <w:bCs/>
      <w:kern w:val="2"/>
      <w:sz w:val="32"/>
      <w:szCs w:val="32"/>
    </w:rPr>
  </w:style>
  <w:style w:type="character" w:customStyle="1" w:styleId="93">
    <w:name w:val="日期 Char"/>
    <w:link w:val="18"/>
    <w:uiPriority w:val="0"/>
  </w:style>
  <w:style w:type="character" w:customStyle="1" w:styleId="94">
    <w:name w:val="日期 Char1"/>
    <w:basedOn w:val="32"/>
    <w:qFormat/>
    <w:uiPriority w:val="0"/>
    <w:rPr>
      <w:kern w:val="2"/>
      <w:sz w:val="21"/>
    </w:rPr>
  </w:style>
  <w:style w:type="character" w:customStyle="1" w:styleId="95">
    <w:name w:val="正文文本 2 Char"/>
    <w:link w:val="24"/>
    <w:uiPriority w:val="0"/>
    <w:rPr>
      <w:rFonts w:eastAsia="黑体"/>
      <w:sz w:val="30"/>
      <w:szCs w:val="24"/>
    </w:rPr>
  </w:style>
  <w:style w:type="character" w:customStyle="1" w:styleId="96">
    <w:name w:val="正文文本 2 Char1"/>
    <w:basedOn w:val="32"/>
    <w:uiPriority w:val="0"/>
    <w:rPr>
      <w:kern w:val="2"/>
      <w:sz w:val="21"/>
    </w:rPr>
  </w:style>
  <w:style w:type="character" w:customStyle="1" w:styleId="97">
    <w:name w:val="小标题 Char"/>
    <w:link w:val="98"/>
    <w:qFormat/>
    <w:locked/>
    <w:uiPriority w:val="0"/>
    <w:rPr>
      <w:rFonts w:ascii="宋体"/>
      <w:b/>
      <w:bCs/>
      <w:color w:val="000000"/>
      <w:sz w:val="24"/>
      <w:u w:val="single"/>
    </w:rPr>
  </w:style>
  <w:style w:type="paragraph" w:customStyle="1" w:styleId="98">
    <w:name w:val="小标题"/>
    <w:basedOn w:val="1"/>
    <w:link w:val="97"/>
    <w:qFormat/>
    <w:uiPriority w:val="0"/>
    <w:pPr>
      <w:adjustRightInd w:val="0"/>
      <w:spacing w:beforeLines="50" w:after="48"/>
      <w:ind w:firstLine="480" w:firstLineChars="200"/>
      <w:textAlignment w:val="baseline"/>
    </w:pPr>
    <w:rPr>
      <w:rFonts w:ascii="宋体"/>
      <w:b/>
      <w:bCs/>
      <w:color w:val="000000"/>
      <w:kern w:val="0"/>
      <w:sz w:val="24"/>
      <w:u w:val="single"/>
    </w:rPr>
  </w:style>
  <w:style w:type="character" w:customStyle="1" w:styleId="99">
    <w:name w:val="HTML 预设格式 Char"/>
    <w:link w:val="25"/>
    <w:uiPriority w:val="0"/>
    <w:rPr>
      <w:rFonts w:ascii="宋体" w:hAnsi="宋体" w:cs="宋体"/>
      <w:sz w:val="24"/>
      <w:szCs w:val="24"/>
    </w:rPr>
  </w:style>
  <w:style w:type="character" w:customStyle="1" w:styleId="100">
    <w:name w:val="HTML 预设格式 Char1"/>
    <w:basedOn w:val="32"/>
    <w:uiPriority w:val="0"/>
    <w:rPr>
      <w:rFonts w:ascii="Courier New" w:hAnsi="Courier New" w:cs="Courier New"/>
      <w:kern w:val="2"/>
    </w:rPr>
  </w:style>
  <w:style w:type="character" w:customStyle="1" w:styleId="101">
    <w:name w:val="批注主题 Char"/>
    <w:link w:val="28"/>
    <w:uiPriority w:val="0"/>
    <w:rPr>
      <w:b/>
      <w:bCs/>
      <w:szCs w:val="24"/>
    </w:rPr>
  </w:style>
  <w:style w:type="character" w:customStyle="1" w:styleId="102">
    <w:name w:val="批注文字 Char"/>
    <w:basedOn w:val="32"/>
    <w:link w:val="12"/>
    <w:uiPriority w:val="0"/>
    <w:rPr>
      <w:kern w:val="2"/>
      <w:sz w:val="21"/>
    </w:rPr>
  </w:style>
  <w:style w:type="character" w:customStyle="1" w:styleId="103">
    <w:name w:val="批注主题 Char1"/>
    <w:basedOn w:val="102"/>
    <w:uiPriority w:val="0"/>
    <w:rPr>
      <w:b/>
      <w:bCs/>
      <w:kern w:val="2"/>
      <w:sz w:val="21"/>
    </w:rPr>
  </w:style>
  <w:style w:type="character" w:customStyle="1" w:styleId="104">
    <w:name w:val="正文文本 3 Char"/>
    <w:link w:val="13"/>
    <w:uiPriority w:val="0"/>
    <w:rPr>
      <w:sz w:val="24"/>
      <w:szCs w:val="24"/>
    </w:rPr>
  </w:style>
  <w:style w:type="character" w:customStyle="1" w:styleId="105">
    <w:name w:val="正文文本 3 Char1"/>
    <w:basedOn w:val="32"/>
    <w:uiPriority w:val="0"/>
    <w:rPr>
      <w:kern w:val="2"/>
      <w:sz w:val="16"/>
      <w:szCs w:val="16"/>
    </w:rPr>
  </w:style>
  <w:style w:type="character" w:customStyle="1" w:styleId="106">
    <w:name w:val="正文文本缩进 2 Char"/>
    <w:link w:val="19"/>
    <w:qFormat/>
    <w:uiPriority w:val="0"/>
    <w:rPr>
      <w:sz w:val="28"/>
      <w:szCs w:val="24"/>
    </w:rPr>
  </w:style>
  <w:style w:type="character" w:customStyle="1" w:styleId="107">
    <w:name w:val="正文文本缩进 2 Char1"/>
    <w:basedOn w:val="32"/>
    <w:qFormat/>
    <w:uiPriority w:val="0"/>
    <w:rPr>
      <w:kern w:val="2"/>
      <w:sz w:val="21"/>
    </w:rPr>
  </w:style>
  <w:style w:type="character" w:customStyle="1" w:styleId="108">
    <w:name w:val="报告表 段 Char"/>
    <w:link w:val="109"/>
    <w:uiPriority w:val="0"/>
    <w:rPr>
      <w:rFonts w:ascii="宋体" w:hAnsi="宋体"/>
      <w:bCs/>
      <w:sz w:val="24"/>
      <w:szCs w:val="24"/>
    </w:rPr>
  </w:style>
  <w:style w:type="paragraph" w:customStyle="1" w:styleId="109">
    <w:name w:val="报告表 段"/>
    <w:basedOn w:val="1"/>
    <w:link w:val="108"/>
    <w:qFormat/>
    <w:uiPriority w:val="0"/>
    <w:pPr>
      <w:spacing w:line="360" w:lineRule="auto"/>
      <w:ind w:firstLine="470" w:firstLineChars="196"/>
    </w:pPr>
    <w:rPr>
      <w:rFonts w:ascii="宋体" w:hAnsi="宋体"/>
      <w:bCs/>
      <w:kern w:val="0"/>
      <w:sz w:val="24"/>
      <w:szCs w:val="24"/>
    </w:rPr>
  </w:style>
  <w:style w:type="character" w:customStyle="1" w:styleId="110">
    <w:name w:val="正文首行缩进 Char"/>
    <w:link w:val="29"/>
    <w:uiPriority w:val="0"/>
    <w:rPr>
      <w:rFonts w:eastAsia="仿宋_GB2312"/>
      <w:sz w:val="28"/>
    </w:rPr>
  </w:style>
  <w:style w:type="character" w:customStyle="1" w:styleId="111">
    <w:name w:val="正文文本 Char1"/>
    <w:basedOn w:val="32"/>
    <w:link w:val="7"/>
    <w:uiPriority w:val="0"/>
    <w:rPr>
      <w:rFonts w:cs="宋体"/>
      <w:kern w:val="2"/>
      <w:sz w:val="24"/>
      <w:szCs w:val="28"/>
      <w:lang w:val="zh-CN" w:bidi="zh-CN"/>
    </w:rPr>
  </w:style>
  <w:style w:type="character" w:customStyle="1" w:styleId="112">
    <w:name w:val="正文首行缩进 Char1"/>
    <w:basedOn w:val="111"/>
    <w:uiPriority w:val="0"/>
    <w:rPr>
      <w:rFonts w:cs="宋体"/>
      <w:kern w:val="2"/>
      <w:sz w:val="21"/>
      <w:szCs w:val="28"/>
      <w:lang w:val="zh-CN" w:bidi="zh-CN"/>
    </w:rPr>
  </w:style>
  <w:style w:type="character" w:customStyle="1" w:styleId="113">
    <w:name w:val="批注文字 Char1"/>
    <w:basedOn w:val="32"/>
    <w:uiPriority w:val="0"/>
    <w:rPr>
      <w:kern w:val="2"/>
      <w:sz w:val="21"/>
    </w:rPr>
  </w:style>
  <w:style w:type="paragraph" w:customStyle="1" w:styleId="114">
    <w:name w:val="封面正标题"/>
    <w:basedOn w:val="27"/>
    <w:uiPriority w:val="0"/>
    <w:rPr>
      <w:sz w:val="72"/>
    </w:rPr>
  </w:style>
  <w:style w:type="paragraph" w:customStyle="1" w:styleId="115">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6500</Words>
  <Characters>37056</Characters>
  <Lines>308</Lines>
  <Paragraphs>86</Paragraphs>
  <TotalTime>91</TotalTime>
  <ScaleCrop>false</ScaleCrop>
  <LinksUpToDate>false</LinksUpToDate>
  <CharactersWithSpaces>43470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2021-03-16T11:21:00Z</dcterms:created>
  <dc:creator>CCL2F2（氟利昂）</dc:creator>
  <cp:lastModifiedBy>环保赵炳辉</cp:lastModifiedBy>
  <cp:lastPrinted>2021-03-29T06:57:00Z</cp:lastPrinted>
  <dcterms:modified xsi:type="dcterms:W3CDTF">2021-06-21T03:30:39Z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91E087BD544C4E98AB70E7582270D101</vt:lpwstr>
  </property>
</Properties>
</file>