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outlineLvl w:val="0"/>
        <w:rPr>
          <w:rFonts w:hint="eastAsia" w:ascii="黑体" w:hAnsi="黑体" w:eastAsia="黑体" w:cs="黑体"/>
          <w:sz w:val="44"/>
          <w:szCs w:val="44"/>
        </w:rPr>
      </w:pPr>
      <w:bookmarkStart w:id="0" w:name="_Toc1613"/>
      <w:bookmarkStart w:id="1" w:name="农村危房改造领域基层政务公开标准目录"/>
      <w:r>
        <w:rPr>
          <w:rFonts w:hint="eastAsia" w:ascii="黑体" w:hAnsi="黑体" w:eastAsia="黑体" w:cs="黑体"/>
          <w:sz w:val="44"/>
          <w:szCs w:val="44"/>
          <w:lang w:eastAsia="zh-CN"/>
        </w:rPr>
        <w:t>新野县</w:t>
      </w:r>
      <w:r>
        <w:rPr>
          <w:rFonts w:hint="eastAsia" w:ascii="黑体" w:hAnsi="黑体" w:eastAsia="黑体" w:cs="黑体"/>
          <w:sz w:val="44"/>
          <w:szCs w:val="44"/>
        </w:rPr>
        <w:t>农村危房改造领域基层政务公开标准目录</w:t>
      </w:r>
      <w:bookmarkEnd w:id="0"/>
    </w:p>
    <w:bookmarkEnd w:id="1"/>
    <w:tbl>
      <w:tblPr>
        <w:tblStyle w:val="5"/>
        <w:tblW w:w="14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tblHeader/>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过程</w:t>
            </w:r>
          </w:p>
        </w:tc>
        <w:tc>
          <w:tcPr>
            <w:tcW w:w="8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6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《河南省人民政府办公厅关于全面推进基层政务公开标准化规范化工作的通知》</w:t>
            </w:r>
          </w:p>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r>
              <w:rPr>
                <w:rFonts w:hint="eastAsia" w:ascii="宋体" w:hAnsi="宋体" w:cs="宋体"/>
                <w:i w:val="0"/>
                <w:color w:val="000000"/>
                <w:kern w:val="0"/>
                <w:sz w:val="18"/>
                <w:szCs w:val="18"/>
                <w:u w:val="none"/>
                <w:lang w:val="en-US" w:eastAsia="zh-CN" w:bidi="ar"/>
              </w:rPr>
              <w:t>（依住建部相关要求为准）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r>
              <w:rPr>
                <w:rFonts w:hint="eastAsia" w:ascii="宋体" w:hAnsi="宋体" w:cs="宋体"/>
                <w:i w:val="0"/>
                <w:color w:val="000000"/>
                <w:kern w:val="0"/>
                <w:sz w:val="18"/>
                <w:szCs w:val="18"/>
                <w:u w:val="none"/>
                <w:lang w:val="en-US" w:eastAsia="zh-CN" w:bidi="ar"/>
              </w:rPr>
              <w:t>（依据上级政策时效变更）</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r>
              <w:rPr>
                <w:rFonts w:hint="eastAsia" w:ascii="宋体" w:hAnsi="宋体" w:cs="宋体"/>
                <w:i w:val="0"/>
                <w:color w:val="000000"/>
                <w:kern w:val="0"/>
                <w:sz w:val="18"/>
                <w:szCs w:val="18"/>
                <w:u w:val="none"/>
                <w:lang w:val="en-US" w:eastAsia="zh-CN" w:bidi="ar"/>
              </w:rPr>
              <w:t>（依据现行标准</w:t>
            </w:r>
            <w:bookmarkStart w:id="2" w:name="_GoBack"/>
            <w:bookmarkEnd w:id="2"/>
            <w:r>
              <w:rPr>
                <w:rFonts w:hint="eastAsia" w:ascii="宋体" w:hAnsi="宋体" w:cs="宋体"/>
                <w:i w:val="0"/>
                <w:color w:val="000000"/>
                <w:kern w:val="0"/>
                <w:sz w:val="18"/>
                <w:szCs w:val="18"/>
                <w:u w:val="none"/>
                <w:lang w:val="en-US" w:eastAsia="zh-CN" w:bidi="ar"/>
              </w:rPr>
              <w:t>）</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住房和城乡建设部门财政等部门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乡镇人民政府村委会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预算编制和执行情况</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预算预算调整决算预算执行情况的报告及报表有关内容，部门预算决算及报表有关内容</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经县级人民代表大会人民代表大会常务委员会批准或财政部门批复后20日内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县级财政住房和城乡建设部门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市县级住房和城乡建设等相关职能部门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辖区政府县级住房和城乡建设等相关职能部门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ind w:left="0" w:leftChars="0" w:right="0" w:rightChars="0" w:firstLine="0" w:firstLineChars="0"/>
        <w:jc w:val="center"/>
        <w:sectPr>
          <w:footerReference r:id="rId4" w:type="first"/>
          <w:footerReference r:id="rId3" w:type="default"/>
          <w:pgSz w:w="16838" w:h="11906" w:orient="landscape"/>
          <w:pgMar w:top="1587" w:right="1440" w:bottom="1417"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6445"/>
    <w:rsid w:val="39336445"/>
    <w:rsid w:val="630A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河南省农村危房改造领域基层政务公开标准目录"/>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2020-06-22T01:25:00Z</dcterms:created>
  <dc:creator>Administrator</dc:creator>
  <cp:lastModifiedBy>Administrator</cp:lastModifiedBy>
  <dcterms:modified xsi:type="dcterms:W3CDTF">2020-11-06T06:38:27Z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