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72" w:beforeAutospacing="0" w:after="0" w:afterAutospacing="0" w:line="360" w:lineRule="auto"/>
        <w:jc w:val="center"/>
        <w:rPr>
          <w:rFonts w:asciiTheme="majorEastAsia" w:hAnsiTheme="majorEastAsia" w:eastAsiaTheme="majorEastAsia"/>
          <w:b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333333"/>
          <w:sz w:val="36"/>
          <w:szCs w:val="36"/>
        </w:rPr>
        <w:t>我要开办</w:t>
      </w:r>
      <w:r>
        <w:rPr>
          <w:rFonts w:hint="eastAsia" w:asciiTheme="majorEastAsia" w:hAnsiTheme="majorEastAsia" w:eastAsiaTheme="majorEastAsia"/>
          <w:b/>
          <w:color w:val="333333"/>
          <w:sz w:val="36"/>
          <w:szCs w:val="36"/>
          <w:lang w:eastAsia="zh-CN"/>
        </w:rPr>
        <w:t>饲料加工厂</w:t>
      </w:r>
      <w:r>
        <w:rPr>
          <w:rFonts w:hint="eastAsia" w:asciiTheme="majorEastAsia" w:hAnsiTheme="majorEastAsia" w:eastAsiaTheme="majorEastAsia"/>
          <w:b/>
          <w:color w:val="333333"/>
          <w:sz w:val="36"/>
          <w:szCs w:val="36"/>
        </w:rPr>
        <w:t>“一件事一次办”服务指南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33333"/>
          <w:sz w:val="32"/>
          <w:szCs w:val="32"/>
        </w:rPr>
        <w:t>申请条件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有与生产饲料、饲料添加剂相适应的厂房、设备和仓储设施；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二、有与生产饲料、饲料添加剂相适应的专职技术人员；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三、有必要的产品质量检验机构、人员、设施和质量管理制度；</w:t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四、有符合国家规定的安全、卫生要求的生产环境；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五、有符合国家环境保护要求的污染防治措施。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六、国务院农业行政主管部门制定的饲料、饲料添加剂质量安全管理规范规定的其他条件。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二、受理方式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（一）线上办理请登陆南阳政务服务网首页“一件事一次办”专区提起网上申请。（南阳政务服务网网址：</w:t>
      </w:r>
      <w:r>
        <w:rPr>
          <w:rFonts w:ascii="仿宋" w:hAnsi="仿宋" w:eastAsia="仿宋" w:cs="仿宋"/>
          <w:sz w:val="32"/>
          <w:szCs w:val="32"/>
        </w:rPr>
        <w:t>http://zwfw.nanyang.gov.cn/index2_2.jspx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（二）线下办理请到宛城区政务服务中心2楼26室窗口现场办理。（宛城区政务服务中心：南阳市宛城区（县）张衡东路金苑福润花园楼下宛城区政务服务中心街道2楼26室）</w:t>
      </w:r>
    </w:p>
    <w:p>
      <w:pPr>
        <w:pStyle w:val="12"/>
        <w:widowControl w:val="0"/>
        <w:numPr>
          <w:ilvl w:val="0"/>
          <w:numId w:val="0"/>
        </w:numPr>
        <w:adjustRightInd/>
        <w:snapToGrid/>
        <w:spacing w:after="0" w:line="360" w:lineRule="auto"/>
        <w:ind w:leftChars="0"/>
        <w:jc w:val="both"/>
        <w:rPr>
          <w:rFonts w:ascii="仿宋" w:hAnsi="仿宋" w:eastAsia="仿宋" w:cs="宋体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联办事项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从事饲料、饲料添加剂生产的企业审批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含药饲料加工企业认定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饲料生产企业委托生产备案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一般建设项目环境影响评价审批(报告表项目)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33333"/>
          <w:sz w:val="32"/>
          <w:szCs w:val="32"/>
        </w:rPr>
        <w:t>申请材料</w:t>
      </w:r>
      <w:r>
        <w:rPr>
          <w:rFonts w:hint="eastAsia" w:ascii="仿宋" w:hAnsi="仿宋" w:eastAsia="仿宋"/>
          <w:color w:val="333333"/>
          <w:sz w:val="32"/>
          <w:szCs w:val="32"/>
        </w:rPr>
        <w:t>　　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除特别说明之外，材料均为一式一份。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1、饲料生产企业生产许可申请书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原件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2、营业执照或企业名称预先核准通知书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3、厂区平面布局图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</w:rPr>
        <w:t>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4、生产工艺流程图和工艺说明材料 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5、检验化验室平面布局图 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　　6、计算机自动化控制系统配料精度证明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</w:rPr>
        <w:t>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7、混合机均匀度报告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</w:rPr>
        <w:t>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color w:val="333333"/>
          <w:sz w:val="32"/>
          <w:szCs w:val="32"/>
        </w:rPr>
        <w:t>微生物菌种来源文件 复印件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color w:val="333333"/>
          <w:sz w:val="32"/>
          <w:szCs w:val="32"/>
        </w:rPr>
        <w:t>产品标准说明文件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</w:rPr>
        <w:t>复印件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五、</w:t>
      </w:r>
      <w:r>
        <w:rPr>
          <w:rFonts w:hint="eastAsia" w:ascii="仿宋" w:hAnsi="仿宋" w:eastAsia="仿宋" w:cs="黑体"/>
          <w:b/>
          <w:sz w:val="32"/>
          <w:szCs w:val="32"/>
        </w:rPr>
        <w:t>办理流程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1.线下办理：申请人一次性提交以上材料，窗口工作人员进行形式审查符合要求，经分管领导签字审核办结，一次性发放全部办结结果。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线上办理：办事群众登录“南阳政务服务网”→凭个人社保卡信息注册（已注册的可直接登录）→点击“我要开办宠物医院一件事”模块→点击需要办理的业务项目→根据所选业务完善相应的资料信息→提交办理事项→一件事服务专区工作人员收件并做后续处理。</w:t>
      </w:r>
    </w:p>
    <w:p>
      <w:pPr>
        <w:spacing w:after="0" w:line="360" w:lineRule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六、办理时限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spacing w:after="0" w:line="360" w:lineRule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七、办理结果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饲料生产许可证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核发</w:t>
      </w:r>
    </w:p>
    <w:p>
      <w:pPr>
        <w:spacing w:after="0" w:line="360" w:lineRule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八、结果送达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办理结果可到宛城区政务服务中心现场领取，也可通过免费邮寄的方式送至您的手中。</w:t>
      </w:r>
    </w:p>
    <w:p>
      <w:pPr>
        <w:spacing w:after="0" w:line="360" w:lineRule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九、责任义务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申请人有依法申请的平等权力，行政机关不得歧视。申请人应当如实提交有关材料和反应真实情况，并对其申请材料实质内容的真实性负责。瞒报、错报、误报等导致的一切法律后果，由申请人承担。</w:t>
      </w:r>
    </w:p>
    <w:p>
      <w:pPr>
        <w:spacing w:after="0" w:line="360" w:lineRule="auto"/>
        <w:rPr>
          <w:rFonts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黑体"/>
          <w:b/>
          <w:sz w:val="32"/>
          <w:szCs w:val="32"/>
        </w:rPr>
        <w:t>十、咨询投诉电话</w:t>
      </w:r>
    </w:p>
    <w:p>
      <w:pPr>
        <w:spacing w:after="0" w:line="360" w:lineRule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037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63226521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82D8F"/>
    <w:multiLevelType w:val="multilevel"/>
    <w:tmpl w:val="11D82D8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D5DD7"/>
    <w:multiLevelType w:val="multilevel"/>
    <w:tmpl w:val="320D5DD7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ascii="仿宋" w:hAnsi="仿宋" w:eastAsia="仿宋"/>
        <w:b/>
        <w:color w:val="333333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2595B"/>
    <w:multiLevelType w:val="singleLevel"/>
    <w:tmpl w:val="379259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DAD114"/>
    <w:multiLevelType w:val="singleLevel"/>
    <w:tmpl w:val="75DAD114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ZkYTNiNTIxZGZhYThkYTZmYWM3NmE2ZmI3MTgwMWUifQ=="/>
  </w:docVars>
  <w:rsids>
    <w:rsidRoot w:val="00D31D50"/>
    <w:rsid w:val="000C0217"/>
    <w:rsid w:val="00283068"/>
    <w:rsid w:val="00310463"/>
    <w:rsid w:val="00323B43"/>
    <w:rsid w:val="00343CB1"/>
    <w:rsid w:val="003D37D8"/>
    <w:rsid w:val="00426133"/>
    <w:rsid w:val="004358AB"/>
    <w:rsid w:val="004E4AB8"/>
    <w:rsid w:val="006743CA"/>
    <w:rsid w:val="00810EAE"/>
    <w:rsid w:val="008B7726"/>
    <w:rsid w:val="009C4C0D"/>
    <w:rsid w:val="00AF14D1"/>
    <w:rsid w:val="00B61CD1"/>
    <w:rsid w:val="00B90EC5"/>
    <w:rsid w:val="00BD2DC0"/>
    <w:rsid w:val="00D31D50"/>
    <w:rsid w:val="00D63B92"/>
    <w:rsid w:val="00DC4A66"/>
    <w:rsid w:val="00DE6155"/>
    <w:rsid w:val="00E67F74"/>
    <w:rsid w:val="33182A02"/>
    <w:rsid w:val="498B69A4"/>
    <w:rsid w:val="64A46FE0"/>
    <w:rsid w:val="7F0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905</Characters>
  <Lines>7</Lines>
  <Paragraphs>2</Paragraphs>
  <TotalTime>2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2023-07-17T09:39:20Z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39D1737319A1445CA4C07A0483754CE7_12</vt:lpwstr>
  </property>
</Properties>
</file>