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A2C34">
      <w:pPr>
        <w:keepNext w:val="0"/>
        <w:keepLines w:val="0"/>
        <w:pageBreakBefore w:val="0"/>
        <w:widowControl w:val="0"/>
        <w:kinsoku/>
        <w:wordWrap/>
        <w:overflowPunct/>
        <w:topLinePunct w:val="0"/>
        <w:autoSpaceDE/>
        <w:autoSpaceDN w:val="0"/>
        <w:bidi w:val="0"/>
        <w:adjustRightInd/>
        <w:snapToGrid/>
        <w:spacing w:before="157" w:beforeLines="5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宛城区文广旅局保留的权责清单</w:t>
      </w:r>
    </w:p>
    <w:tbl>
      <w:tblPr>
        <w:tblStyle w:val="11"/>
        <w:tblW w:w="149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8"/>
        <w:gridCol w:w="1382"/>
        <w:gridCol w:w="7"/>
        <w:gridCol w:w="3794"/>
        <w:gridCol w:w="1"/>
        <w:gridCol w:w="4"/>
        <w:gridCol w:w="611"/>
        <w:gridCol w:w="4"/>
        <w:gridCol w:w="600"/>
        <w:gridCol w:w="11"/>
        <w:gridCol w:w="5095"/>
        <w:gridCol w:w="1715"/>
        <w:gridCol w:w="2"/>
        <w:gridCol w:w="1042"/>
      </w:tblGrid>
      <w:tr w14:paraId="787C1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blHeader/>
          <w:jc w:val="center"/>
        </w:trPr>
        <w:tc>
          <w:tcPr>
            <w:tcW w:w="67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4DBF6D0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438E659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3801"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70D86B9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616" w:type="dxa"/>
            <w:gridSpan w:val="3"/>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7B087C1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14:paraId="0EB0C2E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604"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7FD080B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5106"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0ABA171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717"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164F0E8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04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100E8FF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14:paraId="587A4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5" w:hRule="atLeast"/>
          <w:jc w:val="center"/>
        </w:trPr>
        <w:tc>
          <w:tcPr>
            <w:tcW w:w="67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E1C072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_GB2312" w:hAnsi="仿宋_GB2312" w:eastAsia="仿宋_GB2312" w:cs="仿宋_GB2312"/>
                <w:i w:val="0"/>
                <w:caps w:val="0"/>
                <w:color w:val="auto"/>
                <w:spacing w:val="0"/>
                <w:kern w:val="2"/>
                <w:sz w:val="28"/>
                <w:szCs w:val="28"/>
                <w:shd w:val="clear" w:color="070000" w:fill="FFFFFF"/>
                <w:lang w:val="en-US" w:eastAsia="zh-CN" w:bidi="ar-SA"/>
              </w:rPr>
              <w:t>1</w:t>
            </w:r>
          </w:p>
        </w:tc>
        <w:tc>
          <w:tcPr>
            <w:tcW w:w="138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F36C2A7">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val="0"/>
                <w:color w:val="auto"/>
                <w:sz w:val="24"/>
                <w:szCs w:val="24"/>
                <w:lang w:val="en-US" w:eastAsia="zh-CN"/>
              </w:rPr>
              <w:t>营业性演出审批</w:t>
            </w:r>
          </w:p>
        </w:tc>
        <w:tc>
          <w:tcPr>
            <w:tcW w:w="3801"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77947CE">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bookmarkStart w:id="0" w:name="_GoBack"/>
            <w:r>
              <w:rPr>
                <w:rFonts w:hint="eastAsia" w:ascii="仿宋" w:hAnsi="仿宋" w:eastAsia="仿宋" w:cs="仿宋"/>
                <w:i w:val="0"/>
                <w:caps w:val="0"/>
                <w:color w:val="auto"/>
                <w:spacing w:val="0"/>
                <w:kern w:val="2"/>
                <w:sz w:val="22"/>
                <w:szCs w:val="22"/>
                <w:shd w:val="clear" w:color="070000" w:fill="FFFFFF"/>
                <w:lang w:val="en-US" w:eastAsia="zh-CN" w:bidi="ar-SA"/>
              </w:rPr>
              <w:t>《营业性演出管理条例》</w:t>
            </w:r>
            <w:r>
              <w:rPr>
                <w:rFonts w:hint="eastAsia" w:ascii="仿宋" w:hAnsi="仿宋" w:eastAsia="仿宋" w:cs="仿宋"/>
                <w:i w:val="0"/>
                <w:caps w:val="0"/>
                <w:color w:val="auto"/>
                <w:spacing w:val="0"/>
                <w:kern w:val="2"/>
                <w:sz w:val="22"/>
                <w:szCs w:val="22"/>
                <w:shd w:val="clear" w:color="070000"/>
                <w:lang w:val="en-US" w:eastAsia="zh-CN" w:bidi="ar-SA"/>
              </w:rPr>
              <w:t>(2</w:t>
            </w:r>
            <w:r>
              <w:rPr>
                <w:rFonts w:hint="default" w:ascii="仿宋" w:hAnsi="仿宋" w:eastAsia="仿宋" w:cs="仿宋"/>
                <w:i w:val="0"/>
                <w:caps w:val="0"/>
                <w:color w:val="auto"/>
                <w:spacing w:val="0"/>
                <w:kern w:val="2"/>
                <w:sz w:val="22"/>
                <w:szCs w:val="22"/>
                <w:shd w:val="clear" w:color="070000"/>
                <w:lang w:val="en-US" w:eastAsia="zh-CN" w:bidi="ar-SA"/>
              </w:rPr>
              <w:t>005</w:t>
            </w:r>
            <w:r>
              <w:rPr>
                <w:rFonts w:hint="eastAsia" w:ascii="仿宋" w:hAnsi="仿宋" w:eastAsia="仿宋" w:cs="仿宋"/>
                <w:i w:val="0"/>
                <w:caps w:val="0"/>
                <w:color w:val="auto"/>
                <w:spacing w:val="0"/>
                <w:kern w:val="2"/>
                <w:sz w:val="22"/>
                <w:szCs w:val="22"/>
                <w:shd w:val="clear" w:color="070000"/>
                <w:lang w:val="en-US" w:eastAsia="zh-CN" w:bidi="ar-SA"/>
              </w:rPr>
              <w:t>年</w:t>
            </w:r>
            <w:r>
              <w:rPr>
                <w:rFonts w:hint="default" w:ascii="仿宋" w:hAnsi="仿宋" w:eastAsia="仿宋" w:cs="仿宋"/>
                <w:i w:val="0"/>
                <w:caps w:val="0"/>
                <w:color w:val="auto"/>
                <w:spacing w:val="0"/>
                <w:kern w:val="2"/>
                <w:sz w:val="22"/>
                <w:szCs w:val="22"/>
                <w:shd w:val="clear" w:color="070000"/>
                <w:lang w:val="en-US" w:eastAsia="zh-CN" w:bidi="ar-SA"/>
              </w:rPr>
              <w:t>7</w:t>
            </w:r>
            <w:r>
              <w:rPr>
                <w:rFonts w:hint="eastAsia" w:ascii="仿宋" w:hAnsi="仿宋" w:eastAsia="仿宋" w:cs="仿宋"/>
                <w:i w:val="0"/>
                <w:caps w:val="0"/>
                <w:color w:val="auto"/>
                <w:spacing w:val="0"/>
                <w:kern w:val="2"/>
                <w:sz w:val="22"/>
                <w:szCs w:val="22"/>
                <w:shd w:val="clear" w:color="070000"/>
                <w:lang w:val="en-US" w:eastAsia="zh-CN" w:bidi="ar-SA"/>
              </w:rPr>
              <w:t>月</w:t>
            </w:r>
            <w:r>
              <w:rPr>
                <w:rFonts w:hint="default" w:ascii="仿宋" w:hAnsi="仿宋" w:eastAsia="仿宋" w:cs="仿宋"/>
                <w:i w:val="0"/>
                <w:caps w:val="0"/>
                <w:color w:val="auto"/>
                <w:spacing w:val="0"/>
                <w:kern w:val="2"/>
                <w:sz w:val="22"/>
                <w:szCs w:val="22"/>
                <w:shd w:val="clear" w:color="070000"/>
                <w:lang w:val="en-US" w:eastAsia="zh-CN" w:bidi="ar-SA"/>
              </w:rPr>
              <w:t>7</w:t>
            </w:r>
            <w:r>
              <w:rPr>
                <w:rFonts w:hint="eastAsia" w:ascii="仿宋" w:hAnsi="仿宋" w:eastAsia="仿宋" w:cs="仿宋"/>
                <w:i w:val="0"/>
                <w:caps w:val="0"/>
                <w:color w:val="auto"/>
                <w:spacing w:val="0"/>
                <w:kern w:val="2"/>
                <w:sz w:val="22"/>
                <w:szCs w:val="22"/>
                <w:shd w:val="clear" w:color="070000"/>
                <w:lang w:val="en-US" w:eastAsia="zh-CN" w:bidi="ar-SA"/>
              </w:rPr>
              <w:t>日中华人民共和国国务院令第</w:t>
            </w:r>
            <w:r>
              <w:rPr>
                <w:rFonts w:hint="default" w:ascii="仿宋" w:hAnsi="仿宋" w:eastAsia="仿宋" w:cs="仿宋"/>
                <w:i w:val="0"/>
                <w:caps w:val="0"/>
                <w:color w:val="auto"/>
                <w:spacing w:val="0"/>
                <w:kern w:val="2"/>
                <w:sz w:val="22"/>
                <w:szCs w:val="22"/>
                <w:shd w:val="clear" w:color="070000"/>
                <w:lang w:val="en-US" w:eastAsia="zh-CN" w:bidi="ar-SA"/>
              </w:rPr>
              <w:t>439</w:t>
            </w:r>
            <w:r>
              <w:rPr>
                <w:rFonts w:hint="eastAsia" w:ascii="仿宋" w:hAnsi="仿宋" w:eastAsia="仿宋" w:cs="仿宋"/>
                <w:i w:val="0"/>
                <w:caps w:val="0"/>
                <w:color w:val="auto"/>
                <w:spacing w:val="0"/>
                <w:kern w:val="2"/>
                <w:sz w:val="22"/>
                <w:szCs w:val="22"/>
                <w:shd w:val="clear" w:color="070000"/>
                <w:lang w:val="en-US" w:eastAsia="zh-CN" w:bidi="ar-SA"/>
              </w:rPr>
              <w:t>号公布根据</w:t>
            </w:r>
            <w:r>
              <w:rPr>
                <w:rFonts w:hint="default" w:ascii="仿宋" w:hAnsi="仿宋" w:eastAsia="仿宋" w:cs="仿宋"/>
                <w:i w:val="0"/>
                <w:caps w:val="0"/>
                <w:color w:val="auto"/>
                <w:spacing w:val="0"/>
                <w:kern w:val="2"/>
                <w:sz w:val="22"/>
                <w:szCs w:val="22"/>
                <w:shd w:val="clear" w:color="070000"/>
                <w:lang w:val="en-US" w:eastAsia="zh-CN" w:bidi="ar-SA"/>
              </w:rPr>
              <w:t>2008</w:t>
            </w:r>
            <w:r>
              <w:rPr>
                <w:rFonts w:hint="eastAsia" w:ascii="仿宋" w:hAnsi="仿宋" w:eastAsia="仿宋" w:cs="仿宋"/>
                <w:i w:val="0"/>
                <w:caps w:val="0"/>
                <w:color w:val="auto"/>
                <w:spacing w:val="0"/>
                <w:kern w:val="2"/>
                <w:sz w:val="22"/>
                <w:szCs w:val="22"/>
                <w:shd w:val="clear" w:color="070000"/>
                <w:lang w:val="en-US" w:eastAsia="zh-CN" w:bidi="ar-SA"/>
              </w:rPr>
              <w:t>年</w:t>
            </w:r>
            <w:r>
              <w:rPr>
                <w:rFonts w:hint="default" w:ascii="仿宋" w:hAnsi="仿宋" w:eastAsia="仿宋" w:cs="仿宋"/>
                <w:i w:val="0"/>
                <w:caps w:val="0"/>
                <w:color w:val="auto"/>
                <w:spacing w:val="0"/>
                <w:kern w:val="2"/>
                <w:sz w:val="22"/>
                <w:szCs w:val="22"/>
                <w:shd w:val="clear" w:color="070000"/>
                <w:lang w:val="en-US" w:eastAsia="zh-CN" w:bidi="ar-SA"/>
              </w:rPr>
              <w:t>7</w:t>
            </w:r>
            <w:r>
              <w:rPr>
                <w:rFonts w:hint="eastAsia" w:ascii="仿宋" w:hAnsi="仿宋" w:eastAsia="仿宋" w:cs="仿宋"/>
                <w:i w:val="0"/>
                <w:caps w:val="0"/>
                <w:color w:val="auto"/>
                <w:spacing w:val="0"/>
                <w:kern w:val="2"/>
                <w:sz w:val="22"/>
                <w:szCs w:val="22"/>
                <w:shd w:val="clear" w:color="070000"/>
                <w:lang w:val="en-US" w:eastAsia="zh-CN" w:bidi="ar-SA"/>
              </w:rPr>
              <w:t>月</w:t>
            </w:r>
            <w:r>
              <w:rPr>
                <w:rFonts w:hint="default" w:ascii="仿宋" w:hAnsi="仿宋" w:eastAsia="仿宋" w:cs="仿宋"/>
                <w:i w:val="0"/>
                <w:caps w:val="0"/>
                <w:color w:val="auto"/>
                <w:spacing w:val="0"/>
                <w:kern w:val="2"/>
                <w:sz w:val="22"/>
                <w:szCs w:val="22"/>
                <w:shd w:val="clear" w:color="070000"/>
                <w:lang w:val="en-US" w:eastAsia="zh-CN" w:bidi="ar-SA"/>
              </w:rPr>
              <w:t>22</w:t>
            </w:r>
            <w:r>
              <w:rPr>
                <w:rFonts w:hint="eastAsia" w:ascii="仿宋" w:hAnsi="仿宋" w:eastAsia="仿宋" w:cs="仿宋"/>
                <w:i w:val="0"/>
                <w:caps w:val="0"/>
                <w:color w:val="auto"/>
                <w:spacing w:val="0"/>
                <w:kern w:val="2"/>
                <w:sz w:val="22"/>
                <w:szCs w:val="22"/>
                <w:shd w:val="clear" w:color="070000"/>
                <w:lang w:val="en-US" w:eastAsia="zh-CN" w:bidi="ar-SA"/>
              </w:rPr>
              <w:t>日《国务院关于修改〈营业性演出管理条例〉的决定》第一次修订根据</w:t>
            </w:r>
            <w:r>
              <w:rPr>
                <w:rFonts w:hint="default" w:ascii="仿宋" w:hAnsi="仿宋" w:eastAsia="仿宋" w:cs="仿宋"/>
                <w:i w:val="0"/>
                <w:caps w:val="0"/>
                <w:color w:val="auto"/>
                <w:spacing w:val="0"/>
                <w:kern w:val="2"/>
                <w:sz w:val="22"/>
                <w:szCs w:val="22"/>
                <w:shd w:val="clear" w:color="070000"/>
                <w:lang w:val="en-US" w:eastAsia="zh-CN" w:bidi="ar-SA"/>
              </w:rPr>
              <w:t>2013</w:t>
            </w:r>
            <w:r>
              <w:rPr>
                <w:rFonts w:hint="eastAsia" w:ascii="仿宋" w:hAnsi="仿宋" w:eastAsia="仿宋" w:cs="仿宋"/>
                <w:i w:val="0"/>
                <w:caps w:val="0"/>
                <w:color w:val="auto"/>
                <w:spacing w:val="0"/>
                <w:kern w:val="2"/>
                <w:sz w:val="22"/>
                <w:szCs w:val="22"/>
                <w:shd w:val="clear" w:color="070000"/>
                <w:lang w:val="en-US" w:eastAsia="zh-CN" w:bidi="ar-SA"/>
              </w:rPr>
              <w:t>年</w:t>
            </w:r>
            <w:r>
              <w:rPr>
                <w:rFonts w:hint="default" w:ascii="仿宋" w:hAnsi="仿宋" w:eastAsia="仿宋" w:cs="仿宋"/>
                <w:i w:val="0"/>
                <w:caps w:val="0"/>
                <w:color w:val="auto"/>
                <w:spacing w:val="0"/>
                <w:kern w:val="2"/>
                <w:sz w:val="22"/>
                <w:szCs w:val="22"/>
                <w:shd w:val="clear" w:color="070000"/>
                <w:lang w:val="en-US" w:eastAsia="zh-CN" w:bidi="ar-SA"/>
              </w:rPr>
              <w:t>7</w:t>
            </w:r>
            <w:r>
              <w:rPr>
                <w:rFonts w:hint="eastAsia" w:ascii="仿宋" w:hAnsi="仿宋" w:eastAsia="仿宋" w:cs="仿宋"/>
                <w:i w:val="0"/>
                <w:caps w:val="0"/>
                <w:color w:val="auto"/>
                <w:spacing w:val="0"/>
                <w:kern w:val="2"/>
                <w:sz w:val="22"/>
                <w:szCs w:val="22"/>
                <w:shd w:val="clear" w:color="070000"/>
                <w:lang w:val="en-US" w:eastAsia="zh-CN" w:bidi="ar-SA"/>
              </w:rPr>
              <w:t>月</w:t>
            </w:r>
            <w:r>
              <w:rPr>
                <w:rFonts w:hint="default" w:ascii="仿宋" w:hAnsi="仿宋" w:eastAsia="仿宋" w:cs="仿宋"/>
                <w:i w:val="0"/>
                <w:caps w:val="0"/>
                <w:color w:val="auto"/>
                <w:spacing w:val="0"/>
                <w:kern w:val="2"/>
                <w:sz w:val="22"/>
                <w:szCs w:val="22"/>
                <w:shd w:val="clear" w:color="070000"/>
                <w:lang w:val="en-US" w:eastAsia="zh-CN" w:bidi="ar-SA"/>
              </w:rPr>
              <w:t>18</w:t>
            </w:r>
            <w:r>
              <w:rPr>
                <w:rFonts w:hint="eastAsia" w:ascii="仿宋" w:hAnsi="仿宋" w:eastAsia="仿宋" w:cs="仿宋"/>
                <w:i w:val="0"/>
                <w:caps w:val="0"/>
                <w:color w:val="auto"/>
                <w:spacing w:val="0"/>
                <w:kern w:val="2"/>
                <w:sz w:val="22"/>
                <w:szCs w:val="22"/>
                <w:shd w:val="clear" w:color="070000"/>
                <w:lang w:val="en-US" w:eastAsia="zh-CN" w:bidi="ar-SA"/>
              </w:rPr>
              <w:t>日《国务院关于废止和修改部分行政法规的决定》第二次修订根据</w:t>
            </w:r>
            <w:r>
              <w:rPr>
                <w:rFonts w:hint="default" w:ascii="仿宋" w:hAnsi="仿宋" w:eastAsia="仿宋" w:cs="仿宋"/>
                <w:i w:val="0"/>
                <w:caps w:val="0"/>
                <w:color w:val="auto"/>
                <w:spacing w:val="0"/>
                <w:kern w:val="2"/>
                <w:sz w:val="22"/>
                <w:szCs w:val="22"/>
                <w:shd w:val="clear" w:color="070000"/>
                <w:lang w:val="en-US" w:eastAsia="zh-CN" w:bidi="ar-SA"/>
              </w:rPr>
              <w:t>2016</w:t>
            </w:r>
            <w:r>
              <w:rPr>
                <w:rFonts w:hint="eastAsia" w:ascii="仿宋" w:hAnsi="仿宋" w:eastAsia="仿宋" w:cs="仿宋"/>
                <w:i w:val="0"/>
                <w:caps w:val="0"/>
                <w:color w:val="auto"/>
                <w:spacing w:val="0"/>
                <w:kern w:val="2"/>
                <w:sz w:val="22"/>
                <w:szCs w:val="22"/>
                <w:shd w:val="clear" w:color="070000"/>
                <w:lang w:val="en-US" w:eastAsia="zh-CN" w:bidi="ar-SA"/>
              </w:rPr>
              <w:t>年</w:t>
            </w:r>
            <w:r>
              <w:rPr>
                <w:rFonts w:hint="default" w:ascii="仿宋" w:hAnsi="仿宋" w:eastAsia="仿宋" w:cs="仿宋"/>
                <w:i w:val="0"/>
                <w:caps w:val="0"/>
                <w:color w:val="auto"/>
                <w:spacing w:val="0"/>
                <w:kern w:val="2"/>
                <w:sz w:val="22"/>
                <w:szCs w:val="22"/>
                <w:shd w:val="clear" w:color="070000"/>
                <w:lang w:val="en-US" w:eastAsia="zh-CN" w:bidi="ar-SA"/>
              </w:rPr>
              <w:t>2</w:t>
            </w:r>
            <w:r>
              <w:rPr>
                <w:rFonts w:hint="eastAsia" w:ascii="仿宋" w:hAnsi="仿宋" w:eastAsia="仿宋" w:cs="仿宋"/>
                <w:i w:val="0"/>
                <w:caps w:val="0"/>
                <w:color w:val="auto"/>
                <w:spacing w:val="0"/>
                <w:kern w:val="2"/>
                <w:sz w:val="22"/>
                <w:szCs w:val="22"/>
                <w:shd w:val="clear" w:color="070000"/>
                <w:lang w:val="en-US" w:eastAsia="zh-CN" w:bidi="ar-SA"/>
              </w:rPr>
              <w:t>月</w:t>
            </w:r>
            <w:r>
              <w:rPr>
                <w:rFonts w:hint="default" w:ascii="仿宋" w:hAnsi="仿宋" w:eastAsia="仿宋" w:cs="仿宋"/>
                <w:i w:val="0"/>
                <w:caps w:val="0"/>
                <w:color w:val="auto"/>
                <w:spacing w:val="0"/>
                <w:kern w:val="2"/>
                <w:sz w:val="22"/>
                <w:szCs w:val="22"/>
                <w:shd w:val="clear" w:color="070000"/>
                <w:lang w:val="en-US" w:eastAsia="zh-CN" w:bidi="ar-SA"/>
              </w:rPr>
              <w:t>6</w:t>
            </w:r>
            <w:r>
              <w:rPr>
                <w:rFonts w:hint="eastAsia" w:ascii="仿宋" w:hAnsi="仿宋" w:eastAsia="仿宋" w:cs="仿宋"/>
                <w:i w:val="0"/>
                <w:caps w:val="0"/>
                <w:color w:val="auto"/>
                <w:spacing w:val="0"/>
                <w:kern w:val="2"/>
                <w:sz w:val="22"/>
                <w:szCs w:val="22"/>
                <w:shd w:val="clear" w:color="070000"/>
                <w:lang w:val="en-US" w:eastAsia="zh-CN" w:bidi="ar-SA"/>
              </w:rPr>
              <w:t>日《国务院关于修改部分行政法规的决定》第三次修订根据</w:t>
            </w:r>
            <w:r>
              <w:rPr>
                <w:rFonts w:hint="default" w:ascii="仿宋" w:hAnsi="仿宋" w:eastAsia="仿宋" w:cs="仿宋"/>
                <w:i w:val="0"/>
                <w:caps w:val="0"/>
                <w:color w:val="auto"/>
                <w:spacing w:val="0"/>
                <w:kern w:val="2"/>
                <w:sz w:val="22"/>
                <w:szCs w:val="22"/>
                <w:shd w:val="clear" w:color="070000"/>
                <w:lang w:val="en-US" w:eastAsia="zh-CN" w:bidi="ar-SA"/>
              </w:rPr>
              <w:t>2020</w:t>
            </w:r>
            <w:r>
              <w:rPr>
                <w:rFonts w:hint="eastAsia" w:ascii="仿宋" w:hAnsi="仿宋" w:eastAsia="仿宋" w:cs="仿宋"/>
                <w:i w:val="0"/>
                <w:caps w:val="0"/>
                <w:color w:val="auto"/>
                <w:spacing w:val="0"/>
                <w:kern w:val="2"/>
                <w:sz w:val="22"/>
                <w:szCs w:val="22"/>
                <w:shd w:val="clear" w:color="070000"/>
                <w:lang w:val="en-US" w:eastAsia="zh-CN" w:bidi="ar-SA"/>
              </w:rPr>
              <w:t>年</w:t>
            </w:r>
            <w:r>
              <w:rPr>
                <w:rFonts w:hint="default" w:ascii="仿宋" w:hAnsi="仿宋" w:eastAsia="仿宋" w:cs="仿宋"/>
                <w:i w:val="0"/>
                <w:caps w:val="0"/>
                <w:color w:val="auto"/>
                <w:spacing w:val="0"/>
                <w:kern w:val="2"/>
                <w:sz w:val="22"/>
                <w:szCs w:val="22"/>
                <w:shd w:val="clear" w:color="070000"/>
                <w:lang w:val="en-US" w:eastAsia="zh-CN" w:bidi="ar-SA"/>
              </w:rPr>
              <w:t>11</w:t>
            </w:r>
            <w:r>
              <w:rPr>
                <w:rFonts w:hint="eastAsia" w:ascii="仿宋" w:hAnsi="仿宋" w:eastAsia="仿宋" w:cs="仿宋"/>
                <w:i w:val="0"/>
                <w:caps w:val="0"/>
                <w:color w:val="auto"/>
                <w:spacing w:val="0"/>
                <w:kern w:val="2"/>
                <w:sz w:val="22"/>
                <w:szCs w:val="22"/>
                <w:shd w:val="clear" w:color="070000"/>
                <w:lang w:val="en-US" w:eastAsia="zh-CN" w:bidi="ar-SA"/>
              </w:rPr>
              <w:t>月</w:t>
            </w:r>
            <w:r>
              <w:rPr>
                <w:rFonts w:hint="default" w:ascii="仿宋" w:hAnsi="仿宋" w:eastAsia="仿宋" w:cs="仿宋"/>
                <w:i w:val="0"/>
                <w:caps w:val="0"/>
                <w:color w:val="auto"/>
                <w:spacing w:val="0"/>
                <w:kern w:val="2"/>
                <w:sz w:val="22"/>
                <w:szCs w:val="22"/>
                <w:shd w:val="clear" w:color="070000"/>
                <w:lang w:val="en-US" w:eastAsia="zh-CN" w:bidi="ar-SA"/>
              </w:rPr>
              <w:t>29</w:t>
            </w:r>
            <w:r>
              <w:rPr>
                <w:rFonts w:hint="eastAsia" w:ascii="仿宋" w:hAnsi="仿宋" w:eastAsia="仿宋" w:cs="仿宋"/>
                <w:i w:val="0"/>
                <w:caps w:val="0"/>
                <w:color w:val="auto"/>
                <w:spacing w:val="0"/>
                <w:kern w:val="2"/>
                <w:sz w:val="22"/>
                <w:szCs w:val="22"/>
                <w:shd w:val="clear" w:color="070000"/>
                <w:lang w:val="en-US" w:eastAsia="zh-CN" w:bidi="ar-SA"/>
              </w:rPr>
              <w:t>日《国务院关于修改和废止部分行政法规的决定》第四次修订)</w:t>
            </w:r>
            <w:r>
              <w:rPr>
                <w:rFonts w:hint="eastAsia" w:ascii="仿宋" w:hAnsi="仿宋" w:eastAsia="仿宋" w:cs="仿宋"/>
                <w:i w:val="0"/>
                <w:caps w:val="0"/>
                <w:color w:val="auto"/>
                <w:spacing w:val="0"/>
                <w:kern w:val="2"/>
                <w:sz w:val="22"/>
                <w:szCs w:val="22"/>
                <w:shd w:val="clear" w:color="070000" w:fill="FFFFFF"/>
                <w:lang w:val="en-US" w:eastAsia="zh-CN" w:bidi="ar-SA"/>
              </w:rPr>
              <w:t>第七条第一款：设立演出场所经营单位，应当依法到工商行政管理部门办理注册登记，领取营业执照，并依照有关消防、卫生管理等法律、行政法规的规定办理审批手续。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bookmarkEnd w:id="0"/>
          </w:p>
        </w:tc>
        <w:tc>
          <w:tcPr>
            <w:tcW w:w="616"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5CE65D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行政许可</w:t>
            </w: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89354E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13354C1">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Calibri" w:hAnsi="Calibri" w:eastAsia="宋体" w:cs="Times New Roman"/>
                <w:kern w:val="2"/>
                <w:sz w:val="21"/>
                <w:szCs w:val="22"/>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17"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AA91459">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lang w:val="en-US" w:eastAsia="zh-CN"/>
              </w:rPr>
            </w:pPr>
            <w:r>
              <w:rPr>
                <w:rFonts w:hint="eastAsia" w:ascii="仿宋" w:hAnsi="仿宋" w:eastAsia="仿宋" w:cs="仿宋"/>
                <w:i w:val="0"/>
                <w:caps w:val="0"/>
                <w:color w:val="auto"/>
                <w:spacing w:val="0"/>
                <w:sz w:val="24"/>
                <w:szCs w:val="24"/>
                <w:shd w:val="clear" w:color="070000" w:fill="FFFFFF"/>
                <w:lang w:val="en-US" w:eastAsia="zh-CN"/>
              </w:rPr>
              <w:t>不履行或不正确履行职责，有下列情形的行政机关及相关工作人员应当承担相应的责任：文化主管部门、公安部门、工商行政管理部门的工作人员滥用职权、玩忽职守、徇私舞弊或者未依照本条例规定履行职责的，依法给予行政处分；构成犯罪的，依法追究刑事责任。</w:t>
            </w:r>
          </w:p>
        </w:tc>
        <w:tc>
          <w:tcPr>
            <w:tcW w:w="104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92522CF">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default"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14:paraId="41FFC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05" w:hRule="atLeast"/>
          <w:jc w:val="center"/>
        </w:trPr>
        <w:tc>
          <w:tcPr>
            <w:tcW w:w="67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FAD23E0">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_GB2312" w:hAnsi="仿宋_GB2312" w:eastAsia="仿宋_GB2312" w:cs="仿宋_GB2312"/>
                <w:b w:val="0"/>
                <w:i w:val="0"/>
                <w:color w:val="000000"/>
                <w:kern w:val="2"/>
                <w:sz w:val="24"/>
                <w:szCs w:val="24"/>
                <w:u w:val="none"/>
                <w:lang w:val="en-US" w:eastAsia="zh-CN" w:bidi="ar-SA"/>
              </w:rPr>
            </w:pPr>
          </w:p>
        </w:tc>
        <w:tc>
          <w:tcPr>
            <w:tcW w:w="138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5267404">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b w:val="0"/>
                <w:i w:val="0"/>
                <w:color w:val="000000"/>
                <w:kern w:val="2"/>
                <w:sz w:val="24"/>
                <w:szCs w:val="24"/>
                <w:u w:val="none"/>
                <w:lang w:val="en-US" w:eastAsia="zh-CN" w:bidi="ar-SA"/>
              </w:rPr>
            </w:pPr>
          </w:p>
        </w:tc>
        <w:tc>
          <w:tcPr>
            <w:tcW w:w="3801"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2548A3D">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p>
        </w:tc>
        <w:tc>
          <w:tcPr>
            <w:tcW w:w="616"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2C3FA7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854B74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8099BF9">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Calibri" w:hAnsi="Calibri" w:eastAsia="宋体" w:cs="Times New Roman"/>
                <w:kern w:val="2"/>
                <w:sz w:val="21"/>
                <w:szCs w:val="22"/>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17"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EF130D4">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29714DF">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5C852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1" w:hRule="atLeast"/>
          <w:jc w:val="center"/>
        </w:trPr>
        <w:tc>
          <w:tcPr>
            <w:tcW w:w="67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6019E1A">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_GB2312" w:hAnsi="仿宋_GB2312" w:eastAsia="仿宋_GB2312" w:cs="仿宋_GB2312"/>
                <w:b w:val="0"/>
                <w:i w:val="0"/>
                <w:color w:val="000000"/>
                <w:kern w:val="2"/>
                <w:sz w:val="24"/>
                <w:szCs w:val="24"/>
                <w:u w:val="none"/>
                <w:lang w:val="en-US" w:eastAsia="zh-CN" w:bidi="ar-SA"/>
              </w:rPr>
            </w:pPr>
          </w:p>
        </w:tc>
        <w:tc>
          <w:tcPr>
            <w:tcW w:w="138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7A6531F">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b w:val="0"/>
                <w:i w:val="0"/>
                <w:color w:val="000000"/>
                <w:kern w:val="2"/>
                <w:sz w:val="24"/>
                <w:szCs w:val="24"/>
                <w:u w:val="none"/>
                <w:lang w:val="en-US" w:eastAsia="zh-CN" w:bidi="ar-SA"/>
              </w:rPr>
            </w:pPr>
          </w:p>
        </w:tc>
        <w:tc>
          <w:tcPr>
            <w:tcW w:w="3801"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6D31C50">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p>
        </w:tc>
        <w:tc>
          <w:tcPr>
            <w:tcW w:w="616"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E91C1D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37614B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2525328">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Calibri" w:hAnsi="Calibri" w:eastAsia="宋体" w:cs="Times New Roman"/>
                <w:kern w:val="2"/>
                <w:sz w:val="21"/>
                <w:szCs w:val="22"/>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17"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88D3383">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561454E">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35D13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D3477B7">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7F9E2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B8D2F6C">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受理地点：宛城区文广旅局行政审批与市场管理股宛城区文广旅局行政审批与市场管理股</w:t>
            </w:r>
          </w:p>
        </w:tc>
      </w:tr>
      <w:tr w14:paraId="1033B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0" w:hRule="atLeast"/>
          <w:jc w:val="center"/>
        </w:trPr>
        <w:tc>
          <w:tcPr>
            <w:tcW w:w="67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AA8D7F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t>2</w:t>
            </w:r>
          </w:p>
        </w:tc>
        <w:tc>
          <w:tcPr>
            <w:tcW w:w="138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B5394A2">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val="0"/>
                <w:color w:val="auto"/>
                <w:sz w:val="24"/>
                <w:szCs w:val="24"/>
                <w:lang w:val="en-US" w:eastAsia="zh-CN"/>
              </w:rPr>
              <w:t>娱乐场所从事娱乐场所经营活动审批</w:t>
            </w:r>
          </w:p>
        </w:tc>
        <w:tc>
          <w:tcPr>
            <w:tcW w:w="3801"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853DA47">
            <w:pPr>
              <w:keepNext w:val="0"/>
              <w:keepLines w:val="0"/>
              <w:pageBreakBefore w:val="0"/>
              <w:widowControl w:val="0"/>
              <w:shd w:val="clear"/>
              <w:kinsoku/>
              <w:wordWrap/>
              <w:overflowPunct/>
              <w:topLinePunct w:val="0"/>
              <w:autoSpaceDE/>
              <w:autoSpaceDN w:val="0"/>
              <w:bidi w:val="0"/>
              <w:adjustRightInd/>
              <w:snapToGrid w:val="0"/>
              <w:spacing w:line="200" w:lineRule="exact"/>
              <w:ind w:left="0" w:leftChars="0" w:firstLine="0" w:firstLineChars="0"/>
              <w:jc w:val="both"/>
              <w:textAlignment w:val="center"/>
              <w:rPr>
                <w:rFonts w:hint="eastAsia" w:ascii="仿宋" w:hAnsi="仿宋" w:eastAsia="仿宋" w:cs="仿宋"/>
                <w:i w:val="0"/>
                <w:caps w:val="0"/>
                <w:color w:val="auto"/>
                <w:spacing w:val="0"/>
                <w:kern w:val="2"/>
                <w:sz w:val="21"/>
                <w:szCs w:val="21"/>
                <w:shd w:val="clear" w:color="070000" w:fill="FFFFFF"/>
                <w:lang w:val="en-US" w:eastAsia="zh-CN" w:bidi="ar-SA"/>
              </w:rPr>
            </w:pPr>
            <w:r>
              <w:rPr>
                <w:rFonts w:hint="eastAsia" w:ascii="仿宋" w:hAnsi="仿宋" w:eastAsia="仿宋" w:cs="仿宋"/>
                <w:i w:val="0"/>
                <w:caps w:val="0"/>
                <w:color w:val="auto"/>
                <w:spacing w:val="0"/>
                <w:kern w:val="2"/>
                <w:sz w:val="21"/>
                <w:szCs w:val="21"/>
                <w:shd w:val="clear" w:color="070000" w:fill="FFFFFF"/>
                <w:lang w:val="en-US" w:eastAsia="zh-CN" w:bidi="ar-SA"/>
              </w:rPr>
              <w:t>《娱乐场所管理条例》</w:t>
            </w:r>
            <w:r>
              <w:rPr>
                <w:rFonts w:hint="eastAsia" w:ascii="仿宋" w:hAnsi="仿宋" w:eastAsia="仿宋" w:cs="仿宋"/>
                <w:i w:val="0"/>
                <w:caps w:val="0"/>
                <w:color w:val="auto"/>
                <w:spacing w:val="0"/>
                <w:kern w:val="2"/>
                <w:sz w:val="21"/>
                <w:szCs w:val="21"/>
                <w:shd w:val="clear" w:color="070000"/>
                <w:lang w:val="en-US" w:eastAsia="zh-CN" w:bidi="ar-SA"/>
              </w:rPr>
              <w:t>（</w:t>
            </w:r>
            <w:r>
              <w:rPr>
                <w:rFonts w:hint="default" w:ascii="仿宋" w:hAnsi="仿宋" w:eastAsia="仿宋" w:cs="仿宋"/>
                <w:i w:val="0"/>
                <w:caps w:val="0"/>
                <w:color w:val="auto"/>
                <w:spacing w:val="0"/>
                <w:kern w:val="2"/>
                <w:sz w:val="21"/>
                <w:szCs w:val="21"/>
                <w:shd w:val="clear" w:color="070000"/>
                <w:lang w:val="en-US" w:eastAsia="zh-CN" w:bidi="ar-SA"/>
              </w:rPr>
              <w:t>2006年1月29日中华人民共和国国务院令第458号公布根据2016年2月6日《国务院关于修改部分行政法规的决定》第一次修订根据2020年11月29日《国务院关于修改和废止部分行政法规的决定》第二次修订</w:t>
            </w:r>
            <w:r>
              <w:rPr>
                <w:rFonts w:hint="eastAsia" w:ascii="仿宋" w:hAnsi="仿宋" w:eastAsia="仿宋" w:cs="仿宋"/>
                <w:i w:val="0"/>
                <w:caps w:val="0"/>
                <w:color w:val="auto"/>
                <w:spacing w:val="0"/>
                <w:kern w:val="2"/>
                <w:sz w:val="21"/>
                <w:szCs w:val="21"/>
                <w:shd w:val="clear" w:color="070000"/>
                <w:lang w:val="en-US" w:eastAsia="zh-CN" w:bidi="ar-SA"/>
              </w:rPr>
              <w:t>）</w:t>
            </w:r>
            <w:r>
              <w:rPr>
                <w:rFonts w:hint="eastAsia" w:ascii="仿宋" w:hAnsi="仿宋" w:eastAsia="仿宋" w:cs="仿宋"/>
                <w:i w:val="0"/>
                <w:caps w:val="0"/>
                <w:color w:val="auto"/>
                <w:spacing w:val="0"/>
                <w:kern w:val="2"/>
                <w:sz w:val="21"/>
                <w:szCs w:val="21"/>
                <w:shd w:val="clear" w:color="070000" w:fill="FFFFFF"/>
                <w:lang w:val="en-US" w:eastAsia="zh-CN" w:bidi="ar-SA"/>
              </w:rPr>
              <w:t>第九条：娱乐场所申请从事娱乐场所经营活动，应当向所在地县级人民政府文化主管部门提出申请；中外合资经营、中外合作经营的娱乐场所申请从事娱乐场所经营活动，应当向所在地省、自治区、直辖市人民政府文化主管部门提出申请。</w:t>
            </w:r>
          </w:p>
          <w:p w14:paraId="37F14D0A">
            <w:pPr>
              <w:keepNext w:val="0"/>
              <w:keepLines w:val="0"/>
              <w:pageBreakBefore w:val="0"/>
              <w:widowControl w:val="0"/>
              <w:shd w:val="clear"/>
              <w:kinsoku/>
              <w:wordWrap/>
              <w:overflowPunct/>
              <w:topLinePunct w:val="0"/>
              <w:autoSpaceDE/>
              <w:autoSpaceDN w:val="0"/>
              <w:bidi w:val="0"/>
              <w:adjustRightInd/>
              <w:snapToGrid w:val="0"/>
              <w:spacing w:line="200" w:lineRule="exact"/>
              <w:ind w:left="0" w:leftChars="0" w:firstLine="0" w:firstLineChars="0"/>
              <w:jc w:val="both"/>
              <w:textAlignment w:val="center"/>
              <w:rPr>
                <w:rFonts w:hint="eastAsia" w:ascii="仿宋" w:hAnsi="仿宋" w:eastAsia="仿宋" w:cs="仿宋"/>
                <w:i w:val="0"/>
                <w:caps w:val="0"/>
                <w:color w:val="auto"/>
                <w:spacing w:val="0"/>
                <w:kern w:val="2"/>
                <w:sz w:val="21"/>
                <w:szCs w:val="21"/>
                <w:shd w:val="clear" w:color="070000" w:fill="FFFFFF"/>
                <w:lang w:val="en-US" w:eastAsia="zh-CN" w:bidi="ar-SA"/>
              </w:rPr>
            </w:pPr>
            <w:r>
              <w:rPr>
                <w:rFonts w:hint="eastAsia" w:ascii="仿宋" w:hAnsi="仿宋" w:eastAsia="仿宋" w:cs="仿宋"/>
                <w:i w:val="0"/>
                <w:caps w:val="0"/>
                <w:color w:val="auto"/>
                <w:spacing w:val="0"/>
                <w:kern w:val="2"/>
                <w:sz w:val="21"/>
                <w:szCs w:val="21"/>
                <w:shd w:val="clear" w:color="070000" w:fill="FFFFFF"/>
                <w:lang w:val="en-US" w:eastAsia="zh-CN" w:bidi="ar-SA"/>
              </w:rPr>
              <w:t>娱乐场所申请从事娱乐场所经营活动，应当提交投资人员、拟任的法定代表人和其他负责人没有本条例第五条规定情形的书面声明。申请人应当对书面声明内容的真实性负责。</w:t>
            </w:r>
          </w:p>
          <w:p w14:paraId="57CFE726">
            <w:pPr>
              <w:keepNext w:val="0"/>
              <w:keepLines w:val="0"/>
              <w:pageBreakBefore w:val="0"/>
              <w:widowControl w:val="0"/>
              <w:shd w:val="clear"/>
              <w:kinsoku/>
              <w:wordWrap/>
              <w:overflowPunct/>
              <w:topLinePunct w:val="0"/>
              <w:autoSpaceDE/>
              <w:autoSpaceDN w:val="0"/>
              <w:bidi w:val="0"/>
              <w:adjustRightInd/>
              <w:snapToGrid w:val="0"/>
              <w:spacing w:line="200" w:lineRule="exact"/>
              <w:ind w:left="0" w:leftChars="0" w:firstLine="0" w:firstLineChars="0"/>
              <w:jc w:val="both"/>
              <w:textAlignment w:val="center"/>
              <w:rPr>
                <w:rFonts w:hint="eastAsia" w:ascii="仿宋" w:hAnsi="仿宋" w:eastAsia="仿宋" w:cs="仿宋"/>
                <w:i w:val="0"/>
                <w:caps w:val="0"/>
                <w:color w:val="auto"/>
                <w:spacing w:val="0"/>
                <w:kern w:val="2"/>
                <w:sz w:val="21"/>
                <w:szCs w:val="21"/>
                <w:shd w:val="clear" w:color="070000" w:fill="FFFFFF"/>
                <w:lang w:val="en-US" w:eastAsia="zh-CN" w:bidi="ar-SA"/>
              </w:rPr>
            </w:pPr>
            <w:r>
              <w:rPr>
                <w:rFonts w:hint="eastAsia" w:ascii="仿宋" w:hAnsi="仿宋" w:eastAsia="仿宋" w:cs="仿宋"/>
                <w:i w:val="0"/>
                <w:caps w:val="0"/>
                <w:color w:val="auto"/>
                <w:spacing w:val="0"/>
                <w:kern w:val="2"/>
                <w:sz w:val="21"/>
                <w:szCs w:val="21"/>
                <w:shd w:val="clear" w:color="070000" w:fill="FFFFFF"/>
                <w:lang w:val="en-US" w:eastAsia="zh-CN" w:bidi="ar-SA"/>
              </w:rPr>
              <w:t>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w:t>
            </w:r>
          </w:p>
          <w:p w14:paraId="4D49444F">
            <w:pPr>
              <w:keepNext w:val="0"/>
              <w:keepLines w:val="0"/>
              <w:pageBreakBefore w:val="0"/>
              <w:widowControl w:val="0"/>
              <w:shd w:val="clear"/>
              <w:kinsoku/>
              <w:wordWrap/>
              <w:overflowPunct/>
              <w:topLinePunct w:val="0"/>
              <w:autoSpaceDE/>
              <w:autoSpaceDN w:val="0"/>
              <w:bidi w:val="0"/>
              <w:adjustRightInd/>
              <w:snapToGrid w:val="0"/>
              <w:spacing w:line="200" w:lineRule="exact"/>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1"/>
                <w:szCs w:val="21"/>
                <w:shd w:val="clear" w:color="070000" w:fill="FFFFFF"/>
                <w:lang w:val="en-US" w:eastAsia="zh-CN" w:bidi="ar-SA"/>
              </w:rPr>
              <w:t>有关法律、行政法规规定需要办理消防、卫生、环境保护等审批手续的，从其规定。有关法律、行政法规规定需要办理消防、卫生、环境保护等审批手续的，从其规定。</w:t>
            </w:r>
          </w:p>
        </w:tc>
        <w:tc>
          <w:tcPr>
            <w:tcW w:w="616"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02B8B0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行政许可</w:t>
            </w:r>
          </w:p>
          <w:p w14:paraId="212E725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90B55B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7610FE8">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17"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9D9708A">
            <w:pPr>
              <w:keepNext w:val="0"/>
              <w:keepLines w:val="0"/>
              <w:pageBreakBefore w:val="0"/>
              <w:widowControl w:val="0"/>
              <w:kinsoku/>
              <w:wordWrap/>
              <w:overflowPunct/>
              <w:topLinePunct w:val="0"/>
              <w:autoSpaceDE/>
              <w:autoSpaceDN/>
              <w:bidi w:val="0"/>
              <w:adjustRightInd/>
              <w:snapToGrid/>
              <w:spacing w:line="200" w:lineRule="exact"/>
              <w:ind w:firstLine="0" w:firstLineChars="0"/>
              <w:jc w:val="left"/>
              <w:textAlignment w:val="auto"/>
              <w:rPr>
                <w:rFonts w:hint="eastAsia" w:ascii="仿宋" w:hAnsi="仿宋" w:eastAsia="仿宋" w:cs="仿宋"/>
                <w:i w:val="0"/>
                <w:caps w:val="0"/>
                <w:color w:val="auto"/>
                <w:spacing w:val="0"/>
                <w:sz w:val="16"/>
                <w:szCs w:val="16"/>
                <w:shd w:val="clear" w:color="070000" w:fill="FFFFFF"/>
                <w:lang w:val="en-US" w:eastAsia="zh-CN"/>
              </w:rPr>
            </w:pPr>
            <w:r>
              <w:rPr>
                <w:rFonts w:hint="eastAsia" w:ascii="仿宋" w:hAnsi="仿宋" w:eastAsia="仿宋" w:cs="仿宋"/>
                <w:i w:val="0"/>
                <w:caps w:val="0"/>
                <w:color w:val="auto"/>
                <w:spacing w:val="0"/>
                <w:sz w:val="16"/>
                <w:szCs w:val="16"/>
                <w:shd w:val="clear" w:color="070000" w:fill="FFFFFF"/>
                <w:lang w:val="en-US" w:eastAsia="zh-CN"/>
              </w:rPr>
              <w:t>不履行或不正确履行职责，有下列情形的行政机关及相关工作人员应当承担相应的责任：文化主管部门、公安部门、工商行政管理部门和其他有关部门的工作人员有下列行为之一的，对直接负责的主管人员和其他直接责任人员依法给予行政处分;构成犯罪的，依法追究刑事责任:</w:t>
            </w:r>
          </w:p>
          <w:p w14:paraId="514A0C67">
            <w:pPr>
              <w:keepNext w:val="0"/>
              <w:keepLines w:val="0"/>
              <w:pageBreakBefore w:val="0"/>
              <w:widowControl w:val="0"/>
              <w:kinsoku/>
              <w:wordWrap/>
              <w:overflowPunct/>
              <w:topLinePunct w:val="0"/>
              <w:autoSpaceDE/>
              <w:autoSpaceDN/>
              <w:bidi w:val="0"/>
              <w:adjustRightInd/>
              <w:snapToGrid/>
              <w:spacing w:line="200" w:lineRule="exact"/>
              <w:ind w:firstLine="0" w:firstLineChars="0"/>
              <w:jc w:val="left"/>
              <w:textAlignment w:val="auto"/>
              <w:rPr>
                <w:rFonts w:hint="eastAsia" w:ascii="仿宋" w:hAnsi="仿宋" w:eastAsia="仿宋" w:cs="仿宋"/>
                <w:i w:val="0"/>
                <w:caps w:val="0"/>
                <w:color w:val="auto"/>
                <w:spacing w:val="0"/>
                <w:sz w:val="16"/>
                <w:szCs w:val="16"/>
                <w:shd w:val="clear" w:color="070000" w:fill="FFFFFF"/>
                <w:lang w:val="en-US" w:eastAsia="zh-CN"/>
              </w:rPr>
            </w:pPr>
            <w:r>
              <w:rPr>
                <w:rFonts w:hint="eastAsia" w:ascii="仿宋" w:hAnsi="仿宋" w:eastAsia="仿宋" w:cs="仿宋"/>
                <w:i w:val="0"/>
                <w:caps w:val="0"/>
                <w:color w:val="auto"/>
                <w:spacing w:val="0"/>
                <w:sz w:val="16"/>
                <w:szCs w:val="16"/>
                <w:shd w:val="clear" w:color="070000" w:fill="FFFFFF"/>
                <w:lang w:val="en-US" w:eastAsia="zh-CN"/>
              </w:rPr>
              <w:t>(一)向不符合法定设立条件的单位颁发许可证、批准文件、营业执照的;</w:t>
            </w:r>
          </w:p>
          <w:p w14:paraId="740A2B6E">
            <w:pPr>
              <w:keepNext w:val="0"/>
              <w:keepLines w:val="0"/>
              <w:pageBreakBefore w:val="0"/>
              <w:widowControl w:val="0"/>
              <w:kinsoku/>
              <w:wordWrap/>
              <w:overflowPunct/>
              <w:topLinePunct w:val="0"/>
              <w:autoSpaceDE/>
              <w:autoSpaceDN/>
              <w:bidi w:val="0"/>
              <w:adjustRightInd/>
              <w:snapToGrid/>
              <w:spacing w:line="200" w:lineRule="exact"/>
              <w:ind w:firstLine="0" w:firstLineChars="0"/>
              <w:jc w:val="left"/>
              <w:textAlignment w:val="auto"/>
              <w:rPr>
                <w:rFonts w:hint="eastAsia" w:ascii="仿宋" w:hAnsi="仿宋" w:eastAsia="仿宋" w:cs="仿宋"/>
                <w:i w:val="0"/>
                <w:caps w:val="0"/>
                <w:color w:val="auto"/>
                <w:spacing w:val="0"/>
                <w:sz w:val="16"/>
                <w:szCs w:val="16"/>
                <w:shd w:val="clear" w:color="070000" w:fill="FFFFFF"/>
                <w:lang w:val="en-US" w:eastAsia="zh-CN"/>
              </w:rPr>
            </w:pPr>
            <w:r>
              <w:rPr>
                <w:rFonts w:hint="eastAsia" w:ascii="仿宋" w:hAnsi="仿宋" w:eastAsia="仿宋" w:cs="仿宋"/>
                <w:i w:val="0"/>
                <w:caps w:val="0"/>
                <w:color w:val="auto"/>
                <w:spacing w:val="0"/>
                <w:sz w:val="16"/>
                <w:szCs w:val="16"/>
                <w:shd w:val="clear" w:color="070000" w:fill="FFFFFF"/>
                <w:lang w:val="en-US" w:eastAsia="zh-CN"/>
              </w:rPr>
              <w:t>(二)不履行监督管理职责，或者发现擅自从事娱乐场所经营活动不依法取缔，或者发现违法行为不依法查处的;</w:t>
            </w:r>
          </w:p>
          <w:p w14:paraId="7D6AB7B2">
            <w:pPr>
              <w:keepNext w:val="0"/>
              <w:keepLines w:val="0"/>
              <w:pageBreakBefore w:val="0"/>
              <w:widowControl w:val="0"/>
              <w:kinsoku/>
              <w:wordWrap/>
              <w:overflowPunct/>
              <w:topLinePunct w:val="0"/>
              <w:autoSpaceDE/>
              <w:autoSpaceDN/>
              <w:bidi w:val="0"/>
              <w:adjustRightInd/>
              <w:snapToGrid/>
              <w:spacing w:line="200" w:lineRule="exact"/>
              <w:ind w:firstLine="0" w:firstLineChars="0"/>
              <w:jc w:val="left"/>
              <w:textAlignment w:val="auto"/>
              <w:rPr>
                <w:rFonts w:hint="eastAsia" w:ascii="仿宋" w:hAnsi="仿宋" w:eastAsia="仿宋" w:cs="仿宋"/>
                <w:i w:val="0"/>
                <w:caps w:val="0"/>
                <w:color w:val="auto"/>
                <w:spacing w:val="0"/>
                <w:sz w:val="16"/>
                <w:szCs w:val="16"/>
                <w:shd w:val="clear" w:color="070000" w:fill="FFFFFF"/>
                <w:lang w:val="en-US" w:eastAsia="zh-CN"/>
              </w:rPr>
            </w:pPr>
            <w:r>
              <w:rPr>
                <w:rFonts w:hint="eastAsia" w:ascii="仿宋" w:hAnsi="仿宋" w:eastAsia="仿宋" w:cs="仿宋"/>
                <w:i w:val="0"/>
                <w:caps w:val="0"/>
                <w:color w:val="auto"/>
                <w:spacing w:val="0"/>
                <w:sz w:val="16"/>
                <w:szCs w:val="16"/>
                <w:shd w:val="clear" w:color="070000" w:fill="FFFFFF"/>
                <w:lang w:val="en-US" w:eastAsia="zh-CN"/>
              </w:rPr>
              <w:t>(三)接到对违法行为的举报、通报后不依法查处的;</w:t>
            </w:r>
          </w:p>
          <w:p w14:paraId="5C6EEB00">
            <w:pPr>
              <w:keepNext w:val="0"/>
              <w:keepLines w:val="0"/>
              <w:pageBreakBefore w:val="0"/>
              <w:widowControl w:val="0"/>
              <w:kinsoku/>
              <w:wordWrap/>
              <w:overflowPunct/>
              <w:topLinePunct w:val="0"/>
              <w:autoSpaceDE/>
              <w:autoSpaceDN/>
              <w:bidi w:val="0"/>
              <w:adjustRightInd/>
              <w:snapToGrid/>
              <w:spacing w:line="200" w:lineRule="exact"/>
              <w:ind w:firstLine="0" w:firstLineChars="0"/>
              <w:jc w:val="left"/>
              <w:textAlignment w:val="auto"/>
              <w:rPr>
                <w:rFonts w:hint="eastAsia" w:ascii="仿宋" w:hAnsi="仿宋" w:eastAsia="仿宋" w:cs="仿宋"/>
                <w:i w:val="0"/>
                <w:caps w:val="0"/>
                <w:color w:val="auto"/>
                <w:spacing w:val="0"/>
                <w:sz w:val="16"/>
                <w:szCs w:val="16"/>
                <w:shd w:val="clear" w:color="070000" w:fill="FFFFFF"/>
                <w:lang w:val="en-US" w:eastAsia="zh-CN"/>
              </w:rPr>
            </w:pPr>
            <w:r>
              <w:rPr>
                <w:rFonts w:hint="eastAsia" w:ascii="仿宋" w:hAnsi="仿宋" w:eastAsia="仿宋" w:cs="仿宋"/>
                <w:i w:val="0"/>
                <w:caps w:val="0"/>
                <w:color w:val="auto"/>
                <w:spacing w:val="0"/>
                <w:sz w:val="16"/>
                <w:szCs w:val="16"/>
                <w:shd w:val="clear" w:color="070000" w:fill="FFFFFF"/>
                <w:lang w:val="en-US" w:eastAsia="zh-CN"/>
              </w:rPr>
              <w:t>(四)利用职务之便，索取、收受他人财物或者谋取其他利益的;</w:t>
            </w:r>
          </w:p>
          <w:p w14:paraId="56EEAD23">
            <w:pPr>
              <w:keepNext w:val="0"/>
              <w:keepLines w:val="0"/>
              <w:pageBreakBefore w:val="0"/>
              <w:widowControl w:val="0"/>
              <w:kinsoku/>
              <w:wordWrap/>
              <w:overflowPunct/>
              <w:topLinePunct w:val="0"/>
              <w:autoSpaceDE/>
              <w:autoSpaceDN/>
              <w:bidi w:val="0"/>
              <w:adjustRightInd/>
              <w:snapToGrid/>
              <w:spacing w:line="200" w:lineRule="exact"/>
              <w:ind w:firstLine="0" w:firstLineChars="0"/>
              <w:jc w:val="left"/>
              <w:textAlignment w:val="auto"/>
              <w:rPr>
                <w:rFonts w:hint="eastAsia" w:ascii="仿宋" w:hAnsi="仿宋" w:eastAsia="仿宋" w:cs="仿宋"/>
                <w:i w:val="0"/>
                <w:caps w:val="0"/>
                <w:color w:val="auto"/>
                <w:spacing w:val="0"/>
                <w:sz w:val="16"/>
                <w:szCs w:val="16"/>
                <w:shd w:val="clear" w:color="070000" w:fill="FFFFFF"/>
                <w:lang w:val="en-US" w:eastAsia="zh-CN"/>
              </w:rPr>
            </w:pPr>
            <w:r>
              <w:rPr>
                <w:rFonts w:hint="eastAsia" w:ascii="仿宋" w:hAnsi="仿宋" w:eastAsia="仿宋" w:cs="仿宋"/>
                <w:i w:val="0"/>
                <w:caps w:val="0"/>
                <w:color w:val="auto"/>
                <w:spacing w:val="0"/>
                <w:sz w:val="16"/>
                <w:szCs w:val="16"/>
                <w:shd w:val="clear" w:color="070000" w:fill="FFFFFF"/>
                <w:lang w:val="en-US" w:eastAsia="zh-CN"/>
              </w:rPr>
              <w:t>(五)利用职务之便，参与、包庇违法行为，或者向有关单位、个人通风报信的;</w:t>
            </w:r>
          </w:p>
          <w:p w14:paraId="294561E0">
            <w:pPr>
              <w:keepNext w:val="0"/>
              <w:keepLines w:val="0"/>
              <w:pageBreakBefore w:val="0"/>
              <w:widowControl w:val="0"/>
              <w:kinsoku/>
              <w:wordWrap/>
              <w:overflowPunct/>
              <w:topLinePunct w:val="0"/>
              <w:autoSpaceDE/>
              <w:autoSpaceDN/>
              <w:bidi w:val="0"/>
              <w:adjustRightInd/>
              <w:snapToGrid/>
              <w:spacing w:line="200" w:lineRule="exact"/>
              <w:ind w:firstLine="0" w:firstLineChars="0"/>
              <w:jc w:val="left"/>
              <w:textAlignment w:val="auto"/>
              <w:rPr>
                <w:rFonts w:hint="eastAsia"/>
                <w:lang w:val="en-US" w:eastAsia="zh-CN"/>
              </w:rPr>
            </w:pPr>
            <w:r>
              <w:rPr>
                <w:rFonts w:hint="eastAsia" w:ascii="仿宋" w:hAnsi="仿宋" w:eastAsia="仿宋" w:cs="仿宋"/>
                <w:i w:val="0"/>
                <w:caps w:val="0"/>
                <w:color w:val="auto"/>
                <w:spacing w:val="0"/>
                <w:sz w:val="16"/>
                <w:szCs w:val="16"/>
                <w:shd w:val="clear" w:color="070000" w:fill="FFFFFF"/>
                <w:lang w:val="en-US" w:eastAsia="zh-CN"/>
              </w:rPr>
              <w:t>(六)有其他滥用职权、玩忽职守、徇私舞弊行为的。</w:t>
            </w:r>
          </w:p>
          <w:p w14:paraId="47F2A59A">
            <w:pPr>
              <w:keepNext w:val="0"/>
              <w:keepLines w:val="0"/>
              <w:pageBreakBefore w:val="0"/>
              <w:kinsoku/>
              <w:wordWrap/>
              <w:overflowPunct/>
              <w:topLinePunct w:val="0"/>
              <w:autoSpaceDE/>
              <w:autoSpaceDN/>
              <w:bidi w:val="0"/>
              <w:adjustRightIn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41661EB">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14:paraId="7AF45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5" w:hRule="atLeast"/>
          <w:jc w:val="center"/>
        </w:trPr>
        <w:tc>
          <w:tcPr>
            <w:tcW w:w="67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D962F14">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p>
        </w:tc>
        <w:tc>
          <w:tcPr>
            <w:tcW w:w="138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E009B91">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p>
        </w:tc>
        <w:tc>
          <w:tcPr>
            <w:tcW w:w="3801"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F3C8C76">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p>
        </w:tc>
        <w:tc>
          <w:tcPr>
            <w:tcW w:w="616"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83D7A81">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8F11DE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CA387A2">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17"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A025CA4">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1D60BB1">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492BC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85" w:hRule="atLeast"/>
          <w:jc w:val="center"/>
        </w:trPr>
        <w:tc>
          <w:tcPr>
            <w:tcW w:w="67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9139DC3">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p>
        </w:tc>
        <w:tc>
          <w:tcPr>
            <w:tcW w:w="138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B288259">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p>
        </w:tc>
        <w:tc>
          <w:tcPr>
            <w:tcW w:w="3801"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34E154D">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p>
        </w:tc>
        <w:tc>
          <w:tcPr>
            <w:tcW w:w="616"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949955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4A9074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FFEFB26">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default"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17"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44AEDC0">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5A84628">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4C6D1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8"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07442CB">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53141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D8845C9">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51A92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0"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5DB8DA90">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default"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t>3</w:t>
            </w:r>
          </w:p>
        </w:tc>
        <w:tc>
          <w:tcPr>
            <w:tcW w:w="138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2651E9FB">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val="0"/>
                <w:color w:val="auto"/>
                <w:sz w:val="24"/>
                <w:szCs w:val="24"/>
                <w:lang w:val="en-US" w:eastAsia="zh-CN"/>
              </w:rPr>
              <w:t>文艺表演团体从事营业性演出活动审批</w:t>
            </w:r>
          </w:p>
        </w:tc>
        <w:tc>
          <w:tcPr>
            <w:tcW w:w="3801"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0A45C86E">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ascii="仿宋" w:hAnsi="仿宋" w:eastAsia="仿宋" w:cs="仿宋"/>
                <w:i w:val="0"/>
                <w:caps w:val="0"/>
                <w:color w:val="auto"/>
                <w:spacing w:val="0"/>
                <w:kern w:val="2"/>
                <w:sz w:val="22"/>
                <w:szCs w:val="22"/>
                <w:shd w:val="clear" w:color="070000" w:fill="FFFFFF"/>
                <w:lang w:val="en-US" w:eastAsia="zh-CN" w:bidi="ar-SA"/>
              </w:rPr>
              <w:t>《营业性演出管理条例》(2005年7月7日中华人民共和国国务院令第439号公布根据2008年7月22日《国务院关于修改〈营业性演出管理条例〉的决定》第一次修订根据2013年7月18日《国务院关于废止和修改部分行政法规的决定》第二次修订根据2016年2月6日《国务院关于修改部分行政法规的决定》第三次修订根据2020年11月29日《国务院关于修改和废止部分行政法规的决定》第四次修订)第六条：文艺表演团体申请从事营业性演出活动，应当有与其业务相适应的专职演员和器材设备，并向县级人民政府文化主管部门提出申请；演出经纪机构申请从事营业性演出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tc>
        <w:tc>
          <w:tcPr>
            <w:tcW w:w="616" w:type="dxa"/>
            <w:gridSpan w:val="3"/>
            <w:vMerge w:val="restart"/>
            <w:tcBorders>
              <w:top w:val="single" w:color="auto" w:sz="4" w:space="0"/>
              <w:left w:val="single" w:color="auto" w:sz="4" w:space="0"/>
              <w:right w:val="single" w:color="auto" w:sz="4" w:space="0"/>
            </w:tcBorders>
            <w:tcMar>
              <w:top w:w="15" w:type="dxa"/>
              <w:left w:w="15" w:type="dxa"/>
              <w:right w:w="15" w:type="dxa"/>
            </w:tcMar>
            <w:vAlign w:val="center"/>
          </w:tcPr>
          <w:p w14:paraId="6DCE7B3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行政许可</w:t>
            </w: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2C8F32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B76CE83">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5B28F1B2">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lang w:val="en-US" w:eastAsia="zh-CN"/>
              </w:rPr>
            </w:pPr>
            <w:r>
              <w:rPr>
                <w:rFonts w:hint="eastAsia" w:ascii="仿宋" w:hAnsi="仿宋" w:eastAsia="仿宋" w:cs="仿宋"/>
                <w:i w:val="0"/>
                <w:caps w:val="0"/>
                <w:color w:val="auto"/>
                <w:spacing w:val="0"/>
                <w:sz w:val="24"/>
                <w:szCs w:val="24"/>
                <w:shd w:val="clear" w:color="070000" w:fill="FFFFFF"/>
                <w:lang w:val="en-US" w:eastAsia="zh-CN"/>
              </w:rPr>
              <w:t>不履行或不正确履行职责，有下列情形的行政机关及相关工作人员应当承担相应的责任：文化主管部门、公安部门、工商行政管理部门的工作人员滥用职权、玩忽职守、徇私舞弊或者未依照本条例规定履行职责的，依法给予行政处分；构成犯罪的，依法追究刑事责任。</w:t>
            </w: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544E23F5">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default"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14:paraId="476C7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5" w:hRule="atLeast"/>
          <w:jc w:val="center"/>
        </w:trPr>
        <w:tc>
          <w:tcPr>
            <w:tcW w:w="678" w:type="dxa"/>
            <w:vMerge w:val="continue"/>
            <w:tcBorders>
              <w:left w:val="single" w:color="auto" w:sz="4" w:space="0"/>
              <w:right w:val="single" w:color="auto" w:sz="4" w:space="0"/>
            </w:tcBorders>
            <w:tcMar>
              <w:top w:w="15" w:type="dxa"/>
              <w:left w:w="15" w:type="dxa"/>
              <w:right w:w="15" w:type="dxa"/>
            </w:tcMar>
            <w:vAlign w:val="center"/>
          </w:tcPr>
          <w:p w14:paraId="3B12FCA6">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p>
        </w:tc>
        <w:tc>
          <w:tcPr>
            <w:tcW w:w="1382" w:type="dxa"/>
            <w:vMerge w:val="continue"/>
            <w:tcBorders>
              <w:left w:val="single" w:color="auto" w:sz="4" w:space="0"/>
              <w:right w:val="single" w:color="auto" w:sz="4" w:space="0"/>
            </w:tcBorders>
            <w:tcMar>
              <w:top w:w="15" w:type="dxa"/>
              <w:left w:w="15" w:type="dxa"/>
              <w:right w:w="15" w:type="dxa"/>
            </w:tcMar>
            <w:vAlign w:val="center"/>
          </w:tcPr>
          <w:p w14:paraId="41AAC8E6">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b w:val="0"/>
                <w:bCs w:val="0"/>
                <w:color w:val="auto"/>
                <w:sz w:val="24"/>
                <w:szCs w:val="24"/>
                <w:lang w:val="en-US" w:eastAsia="zh-CN"/>
              </w:rPr>
            </w:pPr>
          </w:p>
        </w:tc>
        <w:tc>
          <w:tcPr>
            <w:tcW w:w="3801" w:type="dxa"/>
            <w:gridSpan w:val="2"/>
            <w:vMerge w:val="continue"/>
            <w:tcBorders>
              <w:left w:val="single" w:color="auto" w:sz="4" w:space="0"/>
              <w:right w:val="single" w:color="auto" w:sz="4" w:space="0"/>
            </w:tcBorders>
            <w:tcMar>
              <w:top w:w="15" w:type="dxa"/>
              <w:left w:w="15" w:type="dxa"/>
              <w:right w:w="15" w:type="dxa"/>
            </w:tcMar>
            <w:vAlign w:val="center"/>
          </w:tcPr>
          <w:p w14:paraId="497A9005">
            <w:pPr>
              <w:rPr>
                <w:rFonts w:hint="eastAsia" w:ascii="Calibri" w:hAnsi="Calibri" w:eastAsia="宋体" w:cs="Times New Roman"/>
                <w:kern w:val="2"/>
                <w:sz w:val="21"/>
                <w:szCs w:val="22"/>
                <w:lang w:val="en-US" w:eastAsia="zh-CN" w:bidi="ar-SA"/>
              </w:rPr>
            </w:pPr>
          </w:p>
        </w:tc>
        <w:tc>
          <w:tcPr>
            <w:tcW w:w="616" w:type="dxa"/>
            <w:gridSpan w:val="3"/>
            <w:vMerge w:val="continue"/>
            <w:tcBorders>
              <w:left w:val="single" w:color="auto" w:sz="4" w:space="0"/>
              <w:right w:val="single" w:color="auto" w:sz="4" w:space="0"/>
            </w:tcBorders>
            <w:tcMar>
              <w:top w:w="15" w:type="dxa"/>
              <w:left w:w="15" w:type="dxa"/>
              <w:right w:w="15" w:type="dxa"/>
            </w:tcMar>
            <w:vAlign w:val="center"/>
          </w:tcPr>
          <w:p w14:paraId="0652B26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3885FE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015960A">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17" w:type="dxa"/>
            <w:gridSpan w:val="2"/>
            <w:vMerge w:val="continue"/>
            <w:tcBorders>
              <w:left w:val="single" w:color="auto" w:sz="4" w:space="0"/>
              <w:right w:val="single" w:color="auto" w:sz="4" w:space="0"/>
            </w:tcBorders>
            <w:tcMar>
              <w:top w:w="15" w:type="dxa"/>
              <w:left w:w="15" w:type="dxa"/>
              <w:right w:w="15" w:type="dxa"/>
            </w:tcMar>
            <w:vAlign w:val="center"/>
          </w:tcPr>
          <w:p w14:paraId="2DBEE0CF">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right w:val="single" w:color="auto" w:sz="4" w:space="0"/>
            </w:tcBorders>
            <w:tcMar>
              <w:top w:w="15" w:type="dxa"/>
              <w:left w:w="15" w:type="dxa"/>
              <w:right w:w="15" w:type="dxa"/>
            </w:tcMar>
            <w:vAlign w:val="center"/>
          </w:tcPr>
          <w:p w14:paraId="7339AE28">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2642B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2" w:hRule="atLeast"/>
          <w:jc w:val="center"/>
        </w:trPr>
        <w:tc>
          <w:tcPr>
            <w:tcW w:w="678" w:type="dxa"/>
            <w:vMerge w:val="continue"/>
            <w:tcBorders>
              <w:left w:val="single" w:color="auto" w:sz="4" w:space="0"/>
              <w:right w:val="single" w:color="auto" w:sz="4" w:space="0"/>
            </w:tcBorders>
            <w:tcMar>
              <w:top w:w="15" w:type="dxa"/>
              <w:left w:w="15" w:type="dxa"/>
              <w:right w:w="15" w:type="dxa"/>
            </w:tcMar>
            <w:vAlign w:val="center"/>
          </w:tcPr>
          <w:p w14:paraId="5F1B0EB0">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p>
        </w:tc>
        <w:tc>
          <w:tcPr>
            <w:tcW w:w="1382" w:type="dxa"/>
            <w:vMerge w:val="continue"/>
            <w:tcBorders>
              <w:left w:val="single" w:color="auto" w:sz="4" w:space="0"/>
              <w:right w:val="single" w:color="auto" w:sz="4" w:space="0"/>
            </w:tcBorders>
            <w:tcMar>
              <w:top w:w="15" w:type="dxa"/>
              <w:left w:w="15" w:type="dxa"/>
              <w:right w:w="15" w:type="dxa"/>
            </w:tcMar>
            <w:vAlign w:val="center"/>
          </w:tcPr>
          <w:p w14:paraId="673473A0">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b w:val="0"/>
                <w:bCs w:val="0"/>
                <w:color w:val="auto"/>
                <w:sz w:val="24"/>
                <w:szCs w:val="24"/>
                <w:lang w:val="en-US" w:eastAsia="zh-CN"/>
              </w:rPr>
            </w:pPr>
          </w:p>
        </w:tc>
        <w:tc>
          <w:tcPr>
            <w:tcW w:w="3801" w:type="dxa"/>
            <w:gridSpan w:val="2"/>
            <w:vMerge w:val="continue"/>
            <w:tcBorders>
              <w:left w:val="single" w:color="auto" w:sz="4" w:space="0"/>
              <w:right w:val="single" w:color="auto" w:sz="4" w:space="0"/>
            </w:tcBorders>
            <w:tcMar>
              <w:top w:w="15" w:type="dxa"/>
              <w:left w:w="15" w:type="dxa"/>
              <w:right w:w="15" w:type="dxa"/>
            </w:tcMar>
            <w:vAlign w:val="center"/>
          </w:tcPr>
          <w:p w14:paraId="6620A2FB">
            <w:pPr>
              <w:rPr>
                <w:rFonts w:hint="eastAsia" w:ascii="Calibri" w:hAnsi="Calibri" w:eastAsia="宋体" w:cs="Times New Roman"/>
                <w:kern w:val="2"/>
                <w:sz w:val="21"/>
                <w:szCs w:val="22"/>
                <w:lang w:val="en-US" w:eastAsia="zh-CN" w:bidi="ar-SA"/>
              </w:rPr>
            </w:pPr>
          </w:p>
        </w:tc>
        <w:tc>
          <w:tcPr>
            <w:tcW w:w="616" w:type="dxa"/>
            <w:gridSpan w:val="3"/>
            <w:vMerge w:val="continue"/>
            <w:tcBorders>
              <w:left w:val="single" w:color="auto" w:sz="4" w:space="0"/>
              <w:right w:val="single" w:color="auto" w:sz="4" w:space="0"/>
            </w:tcBorders>
            <w:tcMar>
              <w:top w:w="15" w:type="dxa"/>
              <w:left w:w="15" w:type="dxa"/>
              <w:right w:w="15" w:type="dxa"/>
            </w:tcMar>
            <w:vAlign w:val="center"/>
          </w:tcPr>
          <w:p w14:paraId="50B0D61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8534D9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1F58EE7">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17" w:type="dxa"/>
            <w:gridSpan w:val="2"/>
            <w:vMerge w:val="continue"/>
            <w:tcBorders>
              <w:left w:val="single" w:color="auto" w:sz="4" w:space="0"/>
              <w:right w:val="single" w:color="auto" w:sz="4" w:space="0"/>
            </w:tcBorders>
            <w:tcMar>
              <w:top w:w="15" w:type="dxa"/>
              <w:left w:w="15" w:type="dxa"/>
              <w:right w:w="15" w:type="dxa"/>
            </w:tcMar>
            <w:vAlign w:val="center"/>
          </w:tcPr>
          <w:p w14:paraId="5579A61B">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right w:val="single" w:color="auto" w:sz="4" w:space="0"/>
            </w:tcBorders>
            <w:tcMar>
              <w:top w:w="15" w:type="dxa"/>
              <w:left w:w="15" w:type="dxa"/>
              <w:right w:w="15" w:type="dxa"/>
            </w:tcMar>
            <w:vAlign w:val="center"/>
          </w:tcPr>
          <w:p w14:paraId="70FB2BA4">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53B57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946" w:type="dxa"/>
            <w:gridSpan w:val="14"/>
            <w:tcBorders>
              <w:top w:val="single" w:color="auto" w:sz="4" w:space="0"/>
              <w:left w:val="single" w:color="auto" w:sz="4" w:space="0"/>
              <w:right w:val="single" w:color="auto" w:sz="4" w:space="0"/>
            </w:tcBorders>
            <w:tcMar>
              <w:top w:w="15" w:type="dxa"/>
              <w:left w:w="15" w:type="dxa"/>
              <w:right w:w="15" w:type="dxa"/>
            </w:tcMar>
            <w:vAlign w:val="center"/>
          </w:tcPr>
          <w:p w14:paraId="2FF07AB1">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603D8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4AC24FF">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1C5B6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5" w:hRule="atLeast"/>
          <w:jc w:val="center"/>
        </w:trPr>
        <w:tc>
          <w:tcPr>
            <w:tcW w:w="67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DBCB28E">
            <w:pPr>
              <w:keepNext w:val="0"/>
              <w:keepLines w:val="0"/>
              <w:pageBreakBefore w:val="0"/>
              <w:kinsoku/>
              <w:wordWrap/>
              <w:overflowPunct/>
              <w:topLinePunct w:val="0"/>
              <w:autoSpaceDE/>
              <w:autoSpaceDN/>
              <w:bidi w:val="0"/>
              <w:adjustRightInd/>
              <w:ind w:firstLine="0" w:firstLineChars="0"/>
              <w:jc w:val="center"/>
              <w:rPr>
                <w:rFonts w:hint="default"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4</w:t>
            </w:r>
          </w:p>
        </w:tc>
        <w:tc>
          <w:tcPr>
            <w:tcW w:w="138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627C34B">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val="0"/>
                <w:color w:val="auto"/>
                <w:sz w:val="24"/>
                <w:szCs w:val="24"/>
                <w:lang w:val="en-US" w:eastAsia="zh-CN"/>
              </w:rPr>
              <w:t>申请从事互联网上网服务经营活动审批</w:t>
            </w:r>
          </w:p>
        </w:tc>
        <w:tc>
          <w:tcPr>
            <w:tcW w:w="3801"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7AC1E5C">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互联网上网服务营业场所管理条例》（2002年9月29日中华人民共和国国务院令第363号公布根据2011年1月8日《国务院关于废止和修改部分行政法规的决定》第一次修订根据2016年2月6日《国务院关于修改部分行政法规的决定》第二次修订根据2019年3月24日《国务院关于修改部分行政法规的决定》第三次修订根据2022年3月29日《国务院关于修改和废止部分行政法规的决定》第四次修订）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w:t>
            </w:r>
          </w:p>
        </w:tc>
        <w:tc>
          <w:tcPr>
            <w:tcW w:w="616"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CBB270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行政许可</w:t>
            </w: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A0A269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78957F8">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17"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085C08C">
            <w:pPr>
              <w:keepNext w:val="0"/>
              <w:keepLines w:val="0"/>
              <w:pageBreakBefore w:val="0"/>
              <w:widowControl w:val="0"/>
              <w:kinsoku/>
              <w:wordWrap/>
              <w:overflowPunct/>
              <w:topLinePunct w:val="0"/>
              <w:autoSpaceDE/>
              <w:autoSpaceDN/>
              <w:bidi w:val="0"/>
              <w:adjustRightInd/>
              <w:snapToGrid/>
              <w:spacing w:line="220" w:lineRule="exact"/>
              <w:ind w:firstLine="0" w:firstLineChars="0"/>
              <w:jc w:val="left"/>
              <w:textAlignment w:val="auto"/>
              <w:rPr>
                <w:rFonts w:hint="eastAsia"/>
                <w:lang w:val="en-US" w:eastAsia="zh-CN"/>
              </w:rPr>
            </w:pPr>
            <w:r>
              <w:rPr>
                <w:rFonts w:hint="eastAsia" w:ascii="仿宋" w:hAnsi="仿宋" w:eastAsia="仿宋" w:cs="仿宋"/>
                <w:i w:val="0"/>
                <w:caps w:val="0"/>
                <w:color w:val="auto"/>
                <w:spacing w:val="0"/>
                <w:sz w:val="21"/>
                <w:szCs w:val="21"/>
                <w:shd w:val="clear" w:color="070000" w:fill="FFFFFF"/>
                <w:lang w:val="en-US" w:eastAsia="zh-CN"/>
              </w:rPr>
              <w:t>不履行或不正确履行职责，有下列情形的行政机关及相关工作人员应当承担相应的责任：文化行政部门、公安机关、工商行政管理部门或者其他有关部门及其工作人员，利用职务上的便利收受他人财物或者其他好处，违法批准不符合法定设立条件的互联网上网服务营业场所经营单位，或者不依法履行监督职责，或者发现违法行为不予依法查处，触犯刑律的，对直接负责的主管人员和其他直接责任人员依照刑法关于受贿罪、滥用职权罪、玩忽职守罪或者其他罪的规定，依法追究刑事责任；尚不够刑事处罚的，依法给予降级、撤职或者开除的行政处分</w:t>
            </w:r>
            <w:r>
              <w:rPr>
                <w:rFonts w:hint="eastAsia" w:ascii="仿宋" w:hAnsi="仿宋" w:eastAsia="仿宋" w:cs="仿宋"/>
                <w:i w:val="0"/>
                <w:caps w:val="0"/>
                <w:color w:val="auto"/>
                <w:spacing w:val="0"/>
                <w:sz w:val="24"/>
                <w:szCs w:val="24"/>
                <w:shd w:val="clear" w:color="070000" w:fill="FFFFFF"/>
                <w:lang w:val="en-US" w:eastAsia="zh-CN"/>
              </w:rPr>
              <w:t>。</w:t>
            </w:r>
          </w:p>
        </w:tc>
        <w:tc>
          <w:tcPr>
            <w:tcW w:w="104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4EF33EE">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default"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14:paraId="6622E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5" w:hRule="atLeast"/>
          <w:jc w:val="center"/>
        </w:trPr>
        <w:tc>
          <w:tcPr>
            <w:tcW w:w="67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A2D864D">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38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5D4979A">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b w:val="0"/>
                <w:bCs w:val="0"/>
                <w:color w:val="auto"/>
                <w:sz w:val="24"/>
                <w:szCs w:val="24"/>
                <w:lang w:val="en-US" w:eastAsia="zh-CN"/>
              </w:rPr>
            </w:pPr>
          </w:p>
        </w:tc>
        <w:tc>
          <w:tcPr>
            <w:tcW w:w="3801"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9B36305">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16"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4DE3F8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6CD999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155D8C4">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17"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4479CF1">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CF71A49">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3AFD1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7"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1999514">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D870CEF">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b w:val="0"/>
                <w:bCs w:val="0"/>
                <w:color w:val="auto"/>
                <w:sz w:val="24"/>
                <w:szCs w:val="24"/>
                <w:lang w:val="en-US" w:eastAsia="zh-CN"/>
              </w:rPr>
            </w:pPr>
          </w:p>
        </w:tc>
        <w:tc>
          <w:tcPr>
            <w:tcW w:w="3801"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008CF59">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16"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A497D3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97F31F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65D3805">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6C46B33">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B38662F">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4CF31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9257E48">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37DFA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707F342">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637C5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3"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793475B5">
            <w:pPr>
              <w:keepNext w:val="0"/>
              <w:keepLines w:val="0"/>
              <w:pageBreakBefore w:val="0"/>
              <w:kinsoku/>
              <w:wordWrap/>
              <w:overflowPunct/>
              <w:topLinePunct w:val="0"/>
              <w:autoSpaceDE/>
              <w:autoSpaceDN/>
              <w:bidi w:val="0"/>
              <w:adjustRightInd/>
              <w:ind w:firstLine="0" w:firstLineChars="0"/>
              <w:jc w:val="center"/>
              <w:rPr>
                <w:rFonts w:hint="default"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5</w:t>
            </w:r>
          </w:p>
        </w:tc>
        <w:tc>
          <w:tcPr>
            <w:tcW w:w="138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34B2AD60">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val="0"/>
                <w:color w:val="auto"/>
                <w:sz w:val="24"/>
                <w:szCs w:val="24"/>
                <w:lang w:val="en-US" w:eastAsia="zh-CN"/>
              </w:rPr>
              <w:t>区域性有线广播电视传输覆盖网总体规划、建设方案审核</w:t>
            </w:r>
          </w:p>
        </w:tc>
        <w:tc>
          <w:tcPr>
            <w:tcW w:w="3801"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62269F31">
            <w:pPr>
              <w:pStyle w:val="2"/>
              <w:rPr>
                <w:rFonts w:hint="eastAsia" w:ascii="Calibri" w:hAnsi="Calibri" w:eastAsia="宋体" w:cs="Times New Roman"/>
                <w:kern w:val="2"/>
                <w:sz w:val="21"/>
                <w:szCs w:val="22"/>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广播电视管理条例》（1997年8月11日国务院令第228号，2013年12月7日国务院令第645号第一次修订，2017年3月1日国务院令第676号第二次修订，根据2020年11月29日《国务院关于修改和废止部分行政法规的决定》第三次修订）第二十三条：区域性有线广播电视传输覆盖网的规划、建设方案，由县级人民政府或者设区的市、自治州人民政府的广播电视行政部门报省、自治区、直辖市人民政府广播电视行政部门批准后实施，或者由省、自治区、直辖市人民政府广播电视行政部门报国务院广播电视行政部门批准后实施。</w:t>
            </w:r>
          </w:p>
        </w:tc>
        <w:tc>
          <w:tcPr>
            <w:tcW w:w="616" w:type="dxa"/>
            <w:gridSpan w:val="3"/>
            <w:vMerge w:val="restart"/>
            <w:tcBorders>
              <w:top w:val="single" w:color="auto" w:sz="4" w:space="0"/>
              <w:left w:val="single" w:color="auto" w:sz="4" w:space="0"/>
              <w:right w:val="single" w:color="auto" w:sz="4" w:space="0"/>
            </w:tcBorders>
            <w:tcMar>
              <w:top w:w="15" w:type="dxa"/>
              <w:left w:w="15" w:type="dxa"/>
              <w:right w:w="15" w:type="dxa"/>
            </w:tcMar>
            <w:vAlign w:val="center"/>
          </w:tcPr>
          <w:p w14:paraId="61577B5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行政许可</w:t>
            </w: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C571A6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BFDAD34">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Calibri" w:hAnsi="Calibri" w:eastAsia="宋体" w:cs="Times New Roman"/>
                <w:kern w:val="2"/>
                <w:sz w:val="21"/>
                <w:szCs w:val="22"/>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2AAFAF58">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不履行或不正确履行职责，有下列情形的行政机关及相关工作人员应当承担相应的责任：广播电视行政部门及其工作人员在广播电视管理工作中滥用职权、玩忽职守、徇私舞弊，构成犯罪的，依法追究刑事责任；尚不构成犯罪的，依法给予行政处分。</w:t>
            </w: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1A6F6EA1">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default"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14:paraId="3C690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5"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BFD1142">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24B3227">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b w:val="0"/>
                <w:bCs w:val="0"/>
                <w:color w:val="auto"/>
                <w:sz w:val="24"/>
                <w:szCs w:val="24"/>
                <w:lang w:val="en-US" w:eastAsia="zh-CN"/>
              </w:rPr>
            </w:pPr>
          </w:p>
        </w:tc>
        <w:tc>
          <w:tcPr>
            <w:tcW w:w="3801"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E15DE36">
            <w:pPr>
              <w:rPr>
                <w:rFonts w:hint="eastAsia" w:ascii="Calibri" w:hAnsi="Calibri" w:eastAsia="宋体" w:cs="Times New Roman"/>
                <w:kern w:val="2"/>
                <w:sz w:val="21"/>
                <w:szCs w:val="22"/>
                <w:lang w:val="en-US" w:eastAsia="zh-CN" w:bidi="ar-SA"/>
              </w:rPr>
            </w:pPr>
          </w:p>
        </w:tc>
        <w:tc>
          <w:tcPr>
            <w:tcW w:w="616"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B060AE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4A891B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40BE48D">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Calibri" w:hAnsi="Calibri" w:eastAsia="宋体" w:cs="Times New Roman"/>
                <w:kern w:val="2"/>
                <w:sz w:val="21"/>
                <w:szCs w:val="22"/>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C8A7C06">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C1353EB">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5A4F6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0"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60C184C">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E5C27BC">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b w:val="0"/>
                <w:bCs w:val="0"/>
                <w:color w:val="auto"/>
                <w:sz w:val="24"/>
                <w:szCs w:val="24"/>
                <w:lang w:val="en-US" w:eastAsia="zh-CN"/>
              </w:rPr>
            </w:pPr>
          </w:p>
        </w:tc>
        <w:tc>
          <w:tcPr>
            <w:tcW w:w="3801"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86B7EF1">
            <w:pPr>
              <w:rPr>
                <w:rFonts w:hint="eastAsia" w:ascii="Calibri" w:hAnsi="Calibri" w:eastAsia="宋体" w:cs="Times New Roman"/>
                <w:kern w:val="2"/>
                <w:sz w:val="21"/>
                <w:szCs w:val="22"/>
                <w:lang w:val="en-US" w:eastAsia="zh-CN" w:bidi="ar-SA"/>
              </w:rPr>
            </w:pPr>
          </w:p>
        </w:tc>
        <w:tc>
          <w:tcPr>
            <w:tcW w:w="616"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A97231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8BCFA6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5FBD882">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Calibri" w:hAnsi="Calibri" w:eastAsia="宋体" w:cs="Times New Roman"/>
                <w:kern w:val="2"/>
                <w:sz w:val="21"/>
                <w:szCs w:val="22"/>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D63BB8A">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963CADC">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7DE8E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6AEEE5B">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466DF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68E715E">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1F9C2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0"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2FB7EB0B">
            <w:pPr>
              <w:keepNext w:val="0"/>
              <w:keepLines w:val="0"/>
              <w:pageBreakBefore w:val="0"/>
              <w:kinsoku/>
              <w:wordWrap/>
              <w:overflowPunct/>
              <w:topLinePunct w:val="0"/>
              <w:autoSpaceDE/>
              <w:autoSpaceDN/>
              <w:bidi w:val="0"/>
              <w:adjustRightInd/>
              <w:ind w:firstLine="0" w:firstLineChars="0"/>
              <w:jc w:val="center"/>
              <w:rPr>
                <w:rFonts w:hint="default"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6</w:t>
            </w:r>
          </w:p>
        </w:tc>
        <w:tc>
          <w:tcPr>
            <w:tcW w:w="138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73AD8934">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val="0"/>
                <w:color w:val="auto"/>
                <w:sz w:val="24"/>
                <w:szCs w:val="24"/>
                <w:lang w:val="en-US" w:eastAsia="zh-CN"/>
              </w:rPr>
              <w:t>设置卫星电视广播地面接收设施审批</w:t>
            </w:r>
          </w:p>
        </w:tc>
        <w:tc>
          <w:tcPr>
            <w:tcW w:w="3801"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27BD1598">
            <w:pPr>
              <w:keepNext w:val="0"/>
              <w:keepLines w:val="0"/>
              <w:pageBreakBefore w:val="0"/>
              <w:widowControl w:val="0"/>
              <w:kinsoku/>
              <w:wordWrap/>
              <w:overflowPunct/>
              <w:topLinePunct w:val="0"/>
              <w:autoSpaceDE/>
              <w:autoSpaceDN w:val="0"/>
              <w:bidi w:val="0"/>
              <w:adjustRightInd/>
              <w:snapToGrid w:val="0"/>
              <w:spacing w:line="160" w:lineRule="exact"/>
              <w:jc w:val="both"/>
              <w:textAlignment w:val="center"/>
              <w:rPr>
                <w:rFonts w:hint="eastAsia" w:ascii="仿宋" w:hAnsi="仿宋" w:eastAsia="仿宋" w:cs="仿宋"/>
                <w:i w:val="0"/>
                <w:caps w:val="0"/>
                <w:color w:val="auto"/>
                <w:spacing w:val="0"/>
                <w:kern w:val="2"/>
                <w:sz w:val="15"/>
                <w:szCs w:val="15"/>
                <w:shd w:val="clear" w:color="070000" w:fill="FFFFFF"/>
                <w:lang w:val="en-US" w:eastAsia="zh-CN" w:bidi="ar-SA"/>
              </w:rPr>
            </w:pPr>
            <w:r>
              <w:rPr>
                <w:rFonts w:hint="eastAsia" w:ascii="仿宋" w:hAnsi="仿宋" w:eastAsia="仿宋" w:cs="仿宋"/>
                <w:i w:val="0"/>
                <w:caps w:val="0"/>
                <w:color w:val="auto"/>
                <w:spacing w:val="0"/>
                <w:kern w:val="2"/>
                <w:sz w:val="15"/>
                <w:szCs w:val="15"/>
                <w:shd w:val="clear" w:color="070000" w:fill="FFFFFF"/>
                <w:lang w:val="en-US" w:eastAsia="zh-CN" w:bidi="ar-SA"/>
              </w:rPr>
              <w:t>《卫星电视广播地面接收设施管理规定》</w:t>
            </w:r>
            <w:r>
              <w:rPr>
                <w:rFonts w:hint="eastAsia" w:ascii="仿宋" w:hAnsi="仿宋" w:eastAsia="仿宋" w:cs="仿宋"/>
                <w:i w:val="0"/>
                <w:caps w:val="0"/>
                <w:color w:val="auto"/>
                <w:spacing w:val="0"/>
                <w:kern w:val="2"/>
                <w:sz w:val="15"/>
                <w:szCs w:val="15"/>
                <w:shd w:val="clear" w:color="070000"/>
                <w:lang w:val="en-US" w:eastAsia="zh-CN" w:bidi="ar-SA"/>
              </w:rPr>
              <w:t>(</w:t>
            </w:r>
            <w:r>
              <w:rPr>
                <w:rFonts w:hint="default" w:ascii="仿宋" w:hAnsi="仿宋" w:eastAsia="仿宋" w:cs="仿宋"/>
                <w:i w:val="0"/>
                <w:caps w:val="0"/>
                <w:color w:val="auto"/>
                <w:spacing w:val="0"/>
                <w:kern w:val="2"/>
                <w:sz w:val="15"/>
                <w:szCs w:val="15"/>
                <w:shd w:val="clear" w:color="070000"/>
                <w:lang w:val="en-US" w:eastAsia="zh-CN" w:bidi="ar-SA"/>
              </w:rPr>
              <w:t>1993</w:t>
            </w:r>
            <w:r>
              <w:rPr>
                <w:rFonts w:hint="eastAsia" w:ascii="仿宋" w:hAnsi="仿宋" w:eastAsia="仿宋" w:cs="仿宋"/>
                <w:i w:val="0"/>
                <w:caps w:val="0"/>
                <w:color w:val="auto"/>
                <w:spacing w:val="0"/>
                <w:kern w:val="2"/>
                <w:sz w:val="15"/>
                <w:szCs w:val="15"/>
                <w:shd w:val="clear" w:color="070000"/>
                <w:lang w:val="en-US" w:eastAsia="zh-CN" w:bidi="ar-SA"/>
              </w:rPr>
              <w:t>年</w:t>
            </w:r>
            <w:r>
              <w:rPr>
                <w:rFonts w:hint="default" w:ascii="仿宋" w:hAnsi="仿宋" w:eastAsia="仿宋" w:cs="仿宋"/>
                <w:i w:val="0"/>
                <w:caps w:val="0"/>
                <w:color w:val="auto"/>
                <w:spacing w:val="0"/>
                <w:kern w:val="2"/>
                <w:sz w:val="15"/>
                <w:szCs w:val="15"/>
                <w:shd w:val="clear" w:color="070000"/>
                <w:lang w:val="en-US" w:eastAsia="zh-CN" w:bidi="ar-SA"/>
              </w:rPr>
              <w:t>10</w:t>
            </w:r>
            <w:r>
              <w:rPr>
                <w:rFonts w:hint="eastAsia" w:ascii="仿宋" w:hAnsi="仿宋" w:eastAsia="仿宋" w:cs="仿宋"/>
                <w:i w:val="0"/>
                <w:caps w:val="0"/>
                <w:color w:val="auto"/>
                <w:spacing w:val="0"/>
                <w:kern w:val="2"/>
                <w:sz w:val="15"/>
                <w:szCs w:val="15"/>
                <w:shd w:val="clear" w:color="070000"/>
                <w:lang w:val="en-US" w:eastAsia="zh-CN" w:bidi="ar-SA"/>
              </w:rPr>
              <w:t>月</w:t>
            </w:r>
            <w:r>
              <w:rPr>
                <w:rFonts w:hint="default" w:ascii="仿宋" w:hAnsi="仿宋" w:eastAsia="仿宋" w:cs="仿宋"/>
                <w:i w:val="0"/>
                <w:caps w:val="0"/>
                <w:color w:val="auto"/>
                <w:spacing w:val="0"/>
                <w:kern w:val="2"/>
                <w:sz w:val="15"/>
                <w:szCs w:val="15"/>
                <w:shd w:val="clear" w:color="070000"/>
                <w:lang w:val="en-US" w:eastAsia="zh-CN" w:bidi="ar-SA"/>
              </w:rPr>
              <w:t>5</w:t>
            </w:r>
            <w:r>
              <w:rPr>
                <w:rFonts w:hint="eastAsia" w:ascii="仿宋" w:hAnsi="仿宋" w:eastAsia="仿宋" w:cs="仿宋"/>
                <w:i w:val="0"/>
                <w:caps w:val="0"/>
                <w:color w:val="auto"/>
                <w:spacing w:val="0"/>
                <w:kern w:val="2"/>
                <w:sz w:val="15"/>
                <w:szCs w:val="15"/>
                <w:shd w:val="clear" w:color="070000"/>
                <w:lang w:val="en-US" w:eastAsia="zh-CN" w:bidi="ar-SA"/>
              </w:rPr>
              <w:t>日中华人民共和国国务院令第</w:t>
            </w:r>
            <w:r>
              <w:rPr>
                <w:rFonts w:hint="default" w:ascii="仿宋" w:hAnsi="仿宋" w:eastAsia="仿宋" w:cs="仿宋"/>
                <w:i w:val="0"/>
                <w:caps w:val="0"/>
                <w:color w:val="auto"/>
                <w:spacing w:val="0"/>
                <w:kern w:val="2"/>
                <w:sz w:val="15"/>
                <w:szCs w:val="15"/>
                <w:shd w:val="clear" w:color="070000"/>
                <w:lang w:val="en-US" w:eastAsia="zh-CN" w:bidi="ar-SA"/>
              </w:rPr>
              <w:t>129</w:t>
            </w:r>
            <w:r>
              <w:rPr>
                <w:rFonts w:hint="eastAsia" w:ascii="仿宋" w:hAnsi="仿宋" w:eastAsia="仿宋" w:cs="仿宋"/>
                <w:i w:val="0"/>
                <w:caps w:val="0"/>
                <w:color w:val="auto"/>
                <w:spacing w:val="0"/>
                <w:kern w:val="2"/>
                <w:sz w:val="15"/>
                <w:szCs w:val="15"/>
                <w:shd w:val="clear" w:color="070000"/>
                <w:lang w:val="en-US" w:eastAsia="zh-CN" w:bidi="ar-SA"/>
              </w:rPr>
              <w:t>号发布根据</w:t>
            </w:r>
            <w:r>
              <w:rPr>
                <w:rFonts w:hint="default" w:ascii="仿宋" w:hAnsi="仿宋" w:eastAsia="仿宋" w:cs="仿宋"/>
                <w:i w:val="0"/>
                <w:caps w:val="0"/>
                <w:color w:val="auto"/>
                <w:spacing w:val="0"/>
                <w:kern w:val="2"/>
                <w:sz w:val="15"/>
                <w:szCs w:val="15"/>
                <w:shd w:val="clear" w:color="070000"/>
                <w:lang w:val="en-US" w:eastAsia="zh-CN" w:bidi="ar-SA"/>
              </w:rPr>
              <w:t>2013</w:t>
            </w:r>
            <w:r>
              <w:rPr>
                <w:rFonts w:hint="eastAsia" w:ascii="仿宋" w:hAnsi="仿宋" w:eastAsia="仿宋" w:cs="仿宋"/>
                <w:i w:val="0"/>
                <w:caps w:val="0"/>
                <w:color w:val="auto"/>
                <w:spacing w:val="0"/>
                <w:kern w:val="2"/>
                <w:sz w:val="15"/>
                <w:szCs w:val="15"/>
                <w:shd w:val="clear" w:color="070000"/>
                <w:lang w:val="en-US" w:eastAsia="zh-CN" w:bidi="ar-SA"/>
              </w:rPr>
              <w:t>年</w:t>
            </w:r>
            <w:r>
              <w:rPr>
                <w:rFonts w:hint="default" w:ascii="仿宋" w:hAnsi="仿宋" w:eastAsia="仿宋" w:cs="仿宋"/>
                <w:i w:val="0"/>
                <w:caps w:val="0"/>
                <w:color w:val="auto"/>
                <w:spacing w:val="0"/>
                <w:kern w:val="2"/>
                <w:sz w:val="15"/>
                <w:szCs w:val="15"/>
                <w:shd w:val="clear" w:color="070000"/>
                <w:lang w:val="en-US" w:eastAsia="zh-CN" w:bidi="ar-SA"/>
              </w:rPr>
              <w:t>7</w:t>
            </w:r>
            <w:r>
              <w:rPr>
                <w:rFonts w:hint="eastAsia" w:ascii="仿宋" w:hAnsi="仿宋" w:eastAsia="仿宋" w:cs="仿宋"/>
                <w:i w:val="0"/>
                <w:caps w:val="0"/>
                <w:color w:val="auto"/>
                <w:spacing w:val="0"/>
                <w:kern w:val="2"/>
                <w:sz w:val="15"/>
                <w:szCs w:val="15"/>
                <w:shd w:val="clear" w:color="070000"/>
                <w:lang w:val="en-US" w:eastAsia="zh-CN" w:bidi="ar-SA"/>
              </w:rPr>
              <w:t>月</w:t>
            </w:r>
            <w:r>
              <w:rPr>
                <w:rFonts w:hint="default" w:ascii="仿宋" w:hAnsi="仿宋" w:eastAsia="仿宋" w:cs="仿宋"/>
                <w:i w:val="0"/>
                <w:caps w:val="0"/>
                <w:color w:val="auto"/>
                <w:spacing w:val="0"/>
                <w:kern w:val="2"/>
                <w:sz w:val="15"/>
                <w:szCs w:val="15"/>
                <w:shd w:val="clear" w:color="070000"/>
                <w:lang w:val="en-US" w:eastAsia="zh-CN" w:bidi="ar-SA"/>
              </w:rPr>
              <w:t>18</w:t>
            </w:r>
            <w:r>
              <w:rPr>
                <w:rFonts w:hint="eastAsia" w:ascii="仿宋" w:hAnsi="仿宋" w:eastAsia="仿宋" w:cs="仿宋"/>
                <w:i w:val="0"/>
                <w:caps w:val="0"/>
                <w:color w:val="auto"/>
                <w:spacing w:val="0"/>
                <w:kern w:val="2"/>
                <w:sz w:val="15"/>
                <w:szCs w:val="15"/>
                <w:shd w:val="clear" w:color="070000"/>
                <w:lang w:val="en-US" w:eastAsia="zh-CN" w:bidi="ar-SA"/>
              </w:rPr>
              <w:t>日《国务院关于废止和修改部分行政法规的决定》第一次修订根据</w:t>
            </w:r>
            <w:r>
              <w:rPr>
                <w:rFonts w:hint="default" w:ascii="仿宋" w:hAnsi="仿宋" w:eastAsia="仿宋" w:cs="仿宋"/>
                <w:i w:val="0"/>
                <w:caps w:val="0"/>
                <w:color w:val="auto"/>
                <w:spacing w:val="0"/>
                <w:kern w:val="2"/>
                <w:sz w:val="15"/>
                <w:szCs w:val="15"/>
                <w:shd w:val="clear" w:color="070000"/>
                <w:lang w:val="en-US" w:eastAsia="zh-CN" w:bidi="ar-SA"/>
              </w:rPr>
              <w:t>2018</w:t>
            </w:r>
            <w:r>
              <w:rPr>
                <w:rFonts w:hint="eastAsia" w:ascii="仿宋" w:hAnsi="仿宋" w:eastAsia="仿宋" w:cs="仿宋"/>
                <w:i w:val="0"/>
                <w:caps w:val="0"/>
                <w:color w:val="auto"/>
                <w:spacing w:val="0"/>
                <w:kern w:val="2"/>
                <w:sz w:val="15"/>
                <w:szCs w:val="15"/>
                <w:shd w:val="clear" w:color="070000"/>
                <w:lang w:val="en-US" w:eastAsia="zh-CN" w:bidi="ar-SA"/>
              </w:rPr>
              <w:t>年</w:t>
            </w:r>
            <w:r>
              <w:rPr>
                <w:rFonts w:hint="default" w:ascii="仿宋" w:hAnsi="仿宋" w:eastAsia="仿宋" w:cs="仿宋"/>
                <w:i w:val="0"/>
                <w:caps w:val="0"/>
                <w:color w:val="auto"/>
                <w:spacing w:val="0"/>
                <w:kern w:val="2"/>
                <w:sz w:val="15"/>
                <w:szCs w:val="15"/>
                <w:shd w:val="clear" w:color="070000"/>
                <w:lang w:val="en-US" w:eastAsia="zh-CN" w:bidi="ar-SA"/>
              </w:rPr>
              <w:t>9</w:t>
            </w:r>
            <w:r>
              <w:rPr>
                <w:rFonts w:hint="eastAsia" w:ascii="仿宋" w:hAnsi="仿宋" w:eastAsia="仿宋" w:cs="仿宋"/>
                <w:i w:val="0"/>
                <w:caps w:val="0"/>
                <w:color w:val="auto"/>
                <w:spacing w:val="0"/>
                <w:kern w:val="2"/>
                <w:sz w:val="15"/>
                <w:szCs w:val="15"/>
                <w:shd w:val="clear" w:color="070000"/>
                <w:lang w:val="en-US" w:eastAsia="zh-CN" w:bidi="ar-SA"/>
              </w:rPr>
              <w:t>月</w:t>
            </w:r>
            <w:r>
              <w:rPr>
                <w:rFonts w:hint="default" w:ascii="仿宋" w:hAnsi="仿宋" w:eastAsia="仿宋" w:cs="仿宋"/>
                <w:i w:val="0"/>
                <w:caps w:val="0"/>
                <w:color w:val="auto"/>
                <w:spacing w:val="0"/>
                <w:kern w:val="2"/>
                <w:sz w:val="15"/>
                <w:szCs w:val="15"/>
                <w:shd w:val="clear" w:color="070000"/>
                <w:lang w:val="en-US" w:eastAsia="zh-CN" w:bidi="ar-SA"/>
              </w:rPr>
              <w:t>18</w:t>
            </w:r>
            <w:r>
              <w:rPr>
                <w:rFonts w:hint="eastAsia" w:ascii="仿宋" w:hAnsi="仿宋" w:eastAsia="仿宋" w:cs="仿宋"/>
                <w:i w:val="0"/>
                <w:caps w:val="0"/>
                <w:color w:val="auto"/>
                <w:spacing w:val="0"/>
                <w:kern w:val="2"/>
                <w:sz w:val="15"/>
                <w:szCs w:val="15"/>
                <w:shd w:val="clear" w:color="070000"/>
                <w:lang w:val="en-US" w:eastAsia="zh-CN" w:bidi="ar-SA"/>
              </w:rPr>
              <w:t>日《国务院关于修改部分行政法规的决定》第二次修订</w:t>
            </w:r>
            <w:r>
              <w:rPr>
                <w:rFonts w:hint="default" w:ascii="仿宋" w:hAnsi="仿宋" w:eastAsia="仿宋" w:cs="仿宋"/>
                <w:i w:val="0"/>
                <w:caps w:val="0"/>
                <w:color w:val="auto"/>
                <w:spacing w:val="0"/>
                <w:kern w:val="2"/>
                <w:sz w:val="15"/>
                <w:szCs w:val="15"/>
                <w:shd w:val="clear" w:color="070000"/>
                <w:lang w:val="en-US" w:eastAsia="zh-CN" w:bidi="ar-SA"/>
              </w:rPr>
              <w:t>)</w:t>
            </w:r>
            <w:r>
              <w:rPr>
                <w:rFonts w:hint="eastAsia" w:ascii="仿宋" w:hAnsi="仿宋" w:eastAsia="仿宋" w:cs="仿宋"/>
                <w:i w:val="0"/>
                <w:caps w:val="0"/>
                <w:color w:val="auto"/>
                <w:spacing w:val="0"/>
                <w:kern w:val="2"/>
                <w:sz w:val="15"/>
                <w:szCs w:val="15"/>
                <w:shd w:val="clear" w:color="070000" w:fill="FFFFFF"/>
                <w:lang w:val="en-US" w:eastAsia="zh-CN" w:bidi="ar-SA"/>
              </w:rPr>
              <w:t>第七条：单位设置卫星地面接收设施的，必须向当地县、市人民政府广播电视行政管理部门提出申请，报省、自治区、直辖市人民政府广播电视行政管理部门审批，凭审批机关开具的证明购买卫星地面接收设施。卫星地面接收设施安装完毕，由审批机关发给《接收卫星传送的电视节目许可证》。</w:t>
            </w:r>
          </w:p>
          <w:p w14:paraId="67D277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exact"/>
              <w:ind w:right="0"/>
              <w:jc w:val="left"/>
              <w:textAlignment w:val="auto"/>
              <w:rPr>
                <w:rFonts w:hint="eastAsia" w:ascii="仿宋" w:hAnsi="仿宋" w:eastAsia="仿宋" w:cs="仿宋"/>
                <w:i w:val="0"/>
                <w:caps w:val="0"/>
                <w:color w:val="auto"/>
                <w:spacing w:val="0"/>
                <w:kern w:val="2"/>
                <w:sz w:val="15"/>
                <w:szCs w:val="15"/>
                <w:shd w:val="clear" w:color="070000" w:fill="FFFFFF"/>
                <w:lang w:val="en-US" w:eastAsia="zh-CN" w:bidi="ar-SA"/>
              </w:rPr>
            </w:pPr>
            <w:r>
              <w:rPr>
                <w:rFonts w:hint="eastAsia" w:ascii="仿宋" w:hAnsi="仿宋" w:eastAsia="仿宋" w:cs="仿宋"/>
                <w:i w:val="0"/>
                <w:caps w:val="0"/>
                <w:color w:val="auto"/>
                <w:spacing w:val="0"/>
                <w:kern w:val="2"/>
                <w:sz w:val="15"/>
                <w:szCs w:val="15"/>
                <w:shd w:val="clear" w:color="070000" w:fill="FFFFFF"/>
                <w:lang w:val="en-US" w:eastAsia="zh-CN" w:bidi="ar-SA"/>
              </w:rPr>
              <w:t>《&lt;卫星电视广播地面接收设施管理规定&gt;实施细则》</w:t>
            </w:r>
            <w:r>
              <w:rPr>
                <w:rFonts w:hint="eastAsia" w:ascii="仿宋" w:hAnsi="仿宋" w:eastAsia="仿宋" w:cs="仿宋"/>
                <w:i w:val="0"/>
                <w:caps w:val="0"/>
                <w:color w:val="auto"/>
                <w:spacing w:val="0"/>
                <w:kern w:val="2"/>
                <w:sz w:val="15"/>
                <w:szCs w:val="15"/>
                <w:shd w:val="clear" w:color="070000"/>
                <w:lang w:val="en-US" w:eastAsia="zh-CN" w:bidi="ar-SA"/>
              </w:rPr>
              <w:t>（1994年2月3日 广播电影电视部令第11号公布 根据2021年10月9日《国家广播电视总局关于第四批修改的部门规章的决定》修订）</w:t>
            </w:r>
            <w:r>
              <w:rPr>
                <w:rFonts w:hint="eastAsia" w:ascii="仿宋" w:hAnsi="仿宋" w:eastAsia="仿宋" w:cs="仿宋"/>
                <w:i w:val="0"/>
                <w:caps w:val="0"/>
                <w:color w:val="auto"/>
                <w:spacing w:val="0"/>
                <w:kern w:val="2"/>
                <w:sz w:val="15"/>
                <w:szCs w:val="15"/>
                <w:shd w:val="clear" w:color="070000" w:fill="FFFFFF"/>
                <w:lang w:val="en-US" w:eastAsia="zh-CN" w:bidi="ar-SA"/>
              </w:rPr>
              <w:t>第五条。凡需设置卫星地面接收设施接收境内电视节目的单位，应当向当地县级以上人民政府广播电视行政部门提出申请，报地、市级人民政府广播电视行政部门审批。省、自治区、直辖市的直属单位可直接报省、自治区、直辖市人民政府广播电视行政部门审批。经审查批准的单位，凭审批机关的批准文件或者审批机关开具的证明购买卫星地面接收设施。卫星地面接收设施安装完毕，经审批机关检验合格后由其发给《接收卫星传送的境内电视节目许可证》（以下简称《许可证》），并报省、自治区、直辖市人民政府广播电视行政部门备案。此种《许可证》格式由国家广播电视总局统一制定，各省、自治区、直辖市自行印制。</w:t>
            </w:r>
          </w:p>
          <w:p w14:paraId="07A4D5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exact"/>
              <w:ind w:left="0" w:right="0" w:firstLine="300" w:firstLineChars="200"/>
              <w:jc w:val="left"/>
              <w:textAlignment w:val="auto"/>
              <w:rPr>
                <w:rFonts w:hint="eastAsia" w:ascii="仿宋" w:hAnsi="仿宋" w:eastAsia="仿宋" w:cs="仿宋"/>
                <w:i w:val="0"/>
                <w:caps w:val="0"/>
                <w:color w:val="auto"/>
                <w:spacing w:val="0"/>
                <w:kern w:val="2"/>
                <w:sz w:val="15"/>
                <w:szCs w:val="15"/>
                <w:shd w:val="clear" w:color="070000" w:fill="FFFFFF"/>
                <w:lang w:val="en-US" w:eastAsia="zh-CN" w:bidi="ar-SA"/>
              </w:rPr>
            </w:pPr>
            <w:r>
              <w:rPr>
                <w:rFonts w:hint="eastAsia" w:ascii="仿宋" w:hAnsi="仿宋" w:eastAsia="仿宋" w:cs="仿宋"/>
                <w:i w:val="0"/>
                <w:caps w:val="0"/>
                <w:color w:val="auto"/>
                <w:spacing w:val="0"/>
                <w:kern w:val="2"/>
                <w:sz w:val="15"/>
                <w:szCs w:val="15"/>
                <w:shd w:val="clear" w:color="070000" w:fill="FFFFFF"/>
                <w:lang w:val="en-US" w:eastAsia="zh-CN" w:bidi="ar-SA"/>
              </w:rPr>
              <w:t>设置卫星地面接收设施专门接收卫星传送的境内教育电视节目的各类学校和教育、教学单位，亦按上述程序办理审批手续。经审查批准的，可由当地教育行政部门负责管理，同时接受广播电视行政部门和公安机关、国家安全机关的检查和管理。</w:t>
            </w:r>
          </w:p>
          <w:p w14:paraId="207CD0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exact"/>
              <w:ind w:left="0" w:right="0" w:firstLine="300" w:firstLineChars="200"/>
              <w:jc w:val="left"/>
              <w:textAlignment w:val="auto"/>
              <w:rPr>
                <w:rFonts w:hint="eastAsia"/>
                <w:lang w:val="en-US" w:eastAsia="zh-CN"/>
              </w:rPr>
            </w:pPr>
            <w:r>
              <w:rPr>
                <w:rFonts w:hint="eastAsia" w:ascii="仿宋" w:hAnsi="仿宋" w:eastAsia="仿宋" w:cs="仿宋"/>
                <w:i w:val="0"/>
                <w:caps w:val="0"/>
                <w:color w:val="auto"/>
                <w:spacing w:val="0"/>
                <w:kern w:val="2"/>
                <w:sz w:val="15"/>
                <w:szCs w:val="15"/>
                <w:shd w:val="clear" w:color="070000" w:fill="FFFFFF"/>
                <w:lang w:val="en-US" w:eastAsia="zh-CN" w:bidi="ar-SA"/>
              </w:rPr>
              <w:t>凡需设置卫星地面接收设施接收境外电视节目的单位，应当向当地县级以上人民政府广播电视行政部门提出申请，经地、市级人民政府广播电视行政部门签署意见后，报所在省、自治区、直辖市人民政府广播电视行政部门审批。经审查批准的单位，凭审批机关的批准文件或者审批机关开具的证明购买卫星地面接收设施。卫星地面接收设施安装完毕，经省、自治区、直辖市人民政府广播电视行政部门检验合格后，由其发给《接收卫星传送的境外电视节目许可证》（以下简称《许可证》），并报国家广播电视总局备案。省、自治区、直辖市人民政府广播电视行政部门应当定期向当地国家安全机关通报《接收卫星传送的境外电视节目许可证》办理发放情况信息。此种《许可证》由国家广播电视总局统一印制</w:t>
            </w:r>
            <w:r>
              <w:rPr>
                <w:rFonts w:hint="eastAsia" w:ascii="微软雅黑" w:hAnsi="微软雅黑" w:eastAsia="微软雅黑" w:cs="微软雅黑"/>
                <w:i w:val="0"/>
                <w:iCs w:val="0"/>
                <w:caps w:val="0"/>
                <w:color w:val="auto"/>
                <w:spacing w:val="0"/>
                <w:sz w:val="15"/>
                <w:szCs w:val="15"/>
                <w:shd w:val="clear" w:fill="FFFFFF"/>
              </w:rPr>
              <w:t>。</w:t>
            </w:r>
          </w:p>
        </w:tc>
        <w:tc>
          <w:tcPr>
            <w:tcW w:w="616" w:type="dxa"/>
            <w:gridSpan w:val="3"/>
            <w:vMerge w:val="restart"/>
            <w:tcBorders>
              <w:top w:val="single" w:color="auto" w:sz="4" w:space="0"/>
              <w:left w:val="single" w:color="auto" w:sz="4" w:space="0"/>
              <w:right w:val="single" w:color="auto" w:sz="4" w:space="0"/>
            </w:tcBorders>
            <w:tcMar>
              <w:top w:w="15" w:type="dxa"/>
              <w:left w:w="15" w:type="dxa"/>
              <w:right w:w="15" w:type="dxa"/>
            </w:tcMar>
            <w:vAlign w:val="center"/>
          </w:tcPr>
          <w:p w14:paraId="00C5AAB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行政许可</w:t>
            </w: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676E8D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7011B4A">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3E6DCAFE">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不履行或不正确履行职责，有下列情形的行政机关及相关工作人员应当承担相应的责任：广播电视行政部门及其工作人员在广播电视管理工作中滥用职权、玩忽职守、徇私舞弊，构成犯罪的，依法追究刑事责任；尚不构成犯罪的，依法给予行政处分。</w:t>
            </w: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41BFDB14">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default"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14:paraId="29460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5"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BA4ADA2">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6F71ECE">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b w:val="0"/>
                <w:bCs w:val="0"/>
                <w:color w:val="auto"/>
                <w:sz w:val="24"/>
                <w:szCs w:val="24"/>
                <w:lang w:val="en-US" w:eastAsia="zh-CN"/>
              </w:rPr>
            </w:pPr>
          </w:p>
        </w:tc>
        <w:tc>
          <w:tcPr>
            <w:tcW w:w="3801"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A74AEBA">
            <w:pPr>
              <w:keepNext w:val="0"/>
              <w:keepLines w:val="0"/>
              <w:pageBreakBefore w:val="0"/>
              <w:widowControl w:val="0"/>
              <w:kinsoku/>
              <w:wordWrap/>
              <w:overflowPunct/>
              <w:topLinePunct w:val="0"/>
              <w:autoSpaceDE/>
              <w:autoSpaceDN w:val="0"/>
              <w:bidi w:val="0"/>
              <w:adjustRightInd/>
              <w:snapToGrid w:val="0"/>
              <w:spacing w:line="240" w:lineRule="exact"/>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16"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EB2982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2A0CC1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DBEC45D">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0C633A1">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86044B3">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3A0D9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55"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8E79E39">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7EE6CC6">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b w:val="0"/>
                <w:bCs w:val="0"/>
                <w:color w:val="auto"/>
                <w:sz w:val="24"/>
                <w:szCs w:val="24"/>
                <w:lang w:val="en-US" w:eastAsia="zh-CN"/>
              </w:rPr>
            </w:pPr>
          </w:p>
        </w:tc>
        <w:tc>
          <w:tcPr>
            <w:tcW w:w="3801"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8A1C904">
            <w:pPr>
              <w:keepNext w:val="0"/>
              <w:keepLines w:val="0"/>
              <w:pageBreakBefore w:val="0"/>
              <w:widowControl w:val="0"/>
              <w:kinsoku/>
              <w:wordWrap/>
              <w:overflowPunct/>
              <w:topLinePunct w:val="0"/>
              <w:autoSpaceDE/>
              <w:autoSpaceDN w:val="0"/>
              <w:bidi w:val="0"/>
              <w:adjustRightInd/>
              <w:snapToGrid w:val="0"/>
              <w:spacing w:line="240" w:lineRule="exact"/>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16"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E7B9C4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053801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9B7E861">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422B8CB">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1E759E9">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2F169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7800A67">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6199D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A2F9CAE">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受理地点：宛城区文广旅局行政审批与市场管理股</w:t>
            </w:r>
          </w:p>
        </w:tc>
      </w:tr>
      <w:tr w14:paraId="34E6A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76"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3CC66C6E">
            <w:pPr>
              <w:keepNext w:val="0"/>
              <w:keepLines w:val="0"/>
              <w:pageBreakBefore w:val="0"/>
              <w:kinsoku/>
              <w:wordWrap/>
              <w:overflowPunct/>
              <w:topLinePunct w:val="0"/>
              <w:autoSpaceDE/>
              <w:autoSpaceDN/>
              <w:bidi w:val="0"/>
              <w:adjustRightInd/>
              <w:ind w:firstLine="0" w:firstLineChars="0"/>
              <w:jc w:val="center"/>
              <w:rPr>
                <w:rFonts w:hint="default"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7</w:t>
            </w:r>
          </w:p>
        </w:tc>
        <w:tc>
          <w:tcPr>
            <w:tcW w:w="138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431080F2">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val="0"/>
                <w:color w:val="auto"/>
                <w:sz w:val="24"/>
                <w:szCs w:val="24"/>
                <w:lang w:val="en-US" w:eastAsia="zh-CN"/>
              </w:rPr>
              <w:t>旅行社设立许可</w:t>
            </w:r>
          </w:p>
        </w:tc>
        <w:tc>
          <w:tcPr>
            <w:tcW w:w="3801"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37E321E7">
            <w:pPr>
              <w:keepNext w:val="0"/>
              <w:keepLines w:val="0"/>
              <w:pageBreakBefore w:val="0"/>
              <w:widowControl w:val="0"/>
              <w:kinsoku/>
              <w:wordWrap/>
              <w:overflowPunct/>
              <w:topLinePunct w:val="0"/>
              <w:autoSpaceDE/>
              <w:autoSpaceDN w:val="0"/>
              <w:bidi w:val="0"/>
              <w:adjustRightInd/>
              <w:snapToGrid w:val="0"/>
              <w:spacing w:line="240" w:lineRule="exact"/>
              <w:ind w:left="0" w:leftChars="0" w:firstLine="0" w:firstLineChars="0"/>
              <w:jc w:val="left"/>
              <w:textAlignment w:val="center"/>
              <w:rPr>
                <w:rFonts w:hint="eastAsia" w:ascii="仿宋" w:hAnsi="仿宋" w:eastAsia="仿宋" w:cs="仿宋"/>
                <w:i w:val="0"/>
                <w:caps w:val="0"/>
                <w:color w:val="auto"/>
                <w:spacing w:val="0"/>
                <w:kern w:val="2"/>
                <w:sz w:val="21"/>
                <w:szCs w:val="21"/>
                <w:shd w:val="clear" w:color="070000" w:fill="FFFFFF"/>
                <w:lang w:val="en-US" w:eastAsia="zh-CN" w:bidi="ar-SA"/>
              </w:rPr>
            </w:pPr>
            <w:r>
              <w:rPr>
                <w:rFonts w:hint="eastAsia" w:ascii="仿宋" w:hAnsi="仿宋" w:eastAsia="仿宋" w:cs="仿宋"/>
                <w:i w:val="0"/>
                <w:caps w:val="0"/>
                <w:color w:val="auto"/>
                <w:spacing w:val="0"/>
                <w:kern w:val="2"/>
                <w:sz w:val="21"/>
                <w:szCs w:val="21"/>
                <w:shd w:val="clear" w:color="070000" w:fill="FFFFFF"/>
                <w:lang w:val="en-US" w:eastAsia="zh-CN" w:bidi="ar-SA"/>
              </w:rPr>
              <w:t>《中华人民共和国旅游法》</w:t>
            </w:r>
            <w:r>
              <w:rPr>
                <w:rFonts w:hint="eastAsia" w:ascii="仿宋" w:hAnsi="仿宋" w:eastAsia="仿宋" w:cs="仿宋"/>
                <w:i w:val="0"/>
                <w:caps w:val="0"/>
                <w:color w:val="auto"/>
                <w:spacing w:val="0"/>
                <w:kern w:val="2"/>
                <w:sz w:val="21"/>
                <w:szCs w:val="21"/>
                <w:shd w:val="clear" w:color="070000"/>
                <w:lang w:val="en-US" w:eastAsia="zh-CN" w:bidi="ar-SA"/>
              </w:rPr>
              <w:t>（2</w:t>
            </w:r>
            <w:r>
              <w:rPr>
                <w:rFonts w:hint="default" w:ascii="仿宋" w:hAnsi="仿宋" w:eastAsia="仿宋" w:cs="仿宋"/>
                <w:i w:val="0"/>
                <w:caps w:val="0"/>
                <w:color w:val="auto"/>
                <w:spacing w:val="0"/>
                <w:kern w:val="2"/>
                <w:sz w:val="21"/>
                <w:szCs w:val="21"/>
                <w:shd w:val="clear" w:color="070000"/>
                <w:lang w:val="en-US" w:eastAsia="zh-CN" w:bidi="ar-SA"/>
              </w:rPr>
              <w:t>013</w:t>
            </w:r>
            <w:r>
              <w:rPr>
                <w:rFonts w:hint="eastAsia" w:ascii="仿宋" w:hAnsi="仿宋" w:eastAsia="仿宋" w:cs="仿宋"/>
                <w:i w:val="0"/>
                <w:caps w:val="0"/>
                <w:color w:val="auto"/>
                <w:spacing w:val="0"/>
                <w:kern w:val="2"/>
                <w:sz w:val="21"/>
                <w:szCs w:val="21"/>
                <w:shd w:val="clear" w:color="070000"/>
                <w:lang w:val="en-US" w:eastAsia="zh-CN" w:bidi="ar-SA"/>
              </w:rPr>
              <w:t>年</w:t>
            </w:r>
            <w:r>
              <w:rPr>
                <w:rFonts w:hint="default" w:ascii="仿宋" w:hAnsi="仿宋" w:eastAsia="仿宋" w:cs="仿宋"/>
                <w:i w:val="0"/>
                <w:caps w:val="0"/>
                <w:color w:val="auto"/>
                <w:spacing w:val="0"/>
                <w:kern w:val="2"/>
                <w:sz w:val="21"/>
                <w:szCs w:val="21"/>
                <w:shd w:val="clear" w:color="070000"/>
                <w:lang w:val="en-US" w:eastAsia="zh-CN" w:bidi="ar-SA"/>
              </w:rPr>
              <w:t>4</w:t>
            </w:r>
            <w:r>
              <w:rPr>
                <w:rFonts w:hint="eastAsia" w:ascii="仿宋" w:hAnsi="仿宋" w:eastAsia="仿宋" w:cs="仿宋"/>
                <w:i w:val="0"/>
                <w:caps w:val="0"/>
                <w:color w:val="auto"/>
                <w:spacing w:val="0"/>
                <w:kern w:val="2"/>
                <w:sz w:val="21"/>
                <w:szCs w:val="21"/>
                <w:shd w:val="clear" w:color="070000"/>
                <w:lang w:val="en-US" w:eastAsia="zh-CN" w:bidi="ar-SA"/>
              </w:rPr>
              <w:t>月</w:t>
            </w:r>
            <w:r>
              <w:rPr>
                <w:rFonts w:hint="default" w:ascii="仿宋" w:hAnsi="仿宋" w:eastAsia="仿宋" w:cs="仿宋"/>
                <w:i w:val="0"/>
                <w:caps w:val="0"/>
                <w:color w:val="auto"/>
                <w:spacing w:val="0"/>
                <w:kern w:val="2"/>
                <w:sz w:val="21"/>
                <w:szCs w:val="21"/>
                <w:shd w:val="clear" w:color="070000"/>
                <w:lang w:val="en-US" w:eastAsia="zh-CN" w:bidi="ar-SA"/>
              </w:rPr>
              <w:t>25</w:t>
            </w:r>
            <w:r>
              <w:rPr>
                <w:rFonts w:hint="eastAsia" w:ascii="仿宋" w:hAnsi="仿宋" w:eastAsia="仿宋" w:cs="仿宋"/>
                <w:i w:val="0"/>
                <w:caps w:val="0"/>
                <w:color w:val="auto"/>
                <w:spacing w:val="0"/>
                <w:kern w:val="2"/>
                <w:sz w:val="21"/>
                <w:szCs w:val="21"/>
                <w:shd w:val="clear" w:color="070000"/>
                <w:lang w:val="en-US" w:eastAsia="zh-CN" w:bidi="ar-SA"/>
              </w:rPr>
              <w:t>日第十二届全国人民代表大会常务委员会第二次会议通过根据</w:t>
            </w:r>
            <w:r>
              <w:rPr>
                <w:rFonts w:hint="default" w:ascii="仿宋" w:hAnsi="仿宋" w:eastAsia="仿宋" w:cs="仿宋"/>
                <w:i w:val="0"/>
                <w:caps w:val="0"/>
                <w:color w:val="auto"/>
                <w:spacing w:val="0"/>
                <w:kern w:val="2"/>
                <w:sz w:val="21"/>
                <w:szCs w:val="21"/>
                <w:shd w:val="clear" w:color="070000"/>
                <w:lang w:val="en-US" w:eastAsia="zh-CN" w:bidi="ar-SA"/>
              </w:rPr>
              <w:t>2016</w:t>
            </w:r>
            <w:r>
              <w:rPr>
                <w:rFonts w:hint="eastAsia" w:ascii="仿宋" w:hAnsi="仿宋" w:eastAsia="仿宋" w:cs="仿宋"/>
                <w:i w:val="0"/>
                <w:caps w:val="0"/>
                <w:color w:val="auto"/>
                <w:spacing w:val="0"/>
                <w:kern w:val="2"/>
                <w:sz w:val="21"/>
                <w:szCs w:val="21"/>
                <w:shd w:val="clear" w:color="070000"/>
                <w:lang w:val="en-US" w:eastAsia="zh-CN" w:bidi="ar-SA"/>
              </w:rPr>
              <w:t>年</w:t>
            </w:r>
            <w:r>
              <w:rPr>
                <w:rFonts w:hint="default" w:ascii="仿宋" w:hAnsi="仿宋" w:eastAsia="仿宋" w:cs="仿宋"/>
                <w:i w:val="0"/>
                <w:caps w:val="0"/>
                <w:color w:val="auto"/>
                <w:spacing w:val="0"/>
                <w:kern w:val="2"/>
                <w:sz w:val="21"/>
                <w:szCs w:val="21"/>
                <w:shd w:val="clear" w:color="070000"/>
                <w:lang w:val="en-US" w:eastAsia="zh-CN" w:bidi="ar-SA"/>
              </w:rPr>
              <w:t>11</w:t>
            </w:r>
            <w:r>
              <w:rPr>
                <w:rFonts w:hint="eastAsia" w:ascii="仿宋" w:hAnsi="仿宋" w:eastAsia="仿宋" w:cs="仿宋"/>
                <w:i w:val="0"/>
                <w:caps w:val="0"/>
                <w:color w:val="auto"/>
                <w:spacing w:val="0"/>
                <w:kern w:val="2"/>
                <w:sz w:val="21"/>
                <w:szCs w:val="21"/>
                <w:shd w:val="clear" w:color="070000"/>
                <w:lang w:val="en-US" w:eastAsia="zh-CN" w:bidi="ar-SA"/>
              </w:rPr>
              <w:t>月</w:t>
            </w:r>
            <w:r>
              <w:rPr>
                <w:rFonts w:hint="default" w:ascii="仿宋" w:hAnsi="仿宋" w:eastAsia="仿宋" w:cs="仿宋"/>
                <w:i w:val="0"/>
                <w:caps w:val="0"/>
                <w:color w:val="auto"/>
                <w:spacing w:val="0"/>
                <w:kern w:val="2"/>
                <w:sz w:val="21"/>
                <w:szCs w:val="21"/>
                <w:shd w:val="clear" w:color="070000"/>
                <w:lang w:val="en-US" w:eastAsia="zh-CN" w:bidi="ar-SA"/>
              </w:rPr>
              <w:t>7</w:t>
            </w:r>
            <w:r>
              <w:rPr>
                <w:rFonts w:hint="eastAsia" w:ascii="仿宋" w:hAnsi="仿宋" w:eastAsia="仿宋" w:cs="仿宋"/>
                <w:i w:val="0"/>
                <w:caps w:val="0"/>
                <w:color w:val="auto"/>
                <w:spacing w:val="0"/>
                <w:kern w:val="2"/>
                <w:sz w:val="21"/>
                <w:szCs w:val="21"/>
                <w:shd w:val="clear" w:color="070000"/>
                <w:lang w:val="en-US" w:eastAsia="zh-CN" w:bidi="ar-SA"/>
              </w:rPr>
              <w:t>日第十二届全国人民代表大会常务委员会第二十四次会议《关于修改〈中华人民共和国对外贸易法〉等十二部法律的决定》第一次修正根据</w:t>
            </w:r>
            <w:r>
              <w:rPr>
                <w:rFonts w:hint="default" w:ascii="仿宋" w:hAnsi="仿宋" w:eastAsia="仿宋" w:cs="仿宋"/>
                <w:i w:val="0"/>
                <w:caps w:val="0"/>
                <w:color w:val="auto"/>
                <w:spacing w:val="0"/>
                <w:kern w:val="2"/>
                <w:sz w:val="21"/>
                <w:szCs w:val="21"/>
                <w:shd w:val="clear" w:color="070000"/>
                <w:lang w:val="en-US" w:eastAsia="zh-CN" w:bidi="ar-SA"/>
              </w:rPr>
              <w:t>2018</w:t>
            </w:r>
            <w:r>
              <w:rPr>
                <w:rFonts w:hint="eastAsia" w:ascii="仿宋" w:hAnsi="仿宋" w:eastAsia="仿宋" w:cs="仿宋"/>
                <w:i w:val="0"/>
                <w:caps w:val="0"/>
                <w:color w:val="auto"/>
                <w:spacing w:val="0"/>
                <w:kern w:val="2"/>
                <w:sz w:val="21"/>
                <w:szCs w:val="21"/>
                <w:shd w:val="clear" w:color="070000"/>
                <w:lang w:val="en-US" w:eastAsia="zh-CN" w:bidi="ar-SA"/>
              </w:rPr>
              <w:t>年</w:t>
            </w:r>
            <w:r>
              <w:rPr>
                <w:rFonts w:hint="default" w:ascii="仿宋" w:hAnsi="仿宋" w:eastAsia="仿宋" w:cs="仿宋"/>
                <w:i w:val="0"/>
                <w:caps w:val="0"/>
                <w:color w:val="auto"/>
                <w:spacing w:val="0"/>
                <w:kern w:val="2"/>
                <w:sz w:val="21"/>
                <w:szCs w:val="21"/>
                <w:shd w:val="clear" w:color="070000"/>
                <w:lang w:val="en-US" w:eastAsia="zh-CN" w:bidi="ar-SA"/>
              </w:rPr>
              <w:t>10</w:t>
            </w:r>
            <w:r>
              <w:rPr>
                <w:rFonts w:hint="eastAsia" w:ascii="仿宋" w:hAnsi="仿宋" w:eastAsia="仿宋" w:cs="仿宋"/>
                <w:i w:val="0"/>
                <w:caps w:val="0"/>
                <w:color w:val="auto"/>
                <w:spacing w:val="0"/>
                <w:kern w:val="2"/>
                <w:sz w:val="21"/>
                <w:szCs w:val="21"/>
                <w:shd w:val="clear" w:color="070000"/>
                <w:lang w:val="en-US" w:eastAsia="zh-CN" w:bidi="ar-SA"/>
              </w:rPr>
              <w:t>月</w:t>
            </w:r>
            <w:r>
              <w:rPr>
                <w:rFonts w:hint="default" w:ascii="仿宋" w:hAnsi="仿宋" w:eastAsia="仿宋" w:cs="仿宋"/>
                <w:i w:val="0"/>
                <w:caps w:val="0"/>
                <w:color w:val="auto"/>
                <w:spacing w:val="0"/>
                <w:kern w:val="2"/>
                <w:sz w:val="21"/>
                <w:szCs w:val="21"/>
                <w:shd w:val="clear" w:color="070000"/>
                <w:lang w:val="en-US" w:eastAsia="zh-CN" w:bidi="ar-SA"/>
              </w:rPr>
              <w:t>26</w:t>
            </w:r>
            <w:r>
              <w:rPr>
                <w:rFonts w:hint="eastAsia" w:ascii="仿宋" w:hAnsi="仿宋" w:eastAsia="仿宋" w:cs="仿宋"/>
                <w:i w:val="0"/>
                <w:caps w:val="0"/>
                <w:color w:val="auto"/>
                <w:spacing w:val="0"/>
                <w:kern w:val="2"/>
                <w:sz w:val="21"/>
                <w:szCs w:val="21"/>
                <w:shd w:val="clear" w:color="070000"/>
                <w:lang w:val="en-US" w:eastAsia="zh-CN" w:bidi="ar-SA"/>
              </w:rPr>
              <w:t>日第十三届全国人民代表大会常务委员会第六次会议《关于修改〈中华人民共和国野生动物保护法〉等十五部法律的决定》第二次修正）</w:t>
            </w:r>
            <w:r>
              <w:rPr>
                <w:rFonts w:hint="eastAsia" w:ascii="仿宋" w:hAnsi="仿宋" w:eastAsia="仿宋" w:cs="仿宋"/>
                <w:i w:val="0"/>
                <w:caps w:val="0"/>
                <w:color w:val="auto"/>
                <w:spacing w:val="0"/>
                <w:kern w:val="2"/>
                <w:sz w:val="21"/>
                <w:szCs w:val="21"/>
                <w:shd w:val="clear" w:color="070000" w:fill="FFFFFF"/>
                <w:lang w:val="en-US" w:eastAsia="zh-CN" w:bidi="ar-SA"/>
              </w:rPr>
              <w:t>第二十八条；设立旅行社，招徕、组织、接待旅游者，为其提供旅游服务，应当具备下列条件，取得旅游主管部门的许可。</w:t>
            </w:r>
          </w:p>
          <w:p w14:paraId="07BB4991">
            <w:pPr>
              <w:keepNext w:val="0"/>
              <w:keepLines w:val="0"/>
              <w:pageBreakBefore w:val="0"/>
              <w:widowControl w:val="0"/>
              <w:kinsoku/>
              <w:wordWrap/>
              <w:overflowPunct/>
              <w:topLinePunct w:val="0"/>
              <w:autoSpaceDE/>
              <w:autoSpaceDN w:val="0"/>
              <w:bidi w:val="0"/>
              <w:adjustRightInd/>
              <w:snapToGrid w:val="0"/>
              <w:spacing w:line="240" w:lineRule="exact"/>
              <w:ind w:left="0" w:leftChars="0" w:firstLine="0" w:firstLineChars="0"/>
              <w:jc w:val="both"/>
              <w:textAlignment w:val="center"/>
              <w:rPr>
                <w:rFonts w:hint="eastAsia" w:ascii="Calibri" w:hAnsi="Calibri" w:eastAsia="宋体" w:cs="Times New Roman"/>
                <w:kern w:val="2"/>
                <w:sz w:val="21"/>
                <w:szCs w:val="22"/>
                <w:lang w:val="en-US" w:eastAsia="zh-CN" w:bidi="ar-SA"/>
              </w:rPr>
            </w:pPr>
            <w:r>
              <w:rPr>
                <w:rFonts w:hint="eastAsia" w:ascii="仿宋" w:hAnsi="仿宋" w:eastAsia="仿宋" w:cs="仿宋"/>
                <w:i w:val="0"/>
                <w:caps w:val="0"/>
                <w:color w:val="auto"/>
                <w:spacing w:val="0"/>
                <w:kern w:val="2"/>
                <w:sz w:val="21"/>
                <w:szCs w:val="21"/>
                <w:shd w:val="clear" w:color="070000" w:fill="FFFFFF"/>
                <w:lang w:val="en-US" w:eastAsia="zh-CN" w:bidi="ar-SA"/>
              </w:rPr>
              <w:t>《旅行社条例》</w:t>
            </w:r>
            <w:r>
              <w:rPr>
                <w:rFonts w:hint="eastAsia" w:ascii="仿宋" w:hAnsi="仿宋" w:eastAsia="仿宋" w:cs="仿宋"/>
                <w:i w:val="0"/>
                <w:caps w:val="0"/>
                <w:color w:val="auto"/>
                <w:spacing w:val="0"/>
                <w:kern w:val="2"/>
                <w:sz w:val="21"/>
                <w:szCs w:val="21"/>
                <w:shd w:val="clear" w:color="070000"/>
                <w:lang w:val="en-US" w:eastAsia="zh-CN" w:bidi="ar-SA"/>
              </w:rPr>
              <w:t>(</w:t>
            </w:r>
            <w:r>
              <w:rPr>
                <w:rFonts w:hint="default" w:ascii="仿宋" w:hAnsi="仿宋" w:eastAsia="仿宋" w:cs="仿宋"/>
                <w:i w:val="0"/>
                <w:caps w:val="0"/>
                <w:color w:val="auto"/>
                <w:spacing w:val="0"/>
                <w:kern w:val="2"/>
                <w:sz w:val="21"/>
                <w:szCs w:val="21"/>
                <w:shd w:val="clear" w:color="070000"/>
                <w:lang w:val="en-US" w:eastAsia="zh-CN" w:bidi="ar-SA"/>
              </w:rPr>
              <w:t>2009年2月20日中华人民共和国国务院令第550号公布根据2016年2月6日《国务院关于修改部分行政法规的决定》第一次修订根据2017年3月1日《国务院关于修改和废止部分行政法规的决定》第二次修订根据</w:t>
            </w:r>
            <w:r>
              <w:rPr>
                <w:rFonts w:hint="eastAsia" w:ascii="仿宋" w:hAnsi="仿宋" w:eastAsia="仿宋" w:cs="仿宋"/>
                <w:i w:val="0"/>
                <w:caps w:val="0"/>
                <w:color w:val="auto"/>
                <w:spacing w:val="0"/>
                <w:kern w:val="2"/>
                <w:sz w:val="21"/>
                <w:szCs w:val="21"/>
                <w:shd w:val="clear" w:color="070000"/>
                <w:lang w:val="en-US" w:eastAsia="zh-CN" w:bidi="ar-SA"/>
              </w:rPr>
              <w:t>2</w:t>
            </w:r>
            <w:r>
              <w:rPr>
                <w:rFonts w:hint="default" w:ascii="仿宋" w:hAnsi="仿宋" w:eastAsia="仿宋" w:cs="仿宋"/>
                <w:i w:val="0"/>
                <w:caps w:val="0"/>
                <w:color w:val="auto"/>
                <w:spacing w:val="0"/>
                <w:kern w:val="2"/>
                <w:sz w:val="21"/>
                <w:szCs w:val="21"/>
                <w:shd w:val="clear" w:color="070000"/>
                <w:lang w:val="en-US" w:eastAsia="zh-CN" w:bidi="ar-SA"/>
              </w:rPr>
              <w:t>020年11月29日《国务院关于修改和废止部分行政法规的决定》第三次修订)</w:t>
            </w:r>
            <w:r>
              <w:rPr>
                <w:rFonts w:hint="eastAsia" w:ascii="仿宋" w:hAnsi="仿宋" w:eastAsia="仿宋" w:cs="仿宋"/>
                <w:i w:val="0"/>
                <w:caps w:val="0"/>
                <w:color w:val="auto"/>
                <w:spacing w:val="0"/>
                <w:kern w:val="2"/>
                <w:sz w:val="21"/>
                <w:szCs w:val="21"/>
                <w:shd w:val="clear" w:color="070000" w:fill="FFFFFF"/>
                <w:lang w:val="en-US" w:eastAsia="zh-CN" w:bidi="ar-SA"/>
              </w:rPr>
              <w:t>第七条：申请经营国内旅游业务和入境旅游业务的，应当向所在地省、自治区、直辖市旅游行政管理部门或者其委托的设区的市级旅游行政管理部门提出申请，并提交符合本条例第六条规定的相关证明文件。</w:t>
            </w:r>
          </w:p>
        </w:tc>
        <w:tc>
          <w:tcPr>
            <w:tcW w:w="616" w:type="dxa"/>
            <w:gridSpan w:val="3"/>
            <w:vMerge w:val="restart"/>
            <w:tcBorders>
              <w:top w:val="single" w:color="auto" w:sz="4" w:space="0"/>
              <w:left w:val="single" w:color="auto" w:sz="4" w:space="0"/>
              <w:right w:val="single" w:color="auto" w:sz="4" w:space="0"/>
            </w:tcBorders>
            <w:tcMar>
              <w:top w:w="15" w:type="dxa"/>
              <w:left w:w="15" w:type="dxa"/>
              <w:right w:w="15" w:type="dxa"/>
            </w:tcMar>
            <w:vAlign w:val="center"/>
          </w:tcPr>
          <w:p w14:paraId="2978120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行政许可</w:t>
            </w: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AE403D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ECBB146">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6996559F">
            <w:pPr>
              <w:keepNext w:val="0"/>
              <w:keepLines w:val="0"/>
              <w:pageBreakBefore w:val="0"/>
              <w:widowControl w:val="0"/>
              <w:kinsoku/>
              <w:wordWrap/>
              <w:overflowPunct/>
              <w:topLinePunct w:val="0"/>
              <w:autoSpaceDE/>
              <w:autoSpaceDN/>
              <w:bidi w:val="0"/>
              <w:adjustRightInd/>
              <w:snapToGrid/>
              <w:spacing w:line="220" w:lineRule="exact"/>
              <w:ind w:firstLine="0" w:firstLineChars="0"/>
              <w:jc w:val="left"/>
              <w:textAlignment w:val="auto"/>
              <w:rPr>
                <w:rFonts w:hint="eastAsia" w:ascii="仿宋" w:hAnsi="仿宋" w:eastAsia="仿宋" w:cs="仿宋"/>
                <w:i w:val="0"/>
                <w:caps w:val="0"/>
                <w:color w:val="auto"/>
                <w:spacing w:val="0"/>
                <w:sz w:val="21"/>
                <w:szCs w:val="21"/>
                <w:shd w:val="clear" w:color="070000" w:fill="FFFFFF"/>
                <w:lang w:val="en-US" w:eastAsia="zh-CN"/>
              </w:rPr>
            </w:pPr>
            <w:r>
              <w:rPr>
                <w:rFonts w:hint="eastAsia" w:ascii="仿宋" w:hAnsi="仿宋" w:eastAsia="仿宋" w:cs="仿宋"/>
                <w:i w:val="0"/>
                <w:caps w:val="0"/>
                <w:color w:val="auto"/>
                <w:spacing w:val="0"/>
                <w:sz w:val="21"/>
                <w:szCs w:val="21"/>
                <w:shd w:val="clear" w:color="070000" w:fill="FFFFFF"/>
                <w:lang w:val="en-US" w:eastAsia="zh-CN"/>
              </w:rPr>
              <w:t>不履行或不正确履行职责，有下列情形的行政机关及相关工作人员应承担相应的责任：</w:t>
            </w:r>
          </w:p>
          <w:p w14:paraId="5CCF52CB">
            <w:pPr>
              <w:keepNext w:val="0"/>
              <w:keepLines w:val="0"/>
              <w:pageBreakBefore w:val="0"/>
              <w:widowControl w:val="0"/>
              <w:kinsoku/>
              <w:wordWrap/>
              <w:overflowPunct/>
              <w:topLinePunct w:val="0"/>
              <w:autoSpaceDE/>
              <w:autoSpaceDN/>
              <w:bidi w:val="0"/>
              <w:adjustRightInd/>
              <w:snapToGrid/>
              <w:spacing w:line="220" w:lineRule="exact"/>
              <w:ind w:firstLine="0" w:firstLineChars="0"/>
              <w:jc w:val="left"/>
              <w:textAlignment w:val="auto"/>
              <w:rPr>
                <w:rFonts w:hint="eastAsia" w:ascii="仿宋" w:hAnsi="仿宋" w:eastAsia="仿宋" w:cs="仿宋"/>
                <w:i w:val="0"/>
                <w:caps w:val="0"/>
                <w:color w:val="auto"/>
                <w:spacing w:val="0"/>
                <w:sz w:val="21"/>
                <w:szCs w:val="21"/>
                <w:shd w:val="clear" w:color="070000" w:fill="FFFFFF"/>
                <w:lang w:val="en-US" w:eastAsia="zh-CN"/>
              </w:rPr>
            </w:pPr>
            <w:r>
              <w:rPr>
                <w:rFonts w:hint="eastAsia" w:ascii="仿宋" w:hAnsi="仿宋" w:eastAsia="仿宋" w:cs="仿宋"/>
                <w:i w:val="0"/>
                <w:caps w:val="0"/>
                <w:color w:val="auto"/>
                <w:spacing w:val="0"/>
                <w:sz w:val="21"/>
                <w:szCs w:val="21"/>
                <w:shd w:val="clear" w:color="070000" w:fill="FFFFFF"/>
                <w:lang w:val="en-US" w:eastAsia="zh-CN"/>
              </w:rPr>
              <w:t>旅游行政管理部门或者其他有关部门及其工作人员有下列情形之一的，对直接负责的主管人员和其他直接责任人员依法给予处分：</w:t>
            </w:r>
          </w:p>
          <w:p w14:paraId="0444895D">
            <w:pPr>
              <w:keepNext w:val="0"/>
              <w:keepLines w:val="0"/>
              <w:pageBreakBefore w:val="0"/>
              <w:widowControl w:val="0"/>
              <w:kinsoku/>
              <w:wordWrap/>
              <w:overflowPunct/>
              <w:topLinePunct w:val="0"/>
              <w:autoSpaceDE/>
              <w:autoSpaceDN/>
              <w:bidi w:val="0"/>
              <w:adjustRightInd/>
              <w:snapToGrid/>
              <w:spacing w:line="220" w:lineRule="exact"/>
              <w:ind w:firstLine="0" w:firstLineChars="0"/>
              <w:jc w:val="left"/>
              <w:textAlignment w:val="auto"/>
              <w:rPr>
                <w:rFonts w:hint="eastAsia" w:ascii="Calibri" w:hAnsi="Calibri" w:eastAsia="宋体" w:cs="Times New Roman"/>
                <w:kern w:val="2"/>
                <w:sz w:val="21"/>
                <w:szCs w:val="22"/>
                <w:lang w:val="en-US" w:eastAsia="zh-CN" w:bidi="ar-SA"/>
              </w:rPr>
            </w:pPr>
            <w:r>
              <w:rPr>
                <w:rFonts w:hint="eastAsia" w:ascii="仿宋" w:hAnsi="仿宋" w:eastAsia="仿宋" w:cs="仿宋"/>
                <w:i w:val="0"/>
                <w:caps w:val="0"/>
                <w:color w:val="auto"/>
                <w:spacing w:val="0"/>
                <w:sz w:val="21"/>
                <w:szCs w:val="21"/>
                <w:shd w:val="clear" w:color="070000" w:fill="FFFFFF"/>
                <w:lang w:val="en-US" w:eastAsia="zh-CN"/>
              </w:rPr>
              <w:t>1.发现违法行为不及时予以处理的；2.未及时公告对旅行社的监督检查情况的；3.未及时处理旅游者投诉并将调查处理的有关情况告知旅游者的；4.接受旅行社的馈赠的；5.参加由旅行社支付费用的购物活动或者游览项目的；6.通过旅行社为自己、亲友或者其他个人、组织牟取私利的。</w:t>
            </w: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38DAC80B">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default"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14:paraId="4461C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5"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252891A">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9591ED8">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b w:val="0"/>
                <w:bCs w:val="0"/>
                <w:color w:val="auto"/>
                <w:sz w:val="24"/>
                <w:szCs w:val="24"/>
                <w:lang w:val="en-US" w:eastAsia="zh-CN"/>
              </w:rPr>
            </w:pPr>
          </w:p>
        </w:tc>
        <w:tc>
          <w:tcPr>
            <w:tcW w:w="3801"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A2EB583">
            <w:pPr>
              <w:rPr>
                <w:rFonts w:hint="eastAsia" w:ascii="Calibri" w:hAnsi="Calibri" w:eastAsia="宋体" w:cs="Times New Roman"/>
                <w:kern w:val="2"/>
                <w:sz w:val="21"/>
                <w:szCs w:val="22"/>
                <w:lang w:val="en-US" w:eastAsia="zh-CN" w:bidi="ar-SA"/>
              </w:rPr>
            </w:pPr>
          </w:p>
        </w:tc>
        <w:tc>
          <w:tcPr>
            <w:tcW w:w="616"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234B63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21394C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4BD7713">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DFD689D">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98567BC">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3579A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0"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A8AAD67">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D297A62">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b w:val="0"/>
                <w:bCs w:val="0"/>
                <w:color w:val="auto"/>
                <w:sz w:val="24"/>
                <w:szCs w:val="24"/>
                <w:lang w:val="en-US" w:eastAsia="zh-CN"/>
              </w:rPr>
            </w:pPr>
          </w:p>
        </w:tc>
        <w:tc>
          <w:tcPr>
            <w:tcW w:w="3801"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D550414">
            <w:pPr>
              <w:rPr>
                <w:rFonts w:hint="eastAsia" w:ascii="Calibri" w:hAnsi="Calibri" w:eastAsia="宋体" w:cs="Times New Roman"/>
                <w:kern w:val="2"/>
                <w:sz w:val="21"/>
                <w:szCs w:val="22"/>
                <w:lang w:val="en-US" w:eastAsia="zh-CN" w:bidi="ar-SA"/>
              </w:rPr>
            </w:pPr>
          </w:p>
        </w:tc>
        <w:tc>
          <w:tcPr>
            <w:tcW w:w="616"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27B7D1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231932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FECB14F">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D43485C">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5808C57">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2FE45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C67F5CA">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50407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CA4071B">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1B59F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0"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49F9EEEC">
            <w:pPr>
              <w:keepNext w:val="0"/>
              <w:keepLines w:val="0"/>
              <w:pageBreakBefore w:val="0"/>
              <w:kinsoku/>
              <w:wordWrap/>
              <w:overflowPunct/>
              <w:topLinePunct w:val="0"/>
              <w:autoSpaceDE/>
              <w:autoSpaceDN/>
              <w:bidi w:val="0"/>
              <w:adjustRightInd/>
              <w:ind w:firstLine="0" w:firstLineChars="0"/>
              <w:jc w:val="center"/>
              <w:rPr>
                <w:rFonts w:hint="default"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8</w:t>
            </w:r>
          </w:p>
        </w:tc>
        <w:tc>
          <w:tcPr>
            <w:tcW w:w="138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5487476F">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val="0"/>
                <w:color w:val="auto"/>
                <w:sz w:val="24"/>
                <w:szCs w:val="24"/>
                <w:lang w:val="en-US" w:eastAsia="zh-CN"/>
              </w:rPr>
              <w:t>县级文物保护单位原址保护措施审批</w:t>
            </w:r>
          </w:p>
        </w:tc>
        <w:tc>
          <w:tcPr>
            <w:tcW w:w="3801"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78B89A66">
            <w:pPr>
              <w:widowControl w:val="0"/>
              <w:wordWrap/>
              <w:autoSpaceDN w:val="0"/>
              <w:adjustRightInd/>
              <w:snapToGrid w:val="0"/>
              <w:spacing w:line="240" w:lineRule="auto"/>
              <w:ind w:left="0" w:leftChars="0" w:firstLine="0" w:firstLineChars="0"/>
              <w:jc w:val="left"/>
              <w:textAlignment w:val="center"/>
              <w:rPr>
                <w:rFonts w:hint="eastAsia" w:ascii="Calibri" w:hAnsi="Calibri" w:eastAsia="宋体" w:cs="Times New Roman"/>
                <w:kern w:val="2"/>
                <w:sz w:val="21"/>
                <w:szCs w:val="22"/>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《中华人民共和国文物保护法》（1982年11月19日第五届全国人民代表大会常务委员会第二十五次会议通过　根据2017年11月4日第十二届全国人民代表大会常务委员会第三十次会议《关于修改&lt;中华人民共和国会计法&gt;等十一部法律的决定》第五次修正）第二十条：“建设工程选址，应当尽可能避开不可移动文物；因特殊情况不能避开的，对文物保护单位应当尽可能实施原址保护。实施原址保护的，建设单位应当事先确定保护措施，根据文物保护单位的级别报相应的文物行政部门批准，并将保护措施列入可行性研究报告或者设计任务书……”。</w:t>
            </w:r>
          </w:p>
        </w:tc>
        <w:tc>
          <w:tcPr>
            <w:tcW w:w="616" w:type="dxa"/>
            <w:gridSpan w:val="3"/>
            <w:vMerge w:val="restart"/>
            <w:tcBorders>
              <w:top w:val="single" w:color="auto" w:sz="4" w:space="0"/>
              <w:left w:val="single" w:color="auto" w:sz="4" w:space="0"/>
              <w:right w:val="single" w:color="auto" w:sz="4" w:space="0"/>
            </w:tcBorders>
            <w:tcMar>
              <w:top w:w="15" w:type="dxa"/>
              <w:left w:w="15" w:type="dxa"/>
              <w:right w:w="15" w:type="dxa"/>
            </w:tcMar>
            <w:vAlign w:val="center"/>
          </w:tcPr>
          <w:p w14:paraId="559B7E0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行政许可</w:t>
            </w: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F53AB2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23B0D1B">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46B3460D">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不履行或不正确履行职责，有下列情形的行政机关及相关工作人员应当承担相应的责任：</w:t>
            </w:r>
          </w:p>
          <w:p w14:paraId="7932BF76">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滥用审批权限、不履行职责或者发现违法行为不予查处，造成严重后果的，依法给予行政处分，情节严重的，依法开除公职或者吊销其从业资格；构成犯罪的，依法追究刑事责任。</w:t>
            </w:r>
          </w:p>
          <w:p w14:paraId="302C161A">
            <w:pPr>
              <w:pStyle w:val="2"/>
              <w:rPr>
                <w:rFonts w:hint="eastAsia" w:ascii="Calibri" w:hAnsi="Calibri" w:eastAsia="宋体" w:cs="Times New Roman"/>
                <w:kern w:val="2"/>
                <w:sz w:val="21"/>
                <w:szCs w:val="22"/>
                <w:lang w:val="en-US" w:eastAsia="zh-CN" w:bidi="ar-SA"/>
              </w:rPr>
            </w:pP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49B25522">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default"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14:paraId="4D5E2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40"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14A12BA">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BC25507">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b w:val="0"/>
                <w:bCs w:val="0"/>
                <w:color w:val="auto"/>
                <w:sz w:val="24"/>
                <w:szCs w:val="24"/>
                <w:lang w:val="en-US" w:eastAsia="zh-CN"/>
              </w:rPr>
            </w:pPr>
          </w:p>
        </w:tc>
        <w:tc>
          <w:tcPr>
            <w:tcW w:w="3801"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1447FFF">
            <w:pPr>
              <w:pStyle w:val="2"/>
              <w:rPr>
                <w:rFonts w:hint="eastAsia" w:ascii="Calibri" w:hAnsi="Calibri" w:eastAsia="宋体" w:cs="Times New Roman"/>
                <w:kern w:val="2"/>
                <w:sz w:val="21"/>
                <w:szCs w:val="22"/>
                <w:lang w:val="en-US" w:eastAsia="zh-CN" w:bidi="ar-SA"/>
              </w:rPr>
            </w:pPr>
          </w:p>
        </w:tc>
        <w:tc>
          <w:tcPr>
            <w:tcW w:w="616"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68880C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2DA160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FDD6F1B">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1BC7928">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CD65022">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6FB80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0"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09909CD">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2C74B25">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b w:val="0"/>
                <w:bCs w:val="0"/>
                <w:color w:val="auto"/>
                <w:sz w:val="24"/>
                <w:szCs w:val="24"/>
                <w:lang w:val="en-US" w:eastAsia="zh-CN"/>
              </w:rPr>
            </w:pPr>
          </w:p>
        </w:tc>
        <w:tc>
          <w:tcPr>
            <w:tcW w:w="3801"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F22D616">
            <w:pPr>
              <w:pStyle w:val="2"/>
              <w:rPr>
                <w:rFonts w:hint="eastAsia" w:ascii="Calibri" w:hAnsi="Calibri" w:eastAsia="宋体" w:cs="Times New Roman"/>
                <w:kern w:val="2"/>
                <w:sz w:val="21"/>
                <w:szCs w:val="22"/>
                <w:lang w:val="en-US" w:eastAsia="zh-CN" w:bidi="ar-SA"/>
              </w:rPr>
            </w:pPr>
          </w:p>
        </w:tc>
        <w:tc>
          <w:tcPr>
            <w:tcW w:w="616"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5FE57C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BB710D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24C9FE5">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1179D4F">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39EEDB9">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6DEFA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A94CB74">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2B41D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97889D7">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05055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5"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671FF1AC">
            <w:pPr>
              <w:keepNext w:val="0"/>
              <w:keepLines w:val="0"/>
              <w:pageBreakBefore w:val="0"/>
              <w:kinsoku/>
              <w:wordWrap/>
              <w:overflowPunct/>
              <w:topLinePunct w:val="0"/>
              <w:autoSpaceDE/>
              <w:autoSpaceDN/>
              <w:bidi w:val="0"/>
              <w:adjustRightInd/>
              <w:ind w:firstLine="0" w:firstLineChars="0"/>
              <w:jc w:val="center"/>
              <w:rPr>
                <w:rFonts w:hint="default"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9</w:t>
            </w:r>
          </w:p>
        </w:tc>
        <w:tc>
          <w:tcPr>
            <w:tcW w:w="138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3E10677E">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val="0"/>
                <w:color w:val="auto"/>
                <w:sz w:val="24"/>
                <w:szCs w:val="24"/>
                <w:lang w:val="en-US" w:eastAsia="zh-CN"/>
              </w:rPr>
              <w:t>文物保护单位安全防护工程审批</w:t>
            </w:r>
          </w:p>
        </w:tc>
        <w:tc>
          <w:tcPr>
            <w:tcW w:w="3801"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6B7CC31F">
            <w:pPr>
              <w:widowControl w:val="0"/>
              <w:wordWrap/>
              <w:autoSpaceDN w:val="0"/>
              <w:adjustRightInd/>
              <w:snapToGrid w:val="0"/>
              <w:spacing w:line="240" w:lineRule="auto"/>
              <w:ind w:left="0" w:leftChars="0" w:firstLine="0" w:firstLineChars="0"/>
              <w:jc w:val="both"/>
              <w:textAlignment w:val="center"/>
              <w:rPr>
                <w:rFonts w:hint="default"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《文物保护工程管理办法》</w:t>
            </w:r>
            <w:r>
              <w:rPr>
                <w:rFonts w:hint="eastAsia" w:ascii="仿宋" w:hAnsi="仿宋" w:eastAsia="仿宋" w:cs="仿宋"/>
                <w:i w:val="0"/>
                <w:caps w:val="0"/>
                <w:color w:val="auto"/>
                <w:spacing w:val="0"/>
                <w:kern w:val="2"/>
                <w:sz w:val="24"/>
                <w:szCs w:val="24"/>
                <w:shd w:val="clear" w:color="070000"/>
                <w:lang w:val="en-US" w:eastAsia="zh-CN" w:bidi="ar-SA"/>
              </w:rPr>
              <w:t>（2003年3月17日文化部部务会议审议通过2003年4月1日文化部令第26号公布自2003年5月1日起施行）</w:t>
            </w:r>
          </w:p>
          <w:p w14:paraId="37F95D46">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第四条　文物保护单位应当制定专项的总体保护规划，文物保护工程应当依据批准的规划进行。</w:t>
            </w:r>
          </w:p>
          <w:p w14:paraId="487AA5DC">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第五条　文物保护工程分为：保养维护工程、抢险加固工程、修缮工程、保护性设施建设工程、迁移工程等。</w:t>
            </w:r>
          </w:p>
          <w:p w14:paraId="469E63D1">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第十条　文物保护工程按照文物保护单位级别实行分级管理，并按以下规定履行报批程序：（一）全国重点文物保护单位保护工程，以省、自治区、直辖市文物行政部门为申报机关，国家文物局为审批机关。（二）省、自治区、直辖市级文物保护单位保护工程以文物所在地的市、县级文物行政部门为申报机关，省、自治区、直辖市文物行政部门为审批机关。</w:t>
            </w:r>
          </w:p>
        </w:tc>
        <w:tc>
          <w:tcPr>
            <w:tcW w:w="616" w:type="dxa"/>
            <w:gridSpan w:val="3"/>
            <w:vMerge w:val="restart"/>
            <w:tcBorders>
              <w:top w:val="single" w:color="auto" w:sz="4" w:space="0"/>
              <w:left w:val="single" w:color="auto" w:sz="4" w:space="0"/>
              <w:right w:val="single" w:color="auto" w:sz="4" w:space="0"/>
            </w:tcBorders>
            <w:tcMar>
              <w:top w:w="15" w:type="dxa"/>
              <w:left w:w="15" w:type="dxa"/>
              <w:right w:w="15" w:type="dxa"/>
            </w:tcMar>
            <w:vAlign w:val="center"/>
          </w:tcPr>
          <w:p w14:paraId="5708054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行政许可</w:t>
            </w: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032606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96C485F">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2B2A77D7">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不履行或不正确履行职责，有下列情形的行政机关及相关工作人员应当承担相应的责任：</w:t>
            </w:r>
          </w:p>
          <w:p w14:paraId="74107479">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滥用审批权限、不履行职责或者发现违法行为不予查处，造成严重后果的，依法给予行政处分，情节严重的，依法开除公职或者吊销其从业资格；构成犯罪的，依法追究刑事责任。</w:t>
            </w: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357E6B11">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default"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14:paraId="3D09D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5"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1CE3B1B">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DA92D0C">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b w:val="0"/>
                <w:bCs w:val="0"/>
                <w:color w:val="auto"/>
                <w:sz w:val="24"/>
                <w:szCs w:val="24"/>
                <w:lang w:val="en-US" w:eastAsia="zh-CN"/>
              </w:rPr>
            </w:pPr>
          </w:p>
        </w:tc>
        <w:tc>
          <w:tcPr>
            <w:tcW w:w="3801"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F6C693B">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16"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244FE7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9B1A64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DA64FF2">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2809056">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9ECB5C2">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22C57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8"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19245C8">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084FB51">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b w:val="0"/>
                <w:bCs w:val="0"/>
                <w:color w:val="auto"/>
                <w:sz w:val="24"/>
                <w:szCs w:val="24"/>
                <w:lang w:val="en-US" w:eastAsia="zh-CN"/>
              </w:rPr>
            </w:pPr>
          </w:p>
        </w:tc>
        <w:tc>
          <w:tcPr>
            <w:tcW w:w="3801"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A383168">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16"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5C3241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6BB59A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207D1C1">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792A11F">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4F62719">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49063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41F1EB9">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4081C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A921DBF">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6B30F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6"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0C238DFD">
            <w:pPr>
              <w:keepNext w:val="0"/>
              <w:keepLines w:val="0"/>
              <w:pageBreakBefore w:val="0"/>
              <w:kinsoku/>
              <w:wordWrap/>
              <w:overflowPunct/>
              <w:topLinePunct w:val="0"/>
              <w:autoSpaceDE/>
              <w:autoSpaceDN/>
              <w:bidi w:val="0"/>
              <w:adjustRightInd/>
              <w:ind w:firstLine="0" w:firstLineChars="0"/>
              <w:jc w:val="center"/>
              <w:rPr>
                <w:rFonts w:hint="default"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10</w:t>
            </w:r>
          </w:p>
        </w:tc>
        <w:tc>
          <w:tcPr>
            <w:tcW w:w="138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485A85BF">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val="0"/>
                <w:color w:val="auto"/>
                <w:sz w:val="24"/>
                <w:szCs w:val="24"/>
                <w:lang w:val="en-US" w:eastAsia="zh-CN"/>
              </w:rPr>
              <w:t>大型基本建设工程文物考古调查、勘探审批</w:t>
            </w:r>
          </w:p>
        </w:tc>
        <w:tc>
          <w:tcPr>
            <w:tcW w:w="3801"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43D3F695">
            <w:pPr>
              <w:keepNext w:val="0"/>
              <w:keepLines w:val="0"/>
              <w:pageBreakBefore w:val="0"/>
              <w:widowControl w:val="0"/>
              <w:kinsoku/>
              <w:wordWrap/>
              <w:overflowPunct/>
              <w:topLinePunct w:val="0"/>
              <w:autoSpaceDE/>
              <w:autoSpaceDN w:val="0"/>
              <w:bidi w:val="0"/>
              <w:adjustRightInd/>
              <w:snapToGrid w:val="0"/>
              <w:spacing w:line="176" w:lineRule="exact"/>
              <w:ind w:left="0" w:leftChars="0" w:firstLine="0" w:firstLineChars="0"/>
              <w:jc w:val="both"/>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lang w:val="en-US" w:eastAsia="zh-CN" w:bidi="ar-SA"/>
              </w:rPr>
              <w:t>“一、《中华人民共和国文物保护法》（1982年11月19日第五届全国人民代表大会常务委员会第二十五次会议通过　根据2017年11月4日第十二届全国人民代表大会常务委员会第三十次会议《关于修改&lt;中华人民共和国会计法&gt;等十一部法律的决定》第五次修正）第二十九条：进行大型基本建设工程，建设单位应当事先报请省、自治区、直辖市人民政府文物行政部门组织从事考古发掘的单位在工程范围内有可能埋藏文物的地方进行考古调查、勘探。考古调查、勘</w:t>
            </w:r>
            <w:r>
              <w:rPr>
                <w:rFonts w:hint="eastAsia" w:ascii="仿宋" w:hAnsi="仿宋" w:eastAsia="仿宋" w:cs="仿宋"/>
                <w:i w:val="0"/>
                <w:caps w:val="0"/>
                <w:color w:val="auto"/>
                <w:spacing w:val="0"/>
                <w:kern w:val="2"/>
                <w:sz w:val="18"/>
                <w:szCs w:val="18"/>
                <w:shd w:val="clear" w:color="070000" w:fill="FFFFFF"/>
                <w:lang w:val="en-US" w:eastAsia="zh-CN" w:bidi="ar-SA"/>
              </w:rPr>
              <w:t>探中发现文物的，由省、自治区、直辖市人民政府文物行政部门根据文物保护的要求会同建设单位共同商定保护措施；遇有重要发现的，由省、自治区、直辖市人民政府文物行政部门及时报国务院文物行政部门处理。”</w:t>
            </w:r>
          </w:p>
          <w:p w14:paraId="5C8B7EEC">
            <w:pPr>
              <w:keepNext w:val="0"/>
              <w:keepLines w:val="0"/>
              <w:pageBreakBefore w:val="0"/>
              <w:widowControl w:val="0"/>
              <w:kinsoku/>
              <w:wordWrap/>
              <w:overflowPunct/>
              <w:topLinePunct w:val="0"/>
              <w:autoSpaceDE/>
              <w:autoSpaceDN w:val="0"/>
              <w:bidi w:val="0"/>
              <w:adjustRightInd/>
              <w:snapToGrid w:val="0"/>
              <w:spacing w:line="176" w:lineRule="exact"/>
              <w:ind w:left="0" w:leftChars="0" w:firstLine="0" w:firstLineChars="0"/>
              <w:jc w:val="both"/>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河南省实施《中华人民共和国文物保护法》办法</w:t>
            </w:r>
            <w:r>
              <w:rPr>
                <w:rFonts w:hint="eastAsia" w:ascii="仿宋" w:hAnsi="仿宋" w:eastAsia="仿宋" w:cs="仿宋"/>
                <w:i w:val="0"/>
                <w:caps w:val="0"/>
                <w:color w:val="auto"/>
                <w:spacing w:val="0"/>
                <w:kern w:val="2"/>
                <w:sz w:val="18"/>
                <w:szCs w:val="18"/>
                <w:shd w:val="clear" w:color="070000"/>
                <w:lang w:val="en-US" w:eastAsia="zh-CN" w:bidi="ar-SA"/>
              </w:rPr>
              <w:t>（2010年5月28日河南省第十一届人民代表大会常务委员会第十五次会议通过根据2016年3月29日河南省第十二届人民代表大会常务委员会第二十次会议《关于修改〈河南省煤炭条例〉等十部地方性法规的决定》修正）</w:t>
            </w:r>
            <w:r>
              <w:rPr>
                <w:rFonts w:hint="eastAsia" w:ascii="仿宋" w:hAnsi="仿宋" w:eastAsia="仿宋" w:cs="仿宋"/>
                <w:i w:val="0"/>
                <w:caps w:val="0"/>
                <w:color w:val="auto"/>
                <w:spacing w:val="0"/>
                <w:kern w:val="2"/>
                <w:sz w:val="18"/>
                <w:szCs w:val="18"/>
                <w:shd w:val="clear" w:color="070000" w:fill="FFFFFF"/>
                <w:lang w:val="en-US" w:eastAsia="zh-CN" w:bidi="ar-SA"/>
              </w:rPr>
              <w:t>第二十七条:“进行大型基本建设工程，以及在历史文化名城、名镇、名村保护规划范围内进行工程建设，建设单位应当事先报请当地文物行政部门组织从事考古发掘的单位在工程项目范围内及其取土区进行考古调查、勘探。规划成片开发的土地，县级以上人民政府应当先行组织进行考古调查、勘探。</w:t>
            </w:r>
          </w:p>
          <w:p w14:paraId="1DEEE019">
            <w:pPr>
              <w:keepNext w:val="0"/>
              <w:keepLines w:val="0"/>
              <w:pageBreakBefore w:val="0"/>
              <w:widowControl w:val="0"/>
              <w:kinsoku/>
              <w:wordWrap/>
              <w:overflowPunct/>
              <w:topLinePunct w:val="0"/>
              <w:autoSpaceDE/>
              <w:autoSpaceDN w:val="0"/>
              <w:bidi w:val="0"/>
              <w:adjustRightInd/>
              <w:snapToGrid w:val="0"/>
              <w:spacing w:line="176" w:lineRule="exact"/>
              <w:ind w:left="0" w:leftChars="0" w:firstLine="0" w:firstLineChars="0"/>
              <w:jc w:val="both"/>
              <w:textAlignment w:val="center"/>
              <w:rPr>
                <w:rFonts w:hint="eastAsia"/>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第二十八条:文物行政部门应当在接到考古调查、勘探申请之日起七日内,组织考古发掘单位进行考古调查、勘探。考古发掘单位应当在三十日内完成考古调查、勘探。因工程规模巨大确需延长的，应当报请省文物行政部门批准。考古发掘单位应当在考古调查、勘探结束七日内出具考古调查、勘探报告，并对报告的真实性负责。文物行政部门应当在接到考古调查、勘探报告后七日内作出考古调查、勘探结果处理书。对没有文物埋藏的，应当及时通知建设单位施工；有文物埋藏的，应当提出具体处理意见，送达建设单位。”</w:t>
            </w:r>
          </w:p>
        </w:tc>
        <w:tc>
          <w:tcPr>
            <w:tcW w:w="616" w:type="dxa"/>
            <w:gridSpan w:val="3"/>
            <w:vMerge w:val="restart"/>
            <w:tcBorders>
              <w:top w:val="single" w:color="auto" w:sz="4" w:space="0"/>
              <w:left w:val="single" w:color="auto" w:sz="4" w:space="0"/>
              <w:right w:val="single" w:color="auto" w:sz="4" w:space="0"/>
            </w:tcBorders>
            <w:tcMar>
              <w:top w:w="15" w:type="dxa"/>
              <w:left w:w="15" w:type="dxa"/>
              <w:right w:w="15" w:type="dxa"/>
            </w:tcMar>
            <w:vAlign w:val="center"/>
          </w:tcPr>
          <w:p w14:paraId="33380E1A">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行政许可</w:t>
            </w: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AF6385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6D6BACD">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7B862C94">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不履行或不正确履行职责，有下列情形的行政机关及相关工作人员应当承担相应的责任：</w:t>
            </w:r>
            <w:r>
              <w:rPr>
                <w:rFonts w:hint="eastAsia" w:ascii="仿宋" w:hAnsi="仿宋" w:eastAsia="仿宋" w:cs="仿宋"/>
                <w:i w:val="0"/>
                <w:caps w:val="0"/>
                <w:color w:val="auto"/>
                <w:spacing w:val="0"/>
                <w:sz w:val="24"/>
                <w:szCs w:val="24"/>
                <w:shd w:val="clear" w:color="070000" w:fill="FFFFFF"/>
                <w:lang w:val="en-US" w:eastAsia="zh-CN"/>
              </w:rPr>
              <w:br w:type="textWrapping"/>
            </w:r>
            <w:r>
              <w:rPr>
                <w:rFonts w:hint="eastAsia" w:ascii="仿宋" w:hAnsi="仿宋" w:eastAsia="仿宋" w:cs="仿宋"/>
                <w:i w:val="0"/>
                <w:caps w:val="0"/>
                <w:color w:val="auto"/>
                <w:spacing w:val="0"/>
                <w:sz w:val="24"/>
                <w:szCs w:val="24"/>
                <w:shd w:val="clear" w:color="070000" w:fill="FFFFFF"/>
                <w:lang w:val="en-US" w:eastAsia="zh-CN"/>
              </w:rPr>
              <w:t>滥用审批权限、不履行职责或者发现违法行为不予查处，造成严重后果的，依法给予行政处分，情节严重的，依法开除公职或者吊销其从业资格；构成犯罪的，依法追究刑事责任。</w:t>
            </w: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7F833AEA">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行政审批科</w:t>
            </w:r>
          </w:p>
        </w:tc>
      </w:tr>
      <w:tr w14:paraId="4648C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5"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0CC4234">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DB81E20">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b w:val="0"/>
                <w:bCs w:val="0"/>
                <w:color w:val="auto"/>
                <w:sz w:val="24"/>
                <w:szCs w:val="24"/>
                <w:lang w:val="en-US" w:eastAsia="zh-CN"/>
              </w:rPr>
            </w:pPr>
          </w:p>
        </w:tc>
        <w:tc>
          <w:tcPr>
            <w:tcW w:w="3801"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B8AB5AA">
            <w:pPr>
              <w:rPr>
                <w:rFonts w:hint="eastAsia" w:ascii="Calibri" w:hAnsi="Calibri" w:eastAsia="宋体" w:cs="Times New Roman"/>
                <w:kern w:val="2"/>
                <w:sz w:val="21"/>
                <w:szCs w:val="22"/>
                <w:lang w:val="en-US" w:eastAsia="zh-CN" w:bidi="ar-SA"/>
              </w:rPr>
            </w:pPr>
          </w:p>
        </w:tc>
        <w:tc>
          <w:tcPr>
            <w:tcW w:w="616"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65116F0">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BF022A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20B8C4A">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046C4BF">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8EE8630">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26A2F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0"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6DD24F6">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DC47763">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b w:val="0"/>
                <w:bCs w:val="0"/>
                <w:color w:val="auto"/>
                <w:sz w:val="24"/>
                <w:szCs w:val="24"/>
                <w:lang w:val="en-US" w:eastAsia="zh-CN"/>
              </w:rPr>
            </w:pPr>
          </w:p>
        </w:tc>
        <w:tc>
          <w:tcPr>
            <w:tcW w:w="3801"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60F1799">
            <w:pPr>
              <w:rPr>
                <w:rFonts w:hint="eastAsia" w:ascii="Calibri" w:hAnsi="Calibri" w:eastAsia="宋体" w:cs="Times New Roman"/>
                <w:kern w:val="2"/>
                <w:sz w:val="21"/>
                <w:szCs w:val="22"/>
                <w:lang w:val="en-US" w:eastAsia="zh-CN" w:bidi="ar-SA"/>
              </w:rPr>
            </w:pPr>
          </w:p>
        </w:tc>
        <w:tc>
          <w:tcPr>
            <w:tcW w:w="616"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3A8EE28">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FAFE9E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35D18C8">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8445A7F">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B70CD00">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2CB76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A26BB4D">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564D4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3922D4F">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1E827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0"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0BD3262F">
            <w:pPr>
              <w:keepNext w:val="0"/>
              <w:keepLines w:val="0"/>
              <w:pageBreakBefore w:val="0"/>
              <w:kinsoku/>
              <w:wordWrap/>
              <w:overflowPunct/>
              <w:topLinePunct w:val="0"/>
              <w:autoSpaceDE/>
              <w:autoSpaceDN/>
              <w:bidi w:val="0"/>
              <w:adjustRightInd/>
              <w:ind w:firstLine="0" w:firstLineChars="0"/>
              <w:jc w:val="center"/>
              <w:rPr>
                <w:rFonts w:hint="default"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11</w:t>
            </w:r>
          </w:p>
        </w:tc>
        <w:tc>
          <w:tcPr>
            <w:tcW w:w="138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36A71E6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val="0"/>
                <w:color w:val="auto"/>
                <w:sz w:val="24"/>
                <w:szCs w:val="24"/>
                <w:lang w:val="en-US" w:eastAsia="zh-CN"/>
              </w:rPr>
              <w:t>县级文物保护单位建设控制地带内建设工程设计方案审批</w:t>
            </w:r>
          </w:p>
        </w:tc>
        <w:tc>
          <w:tcPr>
            <w:tcW w:w="3801"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0AC52246">
            <w:pPr>
              <w:pStyle w:val="2"/>
              <w:jc w:val="left"/>
              <w:rPr>
                <w:rFonts w:hint="eastAsia" w:ascii="Calibri" w:hAnsi="Calibri" w:eastAsia="宋体" w:cs="Times New Roman"/>
                <w:kern w:val="2"/>
                <w:sz w:val="21"/>
                <w:szCs w:val="22"/>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《中华人民共和国文物保护法》（1982年11月19日第五届全国人民代表大会常务委员会第二十五次会议通过　根据2017年11月4日第十二届全国人民代表大会常务委员会第三十次会议《关于修改&lt;中华人民共和国会计法&gt;等十一部法律的决定》第五次修正）第十八条：“……在文物保护单位的建设控制地带内进行建设工程，不得破坏文物保护单位的历史风貌；工程设计方案应当根据文物保护单位的级别，经相应的文物行政部门同意后，报城乡建设规划部门批准。”</w:t>
            </w:r>
          </w:p>
        </w:tc>
        <w:tc>
          <w:tcPr>
            <w:tcW w:w="616" w:type="dxa"/>
            <w:gridSpan w:val="3"/>
            <w:vMerge w:val="restart"/>
            <w:tcBorders>
              <w:top w:val="single" w:color="auto" w:sz="4" w:space="0"/>
              <w:left w:val="single" w:color="auto" w:sz="4" w:space="0"/>
              <w:right w:val="single" w:color="auto" w:sz="4" w:space="0"/>
            </w:tcBorders>
            <w:tcMar>
              <w:top w:w="15" w:type="dxa"/>
              <w:left w:w="15" w:type="dxa"/>
              <w:right w:w="15" w:type="dxa"/>
            </w:tcMar>
            <w:vAlign w:val="center"/>
          </w:tcPr>
          <w:p w14:paraId="1D716966">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行政许可</w:t>
            </w: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3DC0AF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CDC0C4D">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72915172">
            <w:pPr>
              <w:keepNext w:val="0"/>
              <w:keepLines w:val="0"/>
              <w:pageBreakBefore w:val="0"/>
              <w:kinsoku/>
              <w:wordWrap/>
              <w:overflowPunct/>
              <w:topLinePunct w:val="0"/>
              <w:autoSpaceDE/>
              <w:autoSpaceDN/>
              <w:bidi w:val="0"/>
              <w:adjustRightInd/>
              <w:spacing w:line="300" w:lineRule="exact"/>
              <w:ind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不履行或不正确履行职责，有下列情形的行政机关及相关工作人员应当承担相应的责任：</w:t>
            </w:r>
            <w:r>
              <w:rPr>
                <w:rFonts w:hint="eastAsia" w:ascii="仿宋" w:hAnsi="仿宋" w:eastAsia="仿宋" w:cs="仿宋"/>
                <w:i w:val="0"/>
                <w:caps w:val="0"/>
                <w:color w:val="auto"/>
                <w:spacing w:val="0"/>
                <w:sz w:val="24"/>
                <w:szCs w:val="24"/>
                <w:shd w:val="clear" w:color="070000" w:fill="FFFFFF"/>
                <w:lang w:val="en-US" w:eastAsia="zh-CN"/>
              </w:rPr>
              <w:br w:type="textWrapping"/>
            </w:r>
            <w:r>
              <w:rPr>
                <w:rFonts w:hint="eastAsia" w:ascii="仿宋" w:hAnsi="仿宋" w:eastAsia="仿宋" w:cs="仿宋"/>
                <w:i w:val="0"/>
                <w:caps w:val="0"/>
                <w:color w:val="auto"/>
                <w:spacing w:val="0"/>
                <w:sz w:val="24"/>
                <w:szCs w:val="24"/>
                <w:shd w:val="clear" w:color="070000" w:fill="FFFFFF"/>
                <w:lang w:val="en-US" w:eastAsia="zh-CN"/>
              </w:rPr>
              <w:t>滥用审批权限、不履行职责或者发现违法行为不予查处，造成严重后果的，依法给予行政处分，情节严重的，依法开除公职或者吊销其从业资格；构成犯罪的，依法追究刑事责任。</w:t>
            </w: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5470A606">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行政审批科</w:t>
            </w:r>
          </w:p>
        </w:tc>
      </w:tr>
      <w:tr w14:paraId="53174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5"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0AF716D">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CE4EEA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b w:val="0"/>
                <w:bCs w:val="0"/>
                <w:color w:val="auto"/>
                <w:sz w:val="24"/>
                <w:szCs w:val="24"/>
                <w:lang w:val="en-US" w:eastAsia="zh-CN"/>
              </w:rPr>
            </w:pPr>
          </w:p>
        </w:tc>
        <w:tc>
          <w:tcPr>
            <w:tcW w:w="3801"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757EFB9">
            <w:pPr>
              <w:jc w:val="center"/>
              <w:rPr>
                <w:rFonts w:hint="eastAsia" w:ascii="Calibri" w:hAnsi="Calibri" w:eastAsia="宋体" w:cs="Times New Roman"/>
                <w:kern w:val="2"/>
                <w:sz w:val="21"/>
                <w:szCs w:val="22"/>
                <w:lang w:val="en-US" w:eastAsia="zh-CN" w:bidi="ar-SA"/>
              </w:rPr>
            </w:pPr>
          </w:p>
        </w:tc>
        <w:tc>
          <w:tcPr>
            <w:tcW w:w="616"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70AB879">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A45B9B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8F20875">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6A5BA79">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42A6CE4">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01762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1"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10E29FD">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FD0A83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b w:val="0"/>
                <w:bCs w:val="0"/>
                <w:color w:val="auto"/>
                <w:sz w:val="24"/>
                <w:szCs w:val="24"/>
                <w:lang w:val="en-US" w:eastAsia="zh-CN"/>
              </w:rPr>
            </w:pPr>
          </w:p>
        </w:tc>
        <w:tc>
          <w:tcPr>
            <w:tcW w:w="3801"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84C41E1">
            <w:pPr>
              <w:jc w:val="center"/>
              <w:rPr>
                <w:rFonts w:hint="eastAsia" w:ascii="Calibri" w:hAnsi="Calibri" w:eastAsia="宋体" w:cs="Times New Roman"/>
                <w:kern w:val="2"/>
                <w:sz w:val="21"/>
                <w:szCs w:val="22"/>
                <w:lang w:val="en-US" w:eastAsia="zh-CN" w:bidi="ar-SA"/>
              </w:rPr>
            </w:pPr>
          </w:p>
        </w:tc>
        <w:tc>
          <w:tcPr>
            <w:tcW w:w="616"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487F783">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71A55C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E1E2100">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6655211">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F79C5DB">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7E047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F6174FA">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5A1CC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7586C26">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07EE7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5"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0B7D80F0">
            <w:pPr>
              <w:keepNext w:val="0"/>
              <w:keepLines w:val="0"/>
              <w:pageBreakBefore w:val="0"/>
              <w:kinsoku/>
              <w:wordWrap/>
              <w:overflowPunct/>
              <w:topLinePunct w:val="0"/>
              <w:autoSpaceDE/>
              <w:autoSpaceDN/>
              <w:bidi w:val="0"/>
              <w:adjustRightInd/>
              <w:ind w:firstLine="0" w:firstLineChars="0"/>
              <w:jc w:val="center"/>
              <w:rPr>
                <w:rFonts w:hint="default"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12</w:t>
            </w:r>
          </w:p>
        </w:tc>
        <w:tc>
          <w:tcPr>
            <w:tcW w:w="138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7B13A154">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val="0"/>
                <w:color w:val="auto"/>
                <w:sz w:val="24"/>
                <w:szCs w:val="24"/>
                <w:lang w:val="en-US" w:eastAsia="zh-CN"/>
              </w:rPr>
              <w:t>利用文物保护单位举办大型活动审批</w:t>
            </w:r>
          </w:p>
        </w:tc>
        <w:tc>
          <w:tcPr>
            <w:tcW w:w="3801"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09D02EC4">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河南省实施《中华人民共和国文物保护法》办法</w:t>
            </w:r>
            <w:r>
              <w:rPr>
                <w:rFonts w:hint="eastAsia" w:ascii="仿宋" w:hAnsi="仿宋" w:eastAsia="仿宋" w:cs="仿宋"/>
                <w:i w:val="0"/>
                <w:caps w:val="0"/>
                <w:color w:val="auto"/>
                <w:spacing w:val="0"/>
                <w:kern w:val="2"/>
                <w:sz w:val="24"/>
                <w:szCs w:val="24"/>
                <w:shd w:val="clear" w:color="070000"/>
                <w:lang w:val="en-US" w:eastAsia="zh-CN" w:bidi="ar-SA"/>
              </w:rPr>
              <w:t>（2010年5月28日河南省第十一届人民代表大会常务委员会第十五次会议通过根据2016年3月29日河南省第十二届人民代表大会常务委员会第二十次会议《关于修改〈河南省煤炭条例〉等十部地方性法规的决定》修正）</w:t>
            </w:r>
            <w:r>
              <w:rPr>
                <w:rFonts w:hint="eastAsia" w:ascii="仿宋" w:hAnsi="仿宋" w:eastAsia="仿宋" w:cs="仿宋"/>
                <w:i w:val="0"/>
                <w:caps w:val="0"/>
                <w:color w:val="auto"/>
                <w:spacing w:val="0"/>
                <w:kern w:val="2"/>
                <w:sz w:val="24"/>
                <w:szCs w:val="24"/>
                <w:shd w:val="clear" w:color="070000" w:fill="FFFFFF"/>
                <w:lang w:val="en-US" w:eastAsia="zh-CN" w:bidi="ar-SA"/>
              </w:rPr>
              <w:t>第四十八条：利用文物保护单位拍摄电影，电视和其他音像制品以及举办大型活动的，拍摄单位或者举办者应当制定文物保护方案，按照审批权限报相应的文物行政部门批准。</w:t>
            </w:r>
          </w:p>
        </w:tc>
        <w:tc>
          <w:tcPr>
            <w:tcW w:w="616" w:type="dxa"/>
            <w:gridSpan w:val="3"/>
            <w:vMerge w:val="restart"/>
            <w:tcBorders>
              <w:top w:val="single" w:color="auto" w:sz="4" w:space="0"/>
              <w:left w:val="single" w:color="auto" w:sz="4" w:space="0"/>
              <w:right w:val="single" w:color="auto" w:sz="4" w:space="0"/>
            </w:tcBorders>
            <w:tcMar>
              <w:top w:w="15" w:type="dxa"/>
              <w:left w:w="15" w:type="dxa"/>
              <w:right w:w="15" w:type="dxa"/>
            </w:tcMar>
            <w:vAlign w:val="center"/>
          </w:tcPr>
          <w:p w14:paraId="5BFACE6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行政许可</w:t>
            </w: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FAA1E9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E645229">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06CC5305">
            <w:pPr>
              <w:keepNext w:val="0"/>
              <w:keepLines w:val="0"/>
              <w:pageBreakBefore w:val="0"/>
              <w:widowControl w:val="0"/>
              <w:kinsoku/>
              <w:wordWrap/>
              <w:overflowPunct/>
              <w:topLinePunct w:val="0"/>
              <w:autoSpaceDE/>
              <w:autoSpaceDN/>
              <w:bidi w:val="0"/>
              <w:adjustRightInd/>
              <w:snapToGrid/>
              <w:spacing w:line="220" w:lineRule="exact"/>
              <w:ind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不履行或不正确履行职责，有下列情形的行政机关及相关工作人员应当承担相应的责任：</w:t>
            </w:r>
          </w:p>
          <w:p w14:paraId="1E913913">
            <w:pPr>
              <w:keepNext w:val="0"/>
              <w:keepLines w:val="0"/>
              <w:pageBreakBefore w:val="0"/>
              <w:widowControl w:val="0"/>
              <w:kinsoku/>
              <w:wordWrap/>
              <w:overflowPunct/>
              <w:topLinePunct w:val="0"/>
              <w:autoSpaceDE/>
              <w:autoSpaceDN/>
              <w:bidi w:val="0"/>
              <w:adjustRightInd/>
              <w:snapToGrid/>
              <w:spacing w:line="220" w:lineRule="exact"/>
              <w:ind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文物行政部门及其工作人员有下列行为之一的，对负有责任的主管人员和其他直接责任人员依法给予行政处分；构成犯罪的，依法追究刑事责任：</w:t>
            </w:r>
          </w:p>
          <w:p w14:paraId="501A3860">
            <w:pPr>
              <w:keepNext w:val="0"/>
              <w:keepLines w:val="0"/>
              <w:pageBreakBefore w:val="0"/>
              <w:widowControl w:val="0"/>
              <w:kinsoku/>
              <w:wordWrap/>
              <w:overflowPunct/>
              <w:topLinePunct w:val="0"/>
              <w:autoSpaceDE/>
              <w:autoSpaceDN/>
              <w:bidi w:val="0"/>
              <w:adjustRightInd/>
              <w:snapToGrid/>
              <w:spacing w:line="220" w:lineRule="exact"/>
              <w:ind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1.违法实施行政许可或者行政处罚的；</w:t>
            </w:r>
          </w:p>
          <w:p w14:paraId="5DC40689">
            <w:pPr>
              <w:keepNext w:val="0"/>
              <w:keepLines w:val="0"/>
              <w:pageBreakBefore w:val="0"/>
              <w:widowControl w:val="0"/>
              <w:kinsoku/>
              <w:wordWrap/>
              <w:overflowPunct/>
              <w:topLinePunct w:val="0"/>
              <w:autoSpaceDE/>
              <w:autoSpaceDN/>
              <w:bidi w:val="0"/>
              <w:adjustRightInd/>
              <w:snapToGrid/>
              <w:spacing w:line="220" w:lineRule="exact"/>
              <w:ind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2.发现文物违法行为不予查处的；</w:t>
            </w:r>
          </w:p>
          <w:p w14:paraId="485E9E9B">
            <w:pPr>
              <w:keepNext w:val="0"/>
              <w:keepLines w:val="0"/>
              <w:pageBreakBefore w:val="0"/>
              <w:widowControl w:val="0"/>
              <w:kinsoku/>
              <w:wordWrap/>
              <w:overflowPunct/>
              <w:topLinePunct w:val="0"/>
              <w:autoSpaceDE/>
              <w:autoSpaceDN/>
              <w:bidi w:val="0"/>
              <w:adjustRightInd/>
              <w:snapToGrid/>
              <w:spacing w:line="220" w:lineRule="exact"/>
              <w:ind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3.接到危及文物安全险情的报告不按规定时限赶到现场或者不及时采取措施，造成损失的；</w:t>
            </w:r>
          </w:p>
          <w:p w14:paraId="03E44B5D">
            <w:pPr>
              <w:keepNext w:val="0"/>
              <w:keepLines w:val="0"/>
              <w:pageBreakBefore w:val="0"/>
              <w:widowControl w:val="0"/>
              <w:kinsoku/>
              <w:wordWrap/>
              <w:overflowPunct/>
              <w:topLinePunct w:val="0"/>
              <w:autoSpaceDE/>
              <w:autoSpaceDN/>
              <w:bidi w:val="0"/>
              <w:adjustRightInd/>
              <w:snapToGrid/>
              <w:spacing w:line="220" w:lineRule="exact"/>
              <w:ind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4.非法借用、侵占国有文物的；5.贪污、挪用文物保护经费的；</w:t>
            </w:r>
          </w:p>
          <w:p w14:paraId="7C4EB5B4">
            <w:pPr>
              <w:keepNext w:val="0"/>
              <w:keepLines w:val="0"/>
              <w:pageBreakBefore w:val="0"/>
              <w:widowControl w:val="0"/>
              <w:kinsoku/>
              <w:wordWrap/>
              <w:overflowPunct/>
              <w:topLinePunct w:val="0"/>
              <w:autoSpaceDE/>
              <w:autoSpaceDN/>
              <w:bidi w:val="0"/>
              <w:adjustRightInd/>
              <w:snapToGrid/>
              <w:spacing w:line="220" w:lineRule="exact"/>
              <w:ind w:firstLine="0" w:firstLineChars="0"/>
              <w:jc w:val="left"/>
              <w:textAlignment w:val="auto"/>
              <w:rPr>
                <w:rFonts w:hint="eastAsia" w:ascii="Calibri" w:hAnsi="Calibri" w:eastAsia="宋体" w:cs="Times New Roman"/>
                <w:kern w:val="2"/>
                <w:sz w:val="21"/>
                <w:szCs w:val="22"/>
                <w:lang w:val="en-US" w:eastAsia="zh-CN" w:bidi="ar-SA"/>
              </w:rPr>
            </w:pPr>
            <w:r>
              <w:rPr>
                <w:rFonts w:hint="eastAsia" w:ascii="仿宋" w:hAnsi="仿宋" w:eastAsia="仿宋" w:cs="仿宋"/>
                <w:sz w:val="18"/>
                <w:szCs w:val="18"/>
                <w:lang w:val="en-US" w:eastAsia="zh-CN"/>
              </w:rPr>
              <w:t>6.其他滥用职权、玩忽职守、徇私舞弊的。</w:t>
            </w: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603BBEA2">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p>
        </w:tc>
      </w:tr>
      <w:tr w14:paraId="2E096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5"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7C07010">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C1B8913">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b w:val="0"/>
                <w:bCs w:val="0"/>
                <w:color w:val="auto"/>
                <w:sz w:val="24"/>
                <w:szCs w:val="24"/>
                <w:lang w:val="en-US" w:eastAsia="zh-CN"/>
              </w:rPr>
            </w:pPr>
          </w:p>
        </w:tc>
        <w:tc>
          <w:tcPr>
            <w:tcW w:w="3801"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9E861A3">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16"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65031B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93412E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2FC8324">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C571799">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E7870D6">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6A21E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60"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CC8B424">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DA2F0C7">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b w:val="0"/>
                <w:bCs w:val="0"/>
                <w:color w:val="auto"/>
                <w:sz w:val="24"/>
                <w:szCs w:val="24"/>
                <w:lang w:val="en-US" w:eastAsia="zh-CN"/>
              </w:rPr>
            </w:pPr>
          </w:p>
        </w:tc>
        <w:tc>
          <w:tcPr>
            <w:tcW w:w="3801"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272E518">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16"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49D44F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010920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63CD698">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E8D0123">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8BA5F29">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29950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B83688B">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50A59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5127B70">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1A493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0"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70ED1EEC">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仿宋" w:hAnsi="仿宋" w:eastAsia="仿宋" w:cs="仿宋"/>
                <w:i w:val="0"/>
                <w:caps w:val="0"/>
                <w:color w:val="auto"/>
                <w:spacing w:val="0"/>
                <w:sz w:val="24"/>
                <w:szCs w:val="24"/>
                <w:shd w:val="clear" w:color="070000" w:fill="FFFFFF"/>
                <w:lang w:val="en-US" w:eastAsia="zh-CN"/>
              </w:rPr>
            </w:pPr>
            <w:r>
              <w:rPr>
                <w:rFonts w:hint="eastAsia" w:ascii="仿宋_GB2312" w:hAnsi="仿宋_GB2312" w:eastAsia="仿宋_GB2312" w:cs="仿宋_GB2312"/>
                <w:b w:val="0"/>
                <w:bCs/>
                <w:color w:val="000000"/>
                <w:spacing w:val="0"/>
                <w:w w:val="100"/>
                <w:kern w:val="0"/>
                <w:sz w:val="24"/>
                <w:szCs w:val="24"/>
                <w:lang w:val="en-US" w:eastAsia="zh-CN" w:bidi="ar"/>
              </w:rPr>
              <w:t>13</w:t>
            </w:r>
          </w:p>
        </w:tc>
        <w:tc>
          <w:tcPr>
            <w:tcW w:w="1389"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592F4847">
            <w:pPr>
              <w:keepNext w:val="0"/>
              <w:keepLines w:val="0"/>
              <w:pageBreakBefore w:val="0"/>
              <w:widowControl/>
              <w:kinsoku/>
              <w:wordWrap/>
              <w:overflowPunct/>
              <w:topLinePunct w:val="0"/>
              <w:autoSpaceDE/>
              <w:autoSpaceDN/>
              <w:bidi w:val="0"/>
              <w:adjustRightInd/>
              <w:snapToGrid/>
              <w:spacing w:line="220" w:lineRule="exact"/>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b w:val="0"/>
                <w:bCs/>
                <w:color w:val="000000"/>
                <w:spacing w:val="0"/>
                <w:w w:val="100"/>
                <w:kern w:val="0"/>
                <w:sz w:val="24"/>
                <w:szCs w:val="24"/>
                <w:lang w:bidi="ar"/>
              </w:rPr>
              <w:t>旅游</w:t>
            </w:r>
            <w:r>
              <w:rPr>
                <w:rFonts w:hint="eastAsia" w:ascii="仿宋" w:hAnsi="仿宋" w:eastAsia="仿宋" w:cs="仿宋"/>
                <w:b w:val="0"/>
                <w:bCs/>
                <w:color w:val="000000"/>
                <w:spacing w:val="0"/>
                <w:w w:val="100"/>
                <w:kern w:val="0"/>
                <w:sz w:val="24"/>
                <w:szCs w:val="24"/>
                <w:lang w:val="en-US" w:eastAsia="zh-CN" w:bidi="ar"/>
              </w:rPr>
              <w:t>市</w:t>
            </w:r>
            <w:r>
              <w:rPr>
                <w:rFonts w:hint="eastAsia" w:ascii="仿宋" w:hAnsi="仿宋" w:eastAsia="仿宋" w:cs="仿宋"/>
                <w:b w:val="0"/>
                <w:bCs/>
                <w:color w:val="000000"/>
                <w:spacing w:val="0"/>
                <w:w w:val="100"/>
                <w:kern w:val="0"/>
                <w:sz w:val="24"/>
                <w:szCs w:val="24"/>
                <w:lang w:bidi="ar"/>
              </w:rPr>
              <w:t>场秩序监督检查</w:t>
            </w:r>
          </w:p>
        </w:tc>
        <w:tc>
          <w:tcPr>
            <w:tcW w:w="3795"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2208E3B4">
            <w:pPr>
              <w:keepNext w:val="0"/>
              <w:keepLines w:val="0"/>
              <w:pageBreakBefore w:val="0"/>
              <w:widowControl/>
              <w:kinsoku/>
              <w:wordWrap/>
              <w:overflowPunct/>
              <w:topLinePunct w:val="0"/>
              <w:autoSpaceDE/>
              <w:autoSpaceDN/>
              <w:bidi w:val="0"/>
              <w:adjustRightInd/>
              <w:snapToGrid/>
              <w:spacing w:line="220" w:lineRule="exact"/>
              <w:textAlignment w:val="center"/>
              <w:rPr>
                <w:rFonts w:hint="eastAsia" w:ascii="仿宋" w:hAnsi="仿宋" w:eastAsia="仿宋" w:cs="仿宋"/>
                <w:b w:val="0"/>
                <w:bCs/>
                <w:color w:val="auto"/>
                <w:spacing w:val="0"/>
                <w:w w:val="100"/>
                <w:kern w:val="0"/>
                <w:sz w:val="22"/>
                <w:szCs w:val="22"/>
                <w:lang w:eastAsia="zh-CN" w:bidi="ar"/>
              </w:rPr>
            </w:pPr>
            <w:r>
              <w:rPr>
                <w:rFonts w:hint="eastAsia" w:ascii="仿宋" w:hAnsi="仿宋" w:eastAsia="仿宋" w:cs="仿宋"/>
                <w:b w:val="0"/>
                <w:bCs/>
                <w:color w:val="auto"/>
                <w:spacing w:val="0"/>
                <w:w w:val="100"/>
                <w:kern w:val="0"/>
                <w:sz w:val="22"/>
                <w:szCs w:val="22"/>
                <w:lang w:bidi="ar"/>
              </w:rPr>
              <w:t>《中华人民共和国旅游法》</w:t>
            </w:r>
            <w:r>
              <w:rPr>
                <w:rFonts w:hint="eastAsia" w:ascii="仿宋" w:hAnsi="仿宋" w:eastAsia="仿宋" w:cs="仿宋"/>
                <w:i w:val="0"/>
                <w:caps w:val="0"/>
                <w:color w:val="auto"/>
                <w:spacing w:val="0"/>
                <w:kern w:val="2"/>
                <w:sz w:val="22"/>
                <w:szCs w:val="22"/>
                <w:shd w:val="clear" w:color="070000"/>
                <w:lang w:val="en-US" w:eastAsia="zh-CN" w:bidi="ar-SA"/>
              </w:rPr>
              <w:t>（2</w:t>
            </w:r>
            <w:r>
              <w:rPr>
                <w:rFonts w:hint="default" w:ascii="仿宋" w:hAnsi="仿宋" w:eastAsia="仿宋" w:cs="仿宋"/>
                <w:i w:val="0"/>
                <w:caps w:val="0"/>
                <w:color w:val="auto"/>
                <w:spacing w:val="0"/>
                <w:kern w:val="2"/>
                <w:sz w:val="22"/>
                <w:szCs w:val="22"/>
                <w:shd w:val="clear" w:color="070000"/>
                <w:lang w:val="en-US" w:eastAsia="zh-CN" w:bidi="ar-SA"/>
              </w:rPr>
              <w:t>013</w:t>
            </w:r>
            <w:r>
              <w:rPr>
                <w:rFonts w:hint="eastAsia" w:ascii="仿宋" w:hAnsi="仿宋" w:eastAsia="仿宋" w:cs="仿宋"/>
                <w:i w:val="0"/>
                <w:caps w:val="0"/>
                <w:color w:val="auto"/>
                <w:spacing w:val="0"/>
                <w:kern w:val="2"/>
                <w:sz w:val="22"/>
                <w:szCs w:val="22"/>
                <w:shd w:val="clear" w:color="070000"/>
                <w:lang w:val="en-US" w:eastAsia="zh-CN" w:bidi="ar-SA"/>
              </w:rPr>
              <w:t>年</w:t>
            </w:r>
            <w:r>
              <w:rPr>
                <w:rFonts w:hint="default" w:ascii="仿宋" w:hAnsi="仿宋" w:eastAsia="仿宋" w:cs="仿宋"/>
                <w:i w:val="0"/>
                <w:caps w:val="0"/>
                <w:color w:val="auto"/>
                <w:spacing w:val="0"/>
                <w:kern w:val="2"/>
                <w:sz w:val="22"/>
                <w:szCs w:val="22"/>
                <w:shd w:val="clear" w:color="070000"/>
                <w:lang w:val="en-US" w:eastAsia="zh-CN" w:bidi="ar-SA"/>
              </w:rPr>
              <w:t>4</w:t>
            </w:r>
            <w:r>
              <w:rPr>
                <w:rFonts w:hint="eastAsia" w:ascii="仿宋" w:hAnsi="仿宋" w:eastAsia="仿宋" w:cs="仿宋"/>
                <w:i w:val="0"/>
                <w:caps w:val="0"/>
                <w:color w:val="auto"/>
                <w:spacing w:val="0"/>
                <w:kern w:val="2"/>
                <w:sz w:val="22"/>
                <w:szCs w:val="22"/>
                <w:shd w:val="clear" w:color="070000"/>
                <w:lang w:val="en-US" w:eastAsia="zh-CN" w:bidi="ar-SA"/>
              </w:rPr>
              <w:t>月</w:t>
            </w:r>
            <w:r>
              <w:rPr>
                <w:rFonts w:hint="default" w:ascii="仿宋" w:hAnsi="仿宋" w:eastAsia="仿宋" w:cs="仿宋"/>
                <w:i w:val="0"/>
                <w:caps w:val="0"/>
                <w:color w:val="auto"/>
                <w:spacing w:val="0"/>
                <w:kern w:val="2"/>
                <w:sz w:val="22"/>
                <w:szCs w:val="22"/>
                <w:shd w:val="clear" w:color="070000"/>
                <w:lang w:val="en-US" w:eastAsia="zh-CN" w:bidi="ar-SA"/>
              </w:rPr>
              <w:t>25</w:t>
            </w:r>
            <w:r>
              <w:rPr>
                <w:rFonts w:hint="eastAsia" w:ascii="仿宋" w:hAnsi="仿宋" w:eastAsia="仿宋" w:cs="仿宋"/>
                <w:i w:val="0"/>
                <w:caps w:val="0"/>
                <w:color w:val="auto"/>
                <w:spacing w:val="0"/>
                <w:kern w:val="2"/>
                <w:sz w:val="22"/>
                <w:szCs w:val="22"/>
                <w:shd w:val="clear" w:color="070000"/>
                <w:lang w:val="en-US" w:eastAsia="zh-CN" w:bidi="ar-SA"/>
              </w:rPr>
              <w:t>日第十二届全国人民代表大会常务委员会第二次会议通过根据</w:t>
            </w:r>
            <w:r>
              <w:rPr>
                <w:rFonts w:hint="default" w:ascii="仿宋" w:hAnsi="仿宋" w:eastAsia="仿宋" w:cs="仿宋"/>
                <w:i w:val="0"/>
                <w:caps w:val="0"/>
                <w:color w:val="auto"/>
                <w:spacing w:val="0"/>
                <w:kern w:val="2"/>
                <w:sz w:val="22"/>
                <w:szCs w:val="22"/>
                <w:shd w:val="clear" w:color="070000"/>
                <w:lang w:val="en-US" w:eastAsia="zh-CN" w:bidi="ar-SA"/>
              </w:rPr>
              <w:t>2016</w:t>
            </w:r>
            <w:r>
              <w:rPr>
                <w:rFonts w:hint="eastAsia" w:ascii="仿宋" w:hAnsi="仿宋" w:eastAsia="仿宋" w:cs="仿宋"/>
                <w:i w:val="0"/>
                <w:caps w:val="0"/>
                <w:color w:val="auto"/>
                <w:spacing w:val="0"/>
                <w:kern w:val="2"/>
                <w:sz w:val="22"/>
                <w:szCs w:val="22"/>
                <w:shd w:val="clear" w:color="070000"/>
                <w:lang w:val="en-US" w:eastAsia="zh-CN" w:bidi="ar-SA"/>
              </w:rPr>
              <w:t>年</w:t>
            </w:r>
            <w:r>
              <w:rPr>
                <w:rFonts w:hint="default" w:ascii="仿宋" w:hAnsi="仿宋" w:eastAsia="仿宋" w:cs="仿宋"/>
                <w:i w:val="0"/>
                <w:caps w:val="0"/>
                <w:color w:val="auto"/>
                <w:spacing w:val="0"/>
                <w:kern w:val="2"/>
                <w:sz w:val="22"/>
                <w:szCs w:val="22"/>
                <w:shd w:val="clear" w:color="070000"/>
                <w:lang w:val="en-US" w:eastAsia="zh-CN" w:bidi="ar-SA"/>
              </w:rPr>
              <w:t>11</w:t>
            </w:r>
            <w:r>
              <w:rPr>
                <w:rFonts w:hint="eastAsia" w:ascii="仿宋" w:hAnsi="仿宋" w:eastAsia="仿宋" w:cs="仿宋"/>
                <w:i w:val="0"/>
                <w:caps w:val="0"/>
                <w:color w:val="auto"/>
                <w:spacing w:val="0"/>
                <w:kern w:val="2"/>
                <w:sz w:val="22"/>
                <w:szCs w:val="22"/>
                <w:shd w:val="clear" w:color="070000"/>
                <w:lang w:val="en-US" w:eastAsia="zh-CN" w:bidi="ar-SA"/>
              </w:rPr>
              <w:t>月</w:t>
            </w:r>
            <w:r>
              <w:rPr>
                <w:rFonts w:hint="default" w:ascii="仿宋" w:hAnsi="仿宋" w:eastAsia="仿宋" w:cs="仿宋"/>
                <w:i w:val="0"/>
                <w:caps w:val="0"/>
                <w:color w:val="auto"/>
                <w:spacing w:val="0"/>
                <w:kern w:val="2"/>
                <w:sz w:val="22"/>
                <w:szCs w:val="22"/>
                <w:shd w:val="clear" w:color="070000"/>
                <w:lang w:val="en-US" w:eastAsia="zh-CN" w:bidi="ar-SA"/>
              </w:rPr>
              <w:t>7</w:t>
            </w:r>
            <w:r>
              <w:rPr>
                <w:rFonts w:hint="eastAsia" w:ascii="仿宋" w:hAnsi="仿宋" w:eastAsia="仿宋" w:cs="仿宋"/>
                <w:i w:val="0"/>
                <w:caps w:val="0"/>
                <w:color w:val="auto"/>
                <w:spacing w:val="0"/>
                <w:kern w:val="2"/>
                <w:sz w:val="22"/>
                <w:szCs w:val="22"/>
                <w:shd w:val="clear" w:color="070000"/>
                <w:lang w:val="en-US" w:eastAsia="zh-CN" w:bidi="ar-SA"/>
              </w:rPr>
              <w:t>日第十二届全国人民代表大会常务委员会第二十四次会议《关于修改〈中华人民共和国对外贸易法〉等十二部法律的决定》第一次修正根据</w:t>
            </w:r>
            <w:r>
              <w:rPr>
                <w:rFonts w:hint="default" w:ascii="仿宋" w:hAnsi="仿宋" w:eastAsia="仿宋" w:cs="仿宋"/>
                <w:i w:val="0"/>
                <w:caps w:val="0"/>
                <w:color w:val="auto"/>
                <w:spacing w:val="0"/>
                <w:kern w:val="2"/>
                <w:sz w:val="22"/>
                <w:szCs w:val="22"/>
                <w:shd w:val="clear" w:color="070000"/>
                <w:lang w:val="en-US" w:eastAsia="zh-CN" w:bidi="ar-SA"/>
              </w:rPr>
              <w:t>2018</w:t>
            </w:r>
            <w:r>
              <w:rPr>
                <w:rFonts w:hint="eastAsia" w:ascii="仿宋" w:hAnsi="仿宋" w:eastAsia="仿宋" w:cs="仿宋"/>
                <w:i w:val="0"/>
                <w:caps w:val="0"/>
                <w:color w:val="auto"/>
                <w:spacing w:val="0"/>
                <w:kern w:val="2"/>
                <w:sz w:val="22"/>
                <w:szCs w:val="22"/>
                <w:shd w:val="clear" w:color="070000"/>
                <w:lang w:val="en-US" w:eastAsia="zh-CN" w:bidi="ar-SA"/>
              </w:rPr>
              <w:t>年</w:t>
            </w:r>
            <w:r>
              <w:rPr>
                <w:rFonts w:hint="default" w:ascii="仿宋" w:hAnsi="仿宋" w:eastAsia="仿宋" w:cs="仿宋"/>
                <w:i w:val="0"/>
                <w:caps w:val="0"/>
                <w:color w:val="auto"/>
                <w:spacing w:val="0"/>
                <w:kern w:val="2"/>
                <w:sz w:val="22"/>
                <w:szCs w:val="22"/>
                <w:shd w:val="clear" w:color="070000"/>
                <w:lang w:val="en-US" w:eastAsia="zh-CN" w:bidi="ar-SA"/>
              </w:rPr>
              <w:t>10</w:t>
            </w:r>
            <w:r>
              <w:rPr>
                <w:rFonts w:hint="eastAsia" w:ascii="仿宋" w:hAnsi="仿宋" w:eastAsia="仿宋" w:cs="仿宋"/>
                <w:i w:val="0"/>
                <w:caps w:val="0"/>
                <w:color w:val="auto"/>
                <w:spacing w:val="0"/>
                <w:kern w:val="2"/>
                <w:sz w:val="22"/>
                <w:szCs w:val="22"/>
                <w:shd w:val="clear" w:color="070000"/>
                <w:lang w:val="en-US" w:eastAsia="zh-CN" w:bidi="ar-SA"/>
              </w:rPr>
              <w:t>月</w:t>
            </w:r>
            <w:r>
              <w:rPr>
                <w:rFonts w:hint="default" w:ascii="仿宋" w:hAnsi="仿宋" w:eastAsia="仿宋" w:cs="仿宋"/>
                <w:i w:val="0"/>
                <w:caps w:val="0"/>
                <w:color w:val="auto"/>
                <w:spacing w:val="0"/>
                <w:kern w:val="2"/>
                <w:sz w:val="22"/>
                <w:szCs w:val="22"/>
                <w:shd w:val="clear" w:color="070000"/>
                <w:lang w:val="en-US" w:eastAsia="zh-CN" w:bidi="ar-SA"/>
              </w:rPr>
              <w:t>26</w:t>
            </w:r>
            <w:r>
              <w:rPr>
                <w:rFonts w:hint="eastAsia" w:ascii="仿宋" w:hAnsi="仿宋" w:eastAsia="仿宋" w:cs="仿宋"/>
                <w:i w:val="0"/>
                <w:caps w:val="0"/>
                <w:color w:val="auto"/>
                <w:spacing w:val="0"/>
                <w:kern w:val="2"/>
                <w:sz w:val="22"/>
                <w:szCs w:val="22"/>
                <w:shd w:val="clear" w:color="070000"/>
                <w:lang w:val="en-US" w:eastAsia="zh-CN" w:bidi="ar-SA"/>
              </w:rPr>
              <w:t>日第十三届全国人民代表大会常务委员会第六次会议《关于修改〈中华人民共和国野生动物保护法〉等十五部法律的决定》第二次修正）</w:t>
            </w:r>
            <w:r>
              <w:rPr>
                <w:rFonts w:hint="eastAsia" w:ascii="仿宋" w:hAnsi="仿宋" w:eastAsia="仿宋" w:cs="仿宋"/>
                <w:b w:val="0"/>
                <w:bCs/>
                <w:color w:val="auto"/>
                <w:spacing w:val="0"/>
                <w:w w:val="100"/>
                <w:kern w:val="0"/>
                <w:sz w:val="22"/>
                <w:szCs w:val="22"/>
                <w:lang w:bidi="ar"/>
              </w:rPr>
              <w:t>第八十三条：</w:t>
            </w:r>
            <w:r>
              <w:rPr>
                <w:rFonts w:hint="eastAsia" w:ascii="仿宋" w:hAnsi="仿宋" w:eastAsia="仿宋" w:cs="仿宋"/>
                <w:b w:val="0"/>
                <w:bCs/>
                <w:color w:val="auto"/>
                <w:spacing w:val="0"/>
                <w:w w:val="100"/>
                <w:kern w:val="0"/>
                <w:sz w:val="22"/>
                <w:szCs w:val="22"/>
                <w:lang w:eastAsia="zh-CN" w:bidi="ar"/>
              </w:rPr>
              <w:t>“</w:t>
            </w:r>
            <w:r>
              <w:rPr>
                <w:rFonts w:hint="eastAsia" w:ascii="仿宋" w:hAnsi="仿宋" w:eastAsia="仿宋" w:cs="仿宋"/>
                <w:b w:val="0"/>
                <w:bCs/>
                <w:color w:val="auto"/>
                <w:spacing w:val="0"/>
                <w:w w:val="100"/>
                <w:kern w:val="0"/>
                <w:sz w:val="22"/>
                <w:szCs w:val="22"/>
                <w:lang w:bidi="ar"/>
              </w:rPr>
              <w:t>县级以上人民政府旅游主管部门和有关部门依照本法和有关法律、法规的规定，在各自职责范围内对旅游市场实施监督管理。县级以上人民政府应当组织旅游主管部门、有关主管部门和工商行政管理、产品质量监督、交通等执法部门对相关旅游经营行为实施监督检查。</w:t>
            </w:r>
            <w:r>
              <w:rPr>
                <w:rFonts w:hint="eastAsia" w:ascii="仿宋" w:hAnsi="仿宋" w:eastAsia="仿宋" w:cs="仿宋"/>
                <w:b w:val="0"/>
                <w:bCs/>
                <w:color w:val="auto"/>
                <w:spacing w:val="0"/>
                <w:w w:val="100"/>
                <w:kern w:val="0"/>
                <w:sz w:val="22"/>
                <w:szCs w:val="22"/>
                <w:lang w:eastAsia="zh-CN" w:bidi="ar"/>
              </w:rPr>
              <w:t>”</w:t>
            </w:r>
            <w:r>
              <w:rPr>
                <w:rFonts w:hint="eastAsia" w:ascii="仿宋" w:hAnsi="仿宋" w:eastAsia="仿宋" w:cs="仿宋"/>
                <w:b w:val="0"/>
                <w:bCs/>
                <w:color w:val="auto"/>
                <w:spacing w:val="0"/>
                <w:w w:val="100"/>
                <w:kern w:val="0"/>
                <w:sz w:val="22"/>
                <w:szCs w:val="22"/>
                <w:lang w:bidi="ar"/>
              </w:rPr>
              <w:t>第八十五条</w:t>
            </w:r>
            <w:r>
              <w:rPr>
                <w:rFonts w:hint="eastAsia" w:ascii="仿宋" w:hAnsi="仿宋" w:eastAsia="仿宋" w:cs="仿宋"/>
                <w:b w:val="0"/>
                <w:bCs/>
                <w:color w:val="auto"/>
                <w:spacing w:val="0"/>
                <w:w w:val="100"/>
                <w:kern w:val="0"/>
                <w:sz w:val="22"/>
                <w:szCs w:val="22"/>
                <w:lang w:eastAsia="zh-CN" w:bidi="ar"/>
              </w:rPr>
              <w:t>“</w:t>
            </w:r>
            <w:r>
              <w:rPr>
                <w:rFonts w:hint="eastAsia" w:ascii="仿宋" w:hAnsi="仿宋" w:eastAsia="仿宋" w:cs="仿宋"/>
                <w:b w:val="0"/>
                <w:bCs/>
                <w:color w:val="auto"/>
                <w:spacing w:val="0"/>
                <w:w w:val="100"/>
                <w:kern w:val="0"/>
                <w:sz w:val="22"/>
                <w:szCs w:val="22"/>
                <w:lang w:bidi="ar"/>
              </w:rPr>
              <w:t>县级以上人民政府旅游主管部门有权对相关市场秩序内容实施监督检查。</w:t>
            </w:r>
            <w:r>
              <w:rPr>
                <w:rFonts w:hint="eastAsia" w:ascii="仿宋" w:hAnsi="仿宋" w:eastAsia="仿宋" w:cs="仿宋"/>
                <w:b w:val="0"/>
                <w:bCs/>
                <w:color w:val="auto"/>
                <w:spacing w:val="0"/>
                <w:w w:val="100"/>
                <w:kern w:val="0"/>
                <w:sz w:val="22"/>
                <w:szCs w:val="22"/>
                <w:lang w:eastAsia="zh-CN" w:bidi="ar"/>
              </w:rPr>
              <w:t>”</w:t>
            </w:r>
          </w:p>
          <w:p w14:paraId="624FC161">
            <w:pPr>
              <w:keepNext w:val="0"/>
              <w:keepLines w:val="0"/>
              <w:pageBreakBefore w:val="0"/>
              <w:widowControl/>
              <w:kinsoku/>
              <w:wordWrap/>
              <w:overflowPunct/>
              <w:topLinePunct w:val="0"/>
              <w:autoSpaceDE/>
              <w:autoSpaceDN/>
              <w:bidi w:val="0"/>
              <w:adjustRightInd/>
              <w:snapToGrid/>
              <w:spacing w:line="220" w:lineRule="exact"/>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b w:val="0"/>
                <w:bCs/>
                <w:color w:val="auto"/>
                <w:spacing w:val="0"/>
                <w:w w:val="100"/>
                <w:kern w:val="0"/>
                <w:sz w:val="22"/>
                <w:szCs w:val="22"/>
                <w:lang w:bidi="ar"/>
              </w:rPr>
              <w:t>《河南省旅游条例》</w:t>
            </w:r>
            <w:r>
              <w:rPr>
                <w:rFonts w:hint="eastAsia" w:ascii="仿宋" w:hAnsi="仿宋" w:eastAsia="仿宋" w:cs="仿宋"/>
                <w:i w:val="0"/>
                <w:caps w:val="0"/>
                <w:color w:val="auto"/>
                <w:spacing w:val="0"/>
                <w:kern w:val="2"/>
                <w:sz w:val="22"/>
                <w:szCs w:val="22"/>
                <w:shd w:val="clear" w:color="070000"/>
                <w:lang w:val="en-US" w:eastAsia="zh-CN" w:bidi="ar-SA"/>
              </w:rPr>
              <w:t>（2019年11月29日河南省第十三届人民代表大会常务委员会第十三次会议通过）</w:t>
            </w:r>
            <w:r>
              <w:rPr>
                <w:rFonts w:hint="eastAsia" w:ascii="仿宋" w:hAnsi="仿宋" w:eastAsia="仿宋" w:cs="仿宋"/>
                <w:b w:val="0"/>
                <w:bCs/>
                <w:color w:val="auto"/>
                <w:spacing w:val="0"/>
                <w:w w:val="100"/>
                <w:kern w:val="0"/>
                <w:sz w:val="22"/>
                <w:szCs w:val="22"/>
                <w:lang w:bidi="ar"/>
              </w:rPr>
              <w:t>第八十六条 县级以上人民政府文化和旅游主管部门及有关部门依法对旅游经营活动实施监督检查，有权对涉嫌违法行为调查取证，并及时向社会公告监督检查情况。</w:t>
            </w:r>
          </w:p>
        </w:tc>
        <w:tc>
          <w:tcPr>
            <w:tcW w:w="615"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41275B52">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b w:val="0"/>
                <w:bCs/>
                <w:color w:val="000000"/>
                <w:spacing w:val="0"/>
                <w:w w:val="100"/>
                <w:kern w:val="0"/>
                <w:sz w:val="24"/>
                <w:szCs w:val="24"/>
                <w:lang w:bidi="ar"/>
              </w:rPr>
              <w:t>行政检查</w:t>
            </w: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CBF990A">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b w:val="0"/>
                <w:bCs/>
                <w:color w:val="000000"/>
                <w:spacing w:val="0"/>
                <w:w w:val="100"/>
                <w:kern w:val="0"/>
                <w:sz w:val="24"/>
                <w:szCs w:val="24"/>
                <w:lang w:bidi="ar"/>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7D7F9AD">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b w:val="0"/>
                <w:bCs/>
                <w:color w:val="000000"/>
                <w:spacing w:val="0"/>
                <w:w w:val="100"/>
                <w:kern w:val="0"/>
                <w:sz w:val="24"/>
                <w:szCs w:val="24"/>
                <w:lang w:bidi="ar"/>
              </w:rPr>
              <w:t>1.受理责任：接到投诉按投诉处理流程及时处理后决定是否移交执法机关。</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429BADCD">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b w:val="0"/>
                <w:bCs/>
                <w:color w:val="000000"/>
                <w:spacing w:val="0"/>
                <w:w w:val="100"/>
                <w:kern w:val="0"/>
                <w:sz w:val="24"/>
                <w:szCs w:val="24"/>
                <w:lang w:bidi="ar"/>
              </w:rPr>
              <w:t>不履行或不正确履行职责，有下列情形的行政机关及相关工作人员应承担相应的责任：</w:t>
            </w:r>
            <w:r>
              <w:rPr>
                <w:rFonts w:hint="eastAsia" w:ascii="仿宋" w:hAnsi="仿宋" w:eastAsia="仿宋" w:cs="仿宋"/>
                <w:b w:val="0"/>
                <w:bCs/>
                <w:color w:val="000000"/>
                <w:spacing w:val="0"/>
                <w:w w:val="100"/>
                <w:kern w:val="0"/>
                <w:sz w:val="24"/>
                <w:szCs w:val="24"/>
                <w:lang w:bidi="ar"/>
              </w:rPr>
              <w:br w:type="textWrapping"/>
            </w:r>
            <w:r>
              <w:rPr>
                <w:rFonts w:hint="eastAsia" w:ascii="仿宋" w:hAnsi="仿宋" w:eastAsia="仿宋" w:cs="仿宋"/>
                <w:b w:val="0"/>
                <w:bCs/>
                <w:color w:val="000000"/>
                <w:spacing w:val="0"/>
                <w:w w:val="100"/>
                <w:kern w:val="0"/>
                <w:sz w:val="24"/>
                <w:szCs w:val="24"/>
                <w:lang w:bidi="ar"/>
              </w:rPr>
              <w:t>旅游主管部门和有关部门工作人员在履行监督管理职责中，滥用职权、玩忽职守、徇私舞弊，尚不构成犯罪的，依法给予处分。</w:t>
            </w: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25A9F6E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监督管理股</w:t>
            </w:r>
          </w:p>
        </w:tc>
      </w:tr>
      <w:tr w14:paraId="706F9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5" w:hRule="atLeast"/>
          <w:jc w:val="center"/>
        </w:trPr>
        <w:tc>
          <w:tcPr>
            <w:tcW w:w="678" w:type="dxa"/>
            <w:vMerge w:val="continue"/>
            <w:tcBorders>
              <w:left w:val="single" w:color="auto" w:sz="4" w:space="0"/>
              <w:right w:val="single" w:color="auto" w:sz="4" w:space="0"/>
            </w:tcBorders>
            <w:tcMar>
              <w:top w:w="15" w:type="dxa"/>
              <w:left w:w="15" w:type="dxa"/>
              <w:right w:w="15" w:type="dxa"/>
            </w:tcMar>
            <w:vAlign w:val="center"/>
          </w:tcPr>
          <w:p w14:paraId="3CD342D6">
            <w:pPr>
              <w:keepNext w:val="0"/>
              <w:keepLines w:val="0"/>
              <w:pageBreakBefore w:val="0"/>
              <w:widowControl w:val="0"/>
              <w:kinsoku/>
              <w:wordWrap/>
              <w:overflowPunct/>
              <w:topLinePunct w:val="0"/>
              <w:autoSpaceDE/>
              <w:autoSpaceDN w:val="0"/>
              <w:bidi w:val="0"/>
              <w:adjustRightInd/>
              <w:snapToGrid w:val="0"/>
              <w:spacing w:line="220" w:lineRule="exact"/>
              <w:ind w:firstLine="0" w:firstLineChars="0"/>
              <w:jc w:val="center"/>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1389" w:type="dxa"/>
            <w:gridSpan w:val="2"/>
            <w:vMerge w:val="continue"/>
            <w:tcBorders>
              <w:left w:val="single" w:color="auto" w:sz="4" w:space="0"/>
              <w:right w:val="single" w:color="auto" w:sz="4" w:space="0"/>
            </w:tcBorders>
            <w:tcMar>
              <w:top w:w="15" w:type="dxa"/>
              <w:left w:w="15" w:type="dxa"/>
              <w:right w:w="15" w:type="dxa"/>
            </w:tcMar>
            <w:vAlign w:val="center"/>
          </w:tcPr>
          <w:p w14:paraId="086BBA15">
            <w:pPr>
              <w:keepNext w:val="0"/>
              <w:keepLines w:val="0"/>
              <w:pageBreakBefore w:val="0"/>
              <w:widowControl w:val="0"/>
              <w:kinsoku/>
              <w:wordWrap/>
              <w:topLinePunct w:val="0"/>
              <w:autoSpaceDE/>
              <w:autoSpaceDN w:val="0"/>
              <w:bidi w:val="0"/>
              <w:adjustRightInd/>
              <w:snapToGrid w:val="0"/>
              <w:spacing w:line="220" w:lineRule="exact"/>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3795" w:type="dxa"/>
            <w:gridSpan w:val="2"/>
            <w:vMerge w:val="continue"/>
            <w:tcBorders>
              <w:left w:val="single" w:color="auto" w:sz="4" w:space="0"/>
              <w:right w:val="single" w:color="auto" w:sz="4" w:space="0"/>
            </w:tcBorders>
            <w:tcMar>
              <w:top w:w="15" w:type="dxa"/>
              <w:left w:w="15" w:type="dxa"/>
              <w:right w:w="15" w:type="dxa"/>
            </w:tcMar>
            <w:vAlign w:val="center"/>
          </w:tcPr>
          <w:p w14:paraId="3B21CC3F">
            <w:pPr>
              <w:keepNext w:val="0"/>
              <w:keepLines w:val="0"/>
              <w:pageBreakBefore w:val="0"/>
              <w:widowControl w:val="0"/>
              <w:kinsoku/>
              <w:wordWrap/>
              <w:topLinePunct w:val="0"/>
              <w:autoSpaceDE/>
              <w:autoSpaceDN w:val="0"/>
              <w:bidi w:val="0"/>
              <w:adjustRightInd/>
              <w:snapToGrid w:val="0"/>
              <w:spacing w:line="220" w:lineRule="exact"/>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615" w:type="dxa"/>
            <w:gridSpan w:val="2"/>
            <w:vMerge w:val="continue"/>
            <w:tcBorders>
              <w:left w:val="single" w:color="auto" w:sz="4" w:space="0"/>
              <w:right w:val="single" w:color="auto" w:sz="4" w:space="0"/>
            </w:tcBorders>
            <w:tcMar>
              <w:top w:w="15" w:type="dxa"/>
              <w:left w:w="15" w:type="dxa"/>
              <w:right w:w="15" w:type="dxa"/>
            </w:tcMar>
            <w:vAlign w:val="center"/>
          </w:tcPr>
          <w:p w14:paraId="2FE28D66">
            <w:pPr>
              <w:keepNext w:val="0"/>
              <w:keepLines w:val="0"/>
              <w:pageBreakBefore w:val="0"/>
              <w:widowControl w:val="0"/>
              <w:kinsoku/>
              <w:wordWrap/>
              <w:overflowPunct/>
              <w:topLinePunct w:val="0"/>
              <w:autoSpaceDE/>
              <w:autoSpaceDN/>
              <w:bidi w:val="0"/>
              <w:adjustRightInd/>
              <w:snapToGrid w:val="0"/>
              <w:spacing w:line="220" w:lineRule="exact"/>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DF3B067">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b w:val="0"/>
                <w:bCs/>
                <w:color w:val="000000"/>
                <w:spacing w:val="0"/>
                <w:w w:val="100"/>
                <w:kern w:val="0"/>
                <w:sz w:val="24"/>
                <w:szCs w:val="24"/>
                <w:lang w:bidi="ar"/>
              </w:rPr>
              <w:t>审查</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8586FAB">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b w:val="0"/>
                <w:bCs/>
                <w:color w:val="000000"/>
                <w:spacing w:val="0"/>
                <w:w w:val="100"/>
                <w:kern w:val="0"/>
                <w:sz w:val="24"/>
                <w:szCs w:val="24"/>
                <w:lang w:bidi="ar"/>
              </w:rPr>
              <w:t>2.调查阶段责任：有2名以上取得合法执法证件的执法人员在场；主动出示执法证件，表明身份；通知检查对象相关负责人或与检查活动内容相关的人员到场，说明执法检查目的、依据以及需要当事人配合的有关事项。</w:t>
            </w:r>
          </w:p>
        </w:tc>
        <w:tc>
          <w:tcPr>
            <w:tcW w:w="1717" w:type="dxa"/>
            <w:gridSpan w:val="2"/>
            <w:vMerge w:val="continue"/>
            <w:tcBorders>
              <w:left w:val="single" w:color="auto" w:sz="4" w:space="0"/>
              <w:right w:val="single" w:color="auto" w:sz="4" w:space="0"/>
            </w:tcBorders>
            <w:tcMar>
              <w:top w:w="15" w:type="dxa"/>
              <w:left w:w="15" w:type="dxa"/>
              <w:right w:w="15" w:type="dxa"/>
            </w:tcMar>
            <w:vAlign w:val="center"/>
          </w:tcPr>
          <w:p w14:paraId="5BD72E62">
            <w:pPr>
              <w:keepNext w:val="0"/>
              <w:keepLines w:val="0"/>
              <w:pageBreakBefore w:val="0"/>
              <w:kinsoku/>
              <w:wordWrap/>
              <w:overflowPunct/>
              <w:topLinePunct w:val="0"/>
              <w:autoSpaceDE/>
              <w:autoSpaceDN/>
              <w:bidi w:val="0"/>
              <w:adjustRightInd/>
              <w:spacing w:line="22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42" w:type="dxa"/>
            <w:vMerge w:val="continue"/>
            <w:tcBorders>
              <w:left w:val="single" w:color="auto" w:sz="4" w:space="0"/>
              <w:right w:val="single" w:color="auto" w:sz="4" w:space="0"/>
            </w:tcBorders>
            <w:tcMar>
              <w:top w:w="15" w:type="dxa"/>
              <w:left w:w="15" w:type="dxa"/>
              <w:right w:w="15" w:type="dxa"/>
            </w:tcMar>
            <w:vAlign w:val="center"/>
          </w:tcPr>
          <w:p w14:paraId="3AC87A26">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sz w:val="24"/>
                <w:szCs w:val="24"/>
                <w:shd w:val="clear" w:color="070000" w:fill="FFFFFF"/>
                <w:lang w:val="en-US" w:eastAsia="zh-CN"/>
              </w:rPr>
            </w:pPr>
          </w:p>
        </w:tc>
      </w:tr>
      <w:tr w14:paraId="25090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70"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B83D25D">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1389"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76B32F1">
            <w:pPr>
              <w:keepNext w:val="0"/>
              <w:keepLines w:val="0"/>
              <w:pageBreakBefore w:val="0"/>
              <w:widowControl/>
              <w:kinsoku/>
              <w:wordWrap/>
              <w:overflowPunct/>
              <w:topLinePunct w:val="0"/>
              <w:autoSpaceDE/>
              <w:autoSpaceDN/>
              <w:bidi w:val="0"/>
              <w:adjustRightInd/>
              <w:snapToGrid/>
              <w:spacing w:line="220" w:lineRule="exact"/>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3795"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10A42E6">
            <w:pPr>
              <w:keepNext w:val="0"/>
              <w:keepLines w:val="0"/>
              <w:pageBreakBefore w:val="0"/>
              <w:widowControl/>
              <w:kinsoku/>
              <w:wordWrap/>
              <w:overflowPunct/>
              <w:topLinePunct w:val="0"/>
              <w:autoSpaceDE/>
              <w:autoSpaceDN/>
              <w:bidi w:val="0"/>
              <w:adjustRightInd/>
              <w:snapToGrid/>
              <w:spacing w:line="220" w:lineRule="exact"/>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615"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3B4AAB4">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590847E">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b w:val="0"/>
                <w:bCs/>
                <w:color w:val="000000"/>
                <w:spacing w:val="0"/>
                <w:w w:val="100"/>
                <w:kern w:val="0"/>
                <w:sz w:val="24"/>
                <w:szCs w:val="24"/>
                <w:lang w:bidi="ar"/>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72F9331">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b w:val="0"/>
                <w:bCs/>
                <w:color w:val="000000"/>
                <w:spacing w:val="0"/>
                <w:w w:val="100"/>
                <w:kern w:val="0"/>
                <w:sz w:val="24"/>
                <w:szCs w:val="24"/>
                <w:lang w:bidi="ar"/>
              </w:rPr>
              <w:t>3.审查阶段责任：企业经营行为规范，未发现违法违规问题的，执法人员应如实记录，检查结果可作为企业诚信评价的依据；检查结果基本规范，但存在经营管理不当等瑕疵行为的，执法人员应如实记录，并可以采取约谈企业负责人，提出整改意见，跟踪整改情况等处理措施；企业经营行为不规范，涉嫌违法违规、不构成犯罪的，执法人员应当将案件移交执法机关。</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4CF5674">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57CB2E9">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sz w:val="24"/>
                <w:szCs w:val="24"/>
                <w:shd w:val="clear" w:color="070000" w:fill="FFFFFF"/>
                <w:lang w:val="en-US" w:eastAsia="zh-CN"/>
              </w:rPr>
            </w:pPr>
          </w:p>
        </w:tc>
      </w:tr>
      <w:tr w14:paraId="4EBB1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574EBD9">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4AD6E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142DD85">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16945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0"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55385050">
            <w:pPr>
              <w:keepNext w:val="0"/>
              <w:keepLines w:val="0"/>
              <w:pageBreakBefore w:val="0"/>
              <w:widowControl/>
              <w:kinsoku/>
              <w:wordWrap/>
              <w:topLinePunct w:val="0"/>
              <w:autoSpaceDE/>
              <w:bidi w:val="0"/>
              <w:spacing w:line="220" w:lineRule="exact"/>
              <w:jc w:val="center"/>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_GB2312" w:hAnsi="仿宋_GB2312" w:eastAsia="仿宋_GB2312" w:cs="仿宋_GB2312"/>
                <w:bCs/>
                <w:color w:val="000000"/>
                <w:sz w:val="24"/>
                <w:szCs w:val="24"/>
                <w:lang w:val="en-US" w:eastAsia="zh-CN"/>
              </w:rPr>
              <w:t>14</w:t>
            </w:r>
          </w:p>
        </w:tc>
        <w:tc>
          <w:tcPr>
            <w:tcW w:w="1389"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234E519D">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b w:val="0"/>
                <w:bCs/>
                <w:color w:val="000000"/>
                <w:spacing w:val="0"/>
                <w:w w:val="100"/>
                <w:kern w:val="0"/>
                <w:sz w:val="24"/>
                <w:szCs w:val="24"/>
                <w:lang w:bidi="ar"/>
              </w:rPr>
              <w:t>对博物馆展览开展情况的检查</w:t>
            </w:r>
          </w:p>
        </w:tc>
        <w:tc>
          <w:tcPr>
            <w:tcW w:w="3799" w:type="dxa"/>
            <w:gridSpan w:val="3"/>
            <w:vMerge w:val="restart"/>
            <w:tcBorders>
              <w:top w:val="single" w:color="auto" w:sz="4" w:space="0"/>
              <w:left w:val="single" w:color="auto" w:sz="4" w:space="0"/>
              <w:right w:val="single" w:color="auto" w:sz="4" w:space="0"/>
            </w:tcBorders>
            <w:tcMar>
              <w:top w:w="15" w:type="dxa"/>
              <w:left w:w="15" w:type="dxa"/>
              <w:right w:w="15" w:type="dxa"/>
            </w:tcMar>
            <w:vAlign w:val="center"/>
          </w:tcPr>
          <w:p w14:paraId="5BC468B0">
            <w:pPr>
              <w:keepNext w:val="0"/>
              <w:keepLines w:val="0"/>
              <w:pageBreakBefore w:val="0"/>
              <w:widowControl/>
              <w:kinsoku/>
              <w:wordWrap/>
              <w:overflowPunct/>
              <w:topLinePunct w:val="0"/>
              <w:autoSpaceDE/>
              <w:autoSpaceDN/>
              <w:bidi w:val="0"/>
              <w:adjustRightInd/>
              <w:snapToGrid/>
              <w:spacing w:line="180" w:lineRule="exact"/>
              <w:textAlignment w:val="center"/>
              <w:rPr>
                <w:rFonts w:hint="eastAsia" w:ascii="仿宋" w:hAnsi="仿宋" w:eastAsia="仿宋" w:cs="仿宋"/>
                <w:b w:val="0"/>
                <w:bCs/>
                <w:color w:val="auto"/>
                <w:spacing w:val="0"/>
                <w:w w:val="100"/>
                <w:kern w:val="0"/>
                <w:sz w:val="18"/>
                <w:szCs w:val="18"/>
                <w:lang w:bidi="ar"/>
              </w:rPr>
            </w:pPr>
            <w:r>
              <w:rPr>
                <w:rFonts w:hint="eastAsia" w:ascii="仿宋" w:hAnsi="仿宋" w:eastAsia="仿宋" w:cs="仿宋"/>
                <w:b w:val="0"/>
                <w:bCs/>
                <w:color w:val="auto"/>
                <w:spacing w:val="0"/>
                <w:w w:val="100"/>
                <w:kern w:val="0"/>
                <w:sz w:val="18"/>
                <w:szCs w:val="18"/>
                <w:lang w:bidi="ar"/>
              </w:rPr>
              <w:t>《博物馆条例》</w:t>
            </w:r>
            <w:r>
              <w:rPr>
                <w:rFonts w:hint="eastAsia" w:ascii="仿宋" w:hAnsi="仿宋" w:eastAsia="仿宋" w:cs="仿宋"/>
                <w:b w:val="0"/>
                <w:bCs/>
                <w:color w:val="auto"/>
                <w:spacing w:val="0"/>
                <w:w w:val="100"/>
                <w:kern w:val="0"/>
                <w:sz w:val="18"/>
                <w:szCs w:val="18"/>
                <w:shd w:val="clear"/>
                <w:lang w:bidi="ar"/>
              </w:rPr>
              <w:t>(</w:t>
            </w:r>
            <w:r>
              <w:rPr>
                <w:rFonts w:hint="default" w:ascii="仿宋" w:hAnsi="仿宋" w:eastAsia="仿宋" w:cs="仿宋"/>
                <w:b w:val="0"/>
                <w:bCs/>
                <w:color w:val="auto"/>
                <w:spacing w:val="0"/>
                <w:w w:val="100"/>
                <w:kern w:val="0"/>
                <w:sz w:val="18"/>
                <w:szCs w:val="18"/>
                <w:shd w:val="clear"/>
                <w:lang w:bidi="ar"/>
              </w:rPr>
              <w:t>2015</w:t>
            </w:r>
            <w:r>
              <w:rPr>
                <w:rFonts w:hint="eastAsia" w:ascii="仿宋" w:hAnsi="仿宋" w:eastAsia="仿宋" w:cs="仿宋"/>
                <w:b w:val="0"/>
                <w:bCs/>
                <w:color w:val="auto"/>
                <w:spacing w:val="0"/>
                <w:w w:val="100"/>
                <w:kern w:val="0"/>
                <w:sz w:val="18"/>
                <w:szCs w:val="18"/>
                <w:shd w:val="clear"/>
                <w:lang w:bidi="ar"/>
              </w:rPr>
              <w:t>年</w:t>
            </w:r>
            <w:r>
              <w:rPr>
                <w:rFonts w:hint="default" w:ascii="仿宋" w:hAnsi="仿宋" w:eastAsia="仿宋" w:cs="仿宋"/>
                <w:b w:val="0"/>
                <w:bCs/>
                <w:color w:val="auto"/>
                <w:spacing w:val="0"/>
                <w:w w:val="100"/>
                <w:kern w:val="0"/>
                <w:sz w:val="18"/>
                <w:szCs w:val="18"/>
                <w:shd w:val="clear"/>
                <w:lang w:bidi="ar"/>
              </w:rPr>
              <w:t>1</w:t>
            </w:r>
            <w:r>
              <w:rPr>
                <w:rFonts w:hint="eastAsia" w:ascii="仿宋" w:hAnsi="仿宋" w:eastAsia="仿宋" w:cs="仿宋"/>
                <w:b w:val="0"/>
                <w:bCs/>
                <w:color w:val="auto"/>
                <w:spacing w:val="0"/>
                <w:w w:val="100"/>
                <w:kern w:val="0"/>
                <w:sz w:val="18"/>
                <w:szCs w:val="18"/>
                <w:shd w:val="clear"/>
                <w:lang w:bidi="ar"/>
              </w:rPr>
              <w:t>月</w:t>
            </w:r>
            <w:r>
              <w:rPr>
                <w:rFonts w:hint="default" w:ascii="仿宋" w:hAnsi="仿宋" w:eastAsia="仿宋" w:cs="仿宋"/>
                <w:b w:val="0"/>
                <w:bCs/>
                <w:color w:val="auto"/>
                <w:spacing w:val="0"/>
                <w:w w:val="100"/>
                <w:kern w:val="0"/>
                <w:sz w:val="18"/>
                <w:szCs w:val="18"/>
                <w:shd w:val="clear"/>
                <w:lang w:bidi="ar"/>
              </w:rPr>
              <w:t>14</w:t>
            </w:r>
            <w:r>
              <w:rPr>
                <w:rFonts w:hint="eastAsia" w:ascii="仿宋" w:hAnsi="仿宋" w:eastAsia="仿宋" w:cs="仿宋"/>
                <w:b w:val="0"/>
                <w:bCs/>
                <w:color w:val="auto"/>
                <w:spacing w:val="0"/>
                <w:w w:val="100"/>
                <w:kern w:val="0"/>
                <w:sz w:val="18"/>
                <w:szCs w:val="18"/>
                <w:shd w:val="clear"/>
                <w:lang w:bidi="ar"/>
              </w:rPr>
              <w:t>日国务院第</w:t>
            </w:r>
            <w:r>
              <w:rPr>
                <w:rFonts w:hint="default" w:ascii="仿宋" w:hAnsi="仿宋" w:eastAsia="仿宋" w:cs="仿宋"/>
                <w:b w:val="0"/>
                <w:bCs/>
                <w:color w:val="auto"/>
                <w:spacing w:val="0"/>
                <w:w w:val="100"/>
                <w:kern w:val="0"/>
                <w:sz w:val="18"/>
                <w:szCs w:val="18"/>
                <w:shd w:val="clear"/>
                <w:lang w:bidi="ar"/>
              </w:rPr>
              <w:t>78</w:t>
            </w:r>
            <w:r>
              <w:rPr>
                <w:rFonts w:hint="eastAsia" w:ascii="仿宋" w:hAnsi="仿宋" w:eastAsia="仿宋" w:cs="仿宋"/>
                <w:b w:val="0"/>
                <w:bCs/>
                <w:color w:val="auto"/>
                <w:spacing w:val="0"/>
                <w:w w:val="100"/>
                <w:kern w:val="0"/>
                <w:sz w:val="18"/>
                <w:szCs w:val="18"/>
                <w:shd w:val="clear"/>
                <w:lang w:bidi="ar"/>
              </w:rPr>
              <w:t>次常务会议通过</w:t>
            </w:r>
            <w:r>
              <w:rPr>
                <w:rFonts w:hint="default" w:ascii="仿宋" w:hAnsi="仿宋" w:eastAsia="仿宋" w:cs="仿宋"/>
                <w:b w:val="0"/>
                <w:bCs/>
                <w:color w:val="auto"/>
                <w:spacing w:val="0"/>
                <w:w w:val="100"/>
                <w:kern w:val="0"/>
                <w:sz w:val="18"/>
                <w:szCs w:val="18"/>
                <w:shd w:val="clear"/>
                <w:lang w:bidi="ar"/>
              </w:rPr>
              <w:t>2015</w:t>
            </w:r>
            <w:r>
              <w:rPr>
                <w:rFonts w:hint="eastAsia" w:ascii="仿宋" w:hAnsi="仿宋" w:eastAsia="仿宋" w:cs="仿宋"/>
                <w:b w:val="0"/>
                <w:bCs/>
                <w:color w:val="auto"/>
                <w:spacing w:val="0"/>
                <w:w w:val="100"/>
                <w:kern w:val="0"/>
                <w:sz w:val="18"/>
                <w:szCs w:val="18"/>
                <w:shd w:val="clear"/>
                <w:lang w:bidi="ar"/>
              </w:rPr>
              <w:t>年</w:t>
            </w:r>
            <w:r>
              <w:rPr>
                <w:rFonts w:hint="default" w:ascii="仿宋" w:hAnsi="仿宋" w:eastAsia="仿宋" w:cs="仿宋"/>
                <w:b w:val="0"/>
                <w:bCs/>
                <w:color w:val="auto"/>
                <w:spacing w:val="0"/>
                <w:w w:val="100"/>
                <w:kern w:val="0"/>
                <w:sz w:val="18"/>
                <w:szCs w:val="18"/>
                <w:shd w:val="clear"/>
                <w:lang w:bidi="ar"/>
              </w:rPr>
              <w:t>2</w:t>
            </w:r>
            <w:r>
              <w:rPr>
                <w:rFonts w:hint="eastAsia" w:ascii="仿宋" w:hAnsi="仿宋" w:eastAsia="仿宋" w:cs="仿宋"/>
                <w:b w:val="0"/>
                <w:bCs/>
                <w:color w:val="auto"/>
                <w:spacing w:val="0"/>
                <w:w w:val="100"/>
                <w:kern w:val="0"/>
                <w:sz w:val="18"/>
                <w:szCs w:val="18"/>
                <w:shd w:val="clear"/>
                <w:lang w:bidi="ar"/>
              </w:rPr>
              <w:t>月</w:t>
            </w:r>
            <w:r>
              <w:rPr>
                <w:rFonts w:hint="default" w:ascii="仿宋" w:hAnsi="仿宋" w:eastAsia="仿宋" w:cs="仿宋"/>
                <w:b w:val="0"/>
                <w:bCs/>
                <w:color w:val="auto"/>
                <w:spacing w:val="0"/>
                <w:w w:val="100"/>
                <w:kern w:val="0"/>
                <w:sz w:val="18"/>
                <w:szCs w:val="18"/>
                <w:shd w:val="clear"/>
                <w:lang w:bidi="ar"/>
              </w:rPr>
              <w:t>9</w:t>
            </w:r>
            <w:r>
              <w:rPr>
                <w:rFonts w:hint="eastAsia" w:ascii="仿宋" w:hAnsi="仿宋" w:eastAsia="仿宋" w:cs="仿宋"/>
                <w:b w:val="0"/>
                <w:bCs/>
                <w:color w:val="auto"/>
                <w:spacing w:val="0"/>
                <w:w w:val="100"/>
                <w:kern w:val="0"/>
                <w:sz w:val="18"/>
                <w:szCs w:val="18"/>
                <w:shd w:val="clear"/>
                <w:lang w:bidi="ar"/>
              </w:rPr>
              <w:t>日中华人民共和国国务院令第</w:t>
            </w:r>
            <w:r>
              <w:rPr>
                <w:rFonts w:hint="default" w:ascii="仿宋" w:hAnsi="仿宋" w:eastAsia="仿宋" w:cs="仿宋"/>
                <w:b w:val="0"/>
                <w:bCs/>
                <w:color w:val="auto"/>
                <w:spacing w:val="0"/>
                <w:w w:val="100"/>
                <w:kern w:val="0"/>
                <w:sz w:val="18"/>
                <w:szCs w:val="18"/>
                <w:shd w:val="clear"/>
                <w:lang w:bidi="ar"/>
              </w:rPr>
              <w:t>659</w:t>
            </w:r>
            <w:r>
              <w:rPr>
                <w:rFonts w:hint="eastAsia" w:ascii="仿宋" w:hAnsi="仿宋" w:eastAsia="仿宋" w:cs="仿宋"/>
                <w:b w:val="0"/>
                <w:bCs/>
                <w:color w:val="auto"/>
                <w:spacing w:val="0"/>
                <w:w w:val="100"/>
                <w:kern w:val="0"/>
                <w:sz w:val="18"/>
                <w:szCs w:val="18"/>
                <w:shd w:val="clear"/>
                <w:lang w:bidi="ar"/>
              </w:rPr>
              <w:t>号公布自</w:t>
            </w:r>
            <w:r>
              <w:rPr>
                <w:rFonts w:hint="default" w:ascii="仿宋" w:hAnsi="仿宋" w:eastAsia="仿宋" w:cs="仿宋"/>
                <w:b w:val="0"/>
                <w:bCs/>
                <w:color w:val="auto"/>
                <w:spacing w:val="0"/>
                <w:w w:val="100"/>
                <w:kern w:val="0"/>
                <w:sz w:val="18"/>
                <w:szCs w:val="18"/>
                <w:shd w:val="clear"/>
                <w:lang w:bidi="ar"/>
              </w:rPr>
              <w:t>2015</w:t>
            </w:r>
            <w:r>
              <w:rPr>
                <w:rFonts w:hint="eastAsia" w:ascii="仿宋" w:hAnsi="仿宋" w:eastAsia="仿宋" w:cs="仿宋"/>
                <w:b w:val="0"/>
                <w:bCs/>
                <w:color w:val="auto"/>
                <w:spacing w:val="0"/>
                <w:w w:val="100"/>
                <w:kern w:val="0"/>
                <w:sz w:val="18"/>
                <w:szCs w:val="18"/>
                <w:shd w:val="clear"/>
                <w:lang w:bidi="ar"/>
              </w:rPr>
              <w:t>年</w:t>
            </w:r>
            <w:r>
              <w:rPr>
                <w:rFonts w:hint="default" w:ascii="仿宋" w:hAnsi="仿宋" w:eastAsia="仿宋" w:cs="仿宋"/>
                <w:b w:val="0"/>
                <w:bCs/>
                <w:color w:val="auto"/>
                <w:spacing w:val="0"/>
                <w:w w:val="100"/>
                <w:kern w:val="0"/>
                <w:sz w:val="18"/>
                <w:szCs w:val="18"/>
                <w:shd w:val="clear"/>
                <w:lang w:bidi="ar"/>
              </w:rPr>
              <w:t>3</w:t>
            </w:r>
            <w:r>
              <w:rPr>
                <w:rFonts w:hint="eastAsia" w:ascii="仿宋" w:hAnsi="仿宋" w:eastAsia="仿宋" w:cs="仿宋"/>
                <w:b w:val="0"/>
                <w:bCs/>
                <w:color w:val="auto"/>
                <w:spacing w:val="0"/>
                <w:w w:val="100"/>
                <w:kern w:val="0"/>
                <w:sz w:val="18"/>
                <w:szCs w:val="18"/>
                <w:shd w:val="clear"/>
                <w:lang w:bidi="ar"/>
              </w:rPr>
              <w:t>月</w:t>
            </w:r>
            <w:r>
              <w:rPr>
                <w:rFonts w:hint="default" w:ascii="仿宋" w:hAnsi="仿宋" w:eastAsia="仿宋" w:cs="仿宋"/>
                <w:b w:val="0"/>
                <w:bCs/>
                <w:color w:val="auto"/>
                <w:spacing w:val="0"/>
                <w:w w:val="100"/>
                <w:kern w:val="0"/>
                <w:sz w:val="18"/>
                <w:szCs w:val="18"/>
                <w:shd w:val="clear"/>
                <w:lang w:bidi="ar"/>
              </w:rPr>
              <w:t>20</w:t>
            </w:r>
            <w:r>
              <w:rPr>
                <w:rFonts w:hint="eastAsia" w:ascii="仿宋" w:hAnsi="仿宋" w:eastAsia="仿宋" w:cs="仿宋"/>
                <w:b w:val="0"/>
                <w:bCs/>
                <w:color w:val="auto"/>
                <w:spacing w:val="0"/>
                <w:w w:val="100"/>
                <w:kern w:val="0"/>
                <w:sz w:val="18"/>
                <w:szCs w:val="18"/>
                <w:shd w:val="clear"/>
                <w:lang w:bidi="ar"/>
              </w:rPr>
              <w:t>日起施行</w:t>
            </w:r>
            <w:r>
              <w:rPr>
                <w:rFonts w:hint="default" w:ascii="仿宋" w:hAnsi="仿宋" w:eastAsia="仿宋" w:cs="仿宋"/>
                <w:b w:val="0"/>
                <w:bCs/>
                <w:color w:val="auto"/>
                <w:spacing w:val="0"/>
                <w:w w:val="100"/>
                <w:kern w:val="0"/>
                <w:sz w:val="18"/>
                <w:szCs w:val="18"/>
                <w:shd w:val="clear"/>
                <w:lang w:bidi="ar"/>
              </w:rPr>
              <w:t>)</w:t>
            </w:r>
            <w:r>
              <w:rPr>
                <w:rFonts w:hint="eastAsia" w:ascii="仿宋" w:hAnsi="仿宋" w:eastAsia="仿宋" w:cs="仿宋"/>
                <w:b w:val="0"/>
                <w:bCs/>
                <w:color w:val="auto"/>
                <w:spacing w:val="0"/>
                <w:w w:val="100"/>
                <w:kern w:val="0"/>
                <w:sz w:val="18"/>
                <w:szCs w:val="18"/>
                <w:lang w:bidi="ar"/>
              </w:rPr>
              <w:t>第三十条：“博物馆举办陈列展览，应当遵守下列规定：（一）主题和内容应当符合宪法所确定的基本原则和维护国家安全与民族团结、弘扬爱国主义、倡导科学精神、普及科学知识、传播优秀文化、培养良好风尚、促进社会和谐、推动社会文明进步的要求；（二）与办馆宗旨相适应，突出藏品特色；（三）运用适当的技术、材料、工艺和表现手法，达到形式与内容的和谐统一；（四）展品以原件为主，使用复制品、仿制品应当明示；（五）采用多种形式提供科学、准确、生动的文字说明和讲解服务；（六）法律、行政法规的其他有关规定。 陈列展览的主题和内容不适宜未成年人的，博物馆不得接纳未成年人。”第三十一条</w:t>
            </w:r>
            <w:r>
              <w:rPr>
                <w:rFonts w:hint="eastAsia" w:ascii="仿宋" w:hAnsi="仿宋" w:eastAsia="仿宋" w:cs="仿宋"/>
                <w:b w:val="0"/>
                <w:bCs/>
                <w:color w:val="auto"/>
                <w:spacing w:val="0"/>
                <w:w w:val="100"/>
                <w:kern w:val="0"/>
                <w:sz w:val="18"/>
                <w:szCs w:val="18"/>
                <w:lang w:eastAsia="zh-CN" w:bidi="ar"/>
              </w:rPr>
              <w:t>：</w:t>
            </w:r>
            <w:r>
              <w:rPr>
                <w:rFonts w:hint="eastAsia" w:ascii="仿宋" w:hAnsi="仿宋" w:eastAsia="仿宋" w:cs="仿宋"/>
                <w:b w:val="0"/>
                <w:bCs/>
                <w:color w:val="auto"/>
                <w:spacing w:val="0"/>
                <w:w w:val="100"/>
                <w:kern w:val="0"/>
                <w:sz w:val="18"/>
                <w:szCs w:val="18"/>
                <w:lang w:bidi="ar"/>
              </w:rPr>
              <w:t>“博物馆举办陈列展览的，应当在陈列展览开始之日10个工作日前，将陈列展览主题、展品说明、讲解词等向陈列展览举办地的文物主管部门或者其他有关部门备案。各级人民政府文物主管部门和博物馆行业组织应当加强对博物馆陈列展览的指导和监督。”</w:t>
            </w:r>
          </w:p>
          <w:p w14:paraId="7F414651">
            <w:pPr>
              <w:keepNext w:val="0"/>
              <w:keepLines w:val="0"/>
              <w:pageBreakBefore w:val="0"/>
              <w:widowControl/>
              <w:kinsoku/>
              <w:wordWrap/>
              <w:overflowPunct/>
              <w:topLinePunct w:val="0"/>
              <w:autoSpaceDE/>
              <w:autoSpaceDN/>
              <w:bidi w:val="0"/>
              <w:adjustRightInd/>
              <w:snapToGrid/>
              <w:spacing w:line="180" w:lineRule="exact"/>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b w:val="0"/>
                <w:bCs/>
                <w:color w:val="auto"/>
                <w:spacing w:val="0"/>
                <w:w w:val="100"/>
                <w:kern w:val="0"/>
                <w:sz w:val="18"/>
                <w:szCs w:val="18"/>
                <w:lang w:bidi="ar"/>
              </w:rPr>
              <w:t>《河南省人民政府办公厅关于印发河南省全面推行“双随机一公开”监管工作实施方案的通知》（豫政办〔2018〕50号）第二项第</w:t>
            </w:r>
            <w:r>
              <w:rPr>
                <w:rFonts w:hint="eastAsia" w:ascii="仿宋" w:hAnsi="仿宋" w:eastAsia="仿宋" w:cs="仿宋"/>
                <w:b w:val="0"/>
                <w:bCs/>
                <w:color w:val="auto"/>
                <w:spacing w:val="0"/>
                <w:w w:val="100"/>
                <w:kern w:val="0"/>
                <w:sz w:val="18"/>
                <w:szCs w:val="18"/>
                <w:lang w:eastAsia="zh-CN" w:bidi="ar"/>
              </w:rPr>
              <w:t>（</w:t>
            </w:r>
            <w:r>
              <w:rPr>
                <w:rFonts w:hint="eastAsia" w:ascii="仿宋" w:hAnsi="仿宋" w:eastAsia="仿宋" w:cs="仿宋"/>
                <w:b w:val="0"/>
                <w:bCs/>
                <w:color w:val="auto"/>
                <w:spacing w:val="0"/>
                <w:w w:val="100"/>
                <w:kern w:val="0"/>
                <w:sz w:val="18"/>
                <w:szCs w:val="18"/>
                <w:lang w:bidi="ar"/>
              </w:rPr>
              <w:t>七</w:t>
            </w:r>
            <w:r>
              <w:rPr>
                <w:rFonts w:hint="eastAsia" w:ascii="仿宋" w:hAnsi="仿宋" w:eastAsia="仿宋" w:cs="仿宋"/>
                <w:b w:val="0"/>
                <w:bCs/>
                <w:color w:val="auto"/>
                <w:spacing w:val="0"/>
                <w:w w:val="100"/>
                <w:kern w:val="0"/>
                <w:sz w:val="18"/>
                <w:szCs w:val="18"/>
                <w:lang w:eastAsia="zh-CN" w:bidi="ar"/>
              </w:rPr>
              <w:t>）</w:t>
            </w:r>
            <w:r>
              <w:rPr>
                <w:rFonts w:hint="eastAsia" w:ascii="仿宋" w:hAnsi="仿宋" w:eastAsia="仿宋" w:cs="仿宋"/>
                <w:b w:val="0"/>
                <w:bCs/>
                <w:color w:val="auto"/>
                <w:spacing w:val="0"/>
                <w:w w:val="100"/>
                <w:kern w:val="0"/>
                <w:sz w:val="18"/>
                <w:szCs w:val="18"/>
                <w:lang w:bidi="ar"/>
              </w:rPr>
              <w:t>条：“严格规范随机抽查行为。各级政府有关部门开展“双随机一公开”监管</w:t>
            </w:r>
            <w:r>
              <w:rPr>
                <w:rFonts w:hint="eastAsia" w:ascii="仿宋" w:hAnsi="仿宋" w:eastAsia="仿宋" w:cs="仿宋"/>
                <w:b w:val="0"/>
                <w:bCs/>
                <w:color w:val="auto"/>
                <w:spacing w:val="0"/>
                <w:w w:val="100"/>
                <w:kern w:val="0"/>
                <w:sz w:val="18"/>
                <w:szCs w:val="18"/>
                <w:lang w:eastAsia="zh-CN" w:bidi="ar"/>
              </w:rPr>
              <w:t>，</w:t>
            </w:r>
            <w:r>
              <w:rPr>
                <w:rFonts w:hint="eastAsia" w:ascii="仿宋" w:hAnsi="仿宋" w:eastAsia="仿宋" w:cs="仿宋"/>
                <w:b w:val="0"/>
                <w:bCs/>
                <w:color w:val="auto"/>
                <w:spacing w:val="0"/>
                <w:w w:val="100"/>
                <w:kern w:val="0"/>
                <w:sz w:val="18"/>
                <w:szCs w:val="18"/>
                <w:lang w:bidi="ar"/>
              </w:rPr>
              <w:t>要按照以下顺序依次实施</w:t>
            </w:r>
            <w:r>
              <w:rPr>
                <w:rFonts w:hint="eastAsia" w:ascii="仿宋" w:hAnsi="仿宋" w:eastAsia="仿宋" w:cs="仿宋"/>
                <w:b w:val="0"/>
                <w:bCs/>
                <w:color w:val="auto"/>
                <w:spacing w:val="0"/>
                <w:w w:val="100"/>
                <w:kern w:val="0"/>
                <w:sz w:val="18"/>
                <w:szCs w:val="18"/>
                <w:lang w:eastAsia="zh-CN" w:bidi="ar"/>
              </w:rPr>
              <w:t>：</w:t>
            </w:r>
            <w:r>
              <w:rPr>
                <w:rFonts w:hint="eastAsia" w:ascii="仿宋" w:hAnsi="仿宋" w:eastAsia="仿宋" w:cs="仿宋"/>
                <w:b w:val="0"/>
                <w:bCs/>
                <w:color w:val="auto"/>
                <w:spacing w:val="0"/>
                <w:w w:val="100"/>
                <w:kern w:val="0"/>
                <w:sz w:val="18"/>
                <w:szCs w:val="18"/>
                <w:lang w:bidi="ar"/>
              </w:rPr>
              <w:t>确定检查事项、抽取检查对象和执法检查人员、组织实施检查、公示检查结果。在具体检查过程中</w:t>
            </w:r>
            <w:r>
              <w:rPr>
                <w:rFonts w:hint="eastAsia" w:ascii="仿宋" w:hAnsi="仿宋" w:eastAsia="仿宋" w:cs="仿宋"/>
                <w:b w:val="0"/>
                <w:bCs/>
                <w:color w:val="auto"/>
                <w:spacing w:val="0"/>
                <w:w w:val="100"/>
                <w:kern w:val="0"/>
                <w:sz w:val="18"/>
                <w:szCs w:val="18"/>
                <w:lang w:eastAsia="zh-CN" w:bidi="ar"/>
              </w:rPr>
              <w:t>，</w:t>
            </w:r>
            <w:r>
              <w:rPr>
                <w:rFonts w:hint="eastAsia" w:ascii="仿宋" w:hAnsi="仿宋" w:eastAsia="仿宋" w:cs="仿宋"/>
                <w:b w:val="0"/>
                <w:bCs/>
                <w:color w:val="auto"/>
                <w:spacing w:val="0"/>
                <w:w w:val="100"/>
                <w:kern w:val="0"/>
                <w:sz w:val="18"/>
                <w:szCs w:val="18"/>
                <w:lang w:bidi="ar"/>
              </w:rPr>
              <w:t>执法检查人员不得少于两人</w:t>
            </w:r>
            <w:r>
              <w:rPr>
                <w:rFonts w:hint="eastAsia" w:ascii="仿宋" w:hAnsi="仿宋" w:eastAsia="仿宋" w:cs="仿宋"/>
                <w:b w:val="0"/>
                <w:bCs/>
                <w:color w:val="auto"/>
                <w:spacing w:val="0"/>
                <w:w w:val="100"/>
                <w:kern w:val="0"/>
                <w:sz w:val="18"/>
                <w:szCs w:val="18"/>
                <w:lang w:eastAsia="zh-CN" w:bidi="ar"/>
              </w:rPr>
              <w:t>，</w:t>
            </w:r>
            <w:r>
              <w:rPr>
                <w:rFonts w:hint="eastAsia" w:ascii="仿宋" w:hAnsi="仿宋" w:eastAsia="仿宋" w:cs="仿宋"/>
                <w:b w:val="0"/>
                <w:bCs/>
                <w:color w:val="auto"/>
                <w:spacing w:val="0"/>
                <w:w w:val="100"/>
                <w:kern w:val="0"/>
                <w:sz w:val="18"/>
                <w:szCs w:val="18"/>
                <w:lang w:bidi="ar"/>
              </w:rPr>
              <w:t>并应出示行政执法证件。执法检查人员与被检查对象有利害关系的</w:t>
            </w:r>
            <w:r>
              <w:rPr>
                <w:rFonts w:hint="eastAsia" w:ascii="仿宋" w:hAnsi="仿宋" w:eastAsia="仿宋" w:cs="仿宋"/>
                <w:b w:val="0"/>
                <w:bCs/>
                <w:color w:val="auto"/>
                <w:spacing w:val="0"/>
                <w:w w:val="100"/>
                <w:kern w:val="0"/>
                <w:sz w:val="18"/>
                <w:szCs w:val="18"/>
                <w:lang w:eastAsia="zh-CN" w:bidi="ar"/>
              </w:rPr>
              <w:t>，</w:t>
            </w:r>
            <w:r>
              <w:rPr>
                <w:rFonts w:hint="eastAsia" w:ascii="仿宋" w:hAnsi="仿宋" w:eastAsia="仿宋" w:cs="仿宋"/>
                <w:b w:val="0"/>
                <w:bCs/>
                <w:color w:val="auto"/>
                <w:spacing w:val="0"/>
                <w:w w:val="100"/>
                <w:kern w:val="0"/>
                <w:sz w:val="18"/>
                <w:szCs w:val="18"/>
                <w:lang w:bidi="ar"/>
              </w:rPr>
              <w:t>应当依法回避。各级政府有关部门开展抽查检查</w:t>
            </w:r>
            <w:r>
              <w:rPr>
                <w:rFonts w:hint="eastAsia" w:ascii="仿宋" w:hAnsi="仿宋" w:eastAsia="仿宋" w:cs="仿宋"/>
                <w:b w:val="0"/>
                <w:bCs/>
                <w:color w:val="auto"/>
                <w:spacing w:val="0"/>
                <w:w w:val="100"/>
                <w:kern w:val="0"/>
                <w:sz w:val="18"/>
                <w:szCs w:val="18"/>
                <w:lang w:eastAsia="zh-CN" w:bidi="ar"/>
              </w:rPr>
              <w:t>，</w:t>
            </w:r>
            <w:r>
              <w:rPr>
                <w:rFonts w:hint="eastAsia" w:ascii="仿宋" w:hAnsi="仿宋" w:eastAsia="仿宋" w:cs="仿宋"/>
                <w:b w:val="0"/>
                <w:bCs/>
                <w:color w:val="auto"/>
                <w:spacing w:val="0"/>
                <w:w w:val="100"/>
                <w:kern w:val="0"/>
                <w:sz w:val="18"/>
                <w:szCs w:val="18"/>
                <w:lang w:bidi="ar"/>
              </w:rPr>
              <w:t>可根据需要依法委托第三方进行</w:t>
            </w:r>
            <w:r>
              <w:rPr>
                <w:rFonts w:hint="eastAsia" w:ascii="仿宋" w:hAnsi="仿宋" w:eastAsia="仿宋" w:cs="仿宋"/>
                <w:b w:val="0"/>
                <w:bCs/>
                <w:color w:val="auto"/>
                <w:spacing w:val="0"/>
                <w:w w:val="100"/>
                <w:kern w:val="0"/>
                <w:sz w:val="18"/>
                <w:szCs w:val="18"/>
                <w:lang w:eastAsia="zh-CN" w:bidi="ar"/>
              </w:rPr>
              <w:t>，</w:t>
            </w:r>
            <w:r>
              <w:rPr>
                <w:rFonts w:hint="eastAsia" w:ascii="仿宋" w:hAnsi="仿宋" w:eastAsia="仿宋" w:cs="仿宋"/>
                <w:b w:val="0"/>
                <w:bCs/>
                <w:color w:val="auto"/>
                <w:spacing w:val="0"/>
                <w:w w:val="100"/>
                <w:kern w:val="0"/>
                <w:sz w:val="18"/>
                <w:szCs w:val="18"/>
                <w:lang w:bidi="ar"/>
              </w:rPr>
              <w:t>因委托第三方开展审计、检验、检测、鉴定、评估等工作产生的费用</w:t>
            </w:r>
            <w:r>
              <w:rPr>
                <w:rFonts w:hint="eastAsia" w:ascii="仿宋" w:hAnsi="仿宋" w:eastAsia="仿宋" w:cs="仿宋"/>
                <w:b w:val="0"/>
                <w:bCs/>
                <w:color w:val="auto"/>
                <w:spacing w:val="0"/>
                <w:w w:val="100"/>
                <w:kern w:val="0"/>
                <w:sz w:val="18"/>
                <w:szCs w:val="18"/>
                <w:lang w:eastAsia="zh-CN" w:bidi="ar"/>
              </w:rPr>
              <w:t>，</w:t>
            </w:r>
            <w:r>
              <w:rPr>
                <w:rFonts w:hint="eastAsia" w:ascii="仿宋" w:hAnsi="仿宋" w:eastAsia="仿宋" w:cs="仿宋"/>
                <w:b w:val="0"/>
                <w:bCs/>
                <w:color w:val="auto"/>
                <w:spacing w:val="0"/>
                <w:w w:val="100"/>
                <w:kern w:val="0"/>
                <w:sz w:val="18"/>
                <w:szCs w:val="18"/>
                <w:lang w:bidi="ar"/>
              </w:rPr>
              <w:t>按照“谁委托、谁付费”的原则予以支付</w:t>
            </w:r>
            <w:r>
              <w:rPr>
                <w:rFonts w:hint="eastAsia" w:ascii="仿宋" w:hAnsi="仿宋" w:eastAsia="仿宋" w:cs="仿宋"/>
                <w:b w:val="0"/>
                <w:bCs/>
                <w:color w:val="auto"/>
                <w:spacing w:val="0"/>
                <w:w w:val="100"/>
                <w:kern w:val="0"/>
                <w:sz w:val="18"/>
                <w:szCs w:val="18"/>
                <w:lang w:eastAsia="zh-CN" w:bidi="ar"/>
              </w:rPr>
              <w:t>，</w:t>
            </w:r>
            <w:r>
              <w:rPr>
                <w:rFonts w:hint="eastAsia" w:ascii="仿宋" w:hAnsi="仿宋" w:eastAsia="仿宋" w:cs="仿宋"/>
                <w:b w:val="0"/>
                <w:bCs/>
                <w:color w:val="auto"/>
                <w:spacing w:val="0"/>
                <w:w w:val="100"/>
                <w:kern w:val="0"/>
                <w:sz w:val="18"/>
                <w:szCs w:val="18"/>
                <w:lang w:bidi="ar"/>
              </w:rPr>
              <w:t>并纳入部门年度预算。”</w:t>
            </w:r>
          </w:p>
        </w:tc>
        <w:tc>
          <w:tcPr>
            <w:tcW w:w="615"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5A1980F5">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b w:val="0"/>
                <w:bCs/>
                <w:color w:val="000000"/>
                <w:spacing w:val="0"/>
                <w:w w:val="100"/>
                <w:kern w:val="0"/>
                <w:sz w:val="24"/>
                <w:szCs w:val="24"/>
                <w:lang w:bidi="ar"/>
              </w:rPr>
              <w:t>行政检查</w:t>
            </w:r>
          </w:p>
        </w:tc>
        <w:tc>
          <w:tcPr>
            <w:tcW w:w="6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A3BE54E">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b w:val="0"/>
                <w:bCs/>
                <w:color w:val="000000"/>
                <w:spacing w:val="0"/>
                <w:w w:val="100"/>
                <w:kern w:val="0"/>
                <w:sz w:val="24"/>
                <w:szCs w:val="24"/>
                <w:lang w:bidi="ar"/>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E47E521">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b w:val="0"/>
                <w:bCs/>
                <w:color w:val="000000"/>
                <w:spacing w:val="0"/>
                <w:w w:val="100"/>
                <w:kern w:val="0"/>
                <w:sz w:val="24"/>
                <w:szCs w:val="24"/>
                <w:lang w:bidi="ar"/>
              </w:rPr>
              <w:t>1.受理责任：接到投诉按投诉处理流程及时处理后决定是否移交执法机关。</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498DAC29">
            <w:pPr>
              <w:keepNext w:val="0"/>
              <w:keepLines w:val="0"/>
              <w:pageBreakBefore w:val="0"/>
              <w:widowControl/>
              <w:kinsoku/>
              <w:wordWrap/>
              <w:overflowPunct/>
              <w:topLinePunct w:val="0"/>
              <w:autoSpaceDE/>
              <w:autoSpaceDN/>
              <w:bidi w:val="0"/>
              <w:adjustRightInd/>
              <w:snapToGrid/>
              <w:spacing w:line="200" w:lineRule="exact"/>
              <w:jc w:val="both"/>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b w:val="0"/>
                <w:bCs/>
                <w:color w:val="000000"/>
                <w:spacing w:val="0"/>
                <w:w w:val="100"/>
                <w:kern w:val="0"/>
                <w:sz w:val="22"/>
                <w:szCs w:val="22"/>
                <w:lang w:bidi="ar"/>
              </w:rPr>
              <w:t>不履行或不正确履行职责，有下列情形的行政机关及相关工作人员应承担相应的责任：</w:t>
            </w:r>
            <w:r>
              <w:rPr>
                <w:rFonts w:hint="eastAsia" w:ascii="仿宋" w:hAnsi="仿宋" w:eastAsia="仿宋" w:cs="仿宋"/>
                <w:b w:val="0"/>
                <w:bCs/>
                <w:color w:val="000000"/>
                <w:spacing w:val="0"/>
                <w:w w:val="100"/>
                <w:kern w:val="0"/>
                <w:sz w:val="22"/>
                <w:szCs w:val="22"/>
                <w:lang w:bidi="ar"/>
              </w:rPr>
              <w:br w:type="textWrapping"/>
            </w:r>
            <w:r>
              <w:rPr>
                <w:rFonts w:hint="eastAsia" w:ascii="仿宋" w:hAnsi="仿宋" w:eastAsia="仿宋" w:cs="仿宋"/>
                <w:b w:val="0"/>
                <w:bCs/>
                <w:color w:val="000000"/>
                <w:spacing w:val="0"/>
                <w:w w:val="100"/>
                <w:kern w:val="0"/>
                <w:sz w:val="22"/>
                <w:szCs w:val="22"/>
                <w:lang w:bidi="ar"/>
              </w:rPr>
              <w:t>文物行政部门及其工作人员有下列行为之一的，对负有责任的主管人员和其他直接责任人员依法给予行政处分；构成犯罪的，依法追究刑事责任：</w:t>
            </w:r>
            <w:r>
              <w:rPr>
                <w:rFonts w:hint="eastAsia" w:ascii="仿宋" w:hAnsi="仿宋" w:eastAsia="仿宋" w:cs="仿宋"/>
                <w:b w:val="0"/>
                <w:bCs/>
                <w:color w:val="000000"/>
                <w:spacing w:val="0"/>
                <w:w w:val="100"/>
                <w:kern w:val="0"/>
                <w:sz w:val="22"/>
                <w:szCs w:val="22"/>
                <w:lang w:bidi="ar"/>
              </w:rPr>
              <w:br w:type="textWrapping"/>
            </w:r>
            <w:r>
              <w:rPr>
                <w:rFonts w:hint="eastAsia" w:ascii="仿宋" w:hAnsi="仿宋" w:eastAsia="仿宋" w:cs="仿宋"/>
                <w:b w:val="0"/>
                <w:bCs/>
                <w:color w:val="000000"/>
                <w:spacing w:val="0"/>
                <w:w w:val="100"/>
                <w:kern w:val="0"/>
                <w:sz w:val="22"/>
                <w:szCs w:val="22"/>
                <w:lang w:bidi="ar"/>
              </w:rPr>
              <w:t>1.违法实施行政许可或者行政处罚的；</w:t>
            </w:r>
            <w:r>
              <w:rPr>
                <w:rFonts w:hint="eastAsia" w:ascii="仿宋" w:hAnsi="仿宋" w:eastAsia="仿宋" w:cs="仿宋"/>
                <w:b w:val="0"/>
                <w:bCs/>
                <w:color w:val="000000"/>
                <w:spacing w:val="0"/>
                <w:w w:val="100"/>
                <w:kern w:val="0"/>
                <w:sz w:val="22"/>
                <w:szCs w:val="22"/>
                <w:lang w:bidi="ar"/>
              </w:rPr>
              <w:br w:type="textWrapping"/>
            </w:r>
            <w:r>
              <w:rPr>
                <w:rFonts w:hint="eastAsia" w:ascii="仿宋" w:hAnsi="仿宋" w:eastAsia="仿宋" w:cs="仿宋"/>
                <w:b w:val="0"/>
                <w:bCs/>
                <w:color w:val="000000"/>
                <w:spacing w:val="0"/>
                <w:w w:val="100"/>
                <w:kern w:val="0"/>
                <w:sz w:val="22"/>
                <w:szCs w:val="22"/>
                <w:lang w:bidi="ar"/>
              </w:rPr>
              <w:t>2.发现文物违法行为不予查处的；</w:t>
            </w:r>
            <w:r>
              <w:rPr>
                <w:rFonts w:hint="eastAsia" w:ascii="仿宋" w:hAnsi="仿宋" w:eastAsia="仿宋" w:cs="仿宋"/>
                <w:b w:val="0"/>
                <w:bCs/>
                <w:color w:val="000000"/>
                <w:spacing w:val="0"/>
                <w:w w:val="100"/>
                <w:kern w:val="0"/>
                <w:sz w:val="22"/>
                <w:szCs w:val="22"/>
                <w:lang w:bidi="ar"/>
              </w:rPr>
              <w:br w:type="textWrapping"/>
            </w:r>
            <w:r>
              <w:rPr>
                <w:rFonts w:hint="eastAsia" w:ascii="仿宋" w:hAnsi="仿宋" w:eastAsia="仿宋" w:cs="仿宋"/>
                <w:b w:val="0"/>
                <w:bCs/>
                <w:color w:val="000000"/>
                <w:spacing w:val="0"/>
                <w:w w:val="100"/>
                <w:kern w:val="0"/>
                <w:sz w:val="22"/>
                <w:szCs w:val="22"/>
                <w:lang w:bidi="ar"/>
              </w:rPr>
              <w:t>3.接到危及文物安全险情的报告不按规定时限赶到现场或者不及时采取措施，造成损失的；</w:t>
            </w:r>
            <w:r>
              <w:rPr>
                <w:rFonts w:hint="eastAsia" w:ascii="仿宋" w:hAnsi="仿宋" w:eastAsia="仿宋" w:cs="仿宋"/>
                <w:b w:val="0"/>
                <w:bCs/>
                <w:color w:val="000000"/>
                <w:spacing w:val="0"/>
                <w:w w:val="100"/>
                <w:kern w:val="0"/>
                <w:sz w:val="22"/>
                <w:szCs w:val="22"/>
                <w:lang w:bidi="ar"/>
              </w:rPr>
              <w:br w:type="textWrapping"/>
            </w:r>
            <w:r>
              <w:rPr>
                <w:rFonts w:hint="eastAsia" w:ascii="仿宋" w:hAnsi="仿宋" w:eastAsia="仿宋" w:cs="仿宋"/>
                <w:b w:val="0"/>
                <w:bCs/>
                <w:color w:val="000000"/>
                <w:spacing w:val="0"/>
                <w:w w:val="100"/>
                <w:kern w:val="0"/>
                <w:sz w:val="22"/>
                <w:szCs w:val="22"/>
                <w:lang w:bidi="ar"/>
              </w:rPr>
              <w:t>4.非法借用、侵占国有文物的；</w:t>
            </w:r>
            <w:r>
              <w:rPr>
                <w:rFonts w:hint="eastAsia" w:ascii="仿宋" w:hAnsi="仿宋" w:eastAsia="仿宋" w:cs="仿宋"/>
                <w:b w:val="0"/>
                <w:bCs/>
                <w:color w:val="000000"/>
                <w:spacing w:val="0"/>
                <w:w w:val="100"/>
                <w:kern w:val="0"/>
                <w:sz w:val="22"/>
                <w:szCs w:val="22"/>
                <w:lang w:bidi="ar"/>
              </w:rPr>
              <w:br w:type="textWrapping"/>
            </w:r>
            <w:r>
              <w:rPr>
                <w:rFonts w:hint="eastAsia" w:ascii="仿宋" w:hAnsi="仿宋" w:eastAsia="仿宋" w:cs="仿宋"/>
                <w:b w:val="0"/>
                <w:bCs/>
                <w:color w:val="000000"/>
                <w:spacing w:val="0"/>
                <w:w w:val="100"/>
                <w:kern w:val="0"/>
                <w:sz w:val="22"/>
                <w:szCs w:val="22"/>
                <w:lang w:bidi="ar"/>
              </w:rPr>
              <w:t>5.贪污、挪用文物保护经费的；</w:t>
            </w:r>
            <w:r>
              <w:rPr>
                <w:rFonts w:hint="eastAsia" w:ascii="仿宋" w:hAnsi="仿宋" w:eastAsia="仿宋" w:cs="仿宋"/>
                <w:b w:val="0"/>
                <w:bCs/>
                <w:color w:val="000000"/>
                <w:spacing w:val="0"/>
                <w:w w:val="100"/>
                <w:kern w:val="0"/>
                <w:sz w:val="22"/>
                <w:szCs w:val="22"/>
                <w:lang w:bidi="ar"/>
              </w:rPr>
              <w:br w:type="textWrapping"/>
            </w:r>
            <w:r>
              <w:rPr>
                <w:rFonts w:hint="eastAsia" w:ascii="仿宋" w:hAnsi="仿宋" w:eastAsia="仿宋" w:cs="仿宋"/>
                <w:b w:val="0"/>
                <w:bCs/>
                <w:color w:val="000000"/>
                <w:spacing w:val="0"/>
                <w:w w:val="100"/>
                <w:kern w:val="0"/>
                <w:sz w:val="22"/>
                <w:szCs w:val="22"/>
                <w:lang w:bidi="ar"/>
              </w:rPr>
              <w:t>6.其他滥用职权、玩忽职守、徇私舞弊的。</w:t>
            </w: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091BBFD7">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文物非遗股</w:t>
            </w:r>
          </w:p>
        </w:tc>
      </w:tr>
      <w:tr w14:paraId="330DA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5" w:hRule="atLeast"/>
          <w:jc w:val="center"/>
        </w:trPr>
        <w:tc>
          <w:tcPr>
            <w:tcW w:w="678" w:type="dxa"/>
            <w:vMerge w:val="continue"/>
            <w:tcBorders>
              <w:left w:val="single" w:color="auto" w:sz="4" w:space="0"/>
              <w:right w:val="single" w:color="auto" w:sz="4" w:space="0"/>
            </w:tcBorders>
            <w:tcMar>
              <w:top w:w="15" w:type="dxa"/>
              <w:left w:w="15" w:type="dxa"/>
              <w:right w:w="15" w:type="dxa"/>
            </w:tcMar>
            <w:vAlign w:val="center"/>
          </w:tcPr>
          <w:p w14:paraId="7E04F6FA">
            <w:pPr>
              <w:keepNext w:val="0"/>
              <w:keepLines w:val="0"/>
              <w:pageBreakBefore w:val="0"/>
              <w:widowControl w:val="0"/>
              <w:kinsoku/>
              <w:wordWrap/>
              <w:overflowPunct/>
              <w:topLinePunct w:val="0"/>
              <w:autoSpaceDE/>
              <w:autoSpaceDN w:val="0"/>
              <w:bidi w:val="0"/>
              <w:adjustRightInd/>
              <w:snapToGrid w:val="0"/>
              <w:spacing w:line="220" w:lineRule="exact"/>
              <w:ind w:firstLine="0" w:firstLineChars="0"/>
              <w:jc w:val="center"/>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1389" w:type="dxa"/>
            <w:gridSpan w:val="2"/>
            <w:vMerge w:val="continue"/>
            <w:tcBorders>
              <w:left w:val="single" w:color="auto" w:sz="4" w:space="0"/>
              <w:right w:val="single" w:color="auto" w:sz="4" w:space="0"/>
            </w:tcBorders>
            <w:tcMar>
              <w:top w:w="15" w:type="dxa"/>
              <w:left w:w="15" w:type="dxa"/>
              <w:right w:w="15" w:type="dxa"/>
            </w:tcMar>
            <w:vAlign w:val="center"/>
          </w:tcPr>
          <w:p w14:paraId="084A6839">
            <w:pPr>
              <w:keepNext w:val="0"/>
              <w:keepLines w:val="0"/>
              <w:pageBreakBefore w:val="0"/>
              <w:widowControl w:val="0"/>
              <w:kinsoku/>
              <w:wordWrap/>
              <w:topLinePunct w:val="0"/>
              <w:autoSpaceDE/>
              <w:autoSpaceDN w:val="0"/>
              <w:bidi w:val="0"/>
              <w:adjustRightInd/>
              <w:snapToGrid w:val="0"/>
              <w:spacing w:line="220" w:lineRule="exact"/>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3799" w:type="dxa"/>
            <w:gridSpan w:val="3"/>
            <w:vMerge w:val="continue"/>
            <w:tcBorders>
              <w:left w:val="single" w:color="auto" w:sz="4" w:space="0"/>
              <w:right w:val="single" w:color="auto" w:sz="4" w:space="0"/>
            </w:tcBorders>
            <w:tcMar>
              <w:top w:w="15" w:type="dxa"/>
              <w:left w:w="15" w:type="dxa"/>
              <w:right w:w="15" w:type="dxa"/>
            </w:tcMar>
            <w:vAlign w:val="center"/>
          </w:tcPr>
          <w:p w14:paraId="739777D8">
            <w:pPr>
              <w:keepNext w:val="0"/>
              <w:keepLines w:val="0"/>
              <w:pageBreakBefore w:val="0"/>
              <w:widowControl w:val="0"/>
              <w:kinsoku/>
              <w:wordWrap/>
              <w:topLinePunct w:val="0"/>
              <w:autoSpaceDE/>
              <w:autoSpaceDN w:val="0"/>
              <w:bidi w:val="0"/>
              <w:adjustRightInd/>
              <w:snapToGrid w:val="0"/>
              <w:spacing w:line="220" w:lineRule="exact"/>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615" w:type="dxa"/>
            <w:gridSpan w:val="2"/>
            <w:vMerge w:val="continue"/>
            <w:tcBorders>
              <w:left w:val="single" w:color="auto" w:sz="4" w:space="0"/>
              <w:right w:val="single" w:color="auto" w:sz="4" w:space="0"/>
            </w:tcBorders>
            <w:tcMar>
              <w:top w:w="15" w:type="dxa"/>
              <w:left w:w="15" w:type="dxa"/>
              <w:right w:w="15" w:type="dxa"/>
            </w:tcMar>
            <w:vAlign w:val="center"/>
          </w:tcPr>
          <w:p w14:paraId="2D78CBBA">
            <w:pPr>
              <w:keepNext w:val="0"/>
              <w:keepLines w:val="0"/>
              <w:pageBreakBefore w:val="0"/>
              <w:widowControl w:val="0"/>
              <w:kinsoku/>
              <w:wordWrap/>
              <w:overflowPunct/>
              <w:topLinePunct w:val="0"/>
              <w:autoSpaceDE/>
              <w:autoSpaceDN/>
              <w:bidi w:val="0"/>
              <w:adjustRightInd/>
              <w:snapToGrid w:val="0"/>
              <w:spacing w:line="220" w:lineRule="exact"/>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0AC5454">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b w:val="0"/>
                <w:bCs/>
                <w:color w:val="000000"/>
                <w:spacing w:val="0"/>
                <w:w w:val="100"/>
                <w:kern w:val="0"/>
                <w:sz w:val="24"/>
                <w:szCs w:val="24"/>
                <w:lang w:bidi="ar"/>
              </w:rPr>
              <w:t>审查</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D4D58F7">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b w:val="0"/>
                <w:bCs/>
                <w:color w:val="000000"/>
                <w:spacing w:val="0"/>
                <w:w w:val="100"/>
                <w:kern w:val="0"/>
                <w:sz w:val="24"/>
                <w:szCs w:val="24"/>
                <w:lang w:bidi="ar"/>
              </w:rPr>
              <w:t>2.调查阶段责任：有2名以上取得合法执法证件的执法人员在场；主动出示执法证件，表明身份；通知检查对象相关负责人或与检查活动内容相关的人员到场，说明执法检查目的、依据以及需要当事人配合的有关事项。</w:t>
            </w:r>
          </w:p>
        </w:tc>
        <w:tc>
          <w:tcPr>
            <w:tcW w:w="1717" w:type="dxa"/>
            <w:gridSpan w:val="2"/>
            <w:vMerge w:val="continue"/>
            <w:tcBorders>
              <w:left w:val="single" w:color="auto" w:sz="4" w:space="0"/>
              <w:right w:val="single" w:color="auto" w:sz="4" w:space="0"/>
            </w:tcBorders>
            <w:tcMar>
              <w:top w:w="15" w:type="dxa"/>
              <w:left w:w="15" w:type="dxa"/>
              <w:right w:w="15" w:type="dxa"/>
            </w:tcMar>
            <w:vAlign w:val="center"/>
          </w:tcPr>
          <w:p w14:paraId="4BF6B703">
            <w:pPr>
              <w:keepNext w:val="0"/>
              <w:keepLines w:val="0"/>
              <w:pageBreakBefore w:val="0"/>
              <w:kinsoku/>
              <w:wordWrap/>
              <w:overflowPunct/>
              <w:topLinePunct w:val="0"/>
              <w:autoSpaceDE/>
              <w:autoSpaceDN/>
              <w:bidi w:val="0"/>
              <w:adjustRightInd/>
              <w:spacing w:line="22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42" w:type="dxa"/>
            <w:vMerge w:val="continue"/>
            <w:tcBorders>
              <w:left w:val="single" w:color="auto" w:sz="4" w:space="0"/>
              <w:right w:val="single" w:color="auto" w:sz="4" w:space="0"/>
            </w:tcBorders>
            <w:tcMar>
              <w:top w:w="15" w:type="dxa"/>
              <w:left w:w="15" w:type="dxa"/>
              <w:right w:w="15" w:type="dxa"/>
            </w:tcMar>
            <w:vAlign w:val="center"/>
          </w:tcPr>
          <w:p w14:paraId="25FC7C2A">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sz w:val="24"/>
                <w:szCs w:val="24"/>
                <w:shd w:val="clear" w:color="070000" w:fill="FFFFFF"/>
                <w:lang w:val="en-US" w:eastAsia="zh-CN"/>
              </w:rPr>
            </w:pPr>
          </w:p>
        </w:tc>
      </w:tr>
      <w:tr w14:paraId="146FD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F59BEB4">
            <w:pPr>
              <w:keepNext w:val="0"/>
              <w:keepLines w:val="0"/>
              <w:pageBreakBefore w:val="0"/>
              <w:widowControl w:val="0"/>
              <w:kinsoku/>
              <w:wordWrap/>
              <w:overflowPunct/>
              <w:topLinePunct w:val="0"/>
              <w:autoSpaceDE/>
              <w:autoSpaceDN w:val="0"/>
              <w:bidi w:val="0"/>
              <w:adjustRightInd/>
              <w:snapToGrid w:val="0"/>
              <w:spacing w:line="220" w:lineRule="exact"/>
              <w:ind w:firstLine="0" w:firstLineChars="0"/>
              <w:jc w:val="center"/>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1389"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9B5011F">
            <w:pPr>
              <w:keepNext w:val="0"/>
              <w:keepLines w:val="0"/>
              <w:pageBreakBefore w:val="0"/>
              <w:widowControl w:val="0"/>
              <w:kinsoku/>
              <w:wordWrap/>
              <w:topLinePunct w:val="0"/>
              <w:autoSpaceDE/>
              <w:autoSpaceDN w:val="0"/>
              <w:bidi w:val="0"/>
              <w:adjustRightInd/>
              <w:snapToGrid w:val="0"/>
              <w:spacing w:line="220" w:lineRule="exact"/>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3799"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AD10CFA">
            <w:pPr>
              <w:keepNext w:val="0"/>
              <w:keepLines w:val="0"/>
              <w:pageBreakBefore w:val="0"/>
              <w:widowControl w:val="0"/>
              <w:kinsoku/>
              <w:wordWrap/>
              <w:topLinePunct w:val="0"/>
              <w:autoSpaceDE/>
              <w:autoSpaceDN w:val="0"/>
              <w:bidi w:val="0"/>
              <w:adjustRightInd/>
              <w:snapToGrid w:val="0"/>
              <w:spacing w:line="220" w:lineRule="exact"/>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615"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6D2732D">
            <w:pPr>
              <w:keepNext w:val="0"/>
              <w:keepLines w:val="0"/>
              <w:pageBreakBefore w:val="0"/>
              <w:widowControl w:val="0"/>
              <w:kinsoku/>
              <w:wordWrap/>
              <w:overflowPunct/>
              <w:topLinePunct w:val="0"/>
              <w:autoSpaceDE/>
              <w:autoSpaceDN/>
              <w:bidi w:val="0"/>
              <w:adjustRightInd/>
              <w:snapToGrid w:val="0"/>
              <w:spacing w:line="220" w:lineRule="exact"/>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E000FA4">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b w:val="0"/>
                <w:bCs/>
                <w:color w:val="000000"/>
                <w:spacing w:val="0"/>
                <w:w w:val="100"/>
                <w:kern w:val="0"/>
                <w:sz w:val="24"/>
                <w:szCs w:val="24"/>
                <w:lang w:bidi="ar"/>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50293CD">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b w:val="0"/>
                <w:bCs/>
                <w:color w:val="000000"/>
                <w:spacing w:val="0"/>
                <w:w w:val="100"/>
                <w:kern w:val="0"/>
                <w:sz w:val="24"/>
                <w:szCs w:val="24"/>
                <w:lang w:bidi="ar"/>
              </w:rPr>
              <w:t>3.审查阶段责任：企业经营行为规范，未发现违法违规问题的，执法人员应如实记录，检查结果可作为企业诚信评价的依据；检查结果基本规范，但存在经营管理不当等瑕疵行为的，执法人员应如实记录，并可以采取约谈企业负责人，提出整改意见，跟踪整改情况等处理措施；企业经营行为不规范，涉嫌违法违规、不构成犯罪的，执法人员应当将案件移交执法机关。</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45CD43E">
            <w:pPr>
              <w:keepNext w:val="0"/>
              <w:keepLines w:val="0"/>
              <w:pageBreakBefore w:val="0"/>
              <w:kinsoku/>
              <w:wordWrap/>
              <w:overflowPunct/>
              <w:topLinePunct w:val="0"/>
              <w:autoSpaceDE/>
              <w:autoSpaceDN/>
              <w:bidi w:val="0"/>
              <w:adjustRightInd/>
              <w:spacing w:line="22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CBCAEBD">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sz w:val="24"/>
                <w:szCs w:val="24"/>
                <w:shd w:val="clear" w:color="070000" w:fill="FFFFFF"/>
                <w:lang w:val="en-US" w:eastAsia="zh-CN"/>
              </w:rPr>
            </w:pPr>
          </w:p>
        </w:tc>
      </w:tr>
      <w:tr w14:paraId="62A34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51C2376">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78016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2F65F4D">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72EE8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5"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66F52D57">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b w:val="0"/>
                <w:bCs/>
                <w:color w:val="000000"/>
                <w:spacing w:val="0"/>
                <w:w w:val="100"/>
                <w:kern w:val="0"/>
                <w:sz w:val="24"/>
                <w:szCs w:val="24"/>
                <w:lang w:val="en-US" w:eastAsia="zh-CN" w:bidi="ar"/>
              </w:rPr>
            </w:pPr>
            <w:r>
              <w:rPr>
                <w:rFonts w:hint="eastAsia" w:ascii="仿宋_GB2312" w:hAnsi="仿宋_GB2312" w:eastAsia="仿宋_GB2312" w:cs="仿宋_GB2312"/>
                <w:b w:val="0"/>
                <w:bCs/>
                <w:color w:val="000000"/>
                <w:spacing w:val="0"/>
                <w:w w:val="100"/>
                <w:kern w:val="0"/>
                <w:sz w:val="24"/>
                <w:szCs w:val="24"/>
                <w:lang w:val="en-US" w:eastAsia="zh-CN" w:bidi="ar"/>
              </w:rPr>
              <w:t>15</w:t>
            </w:r>
          </w:p>
          <w:p w14:paraId="365E95EF">
            <w:pPr>
              <w:keepNext w:val="0"/>
              <w:keepLines w:val="0"/>
              <w:pageBreakBefore w:val="0"/>
              <w:kinsoku/>
              <w:wordWrap/>
              <w:overflowPunct/>
              <w:topLinePunct w:val="0"/>
              <w:autoSpaceDE/>
              <w:autoSpaceDN/>
              <w:bidi w:val="0"/>
              <w:adjustRightInd/>
              <w:ind w:firstLine="0" w:firstLineChars="0"/>
              <w:jc w:val="center"/>
              <w:rPr>
                <w:rFonts w:hint="default" w:ascii="仿宋_GB2312" w:hAnsi="仿宋_GB2312" w:eastAsia="仿宋_GB2312" w:cs="仿宋_GB2312"/>
                <w:i w:val="0"/>
                <w:caps w:val="0"/>
                <w:color w:val="auto"/>
                <w:spacing w:val="0"/>
                <w:sz w:val="24"/>
                <w:szCs w:val="24"/>
                <w:shd w:val="clear" w:color="070000" w:fill="FFFFFF"/>
                <w:lang w:val="en-US" w:eastAsia="zh-CN"/>
              </w:rPr>
            </w:pPr>
          </w:p>
        </w:tc>
        <w:tc>
          <w:tcPr>
            <w:tcW w:w="138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7C99766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仿宋"/>
                <w:b w:val="0"/>
                <w:bCs/>
                <w:color w:val="000000"/>
                <w:spacing w:val="0"/>
                <w:w w:val="100"/>
                <w:kern w:val="0"/>
                <w:sz w:val="24"/>
                <w:szCs w:val="24"/>
                <w:lang w:val="en-US" w:eastAsia="zh-CN" w:bidi="ar"/>
              </w:rPr>
            </w:pPr>
            <w:r>
              <w:rPr>
                <w:rFonts w:hint="eastAsia" w:ascii="仿宋" w:hAnsi="仿宋" w:eastAsia="仿宋" w:cs="仿宋"/>
                <w:b w:val="0"/>
                <w:bCs/>
                <w:color w:val="000000"/>
                <w:spacing w:val="0"/>
                <w:w w:val="100"/>
                <w:kern w:val="0"/>
                <w:sz w:val="24"/>
                <w:szCs w:val="24"/>
                <w:lang w:val="en-US" w:eastAsia="zh-CN" w:bidi="ar"/>
              </w:rPr>
              <w:t>对文艺表演团体的营业性演出活动的行政检查</w:t>
            </w:r>
          </w:p>
          <w:p w14:paraId="0BE7D028">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3801"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7E2FDB91">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default" w:ascii="仿宋" w:hAnsi="仿宋" w:eastAsia="仿宋" w:cs="仿宋"/>
                <w:b w:val="0"/>
                <w:bCs/>
                <w:color w:val="auto"/>
                <w:spacing w:val="0"/>
                <w:w w:val="100"/>
                <w:kern w:val="0"/>
                <w:sz w:val="24"/>
                <w:szCs w:val="24"/>
                <w:lang w:val="en-US" w:eastAsia="zh-CN" w:bidi="ar"/>
              </w:rPr>
              <w:t>《营业性演出管理条例》</w:t>
            </w:r>
            <w:r>
              <w:rPr>
                <w:rFonts w:hint="default" w:ascii="仿宋" w:hAnsi="仿宋" w:eastAsia="仿宋" w:cs="仿宋"/>
                <w:b w:val="0"/>
                <w:bCs/>
                <w:color w:val="auto"/>
                <w:spacing w:val="0"/>
                <w:w w:val="100"/>
                <w:kern w:val="0"/>
                <w:sz w:val="24"/>
                <w:szCs w:val="24"/>
                <w:shd w:val="clear"/>
                <w:lang w:val="en-US" w:eastAsia="zh-CN" w:bidi="ar"/>
              </w:rPr>
              <w:t>(2005</w:t>
            </w:r>
            <w:r>
              <w:rPr>
                <w:rFonts w:hint="eastAsia" w:ascii="仿宋" w:hAnsi="仿宋" w:eastAsia="仿宋" w:cs="仿宋"/>
                <w:b w:val="0"/>
                <w:bCs/>
                <w:color w:val="auto"/>
                <w:spacing w:val="0"/>
                <w:w w:val="100"/>
                <w:kern w:val="0"/>
                <w:sz w:val="24"/>
                <w:szCs w:val="24"/>
                <w:shd w:val="clear"/>
                <w:lang w:val="en-US" w:eastAsia="zh-CN" w:bidi="ar"/>
              </w:rPr>
              <w:t>年</w:t>
            </w:r>
            <w:r>
              <w:rPr>
                <w:rFonts w:hint="default" w:ascii="仿宋" w:hAnsi="仿宋" w:eastAsia="仿宋" w:cs="仿宋"/>
                <w:b w:val="0"/>
                <w:bCs/>
                <w:color w:val="auto"/>
                <w:spacing w:val="0"/>
                <w:w w:val="100"/>
                <w:kern w:val="0"/>
                <w:sz w:val="24"/>
                <w:szCs w:val="24"/>
                <w:shd w:val="clear"/>
                <w:lang w:val="en-US" w:eastAsia="zh-CN" w:bidi="ar"/>
              </w:rPr>
              <w:t>7</w:t>
            </w:r>
            <w:r>
              <w:rPr>
                <w:rFonts w:hint="eastAsia" w:ascii="仿宋" w:hAnsi="仿宋" w:eastAsia="仿宋" w:cs="仿宋"/>
                <w:b w:val="0"/>
                <w:bCs/>
                <w:color w:val="auto"/>
                <w:spacing w:val="0"/>
                <w:w w:val="100"/>
                <w:kern w:val="0"/>
                <w:sz w:val="24"/>
                <w:szCs w:val="24"/>
                <w:shd w:val="clear"/>
                <w:lang w:val="en-US" w:eastAsia="zh-CN" w:bidi="ar"/>
              </w:rPr>
              <w:t>月</w:t>
            </w:r>
            <w:r>
              <w:rPr>
                <w:rFonts w:hint="default" w:ascii="仿宋" w:hAnsi="仿宋" w:eastAsia="仿宋" w:cs="仿宋"/>
                <w:b w:val="0"/>
                <w:bCs/>
                <w:color w:val="auto"/>
                <w:spacing w:val="0"/>
                <w:w w:val="100"/>
                <w:kern w:val="0"/>
                <w:sz w:val="24"/>
                <w:szCs w:val="24"/>
                <w:shd w:val="clear"/>
                <w:lang w:val="en-US" w:eastAsia="zh-CN" w:bidi="ar"/>
              </w:rPr>
              <w:t>7</w:t>
            </w:r>
            <w:r>
              <w:rPr>
                <w:rFonts w:hint="eastAsia" w:ascii="仿宋" w:hAnsi="仿宋" w:eastAsia="仿宋" w:cs="仿宋"/>
                <w:b w:val="0"/>
                <w:bCs/>
                <w:color w:val="auto"/>
                <w:spacing w:val="0"/>
                <w:w w:val="100"/>
                <w:kern w:val="0"/>
                <w:sz w:val="24"/>
                <w:szCs w:val="24"/>
                <w:shd w:val="clear"/>
                <w:lang w:val="en-US" w:eastAsia="zh-CN" w:bidi="ar"/>
              </w:rPr>
              <w:t>日中华人民共和国国务院令第</w:t>
            </w:r>
            <w:r>
              <w:rPr>
                <w:rFonts w:hint="default" w:ascii="仿宋" w:hAnsi="仿宋" w:eastAsia="仿宋" w:cs="仿宋"/>
                <w:b w:val="0"/>
                <w:bCs/>
                <w:color w:val="auto"/>
                <w:spacing w:val="0"/>
                <w:w w:val="100"/>
                <w:kern w:val="0"/>
                <w:sz w:val="24"/>
                <w:szCs w:val="24"/>
                <w:shd w:val="clear"/>
                <w:lang w:val="en-US" w:eastAsia="zh-CN" w:bidi="ar"/>
              </w:rPr>
              <w:t>439</w:t>
            </w:r>
            <w:r>
              <w:rPr>
                <w:rFonts w:hint="eastAsia" w:ascii="仿宋" w:hAnsi="仿宋" w:eastAsia="仿宋" w:cs="仿宋"/>
                <w:b w:val="0"/>
                <w:bCs/>
                <w:color w:val="auto"/>
                <w:spacing w:val="0"/>
                <w:w w:val="100"/>
                <w:kern w:val="0"/>
                <w:sz w:val="24"/>
                <w:szCs w:val="24"/>
                <w:shd w:val="clear"/>
                <w:lang w:val="en-US" w:eastAsia="zh-CN" w:bidi="ar"/>
              </w:rPr>
              <w:t>号公布根据</w:t>
            </w:r>
            <w:r>
              <w:rPr>
                <w:rFonts w:hint="default" w:ascii="仿宋" w:hAnsi="仿宋" w:eastAsia="仿宋" w:cs="仿宋"/>
                <w:b w:val="0"/>
                <w:bCs/>
                <w:color w:val="auto"/>
                <w:spacing w:val="0"/>
                <w:w w:val="100"/>
                <w:kern w:val="0"/>
                <w:sz w:val="24"/>
                <w:szCs w:val="24"/>
                <w:shd w:val="clear"/>
                <w:lang w:val="en-US" w:eastAsia="zh-CN" w:bidi="ar"/>
              </w:rPr>
              <w:t>2008</w:t>
            </w:r>
            <w:r>
              <w:rPr>
                <w:rFonts w:hint="eastAsia" w:ascii="仿宋" w:hAnsi="仿宋" w:eastAsia="仿宋" w:cs="仿宋"/>
                <w:b w:val="0"/>
                <w:bCs/>
                <w:color w:val="auto"/>
                <w:spacing w:val="0"/>
                <w:w w:val="100"/>
                <w:kern w:val="0"/>
                <w:sz w:val="24"/>
                <w:szCs w:val="24"/>
                <w:shd w:val="clear"/>
                <w:lang w:val="en-US" w:eastAsia="zh-CN" w:bidi="ar"/>
              </w:rPr>
              <w:t>年</w:t>
            </w:r>
            <w:r>
              <w:rPr>
                <w:rFonts w:hint="default" w:ascii="仿宋" w:hAnsi="仿宋" w:eastAsia="仿宋" w:cs="仿宋"/>
                <w:b w:val="0"/>
                <w:bCs/>
                <w:color w:val="auto"/>
                <w:spacing w:val="0"/>
                <w:w w:val="100"/>
                <w:kern w:val="0"/>
                <w:sz w:val="24"/>
                <w:szCs w:val="24"/>
                <w:shd w:val="clear"/>
                <w:lang w:val="en-US" w:eastAsia="zh-CN" w:bidi="ar"/>
              </w:rPr>
              <w:t>7</w:t>
            </w:r>
            <w:r>
              <w:rPr>
                <w:rFonts w:hint="eastAsia" w:ascii="仿宋" w:hAnsi="仿宋" w:eastAsia="仿宋" w:cs="仿宋"/>
                <w:b w:val="0"/>
                <w:bCs/>
                <w:color w:val="auto"/>
                <w:spacing w:val="0"/>
                <w:w w:val="100"/>
                <w:kern w:val="0"/>
                <w:sz w:val="24"/>
                <w:szCs w:val="24"/>
                <w:shd w:val="clear"/>
                <w:lang w:val="en-US" w:eastAsia="zh-CN" w:bidi="ar"/>
              </w:rPr>
              <w:t>月</w:t>
            </w:r>
            <w:r>
              <w:rPr>
                <w:rFonts w:hint="default" w:ascii="仿宋" w:hAnsi="仿宋" w:eastAsia="仿宋" w:cs="仿宋"/>
                <w:b w:val="0"/>
                <w:bCs/>
                <w:color w:val="auto"/>
                <w:spacing w:val="0"/>
                <w:w w:val="100"/>
                <w:kern w:val="0"/>
                <w:sz w:val="24"/>
                <w:szCs w:val="24"/>
                <w:shd w:val="clear"/>
                <w:lang w:val="en-US" w:eastAsia="zh-CN" w:bidi="ar"/>
              </w:rPr>
              <w:t>22</w:t>
            </w:r>
            <w:r>
              <w:rPr>
                <w:rFonts w:hint="eastAsia" w:ascii="仿宋" w:hAnsi="仿宋" w:eastAsia="仿宋" w:cs="仿宋"/>
                <w:b w:val="0"/>
                <w:bCs/>
                <w:color w:val="auto"/>
                <w:spacing w:val="0"/>
                <w:w w:val="100"/>
                <w:kern w:val="0"/>
                <w:sz w:val="24"/>
                <w:szCs w:val="24"/>
                <w:shd w:val="clear"/>
                <w:lang w:val="en-US" w:eastAsia="zh-CN" w:bidi="ar"/>
              </w:rPr>
              <w:t>日《国务院关于修改〈营业性演出管理条例〉的决定》第一次修订根据</w:t>
            </w:r>
            <w:r>
              <w:rPr>
                <w:rFonts w:hint="default" w:ascii="仿宋" w:hAnsi="仿宋" w:eastAsia="仿宋" w:cs="仿宋"/>
                <w:b w:val="0"/>
                <w:bCs/>
                <w:color w:val="auto"/>
                <w:spacing w:val="0"/>
                <w:w w:val="100"/>
                <w:kern w:val="0"/>
                <w:sz w:val="24"/>
                <w:szCs w:val="24"/>
                <w:shd w:val="clear"/>
                <w:lang w:val="en-US" w:eastAsia="zh-CN" w:bidi="ar"/>
              </w:rPr>
              <w:t>2013</w:t>
            </w:r>
            <w:r>
              <w:rPr>
                <w:rFonts w:hint="eastAsia" w:ascii="仿宋" w:hAnsi="仿宋" w:eastAsia="仿宋" w:cs="仿宋"/>
                <w:b w:val="0"/>
                <w:bCs/>
                <w:color w:val="auto"/>
                <w:spacing w:val="0"/>
                <w:w w:val="100"/>
                <w:kern w:val="0"/>
                <w:sz w:val="24"/>
                <w:szCs w:val="24"/>
                <w:shd w:val="clear"/>
                <w:lang w:val="en-US" w:eastAsia="zh-CN" w:bidi="ar"/>
              </w:rPr>
              <w:t>年</w:t>
            </w:r>
            <w:r>
              <w:rPr>
                <w:rFonts w:hint="default" w:ascii="仿宋" w:hAnsi="仿宋" w:eastAsia="仿宋" w:cs="仿宋"/>
                <w:b w:val="0"/>
                <w:bCs/>
                <w:color w:val="auto"/>
                <w:spacing w:val="0"/>
                <w:w w:val="100"/>
                <w:kern w:val="0"/>
                <w:sz w:val="24"/>
                <w:szCs w:val="24"/>
                <w:shd w:val="clear"/>
                <w:lang w:val="en-US" w:eastAsia="zh-CN" w:bidi="ar"/>
              </w:rPr>
              <w:t>7</w:t>
            </w:r>
            <w:r>
              <w:rPr>
                <w:rFonts w:hint="eastAsia" w:ascii="仿宋" w:hAnsi="仿宋" w:eastAsia="仿宋" w:cs="仿宋"/>
                <w:b w:val="0"/>
                <w:bCs/>
                <w:color w:val="auto"/>
                <w:spacing w:val="0"/>
                <w:w w:val="100"/>
                <w:kern w:val="0"/>
                <w:sz w:val="24"/>
                <w:szCs w:val="24"/>
                <w:shd w:val="clear"/>
                <w:lang w:val="en-US" w:eastAsia="zh-CN" w:bidi="ar"/>
              </w:rPr>
              <w:t>月</w:t>
            </w:r>
            <w:r>
              <w:rPr>
                <w:rFonts w:hint="default" w:ascii="仿宋" w:hAnsi="仿宋" w:eastAsia="仿宋" w:cs="仿宋"/>
                <w:b w:val="0"/>
                <w:bCs/>
                <w:color w:val="auto"/>
                <w:spacing w:val="0"/>
                <w:w w:val="100"/>
                <w:kern w:val="0"/>
                <w:sz w:val="24"/>
                <w:szCs w:val="24"/>
                <w:shd w:val="clear"/>
                <w:lang w:val="en-US" w:eastAsia="zh-CN" w:bidi="ar"/>
              </w:rPr>
              <w:t>18</w:t>
            </w:r>
            <w:r>
              <w:rPr>
                <w:rFonts w:hint="eastAsia" w:ascii="仿宋" w:hAnsi="仿宋" w:eastAsia="仿宋" w:cs="仿宋"/>
                <w:b w:val="0"/>
                <w:bCs/>
                <w:color w:val="auto"/>
                <w:spacing w:val="0"/>
                <w:w w:val="100"/>
                <w:kern w:val="0"/>
                <w:sz w:val="24"/>
                <w:szCs w:val="24"/>
                <w:shd w:val="clear"/>
                <w:lang w:val="en-US" w:eastAsia="zh-CN" w:bidi="ar"/>
              </w:rPr>
              <w:t>日《国务院关于废止和修改部分行政法规的决定》第二次修订根据</w:t>
            </w:r>
            <w:r>
              <w:rPr>
                <w:rFonts w:hint="default" w:ascii="仿宋" w:hAnsi="仿宋" w:eastAsia="仿宋" w:cs="仿宋"/>
                <w:b w:val="0"/>
                <w:bCs/>
                <w:color w:val="auto"/>
                <w:spacing w:val="0"/>
                <w:w w:val="100"/>
                <w:kern w:val="0"/>
                <w:sz w:val="24"/>
                <w:szCs w:val="24"/>
                <w:shd w:val="clear"/>
                <w:lang w:val="en-US" w:eastAsia="zh-CN" w:bidi="ar"/>
              </w:rPr>
              <w:t>2016</w:t>
            </w:r>
            <w:r>
              <w:rPr>
                <w:rFonts w:hint="eastAsia" w:ascii="仿宋" w:hAnsi="仿宋" w:eastAsia="仿宋" w:cs="仿宋"/>
                <w:b w:val="0"/>
                <w:bCs/>
                <w:color w:val="auto"/>
                <w:spacing w:val="0"/>
                <w:w w:val="100"/>
                <w:kern w:val="0"/>
                <w:sz w:val="24"/>
                <w:szCs w:val="24"/>
                <w:shd w:val="clear"/>
                <w:lang w:val="en-US" w:eastAsia="zh-CN" w:bidi="ar"/>
              </w:rPr>
              <w:t>年</w:t>
            </w:r>
            <w:r>
              <w:rPr>
                <w:rFonts w:hint="default" w:ascii="仿宋" w:hAnsi="仿宋" w:eastAsia="仿宋" w:cs="仿宋"/>
                <w:b w:val="0"/>
                <w:bCs/>
                <w:color w:val="auto"/>
                <w:spacing w:val="0"/>
                <w:w w:val="100"/>
                <w:kern w:val="0"/>
                <w:sz w:val="24"/>
                <w:szCs w:val="24"/>
                <w:shd w:val="clear"/>
                <w:lang w:val="en-US" w:eastAsia="zh-CN" w:bidi="ar"/>
              </w:rPr>
              <w:t>2</w:t>
            </w:r>
            <w:r>
              <w:rPr>
                <w:rFonts w:hint="eastAsia" w:ascii="仿宋" w:hAnsi="仿宋" w:eastAsia="仿宋" w:cs="仿宋"/>
                <w:b w:val="0"/>
                <w:bCs/>
                <w:color w:val="auto"/>
                <w:spacing w:val="0"/>
                <w:w w:val="100"/>
                <w:kern w:val="0"/>
                <w:sz w:val="24"/>
                <w:szCs w:val="24"/>
                <w:shd w:val="clear"/>
                <w:lang w:val="en-US" w:eastAsia="zh-CN" w:bidi="ar"/>
              </w:rPr>
              <w:t>月</w:t>
            </w:r>
            <w:r>
              <w:rPr>
                <w:rFonts w:hint="default" w:ascii="仿宋" w:hAnsi="仿宋" w:eastAsia="仿宋" w:cs="仿宋"/>
                <w:b w:val="0"/>
                <w:bCs/>
                <w:color w:val="auto"/>
                <w:spacing w:val="0"/>
                <w:w w:val="100"/>
                <w:kern w:val="0"/>
                <w:sz w:val="24"/>
                <w:szCs w:val="24"/>
                <w:shd w:val="clear"/>
                <w:lang w:val="en-US" w:eastAsia="zh-CN" w:bidi="ar"/>
              </w:rPr>
              <w:t>6</w:t>
            </w:r>
            <w:r>
              <w:rPr>
                <w:rFonts w:hint="eastAsia" w:ascii="仿宋" w:hAnsi="仿宋" w:eastAsia="仿宋" w:cs="仿宋"/>
                <w:b w:val="0"/>
                <w:bCs/>
                <w:color w:val="auto"/>
                <w:spacing w:val="0"/>
                <w:w w:val="100"/>
                <w:kern w:val="0"/>
                <w:sz w:val="24"/>
                <w:szCs w:val="24"/>
                <w:shd w:val="clear"/>
                <w:lang w:val="en-US" w:eastAsia="zh-CN" w:bidi="ar"/>
              </w:rPr>
              <w:t>日《国务院关于修改部分行政法规的决定》第三次修订根据</w:t>
            </w:r>
            <w:r>
              <w:rPr>
                <w:rFonts w:hint="default" w:ascii="仿宋" w:hAnsi="仿宋" w:eastAsia="仿宋" w:cs="仿宋"/>
                <w:b w:val="0"/>
                <w:bCs/>
                <w:color w:val="auto"/>
                <w:spacing w:val="0"/>
                <w:w w:val="100"/>
                <w:kern w:val="0"/>
                <w:sz w:val="24"/>
                <w:szCs w:val="24"/>
                <w:shd w:val="clear"/>
                <w:lang w:val="en-US" w:eastAsia="zh-CN" w:bidi="ar"/>
              </w:rPr>
              <w:t>2020</w:t>
            </w:r>
            <w:r>
              <w:rPr>
                <w:rFonts w:hint="eastAsia" w:ascii="仿宋" w:hAnsi="仿宋" w:eastAsia="仿宋" w:cs="仿宋"/>
                <w:b w:val="0"/>
                <w:bCs/>
                <w:color w:val="auto"/>
                <w:spacing w:val="0"/>
                <w:w w:val="100"/>
                <w:kern w:val="0"/>
                <w:sz w:val="24"/>
                <w:szCs w:val="24"/>
                <w:shd w:val="clear"/>
                <w:lang w:val="en-US" w:eastAsia="zh-CN" w:bidi="ar"/>
              </w:rPr>
              <w:t>年</w:t>
            </w:r>
            <w:r>
              <w:rPr>
                <w:rFonts w:hint="default" w:ascii="仿宋" w:hAnsi="仿宋" w:eastAsia="仿宋" w:cs="仿宋"/>
                <w:b w:val="0"/>
                <w:bCs/>
                <w:color w:val="auto"/>
                <w:spacing w:val="0"/>
                <w:w w:val="100"/>
                <w:kern w:val="0"/>
                <w:sz w:val="24"/>
                <w:szCs w:val="24"/>
                <w:shd w:val="clear"/>
                <w:lang w:val="en-US" w:eastAsia="zh-CN" w:bidi="ar"/>
              </w:rPr>
              <w:t>11</w:t>
            </w:r>
            <w:r>
              <w:rPr>
                <w:rFonts w:hint="eastAsia" w:ascii="仿宋" w:hAnsi="仿宋" w:eastAsia="仿宋" w:cs="仿宋"/>
                <w:b w:val="0"/>
                <w:bCs/>
                <w:color w:val="auto"/>
                <w:spacing w:val="0"/>
                <w:w w:val="100"/>
                <w:kern w:val="0"/>
                <w:sz w:val="24"/>
                <w:szCs w:val="24"/>
                <w:shd w:val="clear"/>
                <w:lang w:val="en-US" w:eastAsia="zh-CN" w:bidi="ar"/>
              </w:rPr>
              <w:t>月</w:t>
            </w:r>
            <w:r>
              <w:rPr>
                <w:rFonts w:hint="default" w:ascii="仿宋" w:hAnsi="仿宋" w:eastAsia="仿宋" w:cs="仿宋"/>
                <w:b w:val="0"/>
                <w:bCs/>
                <w:color w:val="auto"/>
                <w:spacing w:val="0"/>
                <w:w w:val="100"/>
                <w:kern w:val="0"/>
                <w:sz w:val="24"/>
                <w:szCs w:val="24"/>
                <w:shd w:val="clear"/>
                <w:lang w:val="en-US" w:eastAsia="zh-CN" w:bidi="ar"/>
              </w:rPr>
              <w:t>29</w:t>
            </w:r>
            <w:r>
              <w:rPr>
                <w:rFonts w:hint="eastAsia" w:ascii="仿宋" w:hAnsi="仿宋" w:eastAsia="仿宋" w:cs="仿宋"/>
                <w:b w:val="0"/>
                <w:bCs/>
                <w:color w:val="auto"/>
                <w:spacing w:val="0"/>
                <w:w w:val="100"/>
                <w:kern w:val="0"/>
                <w:sz w:val="24"/>
                <w:szCs w:val="24"/>
                <w:shd w:val="clear"/>
                <w:lang w:val="en-US" w:eastAsia="zh-CN" w:bidi="ar"/>
              </w:rPr>
              <w:t>日《国务院关于修改和废止部分行政法规的决定》第四次修订)</w:t>
            </w:r>
            <w:r>
              <w:rPr>
                <w:rFonts w:hint="default" w:ascii="仿宋" w:hAnsi="仿宋" w:eastAsia="仿宋" w:cs="仿宋"/>
                <w:b w:val="0"/>
                <w:bCs/>
                <w:color w:val="auto"/>
                <w:spacing w:val="0"/>
                <w:w w:val="100"/>
                <w:kern w:val="0"/>
                <w:sz w:val="24"/>
                <w:szCs w:val="24"/>
                <w:lang w:val="en-US" w:eastAsia="zh-CN" w:bidi="ar"/>
              </w:rPr>
              <w:t>第六条：文</w:t>
            </w:r>
            <w:r>
              <w:rPr>
                <w:rFonts w:hint="eastAsia" w:ascii="仿宋" w:hAnsi="仿宋" w:eastAsia="仿宋" w:cs="仿宋"/>
                <w:b w:val="0"/>
                <w:bCs/>
                <w:color w:val="auto"/>
                <w:spacing w:val="0"/>
                <w:w w:val="100"/>
                <w:kern w:val="0"/>
                <w:sz w:val="24"/>
                <w:szCs w:val="24"/>
                <w:lang w:val="en-US" w:eastAsia="zh-CN" w:bidi="ar"/>
              </w:rPr>
              <w:t>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w:t>
            </w:r>
          </w:p>
        </w:tc>
        <w:tc>
          <w:tcPr>
            <w:tcW w:w="616" w:type="dxa"/>
            <w:gridSpan w:val="3"/>
            <w:vMerge w:val="restart"/>
            <w:tcBorders>
              <w:top w:val="single" w:color="auto" w:sz="4" w:space="0"/>
              <w:left w:val="single" w:color="auto" w:sz="4" w:space="0"/>
              <w:right w:val="single" w:color="auto" w:sz="4" w:space="0"/>
            </w:tcBorders>
            <w:tcMar>
              <w:top w:w="15" w:type="dxa"/>
              <w:left w:w="15" w:type="dxa"/>
              <w:right w:w="15" w:type="dxa"/>
            </w:tcMar>
            <w:vAlign w:val="center"/>
          </w:tcPr>
          <w:p w14:paraId="7D282C72">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b w:val="0"/>
                <w:bCs/>
                <w:color w:val="000000"/>
                <w:spacing w:val="0"/>
                <w:w w:val="100"/>
                <w:kern w:val="0"/>
                <w:sz w:val="24"/>
                <w:szCs w:val="24"/>
                <w:lang w:val="en-US" w:eastAsia="zh-CN" w:bidi="ar"/>
              </w:rPr>
            </w:pPr>
            <w:r>
              <w:rPr>
                <w:rFonts w:hint="default" w:ascii="仿宋" w:hAnsi="仿宋" w:eastAsia="仿宋" w:cs="仿宋"/>
                <w:b w:val="0"/>
                <w:bCs/>
                <w:color w:val="000000"/>
                <w:spacing w:val="0"/>
                <w:w w:val="100"/>
                <w:kern w:val="0"/>
                <w:sz w:val="24"/>
                <w:szCs w:val="24"/>
                <w:lang w:val="en-US" w:eastAsia="zh-CN" w:bidi="ar"/>
              </w:rPr>
              <w:t>行政检查</w:t>
            </w:r>
          </w:p>
          <w:p w14:paraId="5CF01559">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73D073A">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b w:val="0"/>
                <w:bCs/>
                <w:color w:val="000000"/>
                <w:spacing w:val="0"/>
                <w:w w:val="100"/>
                <w:kern w:val="0"/>
                <w:sz w:val="24"/>
                <w:szCs w:val="24"/>
                <w:lang w:val="en-US" w:eastAsia="zh-CN" w:bidi="ar"/>
              </w:rPr>
            </w:pPr>
            <w:r>
              <w:rPr>
                <w:rFonts w:hint="eastAsia" w:ascii="仿宋" w:hAnsi="仿宋" w:eastAsia="仿宋" w:cs="仿宋"/>
                <w:b w:val="0"/>
                <w:bCs/>
                <w:color w:val="000000"/>
                <w:spacing w:val="0"/>
                <w:w w:val="100"/>
                <w:kern w:val="0"/>
                <w:sz w:val="24"/>
                <w:szCs w:val="24"/>
                <w:lang w:bidi="ar"/>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1C11A72">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lang w:val="en-US" w:eastAsia="zh-CN"/>
              </w:rPr>
            </w:pPr>
            <w:r>
              <w:rPr>
                <w:rFonts w:hint="eastAsia" w:ascii="仿宋" w:hAnsi="仿宋" w:eastAsia="仿宋" w:cs="仿宋"/>
                <w:b w:val="0"/>
                <w:bCs/>
                <w:color w:val="000000"/>
                <w:spacing w:val="0"/>
                <w:w w:val="100"/>
                <w:kern w:val="0"/>
                <w:sz w:val="24"/>
                <w:szCs w:val="24"/>
                <w:lang w:bidi="ar"/>
              </w:rPr>
              <w:t>1.受理责任：接到投诉按投诉处理流程及时处理后决定是否移交执法机关。</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068B48FA">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lang w:val="en-US" w:eastAsia="zh-CN"/>
              </w:rPr>
            </w:pPr>
            <w:r>
              <w:rPr>
                <w:rFonts w:hint="eastAsia" w:ascii="仿宋" w:hAnsi="仿宋" w:eastAsia="仿宋" w:cs="仿宋"/>
                <w:b w:val="0"/>
                <w:bCs/>
                <w:color w:val="000000"/>
                <w:spacing w:val="0"/>
                <w:w w:val="100"/>
                <w:kern w:val="0"/>
                <w:sz w:val="24"/>
                <w:szCs w:val="24"/>
                <w:lang w:bidi="ar"/>
              </w:rPr>
              <w:t>不履行或不正确履行职责，有下列情形的行政机关及相关工作人员应当承担相应的责任：</w:t>
            </w:r>
            <w:r>
              <w:rPr>
                <w:rFonts w:hint="eastAsia" w:ascii="仿宋" w:hAnsi="仿宋" w:eastAsia="仿宋" w:cs="仿宋"/>
                <w:b w:val="0"/>
                <w:bCs/>
                <w:color w:val="000000"/>
                <w:spacing w:val="0"/>
                <w:w w:val="100"/>
                <w:kern w:val="0"/>
                <w:sz w:val="24"/>
                <w:szCs w:val="24"/>
                <w:lang w:bidi="ar"/>
              </w:rPr>
              <w:br w:type="textWrapping"/>
            </w:r>
            <w:r>
              <w:rPr>
                <w:rFonts w:hint="eastAsia" w:ascii="仿宋" w:hAnsi="仿宋" w:eastAsia="仿宋" w:cs="仿宋"/>
                <w:b w:val="0"/>
                <w:bCs/>
                <w:color w:val="000000"/>
                <w:spacing w:val="0"/>
                <w:w w:val="100"/>
                <w:kern w:val="0"/>
                <w:sz w:val="24"/>
                <w:szCs w:val="24"/>
                <w:lang w:bidi="ar"/>
              </w:rPr>
              <w:t>滥用审批权限、不履行职责或者发现违法行为不予查处，造成严重后果的，依法给予行政处分，情节严重的，依法开除公职或者吊销其从业资格；构成犯罪的，依法追究刑事责任。</w:t>
            </w: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31D9959C">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b w:val="0"/>
                <w:bCs/>
                <w:color w:val="000000"/>
                <w:spacing w:val="0"/>
                <w:w w:val="100"/>
                <w:kern w:val="0"/>
                <w:sz w:val="24"/>
                <w:szCs w:val="24"/>
                <w:lang w:val="en-US" w:eastAsia="zh-CN" w:bidi="ar"/>
              </w:rPr>
            </w:pPr>
            <w:r>
              <w:rPr>
                <w:rFonts w:hint="eastAsia" w:ascii="仿宋" w:hAnsi="仿宋" w:eastAsia="仿宋" w:cs="仿宋"/>
                <w:i w:val="0"/>
                <w:caps w:val="0"/>
                <w:color w:val="auto"/>
                <w:spacing w:val="0"/>
                <w:sz w:val="24"/>
                <w:szCs w:val="24"/>
                <w:shd w:val="clear" w:color="070000" w:fill="FFFFFF"/>
                <w:lang w:val="en-US" w:eastAsia="zh-CN"/>
              </w:rPr>
              <w:t>监督管理股</w:t>
            </w:r>
          </w:p>
          <w:p w14:paraId="1566770F">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40D83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0" w:hRule="atLeast"/>
          <w:jc w:val="center"/>
        </w:trPr>
        <w:tc>
          <w:tcPr>
            <w:tcW w:w="678" w:type="dxa"/>
            <w:vMerge w:val="continue"/>
            <w:tcBorders>
              <w:left w:val="single" w:color="auto" w:sz="4" w:space="0"/>
              <w:right w:val="single" w:color="auto" w:sz="4" w:space="0"/>
            </w:tcBorders>
            <w:tcMar>
              <w:top w:w="15" w:type="dxa"/>
              <w:left w:w="15" w:type="dxa"/>
              <w:right w:w="15" w:type="dxa"/>
            </w:tcMar>
            <w:vAlign w:val="center"/>
          </w:tcPr>
          <w:p w14:paraId="652B8821">
            <w:pPr>
              <w:keepNext w:val="0"/>
              <w:keepLines w:val="0"/>
              <w:pageBreakBefore w:val="0"/>
              <w:kinsoku/>
              <w:wordWrap/>
              <w:overflowPunct/>
              <w:topLinePunct w:val="0"/>
              <w:autoSpaceDE/>
              <w:autoSpaceDN/>
              <w:bidi w:val="0"/>
              <w:adjustRightInd/>
              <w:ind w:firstLine="0" w:firstLineChars="0"/>
              <w:jc w:val="both"/>
            </w:pPr>
          </w:p>
        </w:tc>
        <w:tc>
          <w:tcPr>
            <w:tcW w:w="1382" w:type="dxa"/>
            <w:vMerge w:val="continue"/>
            <w:tcBorders>
              <w:left w:val="single" w:color="auto" w:sz="4" w:space="0"/>
              <w:right w:val="single" w:color="auto" w:sz="4" w:space="0"/>
            </w:tcBorders>
            <w:tcMar>
              <w:top w:w="15" w:type="dxa"/>
              <w:left w:w="15" w:type="dxa"/>
              <w:right w:w="15" w:type="dxa"/>
            </w:tcMar>
            <w:vAlign w:val="center"/>
          </w:tcPr>
          <w:p w14:paraId="041196F0">
            <w:pPr>
              <w:keepNext w:val="0"/>
              <w:keepLines w:val="0"/>
              <w:pageBreakBefore w:val="0"/>
              <w:kinsoku/>
              <w:wordWrap/>
              <w:overflowPunct/>
              <w:topLinePunct w:val="0"/>
              <w:autoSpaceDE/>
              <w:autoSpaceDN/>
              <w:bidi w:val="0"/>
              <w:adjustRightInd/>
              <w:ind w:firstLine="0" w:firstLineChars="0"/>
              <w:jc w:val="both"/>
            </w:pPr>
          </w:p>
        </w:tc>
        <w:tc>
          <w:tcPr>
            <w:tcW w:w="3801" w:type="dxa"/>
            <w:gridSpan w:val="2"/>
            <w:vMerge w:val="continue"/>
            <w:tcBorders>
              <w:left w:val="single" w:color="auto" w:sz="4" w:space="0"/>
              <w:right w:val="single" w:color="auto" w:sz="4" w:space="0"/>
            </w:tcBorders>
            <w:tcMar>
              <w:top w:w="15" w:type="dxa"/>
              <w:left w:w="15" w:type="dxa"/>
              <w:right w:w="15" w:type="dxa"/>
            </w:tcMar>
            <w:vAlign w:val="center"/>
          </w:tcPr>
          <w:p w14:paraId="6E882703">
            <w:pPr>
              <w:keepNext w:val="0"/>
              <w:keepLines w:val="0"/>
              <w:pageBreakBefore w:val="0"/>
              <w:kinsoku/>
              <w:wordWrap/>
              <w:overflowPunct/>
              <w:topLinePunct w:val="0"/>
              <w:autoSpaceDE/>
              <w:autoSpaceDN/>
              <w:bidi w:val="0"/>
              <w:adjustRightInd/>
              <w:ind w:firstLine="0" w:firstLineChars="0"/>
              <w:jc w:val="both"/>
            </w:pPr>
          </w:p>
        </w:tc>
        <w:tc>
          <w:tcPr>
            <w:tcW w:w="616" w:type="dxa"/>
            <w:gridSpan w:val="3"/>
            <w:vMerge w:val="continue"/>
            <w:tcBorders>
              <w:left w:val="single" w:color="auto" w:sz="4" w:space="0"/>
              <w:right w:val="single" w:color="auto" w:sz="4" w:space="0"/>
            </w:tcBorders>
            <w:tcMar>
              <w:top w:w="15" w:type="dxa"/>
              <w:left w:w="15" w:type="dxa"/>
              <w:right w:w="15" w:type="dxa"/>
            </w:tcMar>
            <w:vAlign w:val="center"/>
          </w:tcPr>
          <w:p w14:paraId="414E92A8">
            <w:pPr>
              <w:keepNext w:val="0"/>
              <w:keepLines w:val="0"/>
              <w:pageBreakBefore w:val="0"/>
              <w:kinsoku/>
              <w:wordWrap/>
              <w:overflowPunct/>
              <w:topLinePunct w:val="0"/>
              <w:autoSpaceDE/>
              <w:autoSpaceDN/>
              <w:bidi w:val="0"/>
              <w:adjustRightInd/>
              <w:ind w:firstLine="0" w:firstLineChars="0"/>
              <w:jc w:val="both"/>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1688ACC">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b w:val="0"/>
                <w:bCs/>
                <w:color w:val="000000"/>
                <w:spacing w:val="0"/>
                <w:w w:val="100"/>
                <w:kern w:val="0"/>
                <w:sz w:val="24"/>
                <w:szCs w:val="24"/>
                <w:lang w:val="en-US" w:eastAsia="zh-CN" w:bidi="ar"/>
              </w:rPr>
            </w:pPr>
            <w:r>
              <w:rPr>
                <w:rFonts w:hint="eastAsia" w:ascii="仿宋" w:hAnsi="仿宋" w:eastAsia="仿宋" w:cs="仿宋"/>
                <w:b w:val="0"/>
                <w:bCs/>
                <w:color w:val="000000"/>
                <w:spacing w:val="0"/>
                <w:w w:val="100"/>
                <w:kern w:val="0"/>
                <w:sz w:val="24"/>
                <w:szCs w:val="24"/>
                <w:lang w:bidi="ar"/>
              </w:rPr>
              <w:t>审查</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A44D4A2">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b w:val="0"/>
                <w:bCs/>
                <w:color w:val="000000"/>
                <w:spacing w:val="0"/>
                <w:w w:val="100"/>
                <w:kern w:val="0"/>
                <w:sz w:val="24"/>
                <w:szCs w:val="24"/>
                <w:lang w:val="en-US" w:eastAsia="zh-CN" w:bidi="ar"/>
              </w:rPr>
            </w:pPr>
            <w:r>
              <w:rPr>
                <w:rFonts w:hint="eastAsia" w:ascii="仿宋" w:hAnsi="仿宋" w:eastAsia="仿宋" w:cs="仿宋"/>
                <w:b w:val="0"/>
                <w:bCs/>
                <w:color w:val="000000"/>
                <w:spacing w:val="0"/>
                <w:w w:val="100"/>
                <w:kern w:val="0"/>
                <w:sz w:val="24"/>
                <w:szCs w:val="24"/>
                <w:lang w:bidi="ar"/>
              </w:rPr>
              <w:t>2.调查阶段责任：有2名以上取得合法执法证件的执法人员在场；主动出示执法证件，表明身份；通知检查对象相关负责人或与检查活动内容相关的人员到场，说明执法检查目的、依据以及需要当事人配合的有关事项。</w:t>
            </w:r>
          </w:p>
        </w:tc>
        <w:tc>
          <w:tcPr>
            <w:tcW w:w="1717" w:type="dxa"/>
            <w:gridSpan w:val="2"/>
            <w:vMerge w:val="continue"/>
            <w:tcBorders>
              <w:left w:val="single" w:color="auto" w:sz="4" w:space="0"/>
              <w:right w:val="single" w:color="auto" w:sz="4" w:space="0"/>
            </w:tcBorders>
            <w:tcMar>
              <w:top w:w="15" w:type="dxa"/>
              <w:left w:w="15" w:type="dxa"/>
              <w:right w:w="15" w:type="dxa"/>
            </w:tcMar>
            <w:vAlign w:val="center"/>
          </w:tcPr>
          <w:p w14:paraId="29A0D5D5">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right w:val="single" w:color="auto" w:sz="4" w:space="0"/>
            </w:tcBorders>
            <w:tcMar>
              <w:top w:w="15" w:type="dxa"/>
              <w:left w:w="15" w:type="dxa"/>
              <w:right w:w="15" w:type="dxa"/>
            </w:tcMar>
            <w:vAlign w:val="center"/>
          </w:tcPr>
          <w:p w14:paraId="79788991">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09C0F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5" w:hRule="atLeast"/>
          <w:jc w:val="center"/>
        </w:trPr>
        <w:tc>
          <w:tcPr>
            <w:tcW w:w="678" w:type="dxa"/>
            <w:vMerge w:val="continue"/>
            <w:tcBorders>
              <w:left w:val="single" w:color="auto" w:sz="4" w:space="0"/>
              <w:right w:val="single" w:color="auto" w:sz="4" w:space="0"/>
            </w:tcBorders>
            <w:tcMar>
              <w:top w:w="15" w:type="dxa"/>
              <w:left w:w="15" w:type="dxa"/>
              <w:right w:w="15" w:type="dxa"/>
            </w:tcMar>
            <w:vAlign w:val="center"/>
          </w:tcPr>
          <w:p w14:paraId="36A73828">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b w:val="0"/>
                <w:bCs/>
                <w:color w:val="000000"/>
                <w:spacing w:val="0"/>
                <w:w w:val="100"/>
                <w:kern w:val="0"/>
                <w:sz w:val="24"/>
                <w:szCs w:val="24"/>
                <w:lang w:val="en-US" w:eastAsia="zh-CN" w:bidi="ar"/>
              </w:rPr>
            </w:pPr>
          </w:p>
        </w:tc>
        <w:tc>
          <w:tcPr>
            <w:tcW w:w="1382" w:type="dxa"/>
            <w:vMerge w:val="continue"/>
            <w:tcBorders>
              <w:left w:val="single" w:color="auto" w:sz="4" w:space="0"/>
              <w:right w:val="single" w:color="auto" w:sz="4" w:space="0"/>
            </w:tcBorders>
            <w:tcMar>
              <w:top w:w="15" w:type="dxa"/>
              <w:left w:w="15" w:type="dxa"/>
              <w:right w:w="15" w:type="dxa"/>
            </w:tcMar>
            <w:vAlign w:val="center"/>
          </w:tcPr>
          <w:p w14:paraId="4830A550">
            <w:pPr>
              <w:keepNext w:val="0"/>
              <w:keepLines w:val="0"/>
              <w:pageBreakBefore w:val="0"/>
              <w:widowControl/>
              <w:kinsoku/>
              <w:wordWrap/>
              <w:overflowPunct/>
              <w:topLinePunct w:val="0"/>
              <w:autoSpaceDE/>
              <w:autoSpaceDN/>
              <w:bidi w:val="0"/>
              <w:adjustRightInd/>
              <w:snapToGrid/>
              <w:spacing w:line="220" w:lineRule="exact"/>
              <w:textAlignment w:val="center"/>
              <w:rPr>
                <w:rFonts w:hint="eastAsia" w:ascii="仿宋" w:hAnsi="仿宋" w:eastAsia="仿宋" w:cs="仿宋"/>
                <w:b w:val="0"/>
                <w:bCs/>
                <w:color w:val="000000"/>
                <w:spacing w:val="0"/>
                <w:w w:val="100"/>
                <w:kern w:val="0"/>
                <w:sz w:val="24"/>
                <w:szCs w:val="24"/>
                <w:lang w:val="en-US" w:eastAsia="zh-CN" w:bidi="ar"/>
              </w:rPr>
            </w:pPr>
          </w:p>
        </w:tc>
        <w:tc>
          <w:tcPr>
            <w:tcW w:w="3801" w:type="dxa"/>
            <w:gridSpan w:val="2"/>
            <w:vMerge w:val="continue"/>
            <w:tcBorders>
              <w:left w:val="single" w:color="auto" w:sz="4" w:space="0"/>
              <w:right w:val="single" w:color="auto" w:sz="4" w:space="0"/>
            </w:tcBorders>
            <w:tcMar>
              <w:top w:w="15" w:type="dxa"/>
              <w:left w:w="15" w:type="dxa"/>
              <w:right w:w="15" w:type="dxa"/>
            </w:tcMar>
            <w:vAlign w:val="center"/>
          </w:tcPr>
          <w:p w14:paraId="04850403">
            <w:pPr>
              <w:keepNext w:val="0"/>
              <w:keepLines w:val="0"/>
              <w:pageBreakBefore w:val="0"/>
              <w:widowControl/>
              <w:kinsoku/>
              <w:wordWrap/>
              <w:overflowPunct/>
              <w:topLinePunct w:val="0"/>
              <w:autoSpaceDE/>
              <w:autoSpaceDN/>
              <w:bidi w:val="0"/>
              <w:adjustRightInd/>
              <w:snapToGrid/>
              <w:spacing w:line="220" w:lineRule="exact"/>
              <w:textAlignment w:val="center"/>
              <w:rPr>
                <w:rFonts w:hint="eastAsia" w:ascii="仿宋" w:hAnsi="仿宋" w:eastAsia="仿宋" w:cs="仿宋"/>
                <w:b w:val="0"/>
                <w:bCs/>
                <w:color w:val="000000"/>
                <w:spacing w:val="0"/>
                <w:w w:val="100"/>
                <w:kern w:val="0"/>
                <w:sz w:val="24"/>
                <w:szCs w:val="24"/>
                <w:lang w:val="en-US" w:eastAsia="zh-CN" w:bidi="ar"/>
              </w:rPr>
            </w:pPr>
          </w:p>
        </w:tc>
        <w:tc>
          <w:tcPr>
            <w:tcW w:w="616" w:type="dxa"/>
            <w:gridSpan w:val="3"/>
            <w:vMerge w:val="continue"/>
            <w:tcBorders>
              <w:left w:val="single" w:color="auto" w:sz="4" w:space="0"/>
              <w:right w:val="single" w:color="auto" w:sz="4" w:space="0"/>
            </w:tcBorders>
            <w:tcMar>
              <w:top w:w="15" w:type="dxa"/>
              <w:left w:w="15" w:type="dxa"/>
              <w:right w:w="15" w:type="dxa"/>
            </w:tcMar>
            <w:vAlign w:val="center"/>
          </w:tcPr>
          <w:p w14:paraId="339E87A1">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b w:val="0"/>
                <w:bCs/>
                <w:color w:val="000000"/>
                <w:spacing w:val="0"/>
                <w:w w:val="100"/>
                <w:kern w:val="0"/>
                <w:sz w:val="24"/>
                <w:szCs w:val="24"/>
                <w:lang w:val="en-US" w:eastAsia="zh-CN" w:bidi="ar"/>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6885373">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b w:val="0"/>
                <w:bCs/>
                <w:color w:val="000000"/>
                <w:spacing w:val="0"/>
                <w:w w:val="100"/>
                <w:kern w:val="0"/>
                <w:sz w:val="24"/>
                <w:szCs w:val="24"/>
                <w:lang w:val="en-US" w:eastAsia="zh-CN" w:bidi="ar"/>
              </w:rPr>
            </w:pPr>
            <w:r>
              <w:rPr>
                <w:rFonts w:hint="eastAsia" w:ascii="仿宋" w:hAnsi="仿宋" w:eastAsia="仿宋" w:cs="仿宋"/>
                <w:b w:val="0"/>
                <w:bCs/>
                <w:color w:val="000000"/>
                <w:spacing w:val="0"/>
                <w:w w:val="100"/>
                <w:kern w:val="0"/>
                <w:sz w:val="24"/>
                <w:szCs w:val="24"/>
                <w:lang w:bidi="ar"/>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5D6FFC8">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b w:val="0"/>
                <w:bCs/>
                <w:color w:val="000000"/>
                <w:spacing w:val="0"/>
                <w:w w:val="100"/>
                <w:kern w:val="0"/>
                <w:sz w:val="24"/>
                <w:szCs w:val="24"/>
                <w:lang w:val="en-US" w:eastAsia="zh-CN" w:bidi="ar"/>
              </w:rPr>
            </w:pPr>
            <w:r>
              <w:rPr>
                <w:rFonts w:hint="eastAsia" w:ascii="仿宋" w:hAnsi="仿宋" w:eastAsia="仿宋" w:cs="仿宋"/>
                <w:b w:val="0"/>
                <w:bCs/>
                <w:color w:val="000000"/>
                <w:spacing w:val="0"/>
                <w:w w:val="100"/>
                <w:kern w:val="0"/>
                <w:sz w:val="24"/>
                <w:szCs w:val="24"/>
                <w:lang w:bidi="ar"/>
              </w:rPr>
              <w:t>3.审查阶段责任：企业经营行为规范，未发现违法违规问题的，执法人员应如实记录，检查结果可作为企业诚信评价的依据；检查结果基本规范，但存在经营管理不当等瑕疵行为的，执法人员应如实记录，并可以采取约谈企业负责人，提出整改意见，跟踪整改情况等处理措施；企业经营行为不规范，涉嫌违法违规、不构成犯罪的，执法人员应当将案件移交执法机关。</w:t>
            </w:r>
          </w:p>
        </w:tc>
        <w:tc>
          <w:tcPr>
            <w:tcW w:w="1717" w:type="dxa"/>
            <w:gridSpan w:val="2"/>
            <w:vMerge w:val="continue"/>
            <w:tcBorders>
              <w:left w:val="single" w:color="auto" w:sz="4" w:space="0"/>
              <w:right w:val="single" w:color="auto" w:sz="4" w:space="0"/>
            </w:tcBorders>
            <w:tcMar>
              <w:top w:w="15" w:type="dxa"/>
              <w:left w:w="15" w:type="dxa"/>
              <w:right w:w="15" w:type="dxa"/>
            </w:tcMar>
            <w:vAlign w:val="center"/>
          </w:tcPr>
          <w:p w14:paraId="2BA6364E">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b w:val="0"/>
                <w:bCs/>
                <w:color w:val="000000"/>
                <w:spacing w:val="0"/>
                <w:w w:val="100"/>
                <w:kern w:val="0"/>
                <w:sz w:val="24"/>
                <w:szCs w:val="24"/>
                <w:lang w:val="en-US" w:eastAsia="zh-CN" w:bidi="ar"/>
              </w:rPr>
            </w:pPr>
          </w:p>
        </w:tc>
        <w:tc>
          <w:tcPr>
            <w:tcW w:w="1042" w:type="dxa"/>
            <w:vMerge w:val="continue"/>
            <w:tcBorders>
              <w:left w:val="single" w:color="auto" w:sz="4" w:space="0"/>
              <w:right w:val="single" w:color="auto" w:sz="4" w:space="0"/>
            </w:tcBorders>
            <w:tcMar>
              <w:top w:w="15" w:type="dxa"/>
              <w:left w:w="15" w:type="dxa"/>
              <w:right w:w="15" w:type="dxa"/>
            </w:tcMar>
            <w:vAlign w:val="center"/>
          </w:tcPr>
          <w:p w14:paraId="0F38E996">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b w:val="0"/>
                <w:bCs/>
                <w:color w:val="000000"/>
                <w:spacing w:val="0"/>
                <w:w w:val="100"/>
                <w:kern w:val="0"/>
                <w:sz w:val="24"/>
                <w:szCs w:val="24"/>
                <w:lang w:val="en-US" w:eastAsia="zh-CN" w:bidi="ar"/>
              </w:rPr>
            </w:pPr>
          </w:p>
        </w:tc>
      </w:tr>
      <w:tr w14:paraId="74ABB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0D5B138">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77C27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DCF33FF">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6513A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5"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2BBBFCD6">
            <w:pPr>
              <w:keepNext w:val="0"/>
              <w:keepLines w:val="0"/>
              <w:pageBreakBefore w:val="0"/>
              <w:widowControl/>
              <w:kinsoku/>
              <w:wordWrap/>
              <w:topLinePunct w:val="0"/>
              <w:autoSpaceDE/>
              <w:bidi w:val="0"/>
              <w:spacing w:line="220" w:lineRule="exact"/>
              <w:jc w:val="center"/>
              <w:textAlignment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szCs w:val="24"/>
                <w:lang w:val="en-US" w:eastAsia="zh-CN"/>
              </w:rPr>
              <w:t>16</w:t>
            </w:r>
          </w:p>
          <w:p w14:paraId="1FF01CC1">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38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77F10535">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color w:val="000000"/>
                <w:spacing w:val="0"/>
                <w:w w:val="1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对娱乐场所从事娱乐场所经营活动的行政检查</w:t>
            </w:r>
          </w:p>
          <w:p w14:paraId="3ED5624C">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3801"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7A0C0C25">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olor w:val="auto"/>
                <w:kern w:val="0"/>
                <w:sz w:val="24"/>
                <w:szCs w:val="24"/>
                <w:u w:val="none"/>
                <w:lang w:val="en-US" w:eastAsia="zh-CN" w:bidi="ar"/>
              </w:rPr>
              <w:t>《娱乐场所管理条例》</w:t>
            </w:r>
            <w:r>
              <w:rPr>
                <w:rFonts w:hint="eastAsia" w:ascii="仿宋" w:hAnsi="仿宋" w:eastAsia="仿宋" w:cs="仿宋"/>
                <w:b w:val="0"/>
                <w:bCs/>
                <w:color w:val="auto"/>
                <w:spacing w:val="0"/>
                <w:w w:val="100"/>
                <w:kern w:val="0"/>
                <w:sz w:val="24"/>
                <w:szCs w:val="24"/>
                <w:shd w:val="clear"/>
                <w:lang w:val="en-US" w:eastAsia="zh-CN" w:bidi="ar"/>
              </w:rPr>
              <w:t>(</w:t>
            </w:r>
            <w:r>
              <w:rPr>
                <w:rFonts w:hint="default" w:ascii="仿宋" w:hAnsi="仿宋" w:eastAsia="仿宋" w:cs="仿宋"/>
                <w:b w:val="0"/>
                <w:bCs/>
                <w:color w:val="auto"/>
                <w:spacing w:val="0"/>
                <w:w w:val="100"/>
                <w:kern w:val="0"/>
                <w:sz w:val="24"/>
                <w:szCs w:val="24"/>
                <w:shd w:val="clear"/>
                <w:lang w:val="en-US" w:eastAsia="zh-CN" w:bidi="ar"/>
              </w:rPr>
              <w:t>2006年1月29日中华人民共和国国务院令第458号公布根据2016年2月6日《国务院关于修改部分行政法规的决定》第一次修订根据2020年11月29日《国务院关于修改和废止部分行政法规的决定》第二次修订)</w:t>
            </w:r>
            <w:r>
              <w:rPr>
                <w:rFonts w:hint="eastAsia" w:ascii="仿宋" w:hAnsi="仿宋" w:eastAsia="仿宋" w:cs="仿宋"/>
                <w:i w:val="0"/>
                <w:color w:val="auto"/>
                <w:kern w:val="0"/>
                <w:sz w:val="24"/>
                <w:szCs w:val="24"/>
                <w:u w:val="none"/>
                <w:lang w:val="en-US" w:eastAsia="zh-CN" w:bidi="ar"/>
              </w:rPr>
              <w:t>第三条：“县级以上人民政府文化主管部门负责对娱乐场所日常经营活动的监督管理；县级以上公安部门负责对娱乐场所消防、治安状况的监督管理。”第三十二条：“文化主管部门、公安部门和其他有关部门的工作人员依法履行监督检查职责时，有权进入娱乐场所。娱乐场所应当予以配合，不得拒绝、阻挠。文化主管部门、公安部门和其他有关部门的工作人员依法履行监督检查职责时，需要查阅闭路电视监控录像资料、从业人员名簿、营业日志等资料的，娱乐场所应当及时提供。”</w:t>
            </w:r>
          </w:p>
        </w:tc>
        <w:tc>
          <w:tcPr>
            <w:tcW w:w="616" w:type="dxa"/>
            <w:gridSpan w:val="3"/>
            <w:vMerge w:val="restart"/>
            <w:tcBorders>
              <w:top w:val="single" w:color="auto" w:sz="4" w:space="0"/>
              <w:left w:val="single" w:color="auto" w:sz="4" w:space="0"/>
              <w:right w:val="single" w:color="auto" w:sz="4" w:space="0"/>
            </w:tcBorders>
            <w:tcMar>
              <w:top w:w="15" w:type="dxa"/>
              <w:left w:w="15" w:type="dxa"/>
              <w:right w:w="15" w:type="dxa"/>
            </w:tcMar>
            <w:vAlign w:val="center"/>
          </w:tcPr>
          <w:p w14:paraId="39172C0E">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b w:val="0"/>
                <w:bCs/>
                <w:color w:val="000000"/>
                <w:spacing w:val="0"/>
                <w:w w:val="100"/>
                <w:kern w:val="0"/>
                <w:sz w:val="24"/>
                <w:szCs w:val="24"/>
                <w:lang w:val="en-US" w:eastAsia="zh-CN" w:bidi="ar"/>
              </w:rPr>
            </w:pPr>
            <w:r>
              <w:rPr>
                <w:rFonts w:hint="eastAsia" w:ascii="仿宋" w:hAnsi="仿宋" w:eastAsia="仿宋" w:cs="仿宋"/>
                <w:b w:val="0"/>
                <w:bCs/>
                <w:color w:val="000000"/>
                <w:spacing w:val="0"/>
                <w:w w:val="100"/>
                <w:kern w:val="0"/>
                <w:sz w:val="24"/>
                <w:szCs w:val="24"/>
                <w:lang w:bidi="ar"/>
              </w:rPr>
              <w:t>行政检查</w:t>
            </w:r>
          </w:p>
          <w:p w14:paraId="149ED7F3">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CB2F948">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b w:val="0"/>
                <w:bCs/>
                <w:color w:val="000000"/>
                <w:spacing w:val="0"/>
                <w:w w:val="100"/>
                <w:kern w:val="0"/>
                <w:sz w:val="24"/>
                <w:szCs w:val="24"/>
                <w:lang w:val="en-US" w:eastAsia="zh-CN" w:bidi="ar"/>
              </w:rPr>
            </w:pPr>
            <w:r>
              <w:rPr>
                <w:rFonts w:hint="eastAsia" w:ascii="仿宋" w:hAnsi="仿宋" w:eastAsia="仿宋" w:cs="仿宋"/>
                <w:b w:val="0"/>
                <w:bCs/>
                <w:color w:val="000000"/>
                <w:spacing w:val="0"/>
                <w:w w:val="100"/>
                <w:kern w:val="0"/>
                <w:sz w:val="24"/>
                <w:szCs w:val="24"/>
                <w:lang w:bidi="ar"/>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6A9504D">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b w:val="0"/>
                <w:bCs/>
                <w:color w:val="000000"/>
                <w:spacing w:val="0"/>
                <w:w w:val="100"/>
                <w:kern w:val="0"/>
                <w:sz w:val="24"/>
                <w:szCs w:val="24"/>
                <w:lang w:val="en-US" w:eastAsia="zh-CN" w:bidi="ar"/>
              </w:rPr>
            </w:pPr>
            <w:r>
              <w:rPr>
                <w:rFonts w:hint="eastAsia" w:ascii="仿宋" w:hAnsi="仿宋" w:eastAsia="仿宋" w:cs="仿宋"/>
                <w:b w:val="0"/>
                <w:bCs/>
                <w:color w:val="000000"/>
                <w:spacing w:val="0"/>
                <w:w w:val="100"/>
                <w:kern w:val="0"/>
                <w:sz w:val="24"/>
                <w:szCs w:val="24"/>
                <w:lang w:bidi="ar"/>
              </w:rPr>
              <w:t>1.受理责任：接到投诉按投诉处理流程及时处理后决定是否移交执法机关。</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7B82339E">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lang w:val="en-US" w:eastAsia="zh-CN"/>
              </w:rPr>
            </w:pPr>
            <w:r>
              <w:rPr>
                <w:rFonts w:hint="eastAsia" w:ascii="仿宋" w:hAnsi="仿宋" w:eastAsia="仿宋" w:cs="仿宋"/>
                <w:i w:val="0"/>
                <w:color w:val="000000"/>
                <w:kern w:val="0"/>
                <w:sz w:val="24"/>
                <w:szCs w:val="24"/>
                <w:u w:val="none"/>
                <w:lang w:val="en-US" w:eastAsia="zh-CN" w:bidi="ar"/>
              </w:rPr>
              <w:t>不履行或不正确履行职责，有下列情形的行政机关及相关工作人员应当承担相应的责任：</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滥用审批权限、不履行职责或者发现违法行为不予查处，造成严重后果的，依法给予行政处分，情节严重的，依法开除公职或者吊销其从业资格；构成犯罪的，依法追究刑事责任。</w:t>
            </w: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1766C2F7">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b w:val="0"/>
                <w:bCs/>
                <w:color w:val="000000"/>
                <w:spacing w:val="0"/>
                <w:w w:val="100"/>
                <w:kern w:val="0"/>
                <w:sz w:val="24"/>
                <w:szCs w:val="24"/>
                <w:lang w:val="en-US" w:eastAsia="zh-CN" w:bidi="ar"/>
              </w:rPr>
            </w:pPr>
            <w:r>
              <w:rPr>
                <w:rFonts w:hint="eastAsia" w:ascii="仿宋" w:hAnsi="仿宋" w:eastAsia="仿宋" w:cs="仿宋"/>
                <w:i w:val="0"/>
                <w:caps w:val="0"/>
                <w:color w:val="auto"/>
                <w:spacing w:val="0"/>
                <w:sz w:val="24"/>
                <w:szCs w:val="24"/>
                <w:shd w:val="clear" w:color="070000" w:fill="FFFFFF"/>
                <w:lang w:val="en-US" w:eastAsia="zh-CN"/>
              </w:rPr>
              <w:t>监督管理股</w:t>
            </w:r>
          </w:p>
          <w:p w14:paraId="3D475C3B">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2740D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5" w:hRule="atLeast"/>
          <w:jc w:val="center"/>
        </w:trPr>
        <w:tc>
          <w:tcPr>
            <w:tcW w:w="678" w:type="dxa"/>
            <w:vMerge w:val="continue"/>
            <w:tcBorders>
              <w:left w:val="single" w:color="auto" w:sz="4" w:space="0"/>
              <w:right w:val="single" w:color="auto" w:sz="4" w:space="0"/>
            </w:tcBorders>
            <w:tcMar>
              <w:top w:w="15" w:type="dxa"/>
              <w:left w:w="15" w:type="dxa"/>
              <w:right w:w="15" w:type="dxa"/>
            </w:tcMar>
            <w:vAlign w:val="center"/>
          </w:tcPr>
          <w:p w14:paraId="1557C109">
            <w:pPr>
              <w:keepNext w:val="0"/>
              <w:keepLines w:val="0"/>
              <w:pageBreakBefore w:val="0"/>
              <w:kinsoku/>
              <w:wordWrap/>
              <w:overflowPunct/>
              <w:topLinePunct w:val="0"/>
              <w:autoSpaceDE/>
              <w:autoSpaceDN/>
              <w:bidi w:val="0"/>
              <w:adjustRightInd/>
              <w:ind w:firstLine="0" w:firstLineChars="0"/>
              <w:jc w:val="both"/>
            </w:pPr>
          </w:p>
        </w:tc>
        <w:tc>
          <w:tcPr>
            <w:tcW w:w="1382" w:type="dxa"/>
            <w:vMerge w:val="continue"/>
            <w:tcBorders>
              <w:left w:val="single" w:color="auto" w:sz="4" w:space="0"/>
              <w:right w:val="single" w:color="auto" w:sz="4" w:space="0"/>
            </w:tcBorders>
            <w:tcMar>
              <w:top w:w="15" w:type="dxa"/>
              <w:left w:w="15" w:type="dxa"/>
              <w:right w:w="15" w:type="dxa"/>
            </w:tcMar>
            <w:vAlign w:val="center"/>
          </w:tcPr>
          <w:p w14:paraId="3FD7DBF8">
            <w:pPr>
              <w:keepNext w:val="0"/>
              <w:keepLines w:val="0"/>
              <w:pageBreakBefore w:val="0"/>
              <w:kinsoku/>
              <w:wordWrap/>
              <w:overflowPunct/>
              <w:topLinePunct w:val="0"/>
              <w:autoSpaceDE/>
              <w:autoSpaceDN/>
              <w:bidi w:val="0"/>
              <w:adjustRightInd/>
              <w:ind w:firstLine="0" w:firstLineChars="0"/>
              <w:jc w:val="both"/>
            </w:pPr>
          </w:p>
        </w:tc>
        <w:tc>
          <w:tcPr>
            <w:tcW w:w="3801" w:type="dxa"/>
            <w:gridSpan w:val="2"/>
            <w:vMerge w:val="continue"/>
            <w:tcBorders>
              <w:left w:val="single" w:color="auto" w:sz="4" w:space="0"/>
              <w:right w:val="single" w:color="auto" w:sz="4" w:space="0"/>
            </w:tcBorders>
            <w:tcMar>
              <w:top w:w="15" w:type="dxa"/>
              <w:left w:w="15" w:type="dxa"/>
              <w:right w:w="15" w:type="dxa"/>
            </w:tcMar>
            <w:vAlign w:val="center"/>
          </w:tcPr>
          <w:p w14:paraId="32AF7AB8">
            <w:pPr>
              <w:keepNext w:val="0"/>
              <w:keepLines w:val="0"/>
              <w:pageBreakBefore w:val="0"/>
              <w:kinsoku/>
              <w:wordWrap/>
              <w:overflowPunct/>
              <w:topLinePunct w:val="0"/>
              <w:autoSpaceDE/>
              <w:autoSpaceDN/>
              <w:bidi w:val="0"/>
              <w:adjustRightInd/>
              <w:ind w:firstLine="0" w:firstLineChars="0"/>
              <w:jc w:val="both"/>
            </w:pPr>
          </w:p>
        </w:tc>
        <w:tc>
          <w:tcPr>
            <w:tcW w:w="616" w:type="dxa"/>
            <w:gridSpan w:val="3"/>
            <w:vMerge w:val="continue"/>
            <w:tcBorders>
              <w:left w:val="single" w:color="auto" w:sz="4" w:space="0"/>
              <w:right w:val="single" w:color="auto" w:sz="4" w:space="0"/>
            </w:tcBorders>
            <w:tcMar>
              <w:top w:w="15" w:type="dxa"/>
              <w:left w:w="15" w:type="dxa"/>
              <w:right w:w="15" w:type="dxa"/>
            </w:tcMar>
            <w:vAlign w:val="center"/>
          </w:tcPr>
          <w:p w14:paraId="15BC77AB">
            <w:pPr>
              <w:keepNext w:val="0"/>
              <w:keepLines w:val="0"/>
              <w:pageBreakBefore w:val="0"/>
              <w:kinsoku/>
              <w:wordWrap/>
              <w:overflowPunct/>
              <w:topLinePunct w:val="0"/>
              <w:autoSpaceDE/>
              <w:autoSpaceDN/>
              <w:bidi w:val="0"/>
              <w:adjustRightInd/>
              <w:ind w:firstLine="0" w:firstLineChars="0"/>
              <w:jc w:val="both"/>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3410C04">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b w:val="0"/>
                <w:bCs/>
                <w:color w:val="000000"/>
                <w:spacing w:val="0"/>
                <w:w w:val="100"/>
                <w:kern w:val="0"/>
                <w:sz w:val="24"/>
                <w:szCs w:val="24"/>
                <w:lang w:val="en-US" w:eastAsia="zh-CN" w:bidi="ar"/>
              </w:rPr>
            </w:pPr>
            <w:r>
              <w:rPr>
                <w:rFonts w:hint="eastAsia" w:ascii="仿宋" w:hAnsi="仿宋" w:eastAsia="仿宋" w:cs="仿宋"/>
                <w:b w:val="0"/>
                <w:bCs/>
                <w:color w:val="000000"/>
                <w:spacing w:val="0"/>
                <w:w w:val="100"/>
                <w:kern w:val="0"/>
                <w:sz w:val="24"/>
                <w:szCs w:val="24"/>
                <w:lang w:bidi="ar"/>
              </w:rPr>
              <w:t>审查</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45CBAE3">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lang w:val="en-US" w:eastAsia="zh-CN"/>
              </w:rPr>
            </w:pPr>
            <w:r>
              <w:rPr>
                <w:rFonts w:hint="eastAsia" w:ascii="仿宋" w:hAnsi="仿宋" w:eastAsia="仿宋" w:cs="仿宋"/>
                <w:b w:val="0"/>
                <w:bCs/>
                <w:color w:val="000000"/>
                <w:spacing w:val="0"/>
                <w:w w:val="100"/>
                <w:kern w:val="0"/>
                <w:sz w:val="24"/>
                <w:szCs w:val="24"/>
                <w:lang w:bidi="ar"/>
              </w:rPr>
              <w:t>2.调查阶段责任：有2名以上取得合法执法证件的执法人员在场；主动出示执法证件，表明身份；通知检查对象相关负责人或与检查活动内容相关的人员到场，说明执法检查目的、依据以及需要当事人配合的有关事项。</w:t>
            </w:r>
          </w:p>
        </w:tc>
        <w:tc>
          <w:tcPr>
            <w:tcW w:w="1717" w:type="dxa"/>
            <w:gridSpan w:val="2"/>
            <w:vMerge w:val="continue"/>
            <w:tcBorders>
              <w:left w:val="single" w:color="auto" w:sz="4" w:space="0"/>
              <w:right w:val="single" w:color="auto" w:sz="4" w:space="0"/>
            </w:tcBorders>
            <w:tcMar>
              <w:top w:w="15" w:type="dxa"/>
              <w:left w:w="15" w:type="dxa"/>
              <w:right w:w="15" w:type="dxa"/>
            </w:tcMar>
            <w:vAlign w:val="center"/>
          </w:tcPr>
          <w:p w14:paraId="14589DDA">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right w:val="single" w:color="auto" w:sz="4" w:space="0"/>
            </w:tcBorders>
            <w:tcMar>
              <w:top w:w="15" w:type="dxa"/>
              <w:left w:w="15" w:type="dxa"/>
              <w:right w:w="15" w:type="dxa"/>
            </w:tcMar>
            <w:vAlign w:val="center"/>
          </w:tcPr>
          <w:p w14:paraId="11E69253">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4375A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0"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7A37A2F">
            <w:pPr>
              <w:keepNext w:val="0"/>
              <w:keepLines w:val="0"/>
              <w:pageBreakBefore w:val="0"/>
              <w:widowControl w:val="0"/>
              <w:kinsoku/>
              <w:wordWrap/>
              <w:overflowPunct/>
              <w:topLinePunct w:val="0"/>
              <w:autoSpaceDE/>
              <w:autoSpaceDN w:val="0"/>
              <w:bidi w:val="0"/>
              <w:adjustRightInd/>
              <w:snapToGrid w:val="0"/>
              <w:spacing w:line="220" w:lineRule="exact"/>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81894C7">
            <w:pPr>
              <w:keepNext w:val="0"/>
              <w:keepLines w:val="0"/>
              <w:pageBreakBefore w:val="0"/>
              <w:widowControl w:val="0"/>
              <w:kinsoku/>
              <w:wordWrap/>
              <w:topLinePunct w:val="0"/>
              <w:autoSpaceDE/>
              <w:autoSpaceDN w:val="0"/>
              <w:bidi w:val="0"/>
              <w:adjustRightInd/>
              <w:snapToGrid w:val="0"/>
              <w:spacing w:line="220" w:lineRule="exact"/>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801"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B01BAF5">
            <w:pPr>
              <w:keepNext w:val="0"/>
              <w:keepLines w:val="0"/>
              <w:pageBreakBefore w:val="0"/>
              <w:widowControl w:val="0"/>
              <w:kinsoku/>
              <w:wordWrap/>
              <w:topLinePunct w:val="0"/>
              <w:autoSpaceDE/>
              <w:autoSpaceDN w:val="0"/>
              <w:bidi w:val="0"/>
              <w:adjustRightInd/>
              <w:snapToGrid w:val="0"/>
              <w:spacing w:line="220" w:lineRule="exact"/>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16"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94AB368">
            <w:pPr>
              <w:keepNext w:val="0"/>
              <w:keepLines w:val="0"/>
              <w:pageBreakBefore w:val="0"/>
              <w:widowControl w:val="0"/>
              <w:kinsoku/>
              <w:wordWrap/>
              <w:overflowPunct/>
              <w:topLinePunct w:val="0"/>
              <w:autoSpaceDE/>
              <w:autoSpaceDN/>
              <w:bidi w:val="0"/>
              <w:adjustRightInd/>
              <w:snapToGrid w:val="0"/>
              <w:spacing w:line="220" w:lineRule="exact"/>
              <w:ind w:left="0" w:leftChars="0"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1CB652E">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b w:val="0"/>
                <w:bCs/>
                <w:color w:val="000000"/>
                <w:spacing w:val="0"/>
                <w:w w:val="100"/>
                <w:kern w:val="0"/>
                <w:sz w:val="24"/>
                <w:szCs w:val="24"/>
                <w:lang w:val="en-US" w:eastAsia="zh-CN" w:bidi="ar"/>
              </w:rPr>
            </w:pPr>
            <w:r>
              <w:rPr>
                <w:rFonts w:hint="eastAsia" w:ascii="仿宋" w:hAnsi="仿宋" w:eastAsia="仿宋" w:cs="仿宋"/>
                <w:b w:val="0"/>
                <w:bCs/>
                <w:color w:val="000000"/>
                <w:spacing w:val="0"/>
                <w:w w:val="100"/>
                <w:kern w:val="0"/>
                <w:sz w:val="24"/>
                <w:szCs w:val="24"/>
                <w:lang w:bidi="ar"/>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2012EE4">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b w:val="0"/>
                <w:bCs/>
                <w:color w:val="000000"/>
                <w:spacing w:val="0"/>
                <w:w w:val="100"/>
                <w:kern w:val="0"/>
                <w:sz w:val="24"/>
                <w:szCs w:val="24"/>
                <w:lang w:val="en-US" w:eastAsia="zh-CN" w:bidi="ar"/>
              </w:rPr>
            </w:pPr>
            <w:r>
              <w:rPr>
                <w:rFonts w:hint="eastAsia" w:ascii="仿宋" w:hAnsi="仿宋" w:eastAsia="仿宋" w:cs="仿宋"/>
                <w:b w:val="0"/>
                <w:bCs/>
                <w:color w:val="000000"/>
                <w:spacing w:val="0"/>
                <w:w w:val="100"/>
                <w:kern w:val="0"/>
                <w:sz w:val="24"/>
                <w:szCs w:val="24"/>
                <w:lang w:bidi="ar"/>
              </w:rPr>
              <w:t>3.审查阶段责任：企业经营行为规范，未发现违法违规问题的，执法人员应如实记录，检查结果可作为企业诚信评价的依据；检查结果基本规范，但存在经营管理不当等瑕疵行为的，执法人员应如实记录，并可以采取约谈企业负责人，提出整改意见，跟踪整改情况等处理措施；企业经营行为不规范，涉嫌违法违规、不构成犯罪的，执法人员应当将案件移交执法机关。</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F299DC9">
            <w:pPr>
              <w:keepNext w:val="0"/>
              <w:keepLines w:val="0"/>
              <w:pageBreakBefore w:val="0"/>
              <w:kinsoku/>
              <w:wordWrap/>
              <w:overflowPunct/>
              <w:topLinePunct w:val="0"/>
              <w:autoSpaceDE/>
              <w:autoSpaceDN/>
              <w:bidi w:val="0"/>
              <w:adjustRightInd/>
              <w:spacing w:line="220" w:lineRule="exact"/>
              <w:ind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95F5175">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b w:val="0"/>
                <w:bCs/>
                <w:color w:val="000000"/>
                <w:spacing w:val="0"/>
                <w:w w:val="100"/>
                <w:kern w:val="0"/>
                <w:sz w:val="24"/>
                <w:szCs w:val="24"/>
                <w:lang w:val="en-US" w:eastAsia="zh-CN" w:bidi="ar"/>
              </w:rPr>
            </w:pPr>
          </w:p>
        </w:tc>
      </w:tr>
      <w:tr w14:paraId="1E784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CCCD4AA">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514D4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76D3E07">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011D1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0"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2FB58DC1">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b w:val="0"/>
                <w:bCs/>
                <w:color w:val="000000"/>
                <w:spacing w:val="0"/>
                <w:w w:val="100"/>
                <w:kern w:val="0"/>
                <w:sz w:val="24"/>
                <w:szCs w:val="24"/>
                <w:lang w:val="en-US" w:eastAsia="zh-CN" w:bidi="ar"/>
              </w:rPr>
            </w:pPr>
            <w:r>
              <w:rPr>
                <w:rFonts w:hint="eastAsia" w:ascii="仿宋_GB2312" w:hAnsi="仿宋_GB2312" w:eastAsia="仿宋_GB2312" w:cs="仿宋_GB2312"/>
                <w:b w:val="0"/>
                <w:bCs/>
                <w:color w:val="000000"/>
                <w:spacing w:val="0"/>
                <w:w w:val="100"/>
                <w:kern w:val="0"/>
                <w:sz w:val="24"/>
                <w:szCs w:val="24"/>
                <w:lang w:val="en-US" w:eastAsia="zh-CN" w:bidi="ar"/>
              </w:rPr>
              <w:t>17</w:t>
            </w:r>
          </w:p>
          <w:p w14:paraId="7EFCEA86">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38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05100474">
            <w:pPr>
              <w:keepNext w:val="0"/>
              <w:keepLines w:val="0"/>
              <w:pageBreakBefore w:val="0"/>
              <w:widowControl/>
              <w:kinsoku/>
              <w:wordWrap/>
              <w:topLinePunct w:val="0"/>
              <w:autoSpaceDE/>
              <w:bidi w:val="0"/>
              <w:spacing w:line="220" w:lineRule="exact"/>
              <w:jc w:val="left"/>
              <w:textAlignment w:val="center"/>
              <w:rPr>
                <w:rFonts w:hint="eastAsia" w:ascii="仿宋" w:hAnsi="仿宋" w:eastAsia="仿宋" w:cs="仿宋"/>
                <w:bCs/>
                <w:color w:val="000000"/>
                <w:kern w:val="2"/>
                <w:sz w:val="24"/>
                <w:szCs w:val="24"/>
                <w:lang w:val="en-US" w:eastAsia="zh-CN" w:bidi="ar-SA"/>
              </w:rPr>
            </w:pPr>
            <w:r>
              <w:rPr>
                <w:rFonts w:hint="eastAsia" w:ascii="仿宋" w:hAnsi="仿宋" w:eastAsia="仿宋" w:cs="仿宋"/>
                <w:i w:val="0"/>
                <w:color w:val="000000"/>
                <w:kern w:val="0"/>
                <w:sz w:val="24"/>
                <w:szCs w:val="24"/>
                <w:u w:val="none"/>
                <w:lang w:val="en-US" w:eastAsia="zh-CN" w:bidi="ar"/>
              </w:rPr>
              <w:t>对演出经纪机构举办的营业性演出活动的行政检查</w:t>
            </w:r>
          </w:p>
          <w:p w14:paraId="61F61FBC">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3801"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5F592BAA">
            <w:pPr>
              <w:keepNext w:val="0"/>
              <w:keepLines w:val="0"/>
              <w:pageBreakBefore w:val="0"/>
              <w:widowControl/>
              <w:kinsoku/>
              <w:wordWrap/>
              <w:overflowPunct/>
              <w:topLinePunct w:val="0"/>
              <w:autoSpaceDE/>
              <w:autoSpaceDN/>
              <w:bidi w:val="0"/>
              <w:adjustRightInd/>
              <w:snapToGrid/>
              <w:spacing w:line="220" w:lineRule="exact"/>
              <w:textAlignment w:val="center"/>
              <w:rPr>
                <w:rFonts w:hint="default" w:ascii="仿宋" w:hAnsi="仿宋" w:eastAsia="仿宋" w:cs="仿宋"/>
                <w:i w:val="0"/>
                <w:color w:val="auto"/>
                <w:kern w:val="0"/>
                <w:sz w:val="22"/>
                <w:szCs w:val="22"/>
                <w:u w:val="none"/>
                <w:lang w:val="en-US" w:eastAsia="zh-CN" w:bidi="ar"/>
              </w:rPr>
            </w:pPr>
            <w:r>
              <w:rPr>
                <w:rFonts w:hint="default" w:ascii="仿宋" w:hAnsi="仿宋" w:eastAsia="仿宋" w:cs="仿宋"/>
                <w:i w:val="0"/>
                <w:color w:val="auto"/>
                <w:kern w:val="0"/>
                <w:sz w:val="22"/>
                <w:szCs w:val="22"/>
                <w:u w:val="none"/>
                <w:lang w:val="en-US" w:eastAsia="zh-CN" w:bidi="ar"/>
              </w:rPr>
              <w:t>《营业性演出管理条例》</w:t>
            </w:r>
            <w:r>
              <w:rPr>
                <w:rFonts w:hint="default" w:ascii="仿宋" w:hAnsi="仿宋" w:eastAsia="仿宋" w:cs="仿宋"/>
                <w:b w:val="0"/>
                <w:bCs/>
                <w:color w:val="auto"/>
                <w:spacing w:val="0"/>
                <w:w w:val="100"/>
                <w:kern w:val="0"/>
                <w:sz w:val="22"/>
                <w:szCs w:val="22"/>
                <w:shd w:val="clear"/>
                <w:lang w:val="en-US" w:eastAsia="zh-CN" w:bidi="ar"/>
              </w:rPr>
              <w:t>(2005</w:t>
            </w:r>
            <w:r>
              <w:rPr>
                <w:rFonts w:hint="eastAsia" w:ascii="仿宋" w:hAnsi="仿宋" w:eastAsia="仿宋" w:cs="仿宋"/>
                <w:b w:val="0"/>
                <w:bCs/>
                <w:color w:val="auto"/>
                <w:spacing w:val="0"/>
                <w:w w:val="100"/>
                <w:kern w:val="0"/>
                <w:sz w:val="22"/>
                <w:szCs w:val="22"/>
                <w:shd w:val="clear"/>
                <w:lang w:val="en-US" w:eastAsia="zh-CN" w:bidi="ar"/>
              </w:rPr>
              <w:t>年</w:t>
            </w:r>
            <w:r>
              <w:rPr>
                <w:rFonts w:hint="default" w:ascii="仿宋" w:hAnsi="仿宋" w:eastAsia="仿宋" w:cs="仿宋"/>
                <w:b w:val="0"/>
                <w:bCs/>
                <w:color w:val="auto"/>
                <w:spacing w:val="0"/>
                <w:w w:val="100"/>
                <w:kern w:val="0"/>
                <w:sz w:val="22"/>
                <w:szCs w:val="22"/>
                <w:shd w:val="clear"/>
                <w:lang w:val="en-US" w:eastAsia="zh-CN" w:bidi="ar"/>
              </w:rPr>
              <w:t>7</w:t>
            </w:r>
            <w:r>
              <w:rPr>
                <w:rFonts w:hint="eastAsia" w:ascii="仿宋" w:hAnsi="仿宋" w:eastAsia="仿宋" w:cs="仿宋"/>
                <w:b w:val="0"/>
                <w:bCs/>
                <w:color w:val="auto"/>
                <w:spacing w:val="0"/>
                <w:w w:val="100"/>
                <w:kern w:val="0"/>
                <w:sz w:val="22"/>
                <w:szCs w:val="22"/>
                <w:shd w:val="clear"/>
                <w:lang w:val="en-US" w:eastAsia="zh-CN" w:bidi="ar"/>
              </w:rPr>
              <w:t>月</w:t>
            </w:r>
            <w:r>
              <w:rPr>
                <w:rFonts w:hint="default" w:ascii="仿宋" w:hAnsi="仿宋" w:eastAsia="仿宋" w:cs="仿宋"/>
                <w:b w:val="0"/>
                <w:bCs/>
                <w:color w:val="auto"/>
                <w:spacing w:val="0"/>
                <w:w w:val="100"/>
                <w:kern w:val="0"/>
                <w:sz w:val="22"/>
                <w:szCs w:val="22"/>
                <w:shd w:val="clear"/>
                <w:lang w:val="en-US" w:eastAsia="zh-CN" w:bidi="ar"/>
              </w:rPr>
              <w:t>7</w:t>
            </w:r>
            <w:r>
              <w:rPr>
                <w:rFonts w:hint="eastAsia" w:ascii="仿宋" w:hAnsi="仿宋" w:eastAsia="仿宋" w:cs="仿宋"/>
                <w:b w:val="0"/>
                <w:bCs/>
                <w:color w:val="auto"/>
                <w:spacing w:val="0"/>
                <w:w w:val="100"/>
                <w:kern w:val="0"/>
                <w:sz w:val="22"/>
                <w:szCs w:val="22"/>
                <w:shd w:val="clear"/>
                <w:lang w:val="en-US" w:eastAsia="zh-CN" w:bidi="ar"/>
              </w:rPr>
              <w:t>日中华人民共和国国务院令第</w:t>
            </w:r>
            <w:r>
              <w:rPr>
                <w:rFonts w:hint="default" w:ascii="仿宋" w:hAnsi="仿宋" w:eastAsia="仿宋" w:cs="仿宋"/>
                <w:b w:val="0"/>
                <w:bCs/>
                <w:color w:val="auto"/>
                <w:spacing w:val="0"/>
                <w:w w:val="100"/>
                <w:kern w:val="0"/>
                <w:sz w:val="22"/>
                <w:szCs w:val="22"/>
                <w:shd w:val="clear"/>
                <w:lang w:val="en-US" w:eastAsia="zh-CN" w:bidi="ar"/>
              </w:rPr>
              <w:t>439</w:t>
            </w:r>
            <w:r>
              <w:rPr>
                <w:rFonts w:hint="eastAsia" w:ascii="仿宋" w:hAnsi="仿宋" w:eastAsia="仿宋" w:cs="仿宋"/>
                <w:b w:val="0"/>
                <w:bCs/>
                <w:color w:val="auto"/>
                <w:spacing w:val="0"/>
                <w:w w:val="100"/>
                <w:kern w:val="0"/>
                <w:sz w:val="22"/>
                <w:szCs w:val="22"/>
                <w:shd w:val="clear"/>
                <w:lang w:val="en-US" w:eastAsia="zh-CN" w:bidi="ar"/>
              </w:rPr>
              <w:t>号公布根据</w:t>
            </w:r>
            <w:r>
              <w:rPr>
                <w:rFonts w:hint="default" w:ascii="仿宋" w:hAnsi="仿宋" w:eastAsia="仿宋" w:cs="仿宋"/>
                <w:b w:val="0"/>
                <w:bCs/>
                <w:color w:val="auto"/>
                <w:spacing w:val="0"/>
                <w:w w:val="100"/>
                <w:kern w:val="0"/>
                <w:sz w:val="22"/>
                <w:szCs w:val="22"/>
                <w:shd w:val="clear"/>
                <w:lang w:val="en-US" w:eastAsia="zh-CN" w:bidi="ar"/>
              </w:rPr>
              <w:t>2008</w:t>
            </w:r>
            <w:r>
              <w:rPr>
                <w:rFonts w:hint="eastAsia" w:ascii="仿宋" w:hAnsi="仿宋" w:eastAsia="仿宋" w:cs="仿宋"/>
                <w:b w:val="0"/>
                <w:bCs/>
                <w:color w:val="auto"/>
                <w:spacing w:val="0"/>
                <w:w w:val="100"/>
                <w:kern w:val="0"/>
                <w:sz w:val="22"/>
                <w:szCs w:val="22"/>
                <w:shd w:val="clear"/>
                <w:lang w:val="en-US" w:eastAsia="zh-CN" w:bidi="ar"/>
              </w:rPr>
              <w:t>年</w:t>
            </w:r>
            <w:r>
              <w:rPr>
                <w:rFonts w:hint="default" w:ascii="仿宋" w:hAnsi="仿宋" w:eastAsia="仿宋" w:cs="仿宋"/>
                <w:b w:val="0"/>
                <w:bCs/>
                <w:color w:val="auto"/>
                <w:spacing w:val="0"/>
                <w:w w:val="100"/>
                <w:kern w:val="0"/>
                <w:sz w:val="22"/>
                <w:szCs w:val="22"/>
                <w:shd w:val="clear"/>
                <w:lang w:val="en-US" w:eastAsia="zh-CN" w:bidi="ar"/>
              </w:rPr>
              <w:t>7</w:t>
            </w:r>
            <w:r>
              <w:rPr>
                <w:rFonts w:hint="eastAsia" w:ascii="仿宋" w:hAnsi="仿宋" w:eastAsia="仿宋" w:cs="仿宋"/>
                <w:b w:val="0"/>
                <w:bCs/>
                <w:color w:val="auto"/>
                <w:spacing w:val="0"/>
                <w:w w:val="100"/>
                <w:kern w:val="0"/>
                <w:sz w:val="22"/>
                <w:szCs w:val="22"/>
                <w:shd w:val="clear"/>
                <w:lang w:val="en-US" w:eastAsia="zh-CN" w:bidi="ar"/>
              </w:rPr>
              <w:t>月</w:t>
            </w:r>
            <w:r>
              <w:rPr>
                <w:rFonts w:hint="default" w:ascii="仿宋" w:hAnsi="仿宋" w:eastAsia="仿宋" w:cs="仿宋"/>
                <w:b w:val="0"/>
                <w:bCs/>
                <w:color w:val="auto"/>
                <w:spacing w:val="0"/>
                <w:w w:val="100"/>
                <w:kern w:val="0"/>
                <w:sz w:val="22"/>
                <w:szCs w:val="22"/>
                <w:shd w:val="clear"/>
                <w:lang w:val="en-US" w:eastAsia="zh-CN" w:bidi="ar"/>
              </w:rPr>
              <w:t>22</w:t>
            </w:r>
            <w:r>
              <w:rPr>
                <w:rFonts w:hint="eastAsia" w:ascii="仿宋" w:hAnsi="仿宋" w:eastAsia="仿宋" w:cs="仿宋"/>
                <w:b w:val="0"/>
                <w:bCs/>
                <w:color w:val="auto"/>
                <w:spacing w:val="0"/>
                <w:w w:val="100"/>
                <w:kern w:val="0"/>
                <w:sz w:val="22"/>
                <w:szCs w:val="22"/>
                <w:shd w:val="clear"/>
                <w:lang w:val="en-US" w:eastAsia="zh-CN" w:bidi="ar"/>
              </w:rPr>
              <w:t>日《国务院关于修改〈营业性演出管理条例〉的决定》第一次修订根据</w:t>
            </w:r>
            <w:r>
              <w:rPr>
                <w:rFonts w:hint="default" w:ascii="仿宋" w:hAnsi="仿宋" w:eastAsia="仿宋" w:cs="仿宋"/>
                <w:b w:val="0"/>
                <w:bCs/>
                <w:color w:val="auto"/>
                <w:spacing w:val="0"/>
                <w:w w:val="100"/>
                <w:kern w:val="0"/>
                <w:sz w:val="22"/>
                <w:szCs w:val="22"/>
                <w:shd w:val="clear"/>
                <w:lang w:val="en-US" w:eastAsia="zh-CN" w:bidi="ar"/>
              </w:rPr>
              <w:t>2013</w:t>
            </w:r>
            <w:r>
              <w:rPr>
                <w:rFonts w:hint="eastAsia" w:ascii="仿宋" w:hAnsi="仿宋" w:eastAsia="仿宋" w:cs="仿宋"/>
                <w:b w:val="0"/>
                <w:bCs/>
                <w:color w:val="auto"/>
                <w:spacing w:val="0"/>
                <w:w w:val="100"/>
                <w:kern w:val="0"/>
                <w:sz w:val="22"/>
                <w:szCs w:val="22"/>
                <w:shd w:val="clear"/>
                <w:lang w:val="en-US" w:eastAsia="zh-CN" w:bidi="ar"/>
              </w:rPr>
              <w:t>年</w:t>
            </w:r>
            <w:r>
              <w:rPr>
                <w:rFonts w:hint="default" w:ascii="仿宋" w:hAnsi="仿宋" w:eastAsia="仿宋" w:cs="仿宋"/>
                <w:b w:val="0"/>
                <w:bCs/>
                <w:color w:val="auto"/>
                <w:spacing w:val="0"/>
                <w:w w:val="100"/>
                <w:kern w:val="0"/>
                <w:sz w:val="22"/>
                <w:szCs w:val="22"/>
                <w:shd w:val="clear"/>
                <w:lang w:val="en-US" w:eastAsia="zh-CN" w:bidi="ar"/>
              </w:rPr>
              <w:t>7</w:t>
            </w:r>
            <w:r>
              <w:rPr>
                <w:rFonts w:hint="eastAsia" w:ascii="仿宋" w:hAnsi="仿宋" w:eastAsia="仿宋" w:cs="仿宋"/>
                <w:b w:val="0"/>
                <w:bCs/>
                <w:color w:val="auto"/>
                <w:spacing w:val="0"/>
                <w:w w:val="100"/>
                <w:kern w:val="0"/>
                <w:sz w:val="22"/>
                <w:szCs w:val="22"/>
                <w:shd w:val="clear"/>
                <w:lang w:val="en-US" w:eastAsia="zh-CN" w:bidi="ar"/>
              </w:rPr>
              <w:t>月</w:t>
            </w:r>
            <w:r>
              <w:rPr>
                <w:rFonts w:hint="default" w:ascii="仿宋" w:hAnsi="仿宋" w:eastAsia="仿宋" w:cs="仿宋"/>
                <w:b w:val="0"/>
                <w:bCs/>
                <w:color w:val="auto"/>
                <w:spacing w:val="0"/>
                <w:w w:val="100"/>
                <w:kern w:val="0"/>
                <w:sz w:val="22"/>
                <w:szCs w:val="22"/>
                <w:shd w:val="clear"/>
                <w:lang w:val="en-US" w:eastAsia="zh-CN" w:bidi="ar"/>
              </w:rPr>
              <w:t>18</w:t>
            </w:r>
            <w:r>
              <w:rPr>
                <w:rFonts w:hint="eastAsia" w:ascii="仿宋" w:hAnsi="仿宋" w:eastAsia="仿宋" w:cs="仿宋"/>
                <w:b w:val="0"/>
                <w:bCs/>
                <w:color w:val="auto"/>
                <w:spacing w:val="0"/>
                <w:w w:val="100"/>
                <w:kern w:val="0"/>
                <w:sz w:val="22"/>
                <w:szCs w:val="22"/>
                <w:shd w:val="clear"/>
                <w:lang w:val="en-US" w:eastAsia="zh-CN" w:bidi="ar"/>
              </w:rPr>
              <w:t>日《国务院关于废止和修改部分行政法规的决定》第二次修订根据</w:t>
            </w:r>
            <w:r>
              <w:rPr>
                <w:rFonts w:hint="default" w:ascii="仿宋" w:hAnsi="仿宋" w:eastAsia="仿宋" w:cs="仿宋"/>
                <w:b w:val="0"/>
                <w:bCs/>
                <w:color w:val="auto"/>
                <w:spacing w:val="0"/>
                <w:w w:val="100"/>
                <w:kern w:val="0"/>
                <w:sz w:val="22"/>
                <w:szCs w:val="22"/>
                <w:shd w:val="clear"/>
                <w:lang w:val="en-US" w:eastAsia="zh-CN" w:bidi="ar"/>
              </w:rPr>
              <w:t>2016</w:t>
            </w:r>
            <w:r>
              <w:rPr>
                <w:rFonts w:hint="eastAsia" w:ascii="仿宋" w:hAnsi="仿宋" w:eastAsia="仿宋" w:cs="仿宋"/>
                <w:b w:val="0"/>
                <w:bCs/>
                <w:color w:val="auto"/>
                <w:spacing w:val="0"/>
                <w:w w:val="100"/>
                <w:kern w:val="0"/>
                <w:sz w:val="22"/>
                <w:szCs w:val="22"/>
                <w:shd w:val="clear"/>
                <w:lang w:val="en-US" w:eastAsia="zh-CN" w:bidi="ar"/>
              </w:rPr>
              <w:t>年</w:t>
            </w:r>
            <w:r>
              <w:rPr>
                <w:rFonts w:hint="default" w:ascii="仿宋" w:hAnsi="仿宋" w:eastAsia="仿宋" w:cs="仿宋"/>
                <w:b w:val="0"/>
                <w:bCs/>
                <w:color w:val="auto"/>
                <w:spacing w:val="0"/>
                <w:w w:val="100"/>
                <w:kern w:val="0"/>
                <w:sz w:val="22"/>
                <w:szCs w:val="22"/>
                <w:shd w:val="clear"/>
                <w:lang w:val="en-US" w:eastAsia="zh-CN" w:bidi="ar"/>
              </w:rPr>
              <w:t>2</w:t>
            </w:r>
            <w:r>
              <w:rPr>
                <w:rFonts w:hint="eastAsia" w:ascii="仿宋" w:hAnsi="仿宋" w:eastAsia="仿宋" w:cs="仿宋"/>
                <w:b w:val="0"/>
                <w:bCs/>
                <w:color w:val="auto"/>
                <w:spacing w:val="0"/>
                <w:w w:val="100"/>
                <w:kern w:val="0"/>
                <w:sz w:val="22"/>
                <w:szCs w:val="22"/>
                <w:shd w:val="clear"/>
                <w:lang w:val="en-US" w:eastAsia="zh-CN" w:bidi="ar"/>
              </w:rPr>
              <w:t>月</w:t>
            </w:r>
            <w:r>
              <w:rPr>
                <w:rFonts w:hint="default" w:ascii="仿宋" w:hAnsi="仿宋" w:eastAsia="仿宋" w:cs="仿宋"/>
                <w:b w:val="0"/>
                <w:bCs/>
                <w:color w:val="auto"/>
                <w:spacing w:val="0"/>
                <w:w w:val="100"/>
                <w:kern w:val="0"/>
                <w:sz w:val="22"/>
                <w:szCs w:val="22"/>
                <w:shd w:val="clear"/>
                <w:lang w:val="en-US" w:eastAsia="zh-CN" w:bidi="ar"/>
              </w:rPr>
              <w:t>6</w:t>
            </w:r>
            <w:r>
              <w:rPr>
                <w:rFonts w:hint="eastAsia" w:ascii="仿宋" w:hAnsi="仿宋" w:eastAsia="仿宋" w:cs="仿宋"/>
                <w:b w:val="0"/>
                <w:bCs/>
                <w:color w:val="auto"/>
                <w:spacing w:val="0"/>
                <w:w w:val="100"/>
                <w:kern w:val="0"/>
                <w:sz w:val="22"/>
                <w:szCs w:val="22"/>
                <w:shd w:val="clear"/>
                <w:lang w:val="en-US" w:eastAsia="zh-CN" w:bidi="ar"/>
              </w:rPr>
              <w:t>日《国务院关于修改部分行政法规的决定》第三次修订根据</w:t>
            </w:r>
            <w:r>
              <w:rPr>
                <w:rFonts w:hint="default" w:ascii="仿宋" w:hAnsi="仿宋" w:eastAsia="仿宋" w:cs="仿宋"/>
                <w:b w:val="0"/>
                <w:bCs/>
                <w:color w:val="auto"/>
                <w:spacing w:val="0"/>
                <w:w w:val="100"/>
                <w:kern w:val="0"/>
                <w:sz w:val="22"/>
                <w:szCs w:val="22"/>
                <w:shd w:val="clear"/>
                <w:lang w:val="en-US" w:eastAsia="zh-CN" w:bidi="ar"/>
              </w:rPr>
              <w:t>2020</w:t>
            </w:r>
            <w:r>
              <w:rPr>
                <w:rFonts w:hint="eastAsia" w:ascii="仿宋" w:hAnsi="仿宋" w:eastAsia="仿宋" w:cs="仿宋"/>
                <w:b w:val="0"/>
                <w:bCs/>
                <w:color w:val="auto"/>
                <w:spacing w:val="0"/>
                <w:w w:val="100"/>
                <w:kern w:val="0"/>
                <w:sz w:val="22"/>
                <w:szCs w:val="22"/>
                <w:shd w:val="clear"/>
                <w:lang w:val="en-US" w:eastAsia="zh-CN" w:bidi="ar"/>
              </w:rPr>
              <w:t>年</w:t>
            </w:r>
            <w:r>
              <w:rPr>
                <w:rFonts w:hint="default" w:ascii="仿宋" w:hAnsi="仿宋" w:eastAsia="仿宋" w:cs="仿宋"/>
                <w:b w:val="0"/>
                <w:bCs/>
                <w:color w:val="auto"/>
                <w:spacing w:val="0"/>
                <w:w w:val="100"/>
                <w:kern w:val="0"/>
                <w:sz w:val="22"/>
                <w:szCs w:val="22"/>
                <w:shd w:val="clear"/>
                <w:lang w:val="en-US" w:eastAsia="zh-CN" w:bidi="ar"/>
              </w:rPr>
              <w:t>11</w:t>
            </w:r>
            <w:r>
              <w:rPr>
                <w:rFonts w:hint="eastAsia" w:ascii="仿宋" w:hAnsi="仿宋" w:eastAsia="仿宋" w:cs="仿宋"/>
                <w:b w:val="0"/>
                <w:bCs/>
                <w:color w:val="auto"/>
                <w:spacing w:val="0"/>
                <w:w w:val="100"/>
                <w:kern w:val="0"/>
                <w:sz w:val="22"/>
                <w:szCs w:val="22"/>
                <w:shd w:val="clear"/>
                <w:lang w:val="en-US" w:eastAsia="zh-CN" w:bidi="ar"/>
              </w:rPr>
              <w:t>月</w:t>
            </w:r>
            <w:r>
              <w:rPr>
                <w:rFonts w:hint="default" w:ascii="仿宋" w:hAnsi="仿宋" w:eastAsia="仿宋" w:cs="仿宋"/>
                <w:b w:val="0"/>
                <w:bCs/>
                <w:color w:val="auto"/>
                <w:spacing w:val="0"/>
                <w:w w:val="100"/>
                <w:kern w:val="0"/>
                <w:sz w:val="22"/>
                <w:szCs w:val="22"/>
                <w:shd w:val="clear"/>
                <w:lang w:val="en-US" w:eastAsia="zh-CN" w:bidi="ar"/>
              </w:rPr>
              <w:t>29</w:t>
            </w:r>
            <w:r>
              <w:rPr>
                <w:rFonts w:hint="eastAsia" w:ascii="仿宋" w:hAnsi="仿宋" w:eastAsia="仿宋" w:cs="仿宋"/>
                <w:b w:val="0"/>
                <w:bCs/>
                <w:color w:val="auto"/>
                <w:spacing w:val="0"/>
                <w:w w:val="100"/>
                <w:kern w:val="0"/>
                <w:sz w:val="22"/>
                <w:szCs w:val="22"/>
                <w:shd w:val="clear"/>
                <w:lang w:val="en-US" w:eastAsia="zh-CN" w:bidi="ar"/>
              </w:rPr>
              <w:t>日《国务院关于修改和废止部分行政法规的决定》第四次修订)</w:t>
            </w:r>
            <w:r>
              <w:rPr>
                <w:rFonts w:hint="default" w:ascii="仿宋" w:hAnsi="仿宋" w:eastAsia="仿宋" w:cs="仿宋"/>
                <w:i w:val="0"/>
                <w:color w:val="auto"/>
                <w:kern w:val="0"/>
                <w:sz w:val="22"/>
                <w:szCs w:val="22"/>
                <w:u w:val="none"/>
                <w:lang w:val="en-US" w:eastAsia="zh-CN" w:bidi="ar"/>
              </w:rPr>
              <w:t>第六条：“……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14:paraId="6781B390">
            <w:pPr>
              <w:keepNext w:val="0"/>
              <w:keepLines w:val="0"/>
              <w:pageBreakBefore w:val="0"/>
              <w:widowControl/>
              <w:kinsoku/>
              <w:wordWrap/>
              <w:overflowPunct/>
              <w:topLinePunct w:val="0"/>
              <w:autoSpaceDE/>
              <w:autoSpaceDN/>
              <w:bidi w:val="0"/>
              <w:adjustRightInd/>
              <w:snapToGrid/>
              <w:spacing w:line="220" w:lineRule="exact"/>
              <w:textAlignment w:val="center"/>
              <w:rPr>
                <w:rFonts w:hint="eastAsia"/>
                <w:lang w:val="en-US" w:eastAsia="zh-CN"/>
              </w:rPr>
            </w:pPr>
            <w:r>
              <w:rPr>
                <w:rFonts w:hint="default" w:ascii="仿宋" w:hAnsi="仿宋" w:eastAsia="仿宋" w:cs="仿宋"/>
                <w:i w:val="0"/>
                <w:color w:val="auto"/>
                <w:kern w:val="0"/>
                <w:sz w:val="22"/>
                <w:szCs w:val="22"/>
                <w:u w:val="none"/>
                <w:lang w:val="en-US" w:eastAsia="zh-CN" w:bidi="ar"/>
              </w:rPr>
              <w:t>第十条：外</w:t>
            </w:r>
            <w:r>
              <w:rPr>
                <w:rFonts w:hint="eastAsia" w:ascii="仿宋" w:hAnsi="仿宋" w:eastAsia="仿宋" w:cs="仿宋"/>
                <w:i w:val="0"/>
                <w:color w:val="auto"/>
                <w:kern w:val="0"/>
                <w:sz w:val="22"/>
                <w:szCs w:val="22"/>
                <w:u w:val="none"/>
                <w:lang w:val="en-US" w:eastAsia="zh-CN" w:bidi="ar"/>
              </w:rPr>
              <w:t>国投资者可以依法在中国境内设立演出经纪机构、演出场所经营单位；不得设立文艺表演团体。外商投资的演出经纪机构申请从事营业性演出经营活动、外商投资的演出场所经营单位申请从事演出场所经营活动，应当向国务院文化主管部门提出申请。国务院文化主管部门应当自收到申请之日起20日内作出决定。批准的，颁发营业性演出许可证；不批准的，应当书面通知申请人并说明理由。</w:t>
            </w:r>
          </w:p>
        </w:tc>
        <w:tc>
          <w:tcPr>
            <w:tcW w:w="616" w:type="dxa"/>
            <w:gridSpan w:val="3"/>
            <w:vMerge w:val="restart"/>
            <w:tcBorders>
              <w:top w:val="single" w:color="auto" w:sz="4" w:space="0"/>
              <w:left w:val="single" w:color="auto" w:sz="4" w:space="0"/>
              <w:right w:val="single" w:color="auto" w:sz="4" w:space="0"/>
            </w:tcBorders>
            <w:tcMar>
              <w:top w:w="15" w:type="dxa"/>
              <w:left w:w="15" w:type="dxa"/>
              <w:right w:w="15" w:type="dxa"/>
            </w:tcMar>
            <w:vAlign w:val="center"/>
          </w:tcPr>
          <w:p w14:paraId="438993EA">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b w:val="0"/>
                <w:bCs/>
                <w:color w:val="000000"/>
                <w:spacing w:val="-6"/>
                <w:w w:val="100"/>
                <w:kern w:val="0"/>
                <w:sz w:val="24"/>
                <w:szCs w:val="24"/>
                <w:lang w:eastAsia="zh-CN" w:bidi="ar"/>
              </w:rPr>
            </w:pPr>
            <w:r>
              <w:rPr>
                <w:rFonts w:hint="eastAsia" w:ascii="仿宋" w:hAnsi="仿宋" w:eastAsia="仿宋" w:cs="仿宋"/>
                <w:b w:val="0"/>
                <w:bCs/>
                <w:color w:val="000000"/>
                <w:spacing w:val="-6"/>
                <w:w w:val="100"/>
                <w:kern w:val="0"/>
                <w:sz w:val="24"/>
                <w:szCs w:val="24"/>
                <w:lang w:eastAsia="zh-CN" w:bidi="ar"/>
              </w:rPr>
              <w:t>行政</w:t>
            </w:r>
          </w:p>
          <w:p w14:paraId="04415E27">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b w:val="0"/>
                <w:bCs/>
                <w:color w:val="000000"/>
                <w:spacing w:val="-6"/>
                <w:w w:val="100"/>
                <w:kern w:val="0"/>
                <w:sz w:val="24"/>
                <w:szCs w:val="24"/>
                <w:lang w:val="en-US" w:eastAsia="zh-CN" w:bidi="ar"/>
              </w:rPr>
            </w:pPr>
            <w:r>
              <w:rPr>
                <w:rFonts w:hint="eastAsia" w:ascii="仿宋" w:hAnsi="仿宋" w:eastAsia="仿宋" w:cs="仿宋"/>
                <w:b w:val="0"/>
                <w:bCs/>
                <w:color w:val="000000"/>
                <w:spacing w:val="-6"/>
                <w:w w:val="100"/>
                <w:kern w:val="0"/>
                <w:sz w:val="24"/>
                <w:szCs w:val="24"/>
                <w:lang w:eastAsia="zh-CN" w:bidi="ar"/>
              </w:rPr>
              <w:t>检查</w:t>
            </w:r>
          </w:p>
          <w:p w14:paraId="1AF5663B">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0D1D3E5">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b w:val="0"/>
                <w:bCs/>
                <w:color w:val="000000"/>
                <w:spacing w:val="-6"/>
                <w:w w:val="100"/>
                <w:kern w:val="0"/>
                <w:sz w:val="24"/>
                <w:szCs w:val="24"/>
                <w:lang w:val="en-US" w:eastAsia="zh-CN" w:bidi="ar"/>
              </w:rPr>
            </w:pPr>
            <w:r>
              <w:rPr>
                <w:rFonts w:hint="eastAsia" w:ascii="仿宋" w:hAnsi="仿宋" w:eastAsia="仿宋" w:cs="仿宋"/>
                <w:b w:val="0"/>
                <w:bCs/>
                <w:color w:val="000000"/>
                <w:spacing w:val="-6"/>
                <w:w w:val="100"/>
                <w:kern w:val="0"/>
                <w:sz w:val="24"/>
                <w:szCs w:val="24"/>
                <w:lang w:bidi="ar"/>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E726D31">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b w:val="0"/>
                <w:bCs/>
                <w:color w:val="000000"/>
                <w:spacing w:val="0"/>
                <w:w w:val="100"/>
                <w:kern w:val="0"/>
                <w:sz w:val="24"/>
                <w:szCs w:val="24"/>
                <w:lang w:val="en-US" w:eastAsia="zh-CN" w:bidi="ar"/>
              </w:rPr>
            </w:pPr>
            <w:r>
              <w:rPr>
                <w:rFonts w:hint="eastAsia" w:ascii="仿宋" w:hAnsi="仿宋" w:eastAsia="仿宋" w:cs="仿宋"/>
                <w:b w:val="0"/>
                <w:bCs/>
                <w:color w:val="000000"/>
                <w:spacing w:val="0"/>
                <w:w w:val="100"/>
                <w:kern w:val="0"/>
                <w:sz w:val="24"/>
                <w:szCs w:val="24"/>
                <w:lang w:bidi="ar"/>
              </w:rPr>
              <w:t>1.受理责任：接到投诉按投诉处理流程及时处理后决定是否移交执法机关。</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339119AC">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olor w:val="000000"/>
                <w:kern w:val="0"/>
                <w:sz w:val="24"/>
                <w:szCs w:val="24"/>
                <w:u w:val="none"/>
                <w:lang w:val="en-US" w:eastAsia="zh-CN" w:bidi="ar"/>
              </w:rPr>
              <w:t>不履行或不正确履行职责，有下列情形的行政机关及相关工作人员应当承担相应的责任：</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滥用审批权限、不履行职责或者发现违法行为不予查处，造成严重后果的，依法给予行政处分，情节严重的，依法开除公职或者吊销其从业资格；构成犯罪的，依法追究刑事责任。</w:t>
            </w: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25E11496">
            <w:pPr>
              <w:keepNext w:val="0"/>
              <w:keepLines w:val="0"/>
              <w:pageBreakBefore w:val="0"/>
              <w:widowControl/>
              <w:kinsoku/>
              <w:wordWrap/>
              <w:topLinePunct w:val="0"/>
              <w:autoSpaceDE/>
              <w:bidi w:val="0"/>
              <w:spacing w:line="220" w:lineRule="exact"/>
              <w:jc w:val="center"/>
              <w:textAlignment w:val="center"/>
              <w:rPr>
                <w:rFonts w:hint="eastAsia" w:ascii="仿宋" w:hAnsi="仿宋" w:eastAsia="仿宋" w:cs="仿宋"/>
                <w:bCs/>
                <w:color w:val="000000"/>
                <w:kern w:val="2"/>
                <w:sz w:val="24"/>
                <w:szCs w:val="24"/>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监督管理股</w:t>
            </w:r>
          </w:p>
          <w:p w14:paraId="51FF94A6">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6E738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5" w:hRule="atLeast"/>
          <w:jc w:val="center"/>
        </w:trPr>
        <w:tc>
          <w:tcPr>
            <w:tcW w:w="678" w:type="dxa"/>
            <w:vMerge w:val="continue"/>
            <w:tcBorders>
              <w:left w:val="single" w:color="auto" w:sz="4" w:space="0"/>
              <w:right w:val="single" w:color="auto" w:sz="4" w:space="0"/>
            </w:tcBorders>
            <w:tcMar>
              <w:top w:w="15" w:type="dxa"/>
              <w:left w:w="15" w:type="dxa"/>
              <w:right w:w="15" w:type="dxa"/>
            </w:tcMar>
            <w:vAlign w:val="center"/>
          </w:tcPr>
          <w:p w14:paraId="0C82FBB0">
            <w:pPr>
              <w:keepNext w:val="0"/>
              <w:keepLines w:val="0"/>
              <w:pageBreakBefore w:val="0"/>
              <w:kinsoku/>
              <w:wordWrap/>
              <w:overflowPunct/>
              <w:topLinePunct w:val="0"/>
              <w:autoSpaceDE/>
              <w:autoSpaceDN/>
              <w:bidi w:val="0"/>
              <w:adjustRightInd/>
              <w:ind w:firstLine="0" w:firstLineChars="0"/>
              <w:jc w:val="both"/>
            </w:pPr>
          </w:p>
        </w:tc>
        <w:tc>
          <w:tcPr>
            <w:tcW w:w="1382" w:type="dxa"/>
            <w:vMerge w:val="continue"/>
            <w:tcBorders>
              <w:left w:val="single" w:color="auto" w:sz="4" w:space="0"/>
              <w:right w:val="single" w:color="auto" w:sz="4" w:space="0"/>
            </w:tcBorders>
            <w:tcMar>
              <w:top w:w="15" w:type="dxa"/>
              <w:left w:w="15" w:type="dxa"/>
              <w:right w:w="15" w:type="dxa"/>
            </w:tcMar>
            <w:vAlign w:val="center"/>
          </w:tcPr>
          <w:p w14:paraId="510F3186">
            <w:pPr>
              <w:keepNext w:val="0"/>
              <w:keepLines w:val="0"/>
              <w:pageBreakBefore w:val="0"/>
              <w:kinsoku/>
              <w:wordWrap/>
              <w:overflowPunct/>
              <w:topLinePunct w:val="0"/>
              <w:autoSpaceDE/>
              <w:autoSpaceDN/>
              <w:bidi w:val="0"/>
              <w:adjustRightInd/>
              <w:ind w:firstLine="0" w:firstLineChars="0"/>
              <w:jc w:val="both"/>
            </w:pPr>
          </w:p>
        </w:tc>
        <w:tc>
          <w:tcPr>
            <w:tcW w:w="3801" w:type="dxa"/>
            <w:gridSpan w:val="2"/>
            <w:vMerge w:val="continue"/>
            <w:tcBorders>
              <w:left w:val="single" w:color="auto" w:sz="4" w:space="0"/>
              <w:right w:val="single" w:color="auto" w:sz="4" w:space="0"/>
            </w:tcBorders>
            <w:tcMar>
              <w:top w:w="15" w:type="dxa"/>
              <w:left w:w="15" w:type="dxa"/>
              <w:right w:w="15" w:type="dxa"/>
            </w:tcMar>
            <w:vAlign w:val="center"/>
          </w:tcPr>
          <w:p w14:paraId="46A8AF19">
            <w:pPr>
              <w:keepNext w:val="0"/>
              <w:keepLines w:val="0"/>
              <w:pageBreakBefore w:val="0"/>
              <w:kinsoku/>
              <w:wordWrap/>
              <w:overflowPunct/>
              <w:topLinePunct w:val="0"/>
              <w:autoSpaceDE/>
              <w:autoSpaceDN/>
              <w:bidi w:val="0"/>
              <w:adjustRightInd/>
              <w:ind w:firstLine="0" w:firstLineChars="0"/>
              <w:jc w:val="both"/>
            </w:pPr>
          </w:p>
        </w:tc>
        <w:tc>
          <w:tcPr>
            <w:tcW w:w="616" w:type="dxa"/>
            <w:gridSpan w:val="3"/>
            <w:vMerge w:val="continue"/>
            <w:tcBorders>
              <w:left w:val="single" w:color="auto" w:sz="4" w:space="0"/>
              <w:right w:val="single" w:color="auto" w:sz="4" w:space="0"/>
            </w:tcBorders>
            <w:tcMar>
              <w:top w:w="15" w:type="dxa"/>
              <w:left w:w="15" w:type="dxa"/>
              <w:right w:w="15" w:type="dxa"/>
            </w:tcMar>
            <w:vAlign w:val="center"/>
          </w:tcPr>
          <w:p w14:paraId="2FFBCA31">
            <w:pPr>
              <w:keepNext w:val="0"/>
              <w:keepLines w:val="0"/>
              <w:pageBreakBefore w:val="0"/>
              <w:kinsoku/>
              <w:wordWrap/>
              <w:overflowPunct/>
              <w:topLinePunct w:val="0"/>
              <w:autoSpaceDE/>
              <w:autoSpaceDN/>
              <w:bidi w:val="0"/>
              <w:adjustRightInd/>
              <w:ind w:firstLine="0" w:firstLineChars="0"/>
              <w:jc w:val="both"/>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9514830">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b w:val="0"/>
                <w:bCs/>
                <w:color w:val="000000"/>
                <w:spacing w:val="-6"/>
                <w:w w:val="100"/>
                <w:kern w:val="0"/>
                <w:sz w:val="24"/>
                <w:szCs w:val="24"/>
                <w:lang w:val="en-US" w:eastAsia="zh-CN" w:bidi="ar"/>
              </w:rPr>
            </w:pPr>
            <w:r>
              <w:rPr>
                <w:rFonts w:hint="eastAsia" w:ascii="仿宋" w:hAnsi="仿宋" w:eastAsia="仿宋" w:cs="仿宋"/>
                <w:b w:val="0"/>
                <w:bCs/>
                <w:color w:val="000000"/>
                <w:spacing w:val="-6"/>
                <w:w w:val="100"/>
                <w:kern w:val="0"/>
                <w:sz w:val="24"/>
                <w:szCs w:val="24"/>
                <w:lang w:bidi="ar"/>
              </w:rPr>
              <w:t>审查</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DB86DAC">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b w:val="0"/>
                <w:bCs/>
                <w:color w:val="000000"/>
                <w:spacing w:val="0"/>
                <w:w w:val="100"/>
                <w:kern w:val="0"/>
                <w:sz w:val="24"/>
                <w:szCs w:val="24"/>
                <w:lang w:val="en-US" w:eastAsia="zh-CN" w:bidi="ar"/>
              </w:rPr>
            </w:pPr>
            <w:r>
              <w:rPr>
                <w:rFonts w:hint="eastAsia" w:ascii="仿宋" w:hAnsi="仿宋" w:eastAsia="仿宋" w:cs="仿宋"/>
                <w:b w:val="0"/>
                <w:bCs/>
                <w:color w:val="000000"/>
                <w:spacing w:val="0"/>
                <w:w w:val="100"/>
                <w:kern w:val="0"/>
                <w:sz w:val="24"/>
                <w:szCs w:val="24"/>
                <w:lang w:bidi="ar"/>
              </w:rPr>
              <w:t>2.调查阶段责任：有2名以上取得合法执法证件的执法人员在场；主动出示执法证件，表明身份；通知检查对象相关负责人或与检查活动内容相关的人员到场，说明执法检查目的、依据以及需要当事人配合的有关事项。</w:t>
            </w:r>
          </w:p>
        </w:tc>
        <w:tc>
          <w:tcPr>
            <w:tcW w:w="1717" w:type="dxa"/>
            <w:gridSpan w:val="2"/>
            <w:vMerge w:val="continue"/>
            <w:tcBorders>
              <w:left w:val="single" w:color="auto" w:sz="4" w:space="0"/>
              <w:right w:val="single" w:color="auto" w:sz="4" w:space="0"/>
            </w:tcBorders>
            <w:tcMar>
              <w:top w:w="15" w:type="dxa"/>
              <w:left w:w="15" w:type="dxa"/>
              <w:right w:w="15" w:type="dxa"/>
            </w:tcMar>
            <w:vAlign w:val="center"/>
          </w:tcPr>
          <w:p w14:paraId="37E27081">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right w:val="single" w:color="auto" w:sz="4" w:space="0"/>
            </w:tcBorders>
            <w:tcMar>
              <w:top w:w="15" w:type="dxa"/>
              <w:left w:w="15" w:type="dxa"/>
              <w:right w:w="15" w:type="dxa"/>
            </w:tcMar>
            <w:vAlign w:val="center"/>
          </w:tcPr>
          <w:p w14:paraId="231D8860">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49740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85"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437DB7D">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b w:val="0"/>
                <w:bCs/>
                <w:color w:val="000000"/>
                <w:spacing w:val="0"/>
                <w:w w:val="100"/>
                <w:kern w:val="0"/>
                <w:sz w:val="24"/>
                <w:szCs w:val="24"/>
                <w:lang w:val="en-US" w:eastAsia="zh-CN" w:bidi="ar"/>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9738B01">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b w:val="0"/>
                <w:bCs/>
                <w:color w:val="000000"/>
                <w:spacing w:val="0"/>
                <w:w w:val="100"/>
                <w:kern w:val="0"/>
                <w:sz w:val="24"/>
                <w:szCs w:val="24"/>
                <w:lang w:val="en-US" w:eastAsia="zh-CN" w:bidi="ar"/>
              </w:rPr>
            </w:pPr>
          </w:p>
        </w:tc>
        <w:tc>
          <w:tcPr>
            <w:tcW w:w="3801"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BA853DC">
            <w:pPr>
              <w:keepNext w:val="0"/>
              <w:keepLines w:val="0"/>
              <w:pageBreakBefore w:val="0"/>
              <w:widowControl/>
              <w:kinsoku/>
              <w:wordWrap/>
              <w:overflowPunct/>
              <w:topLinePunct w:val="0"/>
              <w:autoSpaceDE/>
              <w:autoSpaceDN/>
              <w:bidi w:val="0"/>
              <w:adjustRightInd/>
              <w:snapToGrid/>
              <w:spacing w:line="220" w:lineRule="exact"/>
              <w:textAlignment w:val="center"/>
              <w:rPr>
                <w:rFonts w:hint="eastAsia" w:ascii="仿宋" w:hAnsi="仿宋" w:eastAsia="仿宋" w:cs="仿宋"/>
                <w:b w:val="0"/>
                <w:bCs/>
                <w:color w:val="000000"/>
                <w:spacing w:val="-6"/>
                <w:w w:val="100"/>
                <w:kern w:val="0"/>
                <w:sz w:val="24"/>
                <w:szCs w:val="24"/>
                <w:lang w:val="en-US" w:eastAsia="zh-CN" w:bidi="ar"/>
              </w:rPr>
            </w:pPr>
          </w:p>
        </w:tc>
        <w:tc>
          <w:tcPr>
            <w:tcW w:w="616"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9BF01F0">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b w:val="0"/>
                <w:bCs/>
                <w:color w:val="000000"/>
                <w:spacing w:val="-6"/>
                <w:w w:val="100"/>
                <w:kern w:val="0"/>
                <w:sz w:val="24"/>
                <w:szCs w:val="24"/>
                <w:lang w:val="en-US" w:eastAsia="zh-CN" w:bidi="ar"/>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27E3CDD">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b w:val="0"/>
                <w:bCs/>
                <w:color w:val="000000"/>
                <w:spacing w:val="-6"/>
                <w:w w:val="100"/>
                <w:kern w:val="0"/>
                <w:sz w:val="24"/>
                <w:szCs w:val="24"/>
                <w:lang w:val="en-US" w:eastAsia="zh-CN" w:bidi="ar"/>
              </w:rPr>
            </w:pPr>
            <w:r>
              <w:rPr>
                <w:rFonts w:hint="eastAsia" w:ascii="仿宋" w:hAnsi="仿宋" w:eastAsia="仿宋" w:cs="仿宋"/>
                <w:b w:val="0"/>
                <w:bCs/>
                <w:color w:val="000000"/>
                <w:spacing w:val="-6"/>
                <w:w w:val="100"/>
                <w:kern w:val="0"/>
                <w:sz w:val="24"/>
                <w:szCs w:val="24"/>
                <w:lang w:bidi="ar"/>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F02BE74">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b w:val="0"/>
                <w:bCs/>
                <w:color w:val="000000"/>
                <w:spacing w:val="0"/>
                <w:w w:val="100"/>
                <w:kern w:val="0"/>
                <w:sz w:val="24"/>
                <w:szCs w:val="24"/>
                <w:lang w:val="en-US" w:eastAsia="zh-CN" w:bidi="ar"/>
              </w:rPr>
            </w:pPr>
            <w:r>
              <w:rPr>
                <w:rFonts w:hint="eastAsia" w:ascii="仿宋" w:hAnsi="仿宋" w:eastAsia="仿宋" w:cs="仿宋"/>
                <w:b w:val="0"/>
                <w:bCs/>
                <w:color w:val="000000"/>
                <w:spacing w:val="0"/>
                <w:w w:val="100"/>
                <w:kern w:val="0"/>
                <w:sz w:val="24"/>
                <w:szCs w:val="24"/>
                <w:lang w:bidi="ar"/>
              </w:rPr>
              <w:t>3.审查阶段责任：企业经营行为规范，未发现违法违规问题的，执法人员应如实记录，检查结果可作为企业诚信评价的依据；检查结果基本规范，但存在经营管理不当等瑕疵行为的，执法人员应如实记录，并可以采取约谈企业负责人，提出整改意见，跟踪整改情况等处理措施；企业经营行为不规范，涉嫌违法违规、不构成犯罪的，执法人员应当将案件移交执法机关。</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C02BCAA">
            <w:pPr>
              <w:keepNext w:val="0"/>
              <w:keepLines w:val="0"/>
              <w:pageBreakBefore w:val="0"/>
              <w:widowControl/>
              <w:kinsoku/>
              <w:wordWrap/>
              <w:topLinePunct w:val="0"/>
              <w:autoSpaceDE/>
              <w:bidi w:val="0"/>
              <w:spacing w:line="220" w:lineRule="exact"/>
              <w:jc w:val="center"/>
              <w:textAlignment w:val="center"/>
              <w:rPr>
                <w:rFonts w:hint="eastAsia" w:ascii="仿宋" w:hAnsi="仿宋" w:eastAsia="仿宋" w:cs="仿宋"/>
                <w:bCs/>
                <w:color w:val="000000"/>
                <w:kern w:val="0"/>
                <w:sz w:val="24"/>
                <w:szCs w:val="24"/>
                <w:lang w:val="en-US" w:eastAsia="zh-CN" w:bidi="ar"/>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D122C66">
            <w:pPr>
              <w:keepNext w:val="0"/>
              <w:keepLines w:val="0"/>
              <w:pageBreakBefore w:val="0"/>
              <w:widowControl/>
              <w:kinsoku/>
              <w:wordWrap/>
              <w:topLinePunct w:val="0"/>
              <w:autoSpaceDE/>
              <w:bidi w:val="0"/>
              <w:spacing w:line="220" w:lineRule="exact"/>
              <w:jc w:val="center"/>
              <w:textAlignment w:val="center"/>
              <w:rPr>
                <w:rFonts w:hint="eastAsia" w:ascii="仿宋" w:hAnsi="仿宋" w:eastAsia="仿宋" w:cs="仿宋"/>
                <w:bCs/>
                <w:color w:val="000000"/>
                <w:kern w:val="2"/>
                <w:sz w:val="24"/>
                <w:szCs w:val="24"/>
                <w:lang w:val="en-US" w:eastAsia="zh-CN" w:bidi="ar-SA"/>
              </w:rPr>
            </w:pPr>
          </w:p>
        </w:tc>
      </w:tr>
      <w:tr w14:paraId="27FE5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642079C">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55D49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66E2E2F">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4D118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5"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3FB9FB9C">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t>18</w:t>
            </w:r>
          </w:p>
          <w:p w14:paraId="7FD1E300">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38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155F3DC6">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color w:val="000000"/>
                <w:kern w:val="0"/>
                <w:sz w:val="24"/>
                <w:szCs w:val="24"/>
                <w:u w:val="none"/>
                <w:lang w:val="en-US" w:eastAsia="zh-CN" w:bidi="ar"/>
              </w:rPr>
              <w:t>对互联网上网服务营业场所经营单位从事互联网上网服务经营活动的行政检查</w:t>
            </w:r>
          </w:p>
          <w:p w14:paraId="13EDB36B">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3801"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0396C82A">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default" w:ascii="仿宋" w:hAnsi="仿宋" w:eastAsia="仿宋" w:cs="仿宋"/>
                <w:b w:val="0"/>
                <w:bCs/>
                <w:color w:val="auto"/>
                <w:spacing w:val="0"/>
                <w:w w:val="100"/>
                <w:kern w:val="0"/>
                <w:sz w:val="22"/>
                <w:szCs w:val="22"/>
                <w:lang w:val="en-US" w:eastAsia="zh-CN" w:bidi="ar"/>
              </w:rPr>
              <w:t>《互联网上网服务营业场所管理条例》</w:t>
            </w:r>
            <w:r>
              <w:rPr>
                <w:rFonts w:hint="default" w:ascii="仿宋" w:hAnsi="仿宋" w:eastAsia="仿宋" w:cs="仿宋"/>
                <w:b w:val="0"/>
                <w:bCs/>
                <w:color w:val="auto"/>
                <w:spacing w:val="0"/>
                <w:w w:val="100"/>
                <w:kern w:val="0"/>
                <w:sz w:val="22"/>
                <w:szCs w:val="22"/>
                <w:shd w:val="clear"/>
                <w:lang w:val="en-US" w:eastAsia="zh-CN" w:bidi="ar"/>
              </w:rPr>
              <w:t>（2002</w:t>
            </w:r>
            <w:r>
              <w:rPr>
                <w:rFonts w:hint="eastAsia" w:ascii="仿宋" w:hAnsi="仿宋" w:eastAsia="仿宋" w:cs="仿宋"/>
                <w:b w:val="0"/>
                <w:bCs/>
                <w:color w:val="auto"/>
                <w:spacing w:val="0"/>
                <w:w w:val="100"/>
                <w:kern w:val="0"/>
                <w:sz w:val="22"/>
                <w:szCs w:val="22"/>
                <w:shd w:val="clear"/>
                <w:lang w:val="en-US" w:eastAsia="zh-CN" w:bidi="ar"/>
              </w:rPr>
              <w:t>年</w:t>
            </w:r>
            <w:r>
              <w:rPr>
                <w:rFonts w:hint="default" w:ascii="仿宋" w:hAnsi="仿宋" w:eastAsia="仿宋" w:cs="仿宋"/>
                <w:b w:val="0"/>
                <w:bCs/>
                <w:color w:val="auto"/>
                <w:spacing w:val="0"/>
                <w:w w:val="100"/>
                <w:kern w:val="0"/>
                <w:sz w:val="22"/>
                <w:szCs w:val="22"/>
                <w:shd w:val="clear"/>
                <w:lang w:val="en-US" w:eastAsia="zh-CN" w:bidi="ar"/>
              </w:rPr>
              <w:t>9</w:t>
            </w:r>
            <w:r>
              <w:rPr>
                <w:rFonts w:hint="eastAsia" w:ascii="仿宋" w:hAnsi="仿宋" w:eastAsia="仿宋" w:cs="仿宋"/>
                <w:b w:val="0"/>
                <w:bCs/>
                <w:color w:val="auto"/>
                <w:spacing w:val="0"/>
                <w:w w:val="100"/>
                <w:kern w:val="0"/>
                <w:sz w:val="22"/>
                <w:szCs w:val="22"/>
                <w:shd w:val="clear"/>
                <w:lang w:val="en-US" w:eastAsia="zh-CN" w:bidi="ar"/>
              </w:rPr>
              <w:t>月</w:t>
            </w:r>
            <w:r>
              <w:rPr>
                <w:rFonts w:hint="default" w:ascii="仿宋" w:hAnsi="仿宋" w:eastAsia="仿宋" w:cs="仿宋"/>
                <w:b w:val="0"/>
                <w:bCs/>
                <w:color w:val="auto"/>
                <w:spacing w:val="0"/>
                <w:w w:val="100"/>
                <w:kern w:val="0"/>
                <w:sz w:val="22"/>
                <w:szCs w:val="22"/>
                <w:shd w:val="clear"/>
                <w:lang w:val="en-US" w:eastAsia="zh-CN" w:bidi="ar"/>
              </w:rPr>
              <w:t>29</w:t>
            </w:r>
            <w:r>
              <w:rPr>
                <w:rFonts w:hint="eastAsia" w:ascii="仿宋" w:hAnsi="仿宋" w:eastAsia="仿宋" w:cs="仿宋"/>
                <w:b w:val="0"/>
                <w:bCs/>
                <w:color w:val="auto"/>
                <w:spacing w:val="0"/>
                <w:w w:val="100"/>
                <w:kern w:val="0"/>
                <w:sz w:val="22"/>
                <w:szCs w:val="22"/>
                <w:shd w:val="clear"/>
                <w:lang w:val="en-US" w:eastAsia="zh-CN" w:bidi="ar"/>
              </w:rPr>
              <w:t>日中华人民共和国国务院令第</w:t>
            </w:r>
            <w:r>
              <w:rPr>
                <w:rFonts w:hint="default" w:ascii="仿宋" w:hAnsi="仿宋" w:eastAsia="仿宋" w:cs="仿宋"/>
                <w:b w:val="0"/>
                <w:bCs/>
                <w:color w:val="auto"/>
                <w:spacing w:val="0"/>
                <w:w w:val="100"/>
                <w:kern w:val="0"/>
                <w:sz w:val="22"/>
                <w:szCs w:val="22"/>
                <w:shd w:val="clear"/>
                <w:lang w:val="en-US" w:eastAsia="zh-CN" w:bidi="ar"/>
              </w:rPr>
              <w:t>363</w:t>
            </w:r>
            <w:r>
              <w:rPr>
                <w:rFonts w:hint="eastAsia" w:ascii="仿宋" w:hAnsi="仿宋" w:eastAsia="仿宋" w:cs="仿宋"/>
                <w:b w:val="0"/>
                <w:bCs/>
                <w:color w:val="auto"/>
                <w:spacing w:val="0"/>
                <w:w w:val="100"/>
                <w:kern w:val="0"/>
                <w:sz w:val="22"/>
                <w:szCs w:val="22"/>
                <w:shd w:val="clear"/>
                <w:lang w:val="en-US" w:eastAsia="zh-CN" w:bidi="ar"/>
              </w:rPr>
              <w:t>号公布根据</w:t>
            </w:r>
            <w:r>
              <w:rPr>
                <w:rFonts w:hint="default" w:ascii="仿宋" w:hAnsi="仿宋" w:eastAsia="仿宋" w:cs="仿宋"/>
                <w:b w:val="0"/>
                <w:bCs/>
                <w:color w:val="auto"/>
                <w:spacing w:val="0"/>
                <w:w w:val="100"/>
                <w:kern w:val="0"/>
                <w:sz w:val="22"/>
                <w:szCs w:val="22"/>
                <w:shd w:val="clear"/>
                <w:lang w:val="en-US" w:eastAsia="zh-CN" w:bidi="ar"/>
              </w:rPr>
              <w:t>2011</w:t>
            </w:r>
            <w:r>
              <w:rPr>
                <w:rFonts w:hint="eastAsia" w:ascii="仿宋" w:hAnsi="仿宋" w:eastAsia="仿宋" w:cs="仿宋"/>
                <w:b w:val="0"/>
                <w:bCs/>
                <w:color w:val="auto"/>
                <w:spacing w:val="0"/>
                <w:w w:val="100"/>
                <w:kern w:val="0"/>
                <w:sz w:val="22"/>
                <w:szCs w:val="22"/>
                <w:shd w:val="clear"/>
                <w:lang w:val="en-US" w:eastAsia="zh-CN" w:bidi="ar"/>
              </w:rPr>
              <w:t>年</w:t>
            </w:r>
            <w:r>
              <w:rPr>
                <w:rFonts w:hint="default" w:ascii="仿宋" w:hAnsi="仿宋" w:eastAsia="仿宋" w:cs="仿宋"/>
                <w:b w:val="0"/>
                <w:bCs/>
                <w:color w:val="auto"/>
                <w:spacing w:val="0"/>
                <w:w w:val="100"/>
                <w:kern w:val="0"/>
                <w:sz w:val="22"/>
                <w:szCs w:val="22"/>
                <w:shd w:val="clear"/>
                <w:lang w:val="en-US" w:eastAsia="zh-CN" w:bidi="ar"/>
              </w:rPr>
              <w:t>1</w:t>
            </w:r>
            <w:r>
              <w:rPr>
                <w:rFonts w:hint="eastAsia" w:ascii="仿宋" w:hAnsi="仿宋" w:eastAsia="仿宋" w:cs="仿宋"/>
                <w:b w:val="0"/>
                <w:bCs/>
                <w:color w:val="auto"/>
                <w:spacing w:val="0"/>
                <w:w w:val="100"/>
                <w:kern w:val="0"/>
                <w:sz w:val="22"/>
                <w:szCs w:val="22"/>
                <w:shd w:val="clear"/>
                <w:lang w:val="en-US" w:eastAsia="zh-CN" w:bidi="ar"/>
              </w:rPr>
              <w:t>月</w:t>
            </w:r>
            <w:r>
              <w:rPr>
                <w:rFonts w:hint="default" w:ascii="仿宋" w:hAnsi="仿宋" w:eastAsia="仿宋" w:cs="仿宋"/>
                <w:b w:val="0"/>
                <w:bCs/>
                <w:color w:val="auto"/>
                <w:spacing w:val="0"/>
                <w:w w:val="100"/>
                <w:kern w:val="0"/>
                <w:sz w:val="22"/>
                <w:szCs w:val="22"/>
                <w:shd w:val="clear"/>
                <w:lang w:val="en-US" w:eastAsia="zh-CN" w:bidi="ar"/>
              </w:rPr>
              <w:t>8</w:t>
            </w:r>
            <w:r>
              <w:rPr>
                <w:rFonts w:hint="eastAsia" w:ascii="仿宋" w:hAnsi="仿宋" w:eastAsia="仿宋" w:cs="仿宋"/>
                <w:b w:val="0"/>
                <w:bCs/>
                <w:color w:val="auto"/>
                <w:spacing w:val="0"/>
                <w:w w:val="100"/>
                <w:kern w:val="0"/>
                <w:sz w:val="22"/>
                <w:szCs w:val="22"/>
                <w:shd w:val="clear"/>
                <w:lang w:val="en-US" w:eastAsia="zh-CN" w:bidi="ar"/>
              </w:rPr>
              <w:t>日《国务院关于废止和修改部分行政法规的决定》第一次修订根据</w:t>
            </w:r>
            <w:r>
              <w:rPr>
                <w:rFonts w:hint="default" w:ascii="仿宋" w:hAnsi="仿宋" w:eastAsia="仿宋" w:cs="仿宋"/>
                <w:b w:val="0"/>
                <w:bCs/>
                <w:color w:val="auto"/>
                <w:spacing w:val="0"/>
                <w:w w:val="100"/>
                <w:kern w:val="0"/>
                <w:sz w:val="22"/>
                <w:szCs w:val="22"/>
                <w:shd w:val="clear"/>
                <w:lang w:val="en-US" w:eastAsia="zh-CN" w:bidi="ar"/>
              </w:rPr>
              <w:t>2016</w:t>
            </w:r>
            <w:r>
              <w:rPr>
                <w:rFonts w:hint="eastAsia" w:ascii="仿宋" w:hAnsi="仿宋" w:eastAsia="仿宋" w:cs="仿宋"/>
                <w:b w:val="0"/>
                <w:bCs/>
                <w:color w:val="auto"/>
                <w:spacing w:val="0"/>
                <w:w w:val="100"/>
                <w:kern w:val="0"/>
                <w:sz w:val="22"/>
                <w:szCs w:val="22"/>
                <w:shd w:val="clear"/>
                <w:lang w:val="en-US" w:eastAsia="zh-CN" w:bidi="ar"/>
              </w:rPr>
              <w:t>年</w:t>
            </w:r>
            <w:r>
              <w:rPr>
                <w:rFonts w:hint="default" w:ascii="仿宋" w:hAnsi="仿宋" w:eastAsia="仿宋" w:cs="仿宋"/>
                <w:b w:val="0"/>
                <w:bCs/>
                <w:color w:val="auto"/>
                <w:spacing w:val="0"/>
                <w:w w:val="100"/>
                <w:kern w:val="0"/>
                <w:sz w:val="22"/>
                <w:szCs w:val="22"/>
                <w:shd w:val="clear"/>
                <w:lang w:val="en-US" w:eastAsia="zh-CN" w:bidi="ar"/>
              </w:rPr>
              <w:t>2</w:t>
            </w:r>
            <w:r>
              <w:rPr>
                <w:rFonts w:hint="eastAsia" w:ascii="仿宋" w:hAnsi="仿宋" w:eastAsia="仿宋" w:cs="仿宋"/>
                <w:b w:val="0"/>
                <w:bCs/>
                <w:color w:val="auto"/>
                <w:spacing w:val="0"/>
                <w:w w:val="100"/>
                <w:kern w:val="0"/>
                <w:sz w:val="22"/>
                <w:szCs w:val="22"/>
                <w:shd w:val="clear"/>
                <w:lang w:val="en-US" w:eastAsia="zh-CN" w:bidi="ar"/>
              </w:rPr>
              <w:t>月</w:t>
            </w:r>
            <w:r>
              <w:rPr>
                <w:rFonts w:hint="default" w:ascii="仿宋" w:hAnsi="仿宋" w:eastAsia="仿宋" w:cs="仿宋"/>
                <w:b w:val="0"/>
                <w:bCs/>
                <w:color w:val="auto"/>
                <w:spacing w:val="0"/>
                <w:w w:val="100"/>
                <w:kern w:val="0"/>
                <w:sz w:val="22"/>
                <w:szCs w:val="22"/>
                <w:shd w:val="clear"/>
                <w:lang w:val="en-US" w:eastAsia="zh-CN" w:bidi="ar"/>
              </w:rPr>
              <w:t>6</w:t>
            </w:r>
            <w:r>
              <w:rPr>
                <w:rFonts w:hint="eastAsia" w:ascii="仿宋" w:hAnsi="仿宋" w:eastAsia="仿宋" w:cs="仿宋"/>
                <w:b w:val="0"/>
                <w:bCs/>
                <w:color w:val="auto"/>
                <w:spacing w:val="0"/>
                <w:w w:val="100"/>
                <w:kern w:val="0"/>
                <w:sz w:val="22"/>
                <w:szCs w:val="22"/>
                <w:shd w:val="clear"/>
                <w:lang w:val="en-US" w:eastAsia="zh-CN" w:bidi="ar"/>
              </w:rPr>
              <w:t>日《国务院关于修改部分行政法规的决定》第二次修订根据</w:t>
            </w:r>
            <w:r>
              <w:rPr>
                <w:rFonts w:hint="default" w:ascii="仿宋" w:hAnsi="仿宋" w:eastAsia="仿宋" w:cs="仿宋"/>
                <w:b w:val="0"/>
                <w:bCs/>
                <w:color w:val="auto"/>
                <w:spacing w:val="0"/>
                <w:w w:val="100"/>
                <w:kern w:val="0"/>
                <w:sz w:val="22"/>
                <w:szCs w:val="22"/>
                <w:shd w:val="clear"/>
                <w:lang w:val="en-US" w:eastAsia="zh-CN" w:bidi="ar"/>
              </w:rPr>
              <w:t>2019</w:t>
            </w:r>
            <w:r>
              <w:rPr>
                <w:rFonts w:hint="eastAsia" w:ascii="仿宋" w:hAnsi="仿宋" w:eastAsia="仿宋" w:cs="仿宋"/>
                <w:b w:val="0"/>
                <w:bCs/>
                <w:color w:val="auto"/>
                <w:spacing w:val="0"/>
                <w:w w:val="100"/>
                <w:kern w:val="0"/>
                <w:sz w:val="22"/>
                <w:szCs w:val="22"/>
                <w:shd w:val="clear"/>
                <w:lang w:val="en-US" w:eastAsia="zh-CN" w:bidi="ar"/>
              </w:rPr>
              <w:t>年</w:t>
            </w:r>
            <w:r>
              <w:rPr>
                <w:rFonts w:hint="default" w:ascii="仿宋" w:hAnsi="仿宋" w:eastAsia="仿宋" w:cs="仿宋"/>
                <w:b w:val="0"/>
                <w:bCs/>
                <w:color w:val="auto"/>
                <w:spacing w:val="0"/>
                <w:w w:val="100"/>
                <w:kern w:val="0"/>
                <w:sz w:val="22"/>
                <w:szCs w:val="22"/>
                <w:shd w:val="clear"/>
                <w:lang w:val="en-US" w:eastAsia="zh-CN" w:bidi="ar"/>
              </w:rPr>
              <w:t>3</w:t>
            </w:r>
            <w:r>
              <w:rPr>
                <w:rFonts w:hint="eastAsia" w:ascii="仿宋" w:hAnsi="仿宋" w:eastAsia="仿宋" w:cs="仿宋"/>
                <w:b w:val="0"/>
                <w:bCs/>
                <w:color w:val="auto"/>
                <w:spacing w:val="0"/>
                <w:w w:val="100"/>
                <w:kern w:val="0"/>
                <w:sz w:val="22"/>
                <w:szCs w:val="22"/>
                <w:shd w:val="clear"/>
                <w:lang w:val="en-US" w:eastAsia="zh-CN" w:bidi="ar"/>
              </w:rPr>
              <w:t>月</w:t>
            </w:r>
            <w:r>
              <w:rPr>
                <w:rFonts w:hint="default" w:ascii="仿宋" w:hAnsi="仿宋" w:eastAsia="仿宋" w:cs="仿宋"/>
                <w:b w:val="0"/>
                <w:bCs/>
                <w:color w:val="auto"/>
                <w:spacing w:val="0"/>
                <w:w w:val="100"/>
                <w:kern w:val="0"/>
                <w:sz w:val="22"/>
                <w:szCs w:val="22"/>
                <w:shd w:val="clear"/>
                <w:lang w:val="en-US" w:eastAsia="zh-CN" w:bidi="ar"/>
              </w:rPr>
              <w:t>24</w:t>
            </w:r>
            <w:r>
              <w:rPr>
                <w:rFonts w:hint="eastAsia" w:ascii="仿宋" w:hAnsi="仿宋" w:eastAsia="仿宋" w:cs="仿宋"/>
                <w:b w:val="0"/>
                <w:bCs/>
                <w:color w:val="auto"/>
                <w:spacing w:val="0"/>
                <w:w w:val="100"/>
                <w:kern w:val="0"/>
                <w:sz w:val="22"/>
                <w:szCs w:val="22"/>
                <w:shd w:val="clear"/>
                <w:lang w:val="en-US" w:eastAsia="zh-CN" w:bidi="ar"/>
              </w:rPr>
              <w:t>日《国务院关于修改部分行政法规的决定》第三次修订根据</w:t>
            </w:r>
            <w:r>
              <w:rPr>
                <w:rFonts w:hint="default" w:ascii="仿宋" w:hAnsi="仿宋" w:eastAsia="仿宋" w:cs="仿宋"/>
                <w:b w:val="0"/>
                <w:bCs/>
                <w:color w:val="auto"/>
                <w:spacing w:val="0"/>
                <w:w w:val="100"/>
                <w:kern w:val="0"/>
                <w:sz w:val="22"/>
                <w:szCs w:val="22"/>
                <w:shd w:val="clear"/>
                <w:lang w:val="en-US" w:eastAsia="zh-CN" w:bidi="ar"/>
              </w:rPr>
              <w:t>2022</w:t>
            </w:r>
            <w:r>
              <w:rPr>
                <w:rFonts w:hint="eastAsia" w:ascii="仿宋" w:hAnsi="仿宋" w:eastAsia="仿宋" w:cs="仿宋"/>
                <w:b w:val="0"/>
                <w:bCs/>
                <w:color w:val="auto"/>
                <w:spacing w:val="0"/>
                <w:w w:val="100"/>
                <w:kern w:val="0"/>
                <w:sz w:val="22"/>
                <w:szCs w:val="22"/>
                <w:shd w:val="clear"/>
                <w:lang w:val="en-US" w:eastAsia="zh-CN" w:bidi="ar"/>
              </w:rPr>
              <w:t>年</w:t>
            </w:r>
            <w:r>
              <w:rPr>
                <w:rFonts w:hint="default" w:ascii="仿宋" w:hAnsi="仿宋" w:eastAsia="仿宋" w:cs="仿宋"/>
                <w:b w:val="0"/>
                <w:bCs/>
                <w:color w:val="auto"/>
                <w:spacing w:val="0"/>
                <w:w w:val="100"/>
                <w:kern w:val="0"/>
                <w:sz w:val="22"/>
                <w:szCs w:val="22"/>
                <w:shd w:val="clear"/>
                <w:lang w:val="en-US" w:eastAsia="zh-CN" w:bidi="ar"/>
              </w:rPr>
              <w:t>3</w:t>
            </w:r>
            <w:r>
              <w:rPr>
                <w:rFonts w:hint="eastAsia" w:ascii="仿宋" w:hAnsi="仿宋" w:eastAsia="仿宋" w:cs="仿宋"/>
                <w:b w:val="0"/>
                <w:bCs/>
                <w:color w:val="auto"/>
                <w:spacing w:val="0"/>
                <w:w w:val="100"/>
                <w:kern w:val="0"/>
                <w:sz w:val="22"/>
                <w:szCs w:val="22"/>
                <w:shd w:val="clear"/>
                <w:lang w:val="en-US" w:eastAsia="zh-CN" w:bidi="ar"/>
              </w:rPr>
              <w:t>月</w:t>
            </w:r>
            <w:r>
              <w:rPr>
                <w:rFonts w:hint="default" w:ascii="仿宋" w:hAnsi="仿宋" w:eastAsia="仿宋" w:cs="仿宋"/>
                <w:b w:val="0"/>
                <w:bCs/>
                <w:color w:val="auto"/>
                <w:spacing w:val="0"/>
                <w:w w:val="100"/>
                <w:kern w:val="0"/>
                <w:sz w:val="22"/>
                <w:szCs w:val="22"/>
                <w:shd w:val="clear"/>
                <w:lang w:val="en-US" w:eastAsia="zh-CN" w:bidi="ar"/>
              </w:rPr>
              <w:t>29</w:t>
            </w:r>
            <w:r>
              <w:rPr>
                <w:rFonts w:hint="eastAsia" w:ascii="仿宋" w:hAnsi="仿宋" w:eastAsia="仿宋" w:cs="仿宋"/>
                <w:b w:val="0"/>
                <w:bCs/>
                <w:color w:val="auto"/>
                <w:spacing w:val="0"/>
                <w:w w:val="100"/>
                <w:kern w:val="0"/>
                <w:sz w:val="22"/>
                <w:szCs w:val="22"/>
                <w:shd w:val="clear"/>
                <w:lang w:val="en-US" w:eastAsia="zh-CN" w:bidi="ar"/>
              </w:rPr>
              <w:t>日《国务院关于修改和废止部分行政法规的决定》第四次修订）</w:t>
            </w:r>
            <w:r>
              <w:rPr>
                <w:rFonts w:hint="default" w:ascii="仿宋" w:hAnsi="仿宋" w:eastAsia="仿宋" w:cs="仿宋"/>
                <w:b w:val="0"/>
                <w:bCs/>
                <w:color w:val="auto"/>
                <w:spacing w:val="0"/>
                <w:w w:val="100"/>
                <w:kern w:val="0"/>
                <w:sz w:val="22"/>
                <w:szCs w:val="22"/>
                <w:lang w:val="en-US" w:eastAsia="zh-CN" w:bidi="ar"/>
              </w:rPr>
              <w:t>第四条：“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p w14:paraId="76007DAE">
            <w:pPr>
              <w:pStyle w:val="2"/>
              <w:rPr>
                <w:rFonts w:hint="eastAsia"/>
                <w:lang w:val="en-US" w:eastAsia="zh-CN"/>
              </w:rPr>
            </w:pPr>
          </w:p>
        </w:tc>
        <w:tc>
          <w:tcPr>
            <w:tcW w:w="616" w:type="dxa"/>
            <w:gridSpan w:val="3"/>
            <w:vMerge w:val="restart"/>
            <w:tcBorders>
              <w:top w:val="single" w:color="auto" w:sz="4" w:space="0"/>
              <w:left w:val="single" w:color="auto" w:sz="4" w:space="0"/>
              <w:right w:val="single" w:color="auto" w:sz="4" w:space="0"/>
            </w:tcBorders>
            <w:tcMar>
              <w:top w:w="15" w:type="dxa"/>
              <w:left w:w="15" w:type="dxa"/>
              <w:right w:w="15" w:type="dxa"/>
            </w:tcMar>
            <w:vAlign w:val="center"/>
          </w:tcPr>
          <w:p w14:paraId="0F3C668A">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b w:val="0"/>
                <w:bCs/>
                <w:color w:val="000000"/>
                <w:spacing w:val="-6"/>
                <w:w w:val="100"/>
                <w:kern w:val="0"/>
                <w:sz w:val="24"/>
                <w:szCs w:val="24"/>
                <w:lang w:eastAsia="zh-CN" w:bidi="ar"/>
              </w:rPr>
            </w:pPr>
            <w:r>
              <w:rPr>
                <w:rFonts w:hint="eastAsia" w:ascii="仿宋" w:hAnsi="仿宋" w:eastAsia="仿宋" w:cs="仿宋"/>
                <w:b w:val="0"/>
                <w:bCs/>
                <w:color w:val="000000"/>
                <w:spacing w:val="-6"/>
                <w:w w:val="100"/>
                <w:kern w:val="0"/>
                <w:sz w:val="24"/>
                <w:szCs w:val="24"/>
                <w:lang w:eastAsia="zh-CN" w:bidi="ar"/>
              </w:rPr>
              <w:t>行政</w:t>
            </w:r>
          </w:p>
          <w:p w14:paraId="6CC29709">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6"/>
                <w:w w:val="100"/>
                <w:kern w:val="0"/>
                <w:sz w:val="24"/>
                <w:szCs w:val="24"/>
                <w:lang w:eastAsia="zh-CN" w:bidi="ar"/>
              </w:rPr>
              <w:t>检查</w:t>
            </w:r>
          </w:p>
          <w:p w14:paraId="3EB1D7AC">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BE63246">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6"/>
                <w:w w:val="100"/>
                <w:kern w:val="0"/>
                <w:sz w:val="24"/>
                <w:szCs w:val="24"/>
                <w:lang w:bidi="ar"/>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D29C1C8">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0"/>
                <w:w w:val="100"/>
                <w:kern w:val="0"/>
                <w:sz w:val="24"/>
                <w:szCs w:val="24"/>
                <w:lang w:bidi="ar"/>
              </w:rPr>
              <w:t>1.受理责任：接到投诉按投诉处理流程及时处理后决定是否移交执法机关。</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46501892">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olor w:val="000000"/>
                <w:kern w:val="0"/>
                <w:sz w:val="24"/>
                <w:szCs w:val="24"/>
                <w:u w:val="none"/>
                <w:lang w:val="en-US" w:eastAsia="zh-CN" w:bidi="ar"/>
              </w:rPr>
              <w:t>不履行或不正确履行职责，有下列情形的行政机关及相关工作人员应当承担相应的责任：</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滥用审批权限、不履行职责或者发现违法行为不予查处，造成严重后果的，依法给予行政处分，情节严重的，依法开除公职或者吊销其从业资格；构成犯罪的，依法追究刑事责任。</w:t>
            </w:r>
          </w:p>
          <w:p w14:paraId="2FEAE0A2">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p w14:paraId="0E33FDB8">
            <w:pPr>
              <w:pStyle w:val="2"/>
              <w:rPr>
                <w:rFonts w:hint="eastAsia"/>
                <w:lang w:val="en-US" w:eastAsia="zh-CN"/>
              </w:rPr>
            </w:pP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6BD55CDD">
            <w:pPr>
              <w:keepNext w:val="0"/>
              <w:keepLines w:val="0"/>
              <w:pageBreakBefore w:val="0"/>
              <w:widowControl/>
              <w:kinsoku/>
              <w:wordWrap/>
              <w:topLinePunct w:val="0"/>
              <w:autoSpaceDE/>
              <w:bidi w:val="0"/>
              <w:spacing w:line="220" w:lineRule="exact"/>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监督管理股</w:t>
            </w:r>
          </w:p>
          <w:p w14:paraId="37A4F4A0">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1CCA4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5" w:hRule="atLeast"/>
          <w:jc w:val="center"/>
        </w:trPr>
        <w:tc>
          <w:tcPr>
            <w:tcW w:w="678" w:type="dxa"/>
            <w:vMerge w:val="continue"/>
            <w:tcBorders>
              <w:left w:val="single" w:color="auto" w:sz="4" w:space="0"/>
              <w:right w:val="single" w:color="auto" w:sz="4" w:space="0"/>
            </w:tcBorders>
            <w:tcMar>
              <w:top w:w="15" w:type="dxa"/>
              <w:left w:w="15" w:type="dxa"/>
              <w:right w:w="15" w:type="dxa"/>
            </w:tcMar>
            <w:vAlign w:val="center"/>
          </w:tcPr>
          <w:p w14:paraId="24648875">
            <w:pPr>
              <w:keepNext w:val="0"/>
              <w:keepLines w:val="0"/>
              <w:pageBreakBefore w:val="0"/>
              <w:kinsoku/>
              <w:wordWrap/>
              <w:overflowPunct/>
              <w:topLinePunct w:val="0"/>
              <w:autoSpaceDE/>
              <w:autoSpaceDN/>
              <w:bidi w:val="0"/>
              <w:adjustRightInd/>
              <w:ind w:firstLine="0" w:firstLineChars="0"/>
              <w:jc w:val="both"/>
            </w:pPr>
          </w:p>
        </w:tc>
        <w:tc>
          <w:tcPr>
            <w:tcW w:w="1382" w:type="dxa"/>
            <w:vMerge w:val="continue"/>
            <w:tcBorders>
              <w:left w:val="single" w:color="auto" w:sz="4" w:space="0"/>
              <w:right w:val="single" w:color="auto" w:sz="4" w:space="0"/>
            </w:tcBorders>
            <w:tcMar>
              <w:top w:w="15" w:type="dxa"/>
              <w:left w:w="15" w:type="dxa"/>
              <w:right w:w="15" w:type="dxa"/>
            </w:tcMar>
            <w:vAlign w:val="center"/>
          </w:tcPr>
          <w:p w14:paraId="12903F41">
            <w:pPr>
              <w:keepNext w:val="0"/>
              <w:keepLines w:val="0"/>
              <w:pageBreakBefore w:val="0"/>
              <w:kinsoku/>
              <w:wordWrap/>
              <w:overflowPunct/>
              <w:topLinePunct w:val="0"/>
              <w:autoSpaceDE/>
              <w:autoSpaceDN/>
              <w:bidi w:val="0"/>
              <w:adjustRightInd/>
              <w:ind w:firstLine="0" w:firstLineChars="0"/>
              <w:jc w:val="both"/>
            </w:pPr>
          </w:p>
        </w:tc>
        <w:tc>
          <w:tcPr>
            <w:tcW w:w="3801" w:type="dxa"/>
            <w:gridSpan w:val="2"/>
            <w:vMerge w:val="continue"/>
            <w:tcBorders>
              <w:left w:val="single" w:color="auto" w:sz="4" w:space="0"/>
              <w:right w:val="single" w:color="auto" w:sz="4" w:space="0"/>
            </w:tcBorders>
            <w:tcMar>
              <w:top w:w="15" w:type="dxa"/>
              <w:left w:w="15" w:type="dxa"/>
              <w:right w:w="15" w:type="dxa"/>
            </w:tcMar>
            <w:vAlign w:val="center"/>
          </w:tcPr>
          <w:p w14:paraId="259392E3">
            <w:pPr>
              <w:keepNext w:val="0"/>
              <w:keepLines w:val="0"/>
              <w:pageBreakBefore w:val="0"/>
              <w:kinsoku/>
              <w:wordWrap/>
              <w:overflowPunct/>
              <w:topLinePunct w:val="0"/>
              <w:autoSpaceDE/>
              <w:autoSpaceDN/>
              <w:bidi w:val="0"/>
              <w:adjustRightInd/>
              <w:ind w:firstLine="0" w:firstLineChars="0"/>
              <w:jc w:val="both"/>
            </w:pPr>
          </w:p>
        </w:tc>
        <w:tc>
          <w:tcPr>
            <w:tcW w:w="616" w:type="dxa"/>
            <w:gridSpan w:val="3"/>
            <w:vMerge w:val="continue"/>
            <w:tcBorders>
              <w:left w:val="single" w:color="auto" w:sz="4" w:space="0"/>
              <w:right w:val="single" w:color="auto" w:sz="4" w:space="0"/>
            </w:tcBorders>
            <w:tcMar>
              <w:top w:w="15" w:type="dxa"/>
              <w:left w:w="15" w:type="dxa"/>
              <w:right w:w="15" w:type="dxa"/>
            </w:tcMar>
            <w:vAlign w:val="center"/>
          </w:tcPr>
          <w:p w14:paraId="6F30EA25">
            <w:pPr>
              <w:keepNext w:val="0"/>
              <w:keepLines w:val="0"/>
              <w:pageBreakBefore w:val="0"/>
              <w:kinsoku/>
              <w:wordWrap/>
              <w:overflowPunct/>
              <w:topLinePunct w:val="0"/>
              <w:autoSpaceDE/>
              <w:autoSpaceDN/>
              <w:bidi w:val="0"/>
              <w:adjustRightInd/>
              <w:ind w:firstLine="0" w:firstLineChars="0"/>
              <w:jc w:val="both"/>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6EEA894">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6"/>
                <w:w w:val="100"/>
                <w:kern w:val="0"/>
                <w:sz w:val="24"/>
                <w:szCs w:val="24"/>
                <w:lang w:bidi="ar"/>
              </w:rPr>
              <w:t>审查</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0F5355E">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0"/>
                <w:w w:val="100"/>
                <w:kern w:val="0"/>
                <w:sz w:val="24"/>
                <w:szCs w:val="24"/>
                <w:lang w:bidi="ar"/>
              </w:rPr>
              <w:t>2.调查阶段责任：有2名以上取得合法执法证件的执法人员在场；主动出示执法证件，表明身份；通知检查对象相关负责人或与检查活动内容相关的人员到场，说明执法检查目的、依据以及需要当事人配合的有关事项。</w:t>
            </w:r>
          </w:p>
        </w:tc>
        <w:tc>
          <w:tcPr>
            <w:tcW w:w="1717" w:type="dxa"/>
            <w:gridSpan w:val="2"/>
            <w:vMerge w:val="continue"/>
            <w:tcBorders>
              <w:left w:val="single" w:color="auto" w:sz="4" w:space="0"/>
              <w:right w:val="single" w:color="auto" w:sz="4" w:space="0"/>
            </w:tcBorders>
            <w:tcMar>
              <w:top w:w="15" w:type="dxa"/>
              <w:left w:w="15" w:type="dxa"/>
              <w:right w:w="15" w:type="dxa"/>
            </w:tcMar>
            <w:vAlign w:val="center"/>
          </w:tcPr>
          <w:p w14:paraId="1CD5D49B">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right w:val="single" w:color="auto" w:sz="4" w:space="0"/>
            </w:tcBorders>
            <w:tcMar>
              <w:top w:w="15" w:type="dxa"/>
              <w:left w:w="15" w:type="dxa"/>
              <w:right w:w="15" w:type="dxa"/>
            </w:tcMar>
            <w:vAlign w:val="center"/>
          </w:tcPr>
          <w:p w14:paraId="2AFA2E2D">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02B39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7"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78B8EB0">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7597D27">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b w:val="0"/>
                <w:bCs w:val="0"/>
                <w:color w:val="auto"/>
                <w:kern w:val="2"/>
                <w:sz w:val="24"/>
                <w:szCs w:val="24"/>
                <w:lang w:val="en-US" w:eastAsia="zh-CN" w:bidi="ar-SA"/>
              </w:rPr>
            </w:pPr>
          </w:p>
        </w:tc>
        <w:tc>
          <w:tcPr>
            <w:tcW w:w="3801"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151FEF8">
            <w:pPr>
              <w:widowControl w:val="0"/>
              <w:wordWrap/>
              <w:autoSpaceDN w:val="0"/>
              <w:adjustRightInd/>
              <w:snapToGrid w:val="0"/>
              <w:spacing w:line="240" w:lineRule="auto"/>
              <w:ind w:left="0" w:leftChars="0" w:firstLine="0" w:firstLineChars="0"/>
              <w:jc w:val="left"/>
              <w:textAlignment w:val="center"/>
              <w:rPr>
                <w:rFonts w:hint="eastAsia" w:ascii="仿宋" w:hAnsi="仿宋" w:eastAsia="仿宋" w:cs="仿宋"/>
                <w:i w:val="0"/>
                <w:caps w:val="0"/>
                <w:color w:val="auto"/>
                <w:spacing w:val="0"/>
                <w:kern w:val="2"/>
                <w:sz w:val="22"/>
                <w:szCs w:val="22"/>
                <w:shd w:val="clear" w:color="070000" w:fill="FFFFFF"/>
                <w:lang w:val="en-US" w:eastAsia="zh-CN" w:bidi="ar-SA"/>
              </w:rPr>
            </w:pPr>
          </w:p>
        </w:tc>
        <w:tc>
          <w:tcPr>
            <w:tcW w:w="616"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7D61A3B">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56EB216">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6"/>
                <w:w w:val="100"/>
                <w:kern w:val="0"/>
                <w:sz w:val="24"/>
                <w:szCs w:val="24"/>
                <w:lang w:bidi="ar"/>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ED0F04D">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0"/>
                <w:w w:val="100"/>
                <w:kern w:val="0"/>
                <w:sz w:val="24"/>
                <w:szCs w:val="24"/>
                <w:lang w:bidi="ar"/>
              </w:rPr>
              <w:t>3.审查阶段责任：企业经营行为规范，未发现违法违规问题的，执法人员应如实记录，检查结果可作为企业诚信评价的依据；检查结果基本规范，但存在经营管理不当等瑕疵行为的，执法人员应如实记录，并可以采取约谈企业负责人，提出整改意见，跟踪整改情况等处理措施；企业经营行为不规范，涉嫌违法违规、不构成犯罪的，执法人员应当将案件移交执法机关。</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0C8BB50">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8C07F7B">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kern w:val="2"/>
                <w:sz w:val="24"/>
                <w:szCs w:val="24"/>
                <w:shd w:val="clear" w:color="070000" w:fill="FFFFFF"/>
                <w:lang w:val="en-US" w:eastAsia="zh-CN" w:bidi="ar-SA"/>
              </w:rPr>
            </w:pPr>
          </w:p>
        </w:tc>
      </w:tr>
      <w:tr w14:paraId="38E89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F1DF344">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2F143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6F934BD">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1FFAA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55"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53833E95">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_GB2312" w:hAnsi="仿宋_GB2312" w:eastAsia="仿宋_GB2312" w:cs="仿宋_GB2312"/>
                <w:i w:val="0"/>
                <w:caps w:val="0"/>
                <w:color w:val="auto"/>
                <w:spacing w:val="0"/>
                <w:sz w:val="24"/>
                <w:szCs w:val="24"/>
                <w:shd w:val="clear" w:color="070000" w:fill="FFFFFF"/>
                <w:lang w:val="en-US" w:eastAsia="zh-CN"/>
              </w:rPr>
              <w:t>19</w:t>
            </w:r>
          </w:p>
          <w:p w14:paraId="03635A31">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38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657FCDDD">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olor w:val="000000"/>
                <w:kern w:val="0"/>
                <w:sz w:val="24"/>
                <w:szCs w:val="24"/>
                <w:u w:val="none"/>
                <w:lang w:val="en-US" w:eastAsia="zh-CN" w:bidi="ar"/>
              </w:rPr>
              <w:t>对演出场所举办的营业性演出活动的行政检查</w:t>
            </w:r>
          </w:p>
          <w:p w14:paraId="55545FB2">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3801"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40FED6E5">
            <w:pPr>
              <w:keepNext w:val="0"/>
              <w:keepLines w:val="0"/>
              <w:pageBreakBefore w:val="0"/>
              <w:widowControl w:val="0"/>
              <w:kinsoku/>
              <w:wordWrap/>
              <w:overflowPunct/>
              <w:topLinePunct w:val="0"/>
              <w:autoSpaceDE/>
              <w:autoSpaceDN/>
              <w:bidi w:val="0"/>
              <w:adjustRightInd/>
              <w:snapToGrid/>
              <w:spacing w:line="150" w:lineRule="exact"/>
              <w:ind w:firstLine="0" w:firstLineChars="0"/>
              <w:jc w:val="both"/>
              <w:textAlignment w:val="auto"/>
              <w:rPr>
                <w:rFonts w:hint="eastAsia" w:ascii="仿宋" w:hAnsi="仿宋" w:eastAsia="仿宋" w:cs="仿宋"/>
                <w:i w:val="0"/>
                <w:color w:val="auto"/>
                <w:kern w:val="0"/>
                <w:sz w:val="15"/>
                <w:szCs w:val="15"/>
                <w:u w:val="none"/>
                <w:lang w:val="en-US" w:eastAsia="zh-CN" w:bidi="ar"/>
              </w:rPr>
            </w:pPr>
            <w:r>
              <w:rPr>
                <w:rFonts w:hint="eastAsia" w:ascii="仿宋" w:hAnsi="仿宋" w:eastAsia="仿宋" w:cs="仿宋"/>
                <w:i w:val="0"/>
                <w:color w:val="auto"/>
                <w:kern w:val="0"/>
                <w:sz w:val="15"/>
                <w:szCs w:val="15"/>
                <w:u w:val="none"/>
                <w:lang w:val="en-US" w:eastAsia="zh-CN" w:bidi="ar"/>
              </w:rPr>
              <w:t>《营业性演出管理条例》</w:t>
            </w:r>
            <w:r>
              <w:rPr>
                <w:rFonts w:hint="default" w:ascii="仿宋" w:hAnsi="仿宋" w:eastAsia="仿宋" w:cs="仿宋"/>
                <w:b w:val="0"/>
                <w:bCs/>
                <w:color w:val="auto"/>
                <w:spacing w:val="0"/>
                <w:w w:val="100"/>
                <w:kern w:val="0"/>
                <w:sz w:val="15"/>
                <w:szCs w:val="15"/>
                <w:shd w:val="clear"/>
                <w:lang w:val="en-US" w:eastAsia="zh-CN" w:bidi="ar"/>
              </w:rPr>
              <w:t>(2005</w:t>
            </w:r>
            <w:r>
              <w:rPr>
                <w:rFonts w:hint="eastAsia" w:ascii="仿宋" w:hAnsi="仿宋" w:eastAsia="仿宋" w:cs="仿宋"/>
                <w:b w:val="0"/>
                <w:bCs/>
                <w:color w:val="auto"/>
                <w:spacing w:val="0"/>
                <w:w w:val="100"/>
                <w:kern w:val="0"/>
                <w:sz w:val="15"/>
                <w:szCs w:val="15"/>
                <w:shd w:val="clear"/>
                <w:lang w:val="en-US" w:eastAsia="zh-CN" w:bidi="ar"/>
              </w:rPr>
              <w:t>年</w:t>
            </w:r>
            <w:r>
              <w:rPr>
                <w:rFonts w:hint="default" w:ascii="仿宋" w:hAnsi="仿宋" w:eastAsia="仿宋" w:cs="仿宋"/>
                <w:b w:val="0"/>
                <w:bCs/>
                <w:color w:val="auto"/>
                <w:spacing w:val="0"/>
                <w:w w:val="100"/>
                <w:kern w:val="0"/>
                <w:sz w:val="15"/>
                <w:szCs w:val="15"/>
                <w:shd w:val="clear"/>
                <w:lang w:val="en-US" w:eastAsia="zh-CN" w:bidi="ar"/>
              </w:rPr>
              <w:t>7</w:t>
            </w:r>
            <w:r>
              <w:rPr>
                <w:rFonts w:hint="eastAsia" w:ascii="仿宋" w:hAnsi="仿宋" w:eastAsia="仿宋" w:cs="仿宋"/>
                <w:b w:val="0"/>
                <w:bCs/>
                <w:color w:val="auto"/>
                <w:spacing w:val="0"/>
                <w:w w:val="100"/>
                <w:kern w:val="0"/>
                <w:sz w:val="15"/>
                <w:szCs w:val="15"/>
                <w:shd w:val="clear"/>
                <w:lang w:val="en-US" w:eastAsia="zh-CN" w:bidi="ar"/>
              </w:rPr>
              <w:t>月</w:t>
            </w:r>
            <w:r>
              <w:rPr>
                <w:rFonts w:hint="default" w:ascii="仿宋" w:hAnsi="仿宋" w:eastAsia="仿宋" w:cs="仿宋"/>
                <w:b w:val="0"/>
                <w:bCs/>
                <w:color w:val="auto"/>
                <w:spacing w:val="0"/>
                <w:w w:val="100"/>
                <w:kern w:val="0"/>
                <w:sz w:val="15"/>
                <w:szCs w:val="15"/>
                <w:shd w:val="clear"/>
                <w:lang w:val="en-US" w:eastAsia="zh-CN" w:bidi="ar"/>
              </w:rPr>
              <w:t>7</w:t>
            </w:r>
            <w:r>
              <w:rPr>
                <w:rFonts w:hint="eastAsia" w:ascii="仿宋" w:hAnsi="仿宋" w:eastAsia="仿宋" w:cs="仿宋"/>
                <w:b w:val="0"/>
                <w:bCs/>
                <w:color w:val="auto"/>
                <w:spacing w:val="0"/>
                <w:w w:val="100"/>
                <w:kern w:val="0"/>
                <w:sz w:val="15"/>
                <w:szCs w:val="15"/>
                <w:shd w:val="clear"/>
                <w:lang w:val="en-US" w:eastAsia="zh-CN" w:bidi="ar"/>
              </w:rPr>
              <w:t>日中华人民共和国国务院令第</w:t>
            </w:r>
            <w:r>
              <w:rPr>
                <w:rFonts w:hint="default" w:ascii="仿宋" w:hAnsi="仿宋" w:eastAsia="仿宋" w:cs="仿宋"/>
                <w:b w:val="0"/>
                <w:bCs/>
                <w:color w:val="auto"/>
                <w:spacing w:val="0"/>
                <w:w w:val="100"/>
                <w:kern w:val="0"/>
                <w:sz w:val="15"/>
                <w:szCs w:val="15"/>
                <w:shd w:val="clear"/>
                <w:lang w:val="en-US" w:eastAsia="zh-CN" w:bidi="ar"/>
              </w:rPr>
              <w:t>439</w:t>
            </w:r>
            <w:r>
              <w:rPr>
                <w:rFonts w:hint="eastAsia" w:ascii="仿宋" w:hAnsi="仿宋" w:eastAsia="仿宋" w:cs="仿宋"/>
                <w:b w:val="0"/>
                <w:bCs/>
                <w:color w:val="auto"/>
                <w:spacing w:val="0"/>
                <w:w w:val="100"/>
                <w:kern w:val="0"/>
                <w:sz w:val="15"/>
                <w:szCs w:val="15"/>
                <w:shd w:val="clear"/>
                <w:lang w:val="en-US" w:eastAsia="zh-CN" w:bidi="ar"/>
              </w:rPr>
              <w:t>号公布根据</w:t>
            </w:r>
            <w:r>
              <w:rPr>
                <w:rFonts w:hint="default" w:ascii="仿宋" w:hAnsi="仿宋" w:eastAsia="仿宋" w:cs="仿宋"/>
                <w:b w:val="0"/>
                <w:bCs/>
                <w:color w:val="auto"/>
                <w:spacing w:val="0"/>
                <w:w w:val="100"/>
                <w:kern w:val="0"/>
                <w:sz w:val="15"/>
                <w:szCs w:val="15"/>
                <w:shd w:val="clear"/>
                <w:lang w:val="en-US" w:eastAsia="zh-CN" w:bidi="ar"/>
              </w:rPr>
              <w:t>2008</w:t>
            </w:r>
            <w:r>
              <w:rPr>
                <w:rFonts w:hint="eastAsia" w:ascii="仿宋" w:hAnsi="仿宋" w:eastAsia="仿宋" w:cs="仿宋"/>
                <w:b w:val="0"/>
                <w:bCs/>
                <w:color w:val="auto"/>
                <w:spacing w:val="0"/>
                <w:w w:val="100"/>
                <w:kern w:val="0"/>
                <w:sz w:val="15"/>
                <w:szCs w:val="15"/>
                <w:shd w:val="clear"/>
                <w:lang w:val="en-US" w:eastAsia="zh-CN" w:bidi="ar"/>
              </w:rPr>
              <w:t>年</w:t>
            </w:r>
            <w:r>
              <w:rPr>
                <w:rFonts w:hint="default" w:ascii="仿宋" w:hAnsi="仿宋" w:eastAsia="仿宋" w:cs="仿宋"/>
                <w:b w:val="0"/>
                <w:bCs/>
                <w:color w:val="auto"/>
                <w:spacing w:val="0"/>
                <w:w w:val="100"/>
                <w:kern w:val="0"/>
                <w:sz w:val="15"/>
                <w:szCs w:val="15"/>
                <w:shd w:val="clear"/>
                <w:lang w:val="en-US" w:eastAsia="zh-CN" w:bidi="ar"/>
              </w:rPr>
              <w:t>7</w:t>
            </w:r>
            <w:r>
              <w:rPr>
                <w:rFonts w:hint="eastAsia" w:ascii="仿宋" w:hAnsi="仿宋" w:eastAsia="仿宋" w:cs="仿宋"/>
                <w:b w:val="0"/>
                <w:bCs/>
                <w:color w:val="auto"/>
                <w:spacing w:val="0"/>
                <w:w w:val="100"/>
                <w:kern w:val="0"/>
                <w:sz w:val="15"/>
                <w:szCs w:val="15"/>
                <w:shd w:val="clear"/>
                <w:lang w:val="en-US" w:eastAsia="zh-CN" w:bidi="ar"/>
              </w:rPr>
              <w:t>月</w:t>
            </w:r>
            <w:r>
              <w:rPr>
                <w:rFonts w:hint="default" w:ascii="仿宋" w:hAnsi="仿宋" w:eastAsia="仿宋" w:cs="仿宋"/>
                <w:b w:val="0"/>
                <w:bCs/>
                <w:color w:val="auto"/>
                <w:spacing w:val="0"/>
                <w:w w:val="100"/>
                <w:kern w:val="0"/>
                <w:sz w:val="15"/>
                <w:szCs w:val="15"/>
                <w:shd w:val="clear"/>
                <w:lang w:val="en-US" w:eastAsia="zh-CN" w:bidi="ar"/>
              </w:rPr>
              <w:t>22</w:t>
            </w:r>
            <w:r>
              <w:rPr>
                <w:rFonts w:hint="eastAsia" w:ascii="仿宋" w:hAnsi="仿宋" w:eastAsia="仿宋" w:cs="仿宋"/>
                <w:b w:val="0"/>
                <w:bCs/>
                <w:color w:val="auto"/>
                <w:spacing w:val="0"/>
                <w:w w:val="100"/>
                <w:kern w:val="0"/>
                <w:sz w:val="15"/>
                <w:szCs w:val="15"/>
                <w:shd w:val="clear"/>
                <w:lang w:val="en-US" w:eastAsia="zh-CN" w:bidi="ar"/>
              </w:rPr>
              <w:t>日《国务院关于修改〈营业性演出管理条例〉的决定》第一次修订根据</w:t>
            </w:r>
            <w:r>
              <w:rPr>
                <w:rFonts w:hint="default" w:ascii="仿宋" w:hAnsi="仿宋" w:eastAsia="仿宋" w:cs="仿宋"/>
                <w:b w:val="0"/>
                <w:bCs/>
                <w:color w:val="auto"/>
                <w:spacing w:val="0"/>
                <w:w w:val="100"/>
                <w:kern w:val="0"/>
                <w:sz w:val="15"/>
                <w:szCs w:val="15"/>
                <w:shd w:val="clear"/>
                <w:lang w:val="en-US" w:eastAsia="zh-CN" w:bidi="ar"/>
              </w:rPr>
              <w:t>2013</w:t>
            </w:r>
            <w:r>
              <w:rPr>
                <w:rFonts w:hint="eastAsia" w:ascii="仿宋" w:hAnsi="仿宋" w:eastAsia="仿宋" w:cs="仿宋"/>
                <w:b w:val="0"/>
                <w:bCs/>
                <w:color w:val="auto"/>
                <w:spacing w:val="0"/>
                <w:w w:val="100"/>
                <w:kern w:val="0"/>
                <w:sz w:val="15"/>
                <w:szCs w:val="15"/>
                <w:shd w:val="clear"/>
                <w:lang w:val="en-US" w:eastAsia="zh-CN" w:bidi="ar"/>
              </w:rPr>
              <w:t>年</w:t>
            </w:r>
            <w:r>
              <w:rPr>
                <w:rFonts w:hint="default" w:ascii="仿宋" w:hAnsi="仿宋" w:eastAsia="仿宋" w:cs="仿宋"/>
                <w:b w:val="0"/>
                <w:bCs/>
                <w:color w:val="auto"/>
                <w:spacing w:val="0"/>
                <w:w w:val="100"/>
                <w:kern w:val="0"/>
                <w:sz w:val="15"/>
                <w:szCs w:val="15"/>
                <w:shd w:val="clear"/>
                <w:lang w:val="en-US" w:eastAsia="zh-CN" w:bidi="ar"/>
              </w:rPr>
              <w:t>7</w:t>
            </w:r>
            <w:r>
              <w:rPr>
                <w:rFonts w:hint="eastAsia" w:ascii="仿宋" w:hAnsi="仿宋" w:eastAsia="仿宋" w:cs="仿宋"/>
                <w:b w:val="0"/>
                <w:bCs/>
                <w:color w:val="auto"/>
                <w:spacing w:val="0"/>
                <w:w w:val="100"/>
                <w:kern w:val="0"/>
                <w:sz w:val="15"/>
                <w:szCs w:val="15"/>
                <w:shd w:val="clear"/>
                <w:lang w:val="en-US" w:eastAsia="zh-CN" w:bidi="ar"/>
              </w:rPr>
              <w:t>月</w:t>
            </w:r>
            <w:r>
              <w:rPr>
                <w:rFonts w:hint="default" w:ascii="仿宋" w:hAnsi="仿宋" w:eastAsia="仿宋" w:cs="仿宋"/>
                <w:b w:val="0"/>
                <w:bCs/>
                <w:color w:val="auto"/>
                <w:spacing w:val="0"/>
                <w:w w:val="100"/>
                <w:kern w:val="0"/>
                <w:sz w:val="15"/>
                <w:szCs w:val="15"/>
                <w:shd w:val="clear"/>
                <w:lang w:val="en-US" w:eastAsia="zh-CN" w:bidi="ar"/>
              </w:rPr>
              <w:t>18</w:t>
            </w:r>
            <w:r>
              <w:rPr>
                <w:rFonts w:hint="eastAsia" w:ascii="仿宋" w:hAnsi="仿宋" w:eastAsia="仿宋" w:cs="仿宋"/>
                <w:b w:val="0"/>
                <w:bCs/>
                <w:color w:val="auto"/>
                <w:spacing w:val="0"/>
                <w:w w:val="100"/>
                <w:kern w:val="0"/>
                <w:sz w:val="15"/>
                <w:szCs w:val="15"/>
                <w:shd w:val="clear"/>
                <w:lang w:val="en-US" w:eastAsia="zh-CN" w:bidi="ar"/>
              </w:rPr>
              <w:t>日《国务院关于废止和修改部分行政法规的决定》第二次修订根据</w:t>
            </w:r>
            <w:r>
              <w:rPr>
                <w:rFonts w:hint="default" w:ascii="仿宋" w:hAnsi="仿宋" w:eastAsia="仿宋" w:cs="仿宋"/>
                <w:b w:val="0"/>
                <w:bCs/>
                <w:color w:val="auto"/>
                <w:spacing w:val="0"/>
                <w:w w:val="100"/>
                <w:kern w:val="0"/>
                <w:sz w:val="15"/>
                <w:szCs w:val="15"/>
                <w:shd w:val="clear"/>
                <w:lang w:val="en-US" w:eastAsia="zh-CN" w:bidi="ar"/>
              </w:rPr>
              <w:t>2016</w:t>
            </w:r>
            <w:r>
              <w:rPr>
                <w:rFonts w:hint="eastAsia" w:ascii="仿宋" w:hAnsi="仿宋" w:eastAsia="仿宋" w:cs="仿宋"/>
                <w:b w:val="0"/>
                <w:bCs/>
                <w:color w:val="auto"/>
                <w:spacing w:val="0"/>
                <w:w w:val="100"/>
                <w:kern w:val="0"/>
                <w:sz w:val="15"/>
                <w:szCs w:val="15"/>
                <w:shd w:val="clear"/>
                <w:lang w:val="en-US" w:eastAsia="zh-CN" w:bidi="ar"/>
              </w:rPr>
              <w:t>年</w:t>
            </w:r>
            <w:r>
              <w:rPr>
                <w:rFonts w:hint="default" w:ascii="仿宋" w:hAnsi="仿宋" w:eastAsia="仿宋" w:cs="仿宋"/>
                <w:b w:val="0"/>
                <w:bCs/>
                <w:color w:val="auto"/>
                <w:spacing w:val="0"/>
                <w:w w:val="100"/>
                <w:kern w:val="0"/>
                <w:sz w:val="15"/>
                <w:szCs w:val="15"/>
                <w:shd w:val="clear"/>
                <w:lang w:val="en-US" w:eastAsia="zh-CN" w:bidi="ar"/>
              </w:rPr>
              <w:t>2</w:t>
            </w:r>
            <w:r>
              <w:rPr>
                <w:rFonts w:hint="eastAsia" w:ascii="仿宋" w:hAnsi="仿宋" w:eastAsia="仿宋" w:cs="仿宋"/>
                <w:b w:val="0"/>
                <w:bCs/>
                <w:color w:val="auto"/>
                <w:spacing w:val="0"/>
                <w:w w:val="100"/>
                <w:kern w:val="0"/>
                <w:sz w:val="15"/>
                <w:szCs w:val="15"/>
                <w:shd w:val="clear"/>
                <w:lang w:val="en-US" w:eastAsia="zh-CN" w:bidi="ar"/>
              </w:rPr>
              <w:t>月</w:t>
            </w:r>
            <w:r>
              <w:rPr>
                <w:rFonts w:hint="default" w:ascii="仿宋" w:hAnsi="仿宋" w:eastAsia="仿宋" w:cs="仿宋"/>
                <w:b w:val="0"/>
                <w:bCs/>
                <w:color w:val="auto"/>
                <w:spacing w:val="0"/>
                <w:w w:val="100"/>
                <w:kern w:val="0"/>
                <w:sz w:val="15"/>
                <w:szCs w:val="15"/>
                <w:shd w:val="clear"/>
                <w:lang w:val="en-US" w:eastAsia="zh-CN" w:bidi="ar"/>
              </w:rPr>
              <w:t>6</w:t>
            </w:r>
            <w:r>
              <w:rPr>
                <w:rFonts w:hint="eastAsia" w:ascii="仿宋" w:hAnsi="仿宋" w:eastAsia="仿宋" w:cs="仿宋"/>
                <w:b w:val="0"/>
                <w:bCs/>
                <w:color w:val="auto"/>
                <w:spacing w:val="0"/>
                <w:w w:val="100"/>
                <w:kern w:val="0"/>
                <w:sz w:val="15"/>
                <w:szCs w:val="15"/>
                <w:shd w:val="clear"/>
                <w:lang w:val="en-US" w:eastAsia="zh-CN" w:bidi="ar"/>
              </w:rPr>
              <w:t>日《国务院关于修改部分行政法规的决定》第三次修订根据</w:t>
            </w:r>
            <w:r>
              <w:rPr>
                <w:rFonts w:hint="default" w:ascii="仿宋" w:hAnsi="仿宋" w:eastAsia="仿宋" w:cs="仿宋"/>
                <w:b w:val="0"/>
                <w:bCs/>
                <w:color w:val="auto"/>
                <w:spacing w:val="0"/>
                <w:w w:val="100"/>
                <w:kern w:val="0"/>
                <w:sz w:val="15"/>
                <w:szCs w:val="15"/>
                <w:shd w:val="clear"/>
                <w:lang w:val="en-US" w:eastAsia="zh-CN" w:bidi="ar"/>
              </w:rPr>
              <w:t>2020</w:t>
            </w:r>
            <w:r>
              <w:rPr>
                <w:rFonts w:hint="eastAsia" w:ascii="仿宋" w:hAnsi="仿宋" w:eastAsia="仿宋" w:cs="仿宋"/>
                <w:b w:val="0"/>
                <w:bCs/>
                <w:color w:val="auto"/>
                <w:spacing w:val="0"/>
                <w:w w:val="100"/>
                <w:kern w:val="0"/>
                <w:sz w:val="15"/>
                <w:szCs w:val="15"/>
                <w:shd w:val="clear"/>
                <w:lang w:val="en-US" w:eastAsia="zh-CN" w:bidi="ar"/>
              </w:rPr>
              <w:t>年</w:t>
            </w:r>
            <w:r>
              <w:rPr>
                <w:rFonts w:hint="default" w:ascii="仿宋" w:hAnsi="仿宋" w:eastAsia="仿宋" w:cs="仿宋"/>
                <w:b w:val="0"/>
                <w:bCs/>
                <w:color w:val="auto"/>
                <w:spacing w:val="0"/>
                <w:w w:val="100"/>
                <w:kern w:val="0"/>
                <w:sz w:val="15"/>
                <w:szCs w:val="15"/>
                <w:shd w:val="clear"/>
                <w:lang w:val="en-US" w:eastAsia="zh-CN" w:bidi="ar"/>
              </w:rPr>
              <w:t>11</w:t>
            </w:r>
            <w:r>
              <w:rPr>
                <w:rFonts w:hint="eastAsia" w:ascii="仿宋" w:hAnsi="仿宋" w:eastAsia="仿宋" w:cs="仿宋"/>
                <w:b w:val="0"/>
                <w:bCs/>
                <w:color w:val="auto"/>
                <w:spacing w:val="0"/>
                <w:w w:val="100"/>
                <w:kern w:val="0"/>
                <w:sz w:val="15"/>
                <w:szCs w:val="15"/>
                <w:shd w:val="clear"/>
                <w:lang w:val="en-US" w:eastAsia="zh-CN" w:bidi="ar"/>
              </w:rPr>
              <w:t>月</w:t>
            </w:r>
            <w:r>
              <w:rPr>
                <w:rFonts w:hint="default" w:ascii="仿宋" w:hAnsi="仿宋" w:eastAsia="仿宋" w:cs="仿宋"/>
                <w:b w:val="0"/>
                <w:bCs/>
                <w:color w:val="auto"/>
                <w:spacing w:val="0"/>
                <w:w w:val="100"/>
                <w:kern w:val="0"/>
                <w:sz w:val="15"/>
                <w:szCs w:val="15"/>
                <w:shd w:val="clear"/>
                <w:lang w:val="en-US" w:eastAsia="zh-CN" w:bidi="ar"/>
              </w:rPr>
              <w:t>29</w:t>
            </w:r>
            <w:r>
              <w:rPr>
                <w:rFonts w:hint="eastAsia" w:ascii="仿宋" w:hAnsi="仿宋" w:eastAsia="仿宋" w:cs="仿宋"/>
                <w:b w:val="0"/>
                <w:bCs/>
                <w:color w:val="auto"/>
                <w:spacing w:val="0"/>
                <w:w w:val="100"/>
                <w:kern w:val="0"/>
                <w:sz w:val="15"/>
                <w:szCs w:val="15"/>
                <w:shd w:val="clear"/>
                <w:lang w:val="en-US" w:eastAsia="zh-CN" w:bidi="ar"/>
              </w:rPr>
              <w:t>日《国务院关于修改和废止部分行政法规的决定》第四次修订)</w:t>
            </w:r>
            <w:r>
              <w:rPr>
                <w:rFonts w:hint="eastAsia" w:ascii="仿宋" w:hAnsi="仿宋" w:eastAsia="仿宋" w:cs="仿宋"/>
                <w:i w:val="0"/>
                <w:color w:val="auto"/>
                <w:kern w:val="0"/>
                <w:sz w:val="15"/>
                <w:szCs w:val="15"/>
                <w:u w:val="none"/>
                <w:lang w:val="en-US" w:eastAsia="zh-CN" w:bidi="ar"/>
              </w:rPr>
              <w:t>第七条：“设立演出场所经营单位，应当依法到工商行政管理部门办理注册登记，领取营业执照，并依照有关消防、卫生管理等法律、行政法规的规定办理审批手续。演出场所经营单位应当自领取营业执照之日起20日内向所在地县级人民政府文化主管部门备案。”</w:t>
            </w:r>
          </w:p>
          <w:p w14:paraId="16FFD900">
            <w:pPr>
              <w:keepNext w:val="0"/>
              <w:keepLines w:val="0"/>
              <w:pageBreakBefore w:val="0"/>
              <w:widowControl w:val="0"/>
              <w:kinsoku/>
              <w:wordWrap/>
              <w:overflowPunct/>
              <w:topLinePunct w:val="0"/>
              <w:autoSpaceDE/>
              <w:autoSpaceDN/>
              <w:bidi w:val="0"/>
              <w:adjustRightInd/>
              <w:snapToGrid/>
              <w:spacing w:line="150" w:lineRule="exact"/>
              <w:ind w:firstLine="0" w:firstLineChars="0"/>
              <w:jc w:val="both"/>
              <w:textAlignment w:val="auto"/>
              <w:rPr>
                <w:rFonts w:hint="eastAsia" w:ascii="仿宋" w:hAnsi="仿宋" w:eastAsia="仿宋" w:cs="仿宋"/>
                <w:i w:val="0"/>
                <w:color w:val="auto"/>
                <w:kern w:val="0"/>
                <w:sz w:val="15"/>
                <w:szCs w:val="15"/>
                <w:u w:val="none"/>
                <w:lang w:val="en-US" w:eastAsia="zh-CN" w:bidi="ar"/>
              </w:rPr>
            </w:pPr>
            <w:r>
              <w:rPr>
                <w:rFonts w:hint="eastAsia" w:ascii="仿宋" w:hAnsi="仿宋" w:eastAsia="仿宋" w:cs="仿宋"/>
                <w:i w:val="0"/>
                <w:color w:val="auto"/>
                <w:kern w:val="0"/>
                <w:sz w:val="15"/>
                <w:szCs w:val="15"/>
                <w:u w:val="none"/>
                <w:lang w:val="en-US" w:eastAsia="zh-CN" w:bidi="ar"/>
              </w:rPr>
              <w:t>第十条：外国投资者可以依法在中国境内设立演出经纪机构、演出场所经营单位；不得设立文艺表演团体。外商投资的演出经纪机构申请从事营业性演出经营活动、外商投资的演出场所经营单位申请从事演出场所经营活动，应当向国务院文化主管部门提出申请。国务院文化主管部门应当自收到申请之日起20日内作出决定。批准的，颁发营业性演出许可证；不批准的，应当书面通知申请人并说明理由。</w:t>
            </w:r>
          </w:p>
          <w:p w14:paraId="22A8C72B">
            <w:pPr>
              <w:keepNext w:val="0"/>
              <w:keepLines w:val="0"/>
              <w:pageBreakBefore w:val="0"/>
              <w:widowControl w:val="0"/>
              <w:kinsoku/>
              <w:wordWrap/>
              <w:overflowPunct/>
              <w:topLinePunct w:val="0"/>
              <w:autoSpaceDE/>
              <w:autoSpaceDN/>
              <w:bidi w:val="0"/>
              <w:adjustRightInd/>
              <w:snapToGrid/>
              <w:spacing w:line="150" w:lineRule="exact"/>
              <w:ind w:firstLine="0" w:firstLineChars="0"/>
              <w:jc w:val="both"/>
              <w:textAlignment w:val="auto"/>
              <w:rPr>
                <w:rFonts w:hint="eastAsia" w:ascii="仿宋" w:hAnsi="仿宋" w:eastAsia="仿宋" w:cs="仿宋"/>
                <w:i w:val="0"/>
                <w:color w:val="auto"/>
                <w:kern w:val="0"/>
                <w:sz w:val="15"/>
                <w:szCs w:val="15"/>
                <w:u w:val="none"/>
                <w:lang w:val="en-US" w:eastAsia="zh-CN" w:bidi="ar"/>
              </w:rPr>
            </w:pPr>
            <w:r>
              <w:rPr>
                <w:rFonts w:hint="eastAsia" w:ascii="仿宋" w:hAnsi="仿宋" w:eastAsia="仿宋" w:cs="仿宋"/>
                <w:i w:val="0"/>
                <w:color w:val="auto"/>
                <w:kern w:val="0"/>
                <w:sz w:val="15"/>
                <w:szCs w:val="15"/>
                <w:u w:val="none"/>
                <w:lang w:val="en-US" w:eastAsia="zh-CN" w:bidi="ar"/>
              </w:rPr>
              <w:t>十一条：香港特别行政区、澳门特别行政区的投资者可以在内地投资设立演出经纪机构、演出场所经营单位以及由内地方控股的文艺表演团体；香港特别行政区、澳门特别行政区的演出经纪机构可以在内地设立分支机构。台湾地区的投资者可以在大陆投资设立演出经纪机构、演出场所经营单位，不得设立文艺表演团体。依照本条规定设立的演出经纪机构、文艺表演团体申请从事营业性演出经营活动，依照本条规定设立的演出场所经营单位申请从事演出场所经营活动，应当向省、自治区、直辖市人民政府文化主管部门提出申请。省、自治区、直辖市人民政府文化主管部门应当自收到申请之日起20日内作出决定。批准的，颁发营业性演出许可证；不批准的，应当书面通知申请人并说明理由。依照本条规定设立演出经纪机构、演出场所经营单位的，还应当遵守我国其他法律、法规的规定。</w:t>
            </w:r>
          </w:p>
          <w:p w14:paraId="150D6304">
            <w:pPr>
              <w:keepNext w:val="0"/>
              <w:keepLines w:val="0"/>
              <w:pageBreakBefore w:val="0"/>
              <w:widowControl w:val="0"/>
              <w:kinsoku/>
              <w:wordWrap/>
              <w:overflowPunct/>
              <w:topLinePunct w:val="0"/>
              <w:autoSpaceDE/>
              <w:autoSpaceDN/>
              <w:bidi w:val="0"/>
              <w:adjustRightInd/>
              <w:snapToGrid/>
              <w:spacing w:line="150" w:lineRule="exact"/>
              <w:ind w:firstLine="0" w:firstLineChars="0"/>
              <w:jc w:val="both"/>
              <w:textAlignment w:val="auto"/>
              <w:rPr>
                <w:rFonts w:hint="eastAsia" w:ascii="仿宋" w:hAnsi="仿宋" w:eastAsia="仿宋" w:cs="仿宋"/>
                <w:i w:val="0"/>
                <w:color w:val="auto"/>
                <w:kern w:val="0"/>
                <w:sz w:val="15"/>
                <w:szCs w:val="15"/>
                <w:u w:val="none"/>
                <w:lang w:val="en-US" w:eastAsia="zh-CN" w:bidi="ar"/>
              </w:rPr>
            </w:pPr>
            <w:r>
              <w:rPr>
                <w:rFonts w:hint="eastAsia" w:ascii="仿宋" w:hAnsi="仿宋" w:eastAsia="仿宋" w:cs="仿宋"/>
                <w:i w:val="0"/>
                <w:color w:val="auto"/>
                <w:kern w:val="0"/>
                <w:sz w:val="15"/>
                <w:szCs w:val="15"/>
                <w:u w:val="none"/>
                <w:lang w:val="en-US" w:eastAsia="zh-CN" w:bidi="ar"/>
              </w:rPr>
              <w:t>第十七条演出场所经营单位提供演出场地，应当核验演出举办单位取得的批准文件；不得为未经批准的营业性演出提供演出场地。</w:t>
            </w:r>
          </w:p>
          <w:p w14:paraId="46D26B46">
            <w:pPr>
              <w:keepNext w:val="0"/>
              <w:keepLines w:val="0"/>
              <w:pageBreakBefore w:val="0"/>
              <w:widowControl w:val="0"/>
              <w:kinsoku/>
              <w:wordWrap/>
              <w:overflowPunct/>
              <w:topLinePunct w:val="0"/>
              <w:autoSpaceDE/>
              <w:autoSpaceDN/>
              <w:bidi w:val="0"/>
              <w:adjustRightInd/>
              <w:snapToGrid/>
              <w:spacing w:line="150" w:lineRule="exact"/>
              <w:ind w:firstLine="0" w:firstLineChars="0"/>
              <w:jc w:val="both"/>
              <w:textAlignment w:val="auto"/>
              <w:rPr>
                <w:rFonts w:hint="eastAsia"/>
                <w:lang w:val="en-US" w:eastAsia="zh-CN"/>
              </w:rPr>
            </w:pPr>
            <w:r>
              <w:rPr>
                <w:rFonts w:hint="eastAsia" w:ascii="仿宋" w:hAnsi="仿宋" w:eastAsia="仿宋" w:cs="仿宋"/>
                <w:i w:val="0"/>
                <w:color w:val="auto"/>
                <w:kern w:val="0"/>
                <w:sz w:val="15"/>
                <w:szCs w:val="15"/>
                <w:u w:val="none"/>
                <w:lang w:val="en-US" w:eastAsia="zh-CN" w:bidi="ar"/>
              </w:rPr>
              <w:t>第十八条演出场所经营单位应当确保演出场所的建筑、设施符合国家安全标准和消防安全规范，定期检查消防安全设施状况，并及时维护、更新。演出场所经营单位应当制定安全保卫工作方案和灭火、应急疏散预案。演出举办单位在演出场所进行营业性演出，应当核验演出场所经营单位的消防安全设施检查记录、安全保卫工作方案和灭火、应急疏散预案，并与演出场所经营单位就演出活动中突发安全事件的防范、处理等事项签订安全责任协议。</w:t>
            </w:r>
          </w:p>
        </w:tc>
        <w:tc>
          <w:tcPr>
            <w:tcW w:w="616" w:type="dxa"/>
            <w:gridSpan w:val="3"/>
            <w:vMerge w:val="restart"/>
            <w:tcBorders>
              <w:top w:val="single" w:color="auto" w:sz="4" w:space="0"/>
              <w:left w:val="single" w:color="auto" w:sz="4" w:space="0"/>
              <w:right w:val="single" w:color="auto" w:sz="4" w:space="0"/>
            </w:tcBorders>
            <w:tcMar>
              <w:top w:w="15" w:type="dxa"/>
              <w:left w:w="15" w:type="dxa"/>
              <w:right w:w="15" w:type="dxa"/>
            </w:tcMar>
            <w:vAlign w:val="center"/>
          </w:tcPr>
          <w:p w14:paraId="2ACD78EA">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b w:val="0"/>
                <w:bCs/>
                <w:color w:val="000000"/>
                <w:spacing w:val="-6"/>
                <w:w w:val="100"/>
                <w:kern w:val="0"/>
                <w:sz w:val="24"/>
                <w:szCs w:val="24"/>
                <w:lang w:eastAsia="zh-CN" w:bidi="ar"/>
              </w:rPr>
            </w:pPr>
            <w:r>
              <w:rPr>
                <w:rFonts w:hint="eastAsia" w:ascii="仿宋" w:hAnsi="仿宋" w:eastAsia="仿宋" w:cs="仿宋"/>
                <w:b w:val="0"/>
                <w:bCs/>
                <w:color w:val="000000"/>
                <w:spacing w:val="-6"/>
                <w:w w:val="100"/>
                <w:kern w:val="0"/>
                <w:sz w:val="24"/>
                <w:szCs w:val="24"/>
                <w:lang w:eastAsia="zh-CN" w:bidi="ar"/>
              </w:rPr>
              <w:t>行政</w:t>
            </w:r>
          </w:p>
          <w:p w14:paraId="5520E477">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6"/>
                <w:w w:val="100"/>
                <w:kern w:val="0"/>
                <w:sz w:val="24"/>
                <w:szCs w:val="24"/>
                <w:lang w:eastAsia="zh-CN" w:bidi="ar"/>
              </w:rPr>
              <w:t>检查</w:t>
            </w:r>
          </w:p>
          <w:p w14:paraId="490EC638">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BB52AAF">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6"/>
                <w:w w:val="100"/>
                <w:kern w:val="0"/>
                <w:sz w:val="24"/>
                <w:szCs w:val="24"/>
                <w:lang w:bidi="ar"/>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68B8F66">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0"/>
                <w:w w:val="100"/>
                <w:kern w:val="0"/>
                <w:sz w:val="24"/>
                <w:szCs w:val="24"/>
                <w:lang w:bidi="ar"/>
              </w:rPr>
              <w:t>1.受理责任：接到投诉按投诉处理流程及时处理后决定是否移交执法机关。</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5516DD16">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不履行或不正确履行职责，有下列情形的行政机关及相关工作人员应当承担相应的责任：</w:t>
            </w:r>
          </w:p>
          <w:p w14:paraId="47605750">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滥用审批权限、不履行职责或者发现违法行为不予查处，造成严重后果的，依法给予行政处分，情节严重的，依法开除公职或者吊销其从业资格；构成犯罪的，依法追究刑事责任。</w:t>
            </w:r>
          </w:p>
          <w:p w14:paraId="04A6FDD0">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66A74485">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监督管理股</w:t>
            </w:r>
          </w:p>
          <w:p w14:paraId="0342576E">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70F3B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5" w:hRule="atLeast"/>
          <w:jc w:val="center"/>
        </w:trPr>
        <w:tc>
          <w:tcPr>
            <w:tcW w:w="678" w:type="dxa"/>
            <w:vMerge w:val="continue"/>
            <w:tcBorders>
              <w:left w:val="single" w:color="auto" w:sz="4" w:space="0"/>
              <w:right w:val="single" w:color="auto" w:sz="4" w:space="0"/>
            </w:tcBorders>
            <w:tcMar>
              <w:top w:w="15" w:type="dxa"/>
              <w:left w:w="15" w:type="dxa"/>
              <w:right w:w="15" w:type="dxa"/>
            </w:tcMar>
            <w:vAlign w:val="center"/>
          </w:tcPr>
          <w:p w14:paraId="18D13C09">
            <w:pPr>
              <w:keepNext w:val="0"/>
              <w:keepLines w:val="0"/>
              <w:pageBreakBefore w:val="0"/>
              <w:kinsoku/>
              <w:wordWrap/>
              <w:overflowPunct/>
              <w:topLinePunct w:val="0"/>
              <w:autoSpaceDE/>
              <w:autoSpaceDN/>
              <w:bidi w:val="0"/>
              <w:adjustRightInd/>
              <w:ind w:firstLine="0" w:firstLineChars="0"/>
              <w:jc w:val="both"/>
            </w:pPr>
          </w:p>
        </w:tc>
        <w:tc>
          <w:tcPr>
            <w:tcW w:w="1382" w:type="dxa"/>
            <w:vMerge w:val="continue"/>
            <w:tcBorders>
              <w:left w:val="single" w:color="auto" w:sz="4" w:space="0"/>
              <w:right w:val="single" w:color="auto" w:sz="4" w:space="0"/>
            </w:tcBorders>
            <w:tcMar>
              <w:top w:w="15" w:type="dxa"/>
              <w:left w:w="15" w:type="dxa"/>
              <w:right w:w="15" w:type="dxa"/>
            </w:tcMar>
            <w:vAlign w:val="center"/>
          </w:tcPr>
          <w:p w14:paraId="261222FF">
            <w:pPr>
              <w:keepNext w:val="0"/>
              <w:keepLines w:val="0"/>
              <w:pageBreakBefore w:val="0"/>
              <w:kinsoku/>
              <w:wordWrap/>
              <w:overflowPunct/>
              <w:topLinePunct w:val="0"/>
              <w:autoSpaceDE/>
              <w:autoSpaceDN/>
              <w:bidi w:val="0"/>
              <w:adjustRightInd/>
              <w:ind w:firstLine="0" w:firstLineChars="0"/>
              <w:jc w:val="both"/>
            </w:pPr>
          </w:p>
        </w:tc>
        <w:tc>
          <w:tcPr>
            <w:tcW w:w="3801" w:type="dxa"/>
            <w:gridSpan w:val="2"/>
            <w:vMerge w:val="continue"/>
            <w:tcBorders>
              <w:left w:val="single" w:color="auto" w:sz="4" w:space="0"/>
              <w:right w:val="single" w:color="auto" w:sz="4" w:space="0"/>
            </w:tcBorders>
            <w:tcMar>
              <w:top w:w="15" w:type="dxa"/>
              <w:left w:w="15" w:type="dxa"/>
              <w:right w:w="15" w:type="dxa"/>
            </w:tcMar>
            <w:vAlign w:val="center"/>
          </w:tcPr>
          <w:p w14:paraId="6474E7C0">
            <w:pPr>
              <w:keepNext w:val="0"/>
              <w:keepLines w:val="0"/>
              <w:pageBreakBefore w:val="0"/>
              <w:kinsoku/>
              <w:wordWrap/>
              <w:overflowPunct/>
              <w:topLinePunct w:val="0"/>
              <w:autoSpaceDE/>
              <w:autoSpaceDN/>
              <w:bidi w:val="0"/>
              <w:adjustRightInd/>
              <w:ind w:firstLine="0" w:firstLineChars="0"/>
              <w:jc w:val="both"/>
            </w:pPr>
          </w:p>
        </w:tc>
        <w:tc>
          <w:tcPr>
            <w:tcW w:w="616" w:type="dxa"/>
            <w:gridSpan w:val="3"/>
            <w:vMerge w:val="continue"/>
            <w:tcBorders>
              <w:left w:val="single" w:color="auto" w:sz="4" w:space="0"/>
              <w:right w:val="single" w:color="auto" w:sz="4" w:space="0"/>
            </w:tcBorders>
            <w:tcMar>
              <w:top w:w="15" w:type="dxa"/>
              <w:left w:w="15" w:type="dxa"/>
              <w:right w:w="15" w:type="dxa"/>
            </w:tcMar>
            <w:vAlign w:val="center"/>
          </w:tcPr>
          <w:p w14:paraId="3F24F1BD">
            <w:pPr>
              <w:keepNext w:val="0"/>
              <w:keepLines w:val="0"/>
              <w:pageBreakBefore w:val="0"/>
              <w:kinsoku/>
              <w:wordWrap/>
              <w:overflowPunct/>
              <w:topLinePunct w:val="0"/>
              <w:autoSpaceDE/>
              <w:autoSpaceDN/>
              <w:bidi w:val="0"/>
              <w:adjustRightInd/>
              <w:ind w:firstLine="0" w:firstLineChars="0"/>
              <w:jc w:val="both"/>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6269E20">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6"/>
                <w:w w:val="100"/>
                <w:kern w:val="0"/>
                <w:sz w:val="24"/>
                <w:szCs w:val="24"/>
                <w:lang w:bidi="ar"/>
              </w:rPr>
              <w:t>审查</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8243F45">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0"/>
                <w:w w:val="100"/>
                <w:kern w:val="0"/>
                <w:sz w:val="24"/>
                <w:szCs w:val="24"/>
                <w:lang w:bidi="ar"/>
              </w:rPr>
              <w:t>2.调查阶段责任：有2名以上取得合法执法证件的执法人员在场；主动出示执法证件，表明身份；通知检查对象相关负责人或与检查活动内容相关的人员到场，说明执法检查目的、依据以及需要当事人配合的有关事项。</w:t>
            </w:r>
          </w:p>
        </w:tc>
        <w:tc>
          <w:tcPr>
            <w:tcW w:w="1717" w:type="dxa"/>
            <w:gridSpan w:val="2"/>
            <w:vMerge w:val="continue"/>
            <w:tcBorders>
              <w:left w:val="single" w:color="auto" w:sz="4" w:space="0"/>
              <w:right w:val="single" w:color="auto" w:sz="4" w:space="0"/>
            </w:tcBorders>
            <w:tcMar>
              <w:top w:w="15" w:type="dxa"/>
              <w:left w:w="15" w:type="dxa"/>
              <w:right w:w="15" w:type="dxa"/>
            </w:tcMar>
            <w:vAlign w:val="center"/>
          </w:tcPr>
          <w:p w14:paraId="6037F55E">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right w:val="single" w:color="auto" w:sz="4" w:space="0"/>
            </w:tcBorders>
            <w:tcMar>
              <w:top w:w="15" w:type="dxa"/>
              <w:left w:w="15" w:type="dxa"/>
              <w:right w:w="15" w:type="dxa"/>
            </w:tcMar>
            <w:vAlign w:val="center"/>
          </w:tcPr>
          <w:p w14:paraId="507E6E8A">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055A6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0053B4C">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3F6F279">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801"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2EFA78C">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16"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25B9964">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D5FA464">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6"/>
                <w:w w:val="100"/>
                <w:kern w:val="0"/>
                <w:sz w:val="24"/>
                <w:szCs w:val="24"/>
                <w:lang w:bidi="ar"/>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5EF963A">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0"/>
                <w:w w:val="100"/>
                <w:kern w:val="0"/>
                <w:sz w:val="24"/>
                <w:szCs w:val="24"/>
                <w:lang w:bidi="ar"/>
              </w:rPr>
              <w:t>3.审查阶段责任：企业经营行为规范，未发现违法违规问题的，执法人员应如实记录，检查结果可作为企业诚信评价的依据；检查结果基本规范，但存在经营管理不当等瑕疵行为的，执法人员应如实记录，并可以采取约谈企业负责人，提出整改意见，跟踪整改情况等处理措施；企业经营行为不规范，涉嫌违法违规、不构成犯罪的，执法人员应当将案件移交执法机关。</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D0BF532">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95AE82F">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p>
        </w:tc>
      </w:tr>
      <w:tr w14:paraId="379BB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55DAD2B">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2B3E6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74376A1">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15030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1617F12D">
            <w:pPr>
              <w:keepNext w:val="0"/>
              <w:keepLines w:val="0"/>
              <w:pageBreakBefore w:val="0"/>
              <w:kinsoku/>
              <w:wordWrap/>
              <w:overflowPunct/>
              <w:topLinePunct w:val="0"/>
              <w:autoSpaceDE/>
              <w:autoSpaceDN/>
              <w:bidi w:val="0"/>
              <w:adjustRightInd/>
              <w:ind w:firstLine="0" w:firstLineChars="0"/>
              <w:jc w:val="center"/>
              <w:rPr>
                <w:rFonts w:hint="default"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20</w:t>
            </w:r>
          </w:p>
        </w:tc>
        <w:tc>
          <w:tcPr>
            <w:tcW w:w="138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65B98ABF">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olor w:val="000000"/>
                <w:kern w:val="0"/>
                <w:sz w:val="24"/>
                <w:szCs w:val="24"/>
                <w:u w:val="none"/>
                <w:lang w:val="en-US" w:eastAsia="zh-CN" w:bidi="ar"/>
              </w:rPr>
              <w:t>对从事艺术品经营活动的经营单位的行政检查</w:t>
            </w:r>
          </w:p>
          <w:p w14:paraId="0A6714C8">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3801"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79F7951A">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《艺术品经营管理办法》（2015年12月17日 文化部令第56号 2016年1月18日发布）第三条：“文化部负责制定艺术品经营管理政策，监督管理全国艺术品经营活动，建立艺术品市场信用监管体系。省、自治区、直辖市人民政府文化行政部门负责艺术品进出口经营活动审批，建立专家委员会，为文化行政部门开展的内容审查、市场监管相关工作提供专业意见。县级以上人民政府文化行政部门负责本行政区域内艺术品经营活动的日常监督管理工作，县级以上人民政府文化行政部门或者依法授权的文化市场综合执法机构对从事艺术品经营活动违反国家有关规定的行为实施处罚。”</w:t>
            </w:r>
          </w:p>
          <w:p w14:paraId="40E29C6F">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第五条：“设立从事艺术品经营活动的经营单位，应当到其住所地县级以上人民政府工商行政管理部门申领营业执照，并在领取营业执照之日起15日内，到其住所地县级以上人民政府文化行政部门备案。其他经营单位增设艺术品经营业务的，应当按前款办理备案手续。”</w:t>
            </w:r>
          </w:p>
          <w:p w14:paraId="5A46D81F">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lang w:val="en-US" w:eastAsia="zh-CN"/>
              </w:rPr>
            </w:pPr>
            <w:r>
              <w:rPr>
                <w:rFonts w:hint="eastAsia" w:ascii="仿宋" w:hAnsi="仿宋" w:eastAsia="仿宋" w:cs="仿宋"/>
                <w:i w:val="0"/>
                <w:color w:val="auto"/>
                <w:kern w:val="0"/>
                <w:sz w:val="22"/>
                <w:szCs w:val="22"/>
                <w:u w:val="none"/>
                <w:lang w:val="en-US" w:eastAsia="zh-CN" w:bidi="ar"/>
              </w:rPr>
              <w:t>第十九条　违反本办法第五条规定的，由县级以上人民政府文化行政部门或者依法授权的文化市场综合执法机构责令改正，并可根据情节轻重处10000元以下罚款。</w:t>
            </w:r>
          </w:p>
        </w:tc>
        <w:tc>
          <w:tcPr>
            <w:tcW w:w="616" w:type="dxa"/>
            <w:gridSpan w:val="3"/>
            <w:vMerge w:val="restart"/>
            <w:tcBorders>
              <w:top w:val="single" w:color="auto" w:sz="4" w:space="0"/>
              <w:left w:val="single" w:color="auto" w:sz="4" w:space="0"/>
              <w:right w:val="single" w:color="auto" w:sz="4" w:space="0"/>
            </w:tcBorders>
            <w:tcMar>
              <w:top w:w="15" w:type="dxa"/>
              <w:left w:w="15" w:type="dxa"/>
              <w:right w:w="15" w:type="dxa"/>
            </w:tcMar>
            <w:vAlign w:val="center"/>
          </w:tcPr>
          <w:p w14:paraId="3039C6B7">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b w:val="0"/>
                <w:bCs/>
                <w:color w:val="000000"/>
                <w:spacing w:val="-6"/>
                <w:w w:val="100"/>
                <w:kern w:val="0"/>
                <w:sz w:val="24"/>
                <w:szCs w:val="24"/>
                <w:lang w:eastAsia="zh-CN" w:bidi="ar"/>
              </w:rPr>
            </w:pPr>
            <w:r>
              <w:rPr>
                <w:rFonts w:hint="eastAsia" w:ascii="仿宋" w:hAnsi="仿宋" w:eastAsia="仿宋" w:cs="仿宋"/>
                <w:b w:val="0"/>
                <w:bCs/>
                <w:color w:val="000000"/>
                <w:spacing w:val="-6"/>
                <w:w w:val="100"/>
                <w:kern w:val="0"/>
                <w:sz w:val="24"/>
                <w:szCs w:val="24"/>
                <w:lang w:eastAsia="zh-CN" w:bidi="ar"/>
              </w:rPr>
              <w:t>行政</w:t>
            </w:r>
          </w:p>
          <w:p w14:paraId="151B754D">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6"/>
                <w:w w:val="100"/>
                <w:kern w:val="0"/>
                <w:sz w:val="24"/>
                <w:szCs w:val="24"/>
                <w:lang w:eastAsia="zh-CN" w:bidi="ar"/>
              </w:rPr>
              <w:t>检查</w:t>
            </w:r>
          </w:p>
          <w:p w14:paraId="684BF457">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95DD3A4">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6"/>
                <w:w w:val="100"/>
                <w:kern w:val="0"/>
                <w:sz w:val="24"/>
                <w:szCs w:val="24"/>
                <w:lang w:bidi="ar"/>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7E7F765">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0"/>
                <w:w w:val="100"/>
                <w:kern w:val="0"/>
                <w:sz w:val="24"/>
                <w:szCs w:val="24"/>
                <w:lang w:bidi="ar"/>
              </w:rPr>
              <w:t>1.受理责任：接到投诉按投诉处理流程及时处理后决定是否移交执法机关。</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0CBCE4CB">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不履行或不正确履行职责，有下列情形的行政机关及相关工作人员应当承担相应的责任：</w:t>
            </w:r>
          </w:p>
          <w:p w14:paraId="2507E1A6">
            <w:pPr>
              <w:keepNext w:val="0"/>
              <w:keepLines w:val="0"/>
              <w:pageBreakBefore w:val="0"/>
              <w:kinsoku/>
              <w:wordWrap/>
              <w:overflowPunct/>
              <w:topLinePunct w:val="0"/>
              <w:autoSpaceDE/>
              <w:autoSpaceDN/>
              <w:bidi w:val="0"/>
              <w:adjustRightInd/>
              <w:ind w:firstLine="0" w:firstLineChars="0"/>
              <w:jc w:val="both"/>
              <w:rPr>
                <w:rFonts w:hint="eastAsia"/>
                <w:lang w:val="en-US" w:eastAsia="zh-CN"/>
              </w:rPr>
            </w:pPr>
            <w:r>
              <w:rPr>
                <w:rFonts w:hint="eastAsia" w:ascii="仿宋" w:hAnsi="仿宋" w:eastAsia="仿宋" w:cs="仿宋"/>
                <w:i w:val="0"/>
                <w:caps w:val="0"/>
                <w:color w:val="auto"/>
                <w:spacing w:val="0"/>
                <w:sz w:val="24"/>
                <w:szCs w:val="24"/>
                <w:shd w:val="clear" w:color="070000" w:fill="FFFFFF"/>
                <w:lang w:val="en-US" w:eastAsia="zh-CN"/>
              </w:rPr>
              <w:t>滥用审批权限、不履行职责或者发现违法行为不予查处，造成严重后果的，依法给予行政处分，情节严重的，依法开除公职或者吊销其从业资格；构成犯罪的，依法追究刑事责任。</w:t>
            </w: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6B4C253B">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监督管理股</w:t>
            </w:r>
          </w:p>
          <w:p w14:paraId="1EC65D7B">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09DF1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5" w:hRule="atLeast"/>
          <w:jc w:val="center"/>
        </w:trPr>
        <w:tc>
          <w:tcPr>
            <w:tcW w:w="678" w:type="dxa"/>
            <w:vMerge w:val="continue"/>
            <w:tcBorders>
              <w:left w:val="single" w:color="auto" w:sz="4" w:space="0"/>
              <w:right w:val="single" w:color="auto" w:sz="4" w:space="0"/>
            </w:tcBorders>
            <w:tcMar>
              <w:top w:w="15" w:type="dxa"/>
              <w:left w:w="15" w:type="dxa"/>
              <w:right w:w="15" w:type="dxa"/>
            </w:tcMar>
            <w:vAlign w:val="center"/>
          </w:tcPr>
          <w:p w14:paraId="71652DB0">
            <w:pPr>
              <w:keepNext w:val="0"/>
              <w:keepLines w:val="0"/>
              <w:pageBreakBefore w:val="0"/>
              <w:kinsoku/>
              <w:wordWrap/>
              <w:overflowPunct/>
              <w:topLinePunct w:val="0"/>
              <w:autoSpaceDE/>
              <w:autoSpaceDN/>
              <w:bidi w:val="0"/>
              <w:adjustRightInd/>
              <w:ind w:firstLine="0" w:firstLineChars="0"/>
              <w:jc w:val="both"/>
            </w:pPr>
          </w:p>
        </w:tc>
        <w:tc>
          <w:tcPr>
            <w:tcW w:w="1382" w:type="dxa"/>
            <w:vMerge w:val="continue"/>
            <w:tcBorders>
              <w:left w:val="single" w:color="auto" w:sz="4" w:space="0"/>
              <w:right w:val="single" w:color="auto" w:sz="4" w:space="0"/>
            </w:tcBorders>
            <w:tcMar>
              <w:top w:w="15" w:type="dxa"/>
              <w:left w:w="15" w:type="dxa"/>
              <w:right w:w="15" w:type="dxa"/>
            </w:tcMar>
            <w:vAlign w:val="center"/>
          </w:tcPr>
          <w:p w14:paraId="0CEEE31E">
            <w:pPr>
              <w:keepNext w:val="0"/>
              <w:keepLines w:val="0"/>
              <w:pageBreakBefore w:val="0"/>
              <w:kinsoku/>
              <w:wordWrap/>
              <w:overflowPunct/>
              <w:topLinePunct w:val="0"/>
              <w:autoSpaceDE/>
              <w:autoSpaceDN/>
              <w:bidi w:val="0"/>
              <w:adjustRightInd/>
              <w:ind w:firstLine="0" w:firstLineChars="0"/>
              <w:jc w:val="both"/>
            </w:pPr>
          </w:p>
        </w:tc>
        <w:tc>
          <w:tcPr>
            <w:tcW w:w="3801" w:type="dxa"/>
            <w:gridSpan w:val="2"/>
            <w:vMerge w:val="continue"/>
            <w:tcBorders>
              <w:left w:val="single" w:color="auto" w:sz="4" w:space="0"/>
              <w:right w:val="single" w:color="auto" w:sz="4" w:space="0"/>
            </w:tcBorders>
            <w:tcMar>
              <w:top w:w="15" w:type="dxa"/>
              <w:left w:w="15" w:type="dxa"/>
              <w:right w:w="15" w:type="dxa"/>
            </w:tcMar>
            <w:vAlign w:val="center"/>
          </w:tcPr>
          <w:p w14:paraId="6DA8B5B5">
            <w:pPr>
              <w:keepNext w:val="0"/>
              <w:keepLines w:val="0"/>
              <w:pageBreakBefore w:val="0"/>
              <w:kinsoku/>
              <w:wordWrap/>
              <w:overflowPunct/>
              <w:topLinePunct w:val="0"/>
              <w:autoSpaceDE/>
              <w:autoSpaceDN/>
              <w:bidi w:val="0"/>
              <w:adjustRightInd/>
              <w:ind w:firstLine="0" w:firstLineChars="0"/>
              <w:jc w:val="both"/>
            </w:pPr>
          </w:p>
        </w:tc>
        <w:tc>
          <w:tcPr>
            <w:tcW w:w="616" w:type="dxa"/>
            <w:gridSpan w:val="3"/>
            <w:vMerge w:val="continue"/>
            <w:tcBorders>
              <w:left w:val="single" w:color="auto" w:sz="4" w:space="0"/>
              <w:right w:val="single" w:color="auto" w:sz="4" w:space="0"/>
            </w:tcBorders>
            <w:tcMar>
              <w:top w:w="15" w:type="dxa"/>
              <w:left w:w="15" w:type="dxa"/>
              <w:right w:w="15" w:type="dxa"/>
            </w:tcMar>
            <w:vAlign w:val="center"/>
          </w:tcPr>
          <w:p w14:paraId="2A5C676E">
            <w:pPr>
              <w:keepNext w:val="0"/>
              <w:keepLines w:val="0"/>
              <w:pageBreakBefore w:val="0"/>
              <w:kinsoku/>
              <w:wordWrap/>
              <w:overflowPunct/>
              <w:topLinePunct w:val="0"/>
              <w:autoSpaceDE/>
              <w:autoSpaceDN/>
              <w:bidi w:val="0"/>
              <w:adjustRightInd/>
              <w:ind w:firstLine="0" w:firstLineChars="0"/>
              <w:jc w:val="both"/>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AEE9F8F">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6"/>
                <w:w w:val="100"/>
                <w:kern w:val="0"/>
                <w:sz w:val="24"/>
                <w:szCs w:val="24"/>
                <w:lang w:bidi="ar"/>
              </w:rPr>
              <w:t>审查</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3404A00">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0"/>
                <w:w w:val="100"/>
                <w:kern w:val="0"/>
                <w:sz w:val="24"/>
                <w:szCs w:val="24"/>
                <w:lang w:bidi="ar"/>
              </w:rPr>
              <w:t>2.调查阶段责任：有2名以上取得合法执法证件的执法人员在场；主动出示执法证件，表明身份；通知检查对象相关负责人或与检查活动内容相关的人员到场，说明执法检查目的、依据以及需要当事人配合的有关事项。</w:t>
            </w:r>
          </w:p>
        </w:tc>
        <w:tc>
          <w:tcPr>
            <w:tcW w:w="1717" w:type="dxa"/>
            <w:gridSpan w:val="2"/>
            <w:vMerge w:val="continue"/>
            <w:tcBorders>
              <w:left w:val="single" w:color="auto" w:sz="4" w:space="0"/>
              <w:right w:val="single" w:color="auto" w:sz="4" w:space="0"/>
            </w:tcBorders>
            <w:tcMar>
              <w:top w:w="15" w:type="dxa"/>
              <w:left w:w="15" w:type="dxa"/>
              <w:right w:w="15" w:type="dxa"/>
            </w:tcMar>
            <w:vAlign w:val="center"/>
          </w:tcPr>
          <w:p w14:paraId="233E2051">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right w:val="single" w:color="auto" w:sz="4" w:space="0"/>
            </w:tcBorders>
            <w:tcMar>
              <w:top w:w="15" w:type="dxa"/>
              <w:left w:w="15" w:type="dxa"/>
              <w:right w:w="15" w:type="dxa"/>
            </w:tcMar>
            <w:vAlign w:val="center"/>
          </w:tcPr>
          <w:p w14:paraId="583B1D96">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7585E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36"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0DEECF5">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2455C0A">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801"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BD49D87">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16"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CF32317">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9F7B2E3">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6"/>
                <w:w w:val="100"/>
                <w:kern w:val="0"/>
                <w:sz w:val="24"/>
                <w:szCs w:val="24"/>
                <w:lang w:bidi="ar"/>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F059095">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0"/>
                <w:w w:val="100"/>
                <w:kern w:val="0"/>
                <w:sz w:val="24"/>
                <w:szCs w:val="24"/>
                <w:lang w:bidi="ar"/>
              </w:rPr>
              <w:t>3.审查阶段责任：企业经营行为规范，未发现违法违规问题的，执法人员应如实记录，检查结果可作为企业诚信评价的依据；检查结果基本规范，但存在经营管理不当等瑕疵行为的，执法人员应如实记录，并可以采取约谈企业负责人，提出整改意见，跟踪整改情况等处理措施；企业经营行为不规范，涉嫌违法违规、不构成犯罪的，执法人员应当将案件移交执法机关。</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9F2611F">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3E0A40C">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p>
        </w:tc>
      </w:tr>
      <w:tr w14:paraId="6F1FC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BD584B4">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171A7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7BC6EDE">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1D0BC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0"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51B7CFF0">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_GB2312" w:hAnsi="仿宋_GB2312" w:eastAsia="仿宋_GB2312" w:cs="仿宋_GB2312"/>
                <w:i w:val="0"/>
                <w:caps w:val="0"/>
                <w:color w:val="auto"/>
                <w:spacing w:val="0"/>
                <w:sz w:val="24"/>
                <w:szCs w:val="24"/>
                <w:shd w:val="clear" w:color="070000" w:fill="FFFFFF"/>
                <w:lang w:val="en-US" w:eastAsia="zh-CN"/>
              </w:rPr>
              <w:t>21</w:t>
            </w:r>
          </w:p>
          <w:p w14:paraId="2251B810">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38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5BE34BE2">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olor w:val="000000"/>
                <w:kern w:val="0"/>
                <w:sz w:val="24"/>
                <w:szCs w:val="24"/>
                <w:u w:val="none"/>
                <w:lang w:val="en-US" w:eastAsia="zh-CN" w:bidi="ar"/>
              </w:rPr>
              <w:t>对从事经营性互联网文化活动的行政检查</w:t>
            </w:r>
          </w:p>
          <w:p w14:paraId="7512D130">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3801"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7C55FD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20" w:lineRule="exact"/>
              <w:ind w:left="0" w:right="0" w:firstLine="0"/>
              <w:jc w:val="both"/>
              <w:textAlignment w:val="auto"/>
              <w:rPr>
                <w:rFonts w:hint="eastAsia" w:ascii="仿宋" w:hAnsi="仿宋" w:eastAsia="仿宋" w:cs="仿宋"/>
                <w:i w:val="0"/>
                <w:color w:val="auto"/>
                <w:kern w:val="0"/>
                <w:sz w:val="21"/>
                <w:szCs w:val="21"/>
                <w:u w:val="none"/>
                <w:shd w:val="clear"/>
                <w:lang w:val="en-US" w:eastAsia="zh-CN" w:bidi="ar"/>
              </w:rPr>
            </w:pPr>
            <w:r>
              <w:rPr>
                <w:rFonts w:hint="eastAsia" w:ascii="仿宋" w:hAnsi="仿宋" w:eastAsia="仿宋" w:cs="仿宋"/>
                <w:i w:val="0"/>
                <w:color w:val="auto"/>
                <w:kern w:val="0"/>
                <w:sz w:val="21"/>
                <w:szCs w:val="21"/>
                <w:u w:val="none"/>
                <w:lang w:val="en-US" w:eastAsia="zh-CN" w:bidi="ar"/>
              </w:rPr>
              <w:t>《国务院对确需保留的行政审批项目设定行政许可的决定》</w:t>
            </w:r>
            <w:r>
              <w:rPr>
                <w:rFonts w:hint="eastAsia" w:ascii="仿宋" w:hAnsi="仿宋" w:eastAsia="仿宋" w:cs="仿宋"/>
                <w:i w:val="0"/>
                <w:color w:val="auto"/>
                <w:kern w:val="0"/>
                <w:sz w:val="21"/>
                <w:szCs w:val="21"/>
                <w:u w:val="none"/>
                <w:shd w:val="clear"/>
                <w:lang w:val="en-US" w:eastAsia="zh-CN" w:bidi="ar"/>
              </w:rPr>
              <w:t>(2004年6月29日中华人民共和国国务院令第412号公布根据2009年1月29日《国务院关于修改〈国务院对确需保留的行政审批项目设定行政许可的决定〉的决定》第一次修订根据2016年8月25日《国务院关于修改〈国务院对确需保留的行政审批项目设定行政许可的决定〉的决定》第二次修订</w:t>
            </w:r>
            <w:r>
              <w:rPr>
                <w:rFonts w:hint="default" w:ascii="仿宋" w:hAnsi="仿宋" w:eastAsia="仿宋" w:cs="仿宋"/>
                <w:i w:val="0"/>
                <w:color w:val="auto"/>
                <w:kern w:val="0"/>
                <w:sz w:val="21"/>
                <w:szCs w:val="21"/>
                <w:u w:val="none"/>
                <w:shd w:val="clear"/>
                <w:lang w:val="en-US" w:eastAsia="zh-CN" w:bidi="ar"/>
              </w:rPr>
              <w:t>)</w:t>
            </w:r>
            <w:r>
              <w:rPr>
                <w:rFonts w:hint="eastAsia" w:ascii="仿宋" w:hAnsi="仿宋" w:eastAsia="仿宋" w:cs="仿宋"/>
                <w:i w:val="0"/>
                <w:color w:val="auto"/>
                <w:kern w:val="0"/>
                <w:sz w:val="21"/>
                <w:szCs w:val="21"/>
                <w:u w:val="none"/>
                <w:shd w:val="clear"/>
                <w:lang w:val="en-US" w:eastAsia="zh-CN" w:bidi="ar"/>
              </w:rPr>
              <w:t>第193项：“设立经营性互联网文化单位审批。《互联网文化管理暂行规定》（2011年2月11日文化部部务会议审议通过，自2011年4月1日起施行。根据2017年12月15日发布的《文化部关于废止和修改部分部门规章的决定》（文化部令第57号）修订）第六条  文化部负责制定互联网文化发展与管理的方针、政策和规划，监督管理全国互联网文化活动。</w:t>
            </w:r>
          </w:p>
          <w:p w14:paraId="720880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20" w:lineRule="exact"/>
              <w:ind w:left="0" w:right="0" w:firstLine="0"/>
              <w:jc w:val="both"/>
              <w:textAlignment w:val="auto"/>
              <w:rPr>
                <w:rFonts w:hint="eastAsia" w:ascii="仿宋" w:hAnsi="仿宋" w:eastAsia="仿宋" w:cs="仿宋"/>
                <w:i w:val="0"/>
                <w:color w:val="auto"/>
                <w:kern w:val="0"/>
                <w:sz w:val="21"/>
                <w:szCs w:val="21"/>
                <w:u w:val="none"/>
                <w:shd w:val="clear"/>
                <w:lang w:val="en-US" w:eastAsia="zh-CN" w:bidi="ar"/>
              </w:rPr>
            </w:pPr>
            <w:r>
              <w:rPr>
                <w:rFonts w:hint="eastAsia" w:ascii="仿宋" w:hAnsi="仿宋" w:eastAsia="仿宋" w:cs="仿宋"/>
                <w:i w:val="0"/>
                <w:color w:val="auto"/>
                <w:kern w:val="0"/>
                <w:sz w:val="21"/>
                <w:szCs w:val="21"/>
                <w:u w:val="none"/>
                <w:shd w:val="clear"/>
                <w:lang w:val="en-US" w:eastAsia="zh-CN" w:bidi="ar"/>
              </w:rPr>
              <w:t>　　省、自治区、直辖市人民政府文化行政部门对申请从事经营性互联网文化活动的单位进行审批，对从事非经营性互联网文化活动的单位进行备案。</w:t>
            </w:r>
          </w:p>
          <w:p w14:paraId="13DC5D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20" w:lineRule="exact"/>
              <w:ind w:left="0" w:right="0" w:firstLine="0"/>
              <w:jc w:val="both"/>
              <w:textAlignment w:val="auto"/>
              <w:rPr>
                <w:rFonts w:hint="eastAsia" w:ascii="仿宋" w:hAnsi="仿宋" w:eastAsia="仿宋" w:cs="仿宋"/>
                <w:i w:val="0"/>
                <w:color w:val="auto"/>
                <w:kern w:val="0"/>
                <w:sz w:val="21"/>
                <w:szCs w:val="21"/>
                <w:u w:val="none"/>
                <w:shd w:val="clear"/>
                <w:lang w:val="en-US" w:eastAsia="zh-CN" w:bidi="ar"/>
              </w:rPr>
            </w:pPr>
            <w:r>
              <w:rPr>
                <w:rFonts w:hint="eastAsia" w:ascii="仿宋" w:hAnsi="仿宋" w:eastAsia="仿宋" w:cs="仿宋"/>
                <w:i w:val="0"/>
                <w:color w:val="auto"/>
                <w:kern w:val="0"/>
                <w:sz w:val="21"/>
                <w:szCs w:val="21"/>
                <w:u w:val="none"/>
                <w:shd w:val="clear"/>
                <w:lang w:val="en-US" w:eastAsia="zh-CN" w:bidi="ar"/>
              </w:rPr>
              <w:t>　　县级以上人民政府文化行政部门负责本行政区域内互联网文化活动的监督管理工作。县级以上人民政府文化行政部门或者文化市场综合执法机构对从事互联网文化活动违反国家有关法规的行为实施处罚。</w:t>
            </w:r>
          </w:p>
          <w:p w14:paraId="1DC93C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20" w:lineRule="exact"/>
              <w:ind w:left="0" w:right="0" w:firstLine="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olor w:val="auto"/>
                <w:kern w:val="0"/>
                <w:sz w:val="21"/>
                <w:szCs w:val="21"/>
                <w:u w:val="none"/>
                <w:shd w:val="clear"/>
                <w:lang w:val="en-US" w:eastAsia="zh-CN" w:bidi="ar"/>
              </w:rPr>
              <w:t>第八条：申请从事经营性互联网文化活动，应当向所在地省、自治区、直辖市人民政府文化行政部门提出申请，由省、自治区、直辖市人民政府文化行政部门审核批准。”</w:t>
            </w:r>
          </w:p>
        </w:tc>
        <w:tc>
          <w:tcPr>
            <w:tcW w:w="616" w:type="dxa"/>
            <w:gridSpan w:val="3"/>
            <w:vMerge w:val="restart"/>
            <w:tcBorders>
              <w:top w:val="single" w:color="auto" w:sz="4" w:space="0"/>
              <w:left w:val="single" w:color="auto" w:sz="4" w:space="0"/>
              <w:right w:val="single" w:color="auto" w:sz="4" w:space="0"/>
            </w:tcBorders>
            <w:tcMar>
              <w:top w:w="15" w:type="dxa"/>
              <w:left w:w="15" w:type="dxa"/>
              <w:right w:w="15" w:type="dxa"/>
            </w:tcMar>
            <w:vAlign w:val="center"/>
          </w:tcPr>
          <w:p w14:paraId="4224A07A">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b w:val="0"/>
                <w:bCs/>
                <w:color w:val="000000"/>
                <w:spacing w:val="-6"/>
                <w:w w:val="100"/>
                <w:kern w:val="0"/>
                <w:sz w:val="24"/>
                <w:szCs w:val="24"/>
                <w:lang w:eastAsia="zh-CN" w:bidi="ar"/>
              </w:rPr>
            </w:pPr>
            <w:r>
              <w:rPr>
                <w:rFonts w:hint="eastAsia" w:ascii="仿宋" w:hAnsi="仿宋" w:eastAsia="仿宋" w:cs="仿宋"/>
                <w:b w:val="0"/>
                <w:bCs/>
                <w:color w:val="000000"/>
                <w:spacing w:val="-6"/>
                <w:w w:val="100"/>
                <w:kern w:val="0"/>
                <w:sz w:val="24"/>
                <w:szCs w:val="24"/>
                <w:lang w:eastAsia="zh-CN" w:bidi="ar"/>
              </w:rPr>
              <w:t>行政</w:t>
            </w:r>
          </w:p>
          <w:p w14:paraId="1D0109B3">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6"/>
                <w:w w:val="100"/>
                <w:kern w:val="0"/>
                <w:sz w:val="24"/>
                <w:szCs w:val="24"/>
                <w:lang w:eastAsia="zh-CN" w:bidi="ar"/>
              </w:rPr>
              <w:t>检查</w:t>
            </w:r>
          </w:p>
          <w:p w14:paraId="5991A51A">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2D30623">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6"/>
                <w:w w:val="100"/>
                <w:kern w:val="0"/>
                <w:sz w:val="24"/>
                <w:szCs w:val="24"/>
                <w:lang w:bidi="ar"/>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9C15864">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0"/>
                <w:w w:val="100"/>
                <w:kern w:val="0"/>
                <w:sz w:val="24"/>
                <w:szCs w:val="24"/>
                <w:lang w:bidi="ar"/>
              </w:rPr>
              <w:t>1.受理责任：接到投诉按投诉处理流程及时处理后决定是否移交执法机关。</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0D8112EE">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不履行或不正确履行职责，有下列情形的行政机关及相关工作人员应当承担相应的责任：</w:t>
            </w:r>
          </w:p>
          <w:p w14:paraId="4E2D7E39">
            <w:pPr>
              <w:keepNext w:val="0"/>
              <w:keepLines w:val="0"/>
              <w:pageBreakBefore w:val="0"/>
              <w:kinsoku/>
              <w:wordWrap/>
              <w:overflowPunct/>
              <w:topLinePunct w:val="0"/>
              <w:autoSpaceDE/>
              <w:autoSpaceDN/>
              <w:bidi w:val="0"/>
              <w:adjustRightInd/>
              <w:ind w:firstLine="0" w:firstLineChars="0"/>
              <w:jc w:val="left"/>
              <w:rPr>
                <w:rFonts w:hint="eastAsia"/>
                <w:lang w:val="en-US" w:eastAsia="zh-CN"/>
              </w:rPr>
            </w:pPr>
            <w:r>
              <w:rPr>
                <w:rFonts w:hint="eastAsia" w:ascii="仿宋" w:hAnsi="仿宋" w:eastAsia="仿宋" w:cs="仿宋"/>
                <w:i w:val="0"/>
                <w:caps w:val="0"/>
                <w:color w:val="auto"/>
                <w:spacing w:val="0"/>
                <w:sz w:val="24"/>
                <w:szCs w:val="24"/>
                <w:shd w:val="clear" w:color="070000" w:fill="FFFFFF"/>
                <w:lang w:val="en-US" w:eastAsia="zh-CN"/>
              </w:rPr>
              <w:t>滥用审批权限、不履行职责或者发现违法行为不予查处，造成严重后果的，依法给予行政处分，情节严重的，依法开除公职或者吊销其从业资格；构成犯罪的，依法追究刑事责任。</w:t>
            </w: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2896B99F">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监督管理股</w:t>
            </w:r>
          </w:p>
          <w:p w14:paraId="37E07FE0">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30E00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0" w:hRule="atLeast"/>
          <w:jc w:val="center"/>
        </w:trPr>
        <w:tc>
          <w:tcPr>
            <w:tcW w:w="678" w:type="dxa"/>
            <w:vMerge w:val="continue"/>
            <w:tcBorders>
              <w:left w:val="single" w:color="auto" w:sz="4" w:space="0"/>
              <w:right w:val="single" w:color="auto" w:sz="4" w:space="0"/>
            </w:tcBorders>
            <w:tcMar>
              <w:top w:w="15" w:type="dxa"/>
              <w:left w:w="15" w:type="dxa"/>
              <w:right w:w="15" w:type="dxa"/>
            </w:tcMar>
            <w:vAlign w:val="center"/>
          </w:tcPr>
          <w:p w14:paraId="3D444580">
            <w:pPr>
              <w:keepNext w:val="0"/>
              <w:keepLines w:val="0"/>
              <w:pageBreakBefore w:val="0"/>
              <w:kinsoku/>
              <w:wordWrap/>
              <w:overflowPunct/>
              <w:topLinePunct w:val="0"/>
              <w:autoSpaceDE/>
              <w:autoSpaceDN/>
              <w:bidi w:val="0"/>
              <w:adjustRightInd/>
              <w:ind w:firstLine="0" w:firstLineChars="0"/>
              <w:jc w:val="both"/>
            </w:pPr>
          </w:p>
        </w:tc>
        <w:tc>
          <w:tcPr>
            <w:tcW w:w="1382" w:type="dxa"/>
            <w:vMerge w:val="continue"/>
            <w:tcBorders>
              <w:left w:val="single" w:color="auto" w:sz="4" w:space="0"/>
              <w:right w:val="single" w:color="auto" w:sz="4" w:space="0"/>
            </w:tcBorders>
            <w:tcMar>
              <w:top w:w="15" w:type="dxa"/>
              <w:left w:w="15" w:type="dxa"/>
              <w:right w:w="15" w:type="dxa"/>
            </w:tcMar>
            <w:vAlign w:val="center"/>
          </w:tcPr>
          <w:p w14:paraId="63A602C9">
            <w:pPr>
              <w:keepNext w:val="0"/>
              <w:keepLines w:val="0"/>
              <w:pageBreakBefore w:val="0"/>
              <w:kinsoku/>
              <w:wordWrap/>
              <w:overflowPunct/>
              <w:topLinePunct w:val="0"/>
              <w:autoSpaceDE/>
              <w:autoSpaceDN/>
              <w:bidi w:val="0"/>
              <w:adjustRightInd/>
              <w:ind w:firstLine="0" w:firstLineChars="0"/>
              <w:jc w:val="both"/>
            </w:pPr>
          </w:p>
        </w:tc>
        <w:tc>
          <w:tcPr>
            <w:tcW w:w="3801" w:type="dxa"/>
            <w:gridSpan w:val="2"/>
            <w:vMerge w:val="continue"/>
            <w:tcBorders>
              <w:left w:val="single" w:color="auto" w:sz="4" w:space="0"/>
              <w:right w:val="single" w:color="auto" w:sz="4" w:space="0"/>
            </w:tcBorders>
            <w:tcMar>
              <w:top w:w="15" w:type="dxa"/>
              <w:left w:w="15" w:type="dxa"/>
              <w:right w:w="15" w:type="dxa"/>
            </w:tcMar>
            <w:vAlign w:val="center"/>
          </w:tcPr>
          <w:p w14:paraId="540645BD">
            <w:pPr>
              <w:keepNext w:val="0"/>
              <w:keepLines w:val="0"/>
              <w:pageBreakBefore w:val="0"/>
              <w:kinsoku/>
              <w:wordWrap/>
              <w:overflowPunct/>
              <w:topLinePunct w:val="0"/>
              <w:autoSpaceDE/>
              <w:autoSpaceDN/>
              <w:bidi w:val="0"/>
              <w:adjustRightInd/>
              <w:ind w:firstLine="0" w:firstLineChars="0"/>
              <w:jc w:val="both"/>
            </w:pPr>
          </w:p>
        </w:tc>
        <w:tc>
          <w:tcPr>
            <w:tcW w:w="616" w:type="dxa"/>
            <w:gridSpan w:val="3"/>
            <w:vMerge w:val="continue"/>
            <w:tcBorders>
              <w:left w:val="single" w:color="auto" w:sz="4" w:space="0"/>
              <w:right w:val="single" w:color="auto" w:sz="4" w:space="0"/>
            </w:tcBorders>
            <w:tcMar>
              <w:top w:w="15" w:type="dxa"/>
              <w:left w:w="15" w:type="dxa"/>
              <w:right w:w="15" w:type="dxa"/>
            </w:tcMar>
            <w:vAlign w:val="center"/>
          </w:tcPr>
          <w:p w14:paraId="0AA66C9D">
            <w:pPr>
              <w:keepNext w:val="0"/>
              <w:keepLines w:val="0"/>
              <w:pageBreakBefore w:val="0"/>
              <w:kinsoku/>
              <w:wordWrap/>
              <w:overflowPunct/>
              <w:topLinePunct w:val="0"/>
              <w:autoSpaceDE/>
              <w:autoSpaceDN/>
              <w:bidi w:val="0"/>
              <w:adjustRightInd/>
              <w:ind w:firstLine="0" w:firstLineChars="0"/>
              <w:jc w:val="both"/>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1A5C043">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6"/>
                <w:w w:val="100"/>
                <w:kern w:val="0"/>
                <w:sz w:val="24"/>
                <w:szCs w:val="24"/>
                <w:lang w:bidi="ar"/>
              </w:rPr>
              <w:t>审查</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0D5906C">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0"/>
                <w:w w:val="100"/>
                <w:kern w:val="0"/>
                <w:sz w:val="24"/>
                <w:szCs w:val="24"/>
                <w:lang w:bidi="ar"/>
              </w:rPr>
              <w:t>2.调查阶段责任：有2名以上取得合法执法证件的执法人员在场；主动出示执法证件，表明身份；通知检查对象相关负责人或与检查活动内容相关的人员到场，说明执法检查目的、依据以及需要当事人配合的有关事项。</w:t>
            </w:r>
          </w:p>
        </w:tc>
        <w:tc>
          <w:tcPr>
            <w:tcW w:w="1717" w:type="dxa"/>
            <w:gridSpan w:val="2"/>
            <w:vMerge w:val="continue"/>
            <w:tcBorders>
              <w:left w:val="single" w:color="auto" w:sz="4" w:space="0"/>
              <w:right w:val="single" w:color="auto" w:sz="4" w:space="0"/>
            </w:tcBorders>
            <w:tcMar>
              <w:top w:w="15" w:type="dxa"/>
              <w:left w:w="15" w:type="dxa"/>
              <w:right w:w="15" w:type="dxa"/>
            </w:tcMar>
            <w:vAlign w:val="center"/>
          </w:tcPr>
          <w:p w14:paraId="665F2B04">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right w:val="single" w:color="auto" w:sz="4" w:space="0"/>
            </w:tcBorders>
            <w:tcMar>
              <w:top w:w="15" w:type="dxa"/>
              <w:left w:w="15" w:type="dxa"/>
              <w:right w:w="15" w:type="dxa"/>
            </w:tcMar>
            <w:vAlign w:val="center"/>
          </w:tcPr>
          <w:p w14:paraId="21FAF693">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6AD93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0"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45589E3">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4885D4E">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801"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F4DD2EE">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16"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7E72FEA">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907264F">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6"/>
                <w:w w:val="100"/>
                <w:kern w:val="0"/>
                <w:sz w:val="24"/>
                <w:szCs w:val="24"/>
                <w:lang w:bidi="ar"/>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C77F6FA">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0"/>
                <w:w w:val="100"/>
                <w:kern w:val="0"/>
                <w:sz w:val="24"/>
                <w:szCs w:val="24"/>
                <w:lang w:bidi="ar"/>
              </w:rPr>
              <w:t>3.审查阶段责任：企业经营行为规范，未发现违法违规问题的，执法人员应如实记录，检查结果可作为企业诚信评价的依据；检查结果基本规范，但存在经营管理不当等瑕疵行为的，执法人员应如实记录，并可以采取约谈企业负责人，提出整改意见，跟踪整改情况等处理措施；企业经营行为不规范，涉嫌违法违规、不构成犯罪的，执法人员应当将案件移交执法机关。</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63A68A8">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AFBF85F">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p>
        </w:tc>
      </w:tr>
      <w:tr w14:paraId="19BD5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3"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51FBCBD">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2F8C5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9A841B3">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0CC9A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5"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4BF75B10">
            <w:pPr>
              <w:keepNext w:val="0"/>
              <w:keepLines w:val="0"/>
              <w:pageBreakBefore w:val="0"/>
              <w:kinsoku/>
              <w:wordWrap/>
              <w:overflowPunct/>
              <w:topLinePunct w:val="0"/>
              <w:autoSpaceDE/>
              <w:autoSpaceDN/>
              <w:bidi w:val="0"/>
              <w:adjustRightInd/>
              <w:ind w:firstLine="0" w:firstLineChars="0"/>
              <w:jc w:val="center"/>
              <w:rPr>
                <w:rFonts w:hint="default"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22</w:t>
            </w:r>
          </w:p>
        </w:tc>
        <w:tc>
          <w:tcPr>
            <w:tcW w:w="138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524C439A">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color w:val="000000"/>
                <w:kern w:val="0"/>
                <w:sz w:val="24"/>
                <w:szCs w:val="24"/>
                <w:lang w:eastAsia="zh-CN" w:bidi="ar"/>
              </w:rPr>
              <w:t>对文物保护单位安全防护设施建设情况的检查</w:t>
            </w:r>
          </w:p>
          <w:p w14:paraId="3292E6A5">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3801"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79620732">
            <w:pPr>
              <w:keepNext w:val="0"/>
              <w:keepLines w:val="0"/>
              <w:pageBreakBefore w:val="0"/>
              <w:widowControl w:val="0"/>
              <w:kinsoku/>
              <w:wordWrap/>
              <w:overflowPunct/>
              <w:topLinePunct w:val="0"/>
              <w:autoSpaceDE/>
              <w:autoSpaceDN/>
              <w:bidi w:val="0"/>
              <w:adjustRightInd/>
              <w:snapToGrid/>
              <w:spacing w:line="180" w:lineRule="exact"/>
              <w:ind w:firstLine="0" w:firstLineChars="0"/>
              <w:jc w:val="both"/>
              <w:textAlignment w:val="auto"/>
              <w:rPr>
                <w:rFonts w:hint="eastAsia" w:ascii="仿宋" w:hAnsi="仿宋" w:eastAsia="仿宋" w:cs="仿宋"/>
                <w:i w:val="0"/>
                <w:color w:val="auto"/>
                <w:kern w:val="0"/>
                <w:sz w:val="18"/>
                <w:szCs w:val="18"/>
                <w:u w:val="none"/>
                <w:shd w:val="clear"/>
                <w:lang w:val="en-US" w:eastAsia="zh-CN" w:bidi="ar"/>
              </w:rPr>
            </w:pPr>
            <w:r>
              <w:rPr>
                <w:rFonts w:hint="eastAsia" w:ascii="仿宋" w:hAnsi="仿宋" w:eastAsia="仿宋" w:cs="仿宋"/>
                <w:i w:val="0"/>
                <w:color w:val="auto"/>
                <w:kern w:val="0"/>
                <w:sz w:val="18"/>
                <w:szCs w:val="18"/>
                <w:u w:val="none"/>
                <w:lang w:val="en-US" w:eastAsia="zh-CN" w:bidi="ar"/>
              </w:rPr>
              <w:t>《文物保护法实施条例》</w:t>
            </w:r>
            <w:r>
              <w:rPr>
                <w:rFonts w:hint="eastAsia" w:ascii="仿宋" w:hAnsi="仿宋" w:eastAsia="仿宋" w:cs="仿宋"/>
                <w:i w:val="0"/>
                <w:color w:val="auto"/>
                <w:kern w:val="0"/>
                <w:sz w:val="18"/>
                <w:szCs w:val="18"/>
                <w:u w:val="none"/>
                <w:shd w:val="clear"/>
                <w:lang w:val="en-US" w:eastAsia="zh-CN" w:bidi="ar"/>
              </w:rPr>
              <w:t>(</w:t>
            </w:r>
            <w:r>
              <w:rPr>
                <w:rFonts w:hint="default" w:ascii="仿宋" w:hAnsi="仿宋" w:eastAsia="仿宋" w:cs="仿宋"/>
                <w:i w:val="0"/>
                <w:color w:val="auto"/>
                <w:kern w:val="0"/>
                <w:sz w:val="18"/>
                <w:szCs w:val="18"/>
                <w:u w:val="none"/>
                <w:shd w:val="clear"/>
                <w:lang w:val="en-US" w:eastAsia="zh-CN" w:bidi="ar"/>
              </w:rPr>
              <w:t>2003</w:t>
            </w:r>
            <w:r>
              <w:rPr>
                <w:rFonts w:hint="eastAsia" w:ascii="仿宋" w:hAnsi="仿宋" w:eastAsia="仿宋" w:cs="仿宋"/>
                <w:i w:val="0"/>
                <w:color w:val="auto"/>
                <w:kern w:val="0"/>
                <w:sz w:val="18"/>
                <w:szCs w:val="18"/>
                <w:u w:val="none"/>
                <w:shd w:val="clear"/>
                <w:lang w:val="en-US" w:eastAsia="zh-CN" w:bidi="ar"/>
              </w:rPr>
              <w:t>年</w:t>
            </w:r>
            <w:r>
              <w:rPr>
                <w:rFonts w:hint="default" w:ascii="仿宋" w:hAnsi="仿宋" w:eastAsia="仿宋" w:cs="仿宋"/>
                <w:i w:val="0"/>
                <w:color w:val="auto"/>
                <w:kern w:val="0"/>
                <w:sz w:val="18"/>
                <w:szCs w:val="18"/>
                <w:u w:val="none"/>
                <w:shd w:val="clear"/>
                <w:lang w:val="en-US" w:eastAsia="zh-CN" w:bidi="ar"/>
              </w:rPr>
              <w:t>5</w:t>
            </w:r>
            <w:r>
              <w:rPr>
                <w:rFonts w:hint="eastAsia" w:ascii="仿宋" w:hAnsi="仿宋" w:eastAsia="仿宋" w:cs="仿宋"/>
                <w:i w:val="0"/>
                <w:color w:val="auto"/>
                <w:kern w:val="0"/>
                <w:sz w:val="18"/>
                <w:szCs w:val="18"/>
                <w:u w:val="none"/>
                <w:shd w:val="clear"/>
                <w:lang w:val="en-US" w:eastAsia="zh-CN" w:bidi="ar"/>
              </w:rPr>
              <w:t>月</w:t>
            </w:r>
            <w:r>
              <w:rPr>
                <w:rFonts w:hint="default" w:ascii="仿宋" w:hAnsi="仿宋" w:eastAsia="仿宋" w:cs="仿宋"/>
                <w:i w:val="0"/>
                <w:color w:val="auto"/>
                <w:kern w:val="0"/>
                <w:sz w:val="18"/>
                <w:szCs w:val="18"/>
                <w:u w:val="none"/>
                <w:shd w:val="clear"/>
                <w:lang w:val="en-US" w:eastAsia="zh-CN" w:bidi="ar"/>
              </w:rPr>
              <w:t>18</w:t>
            </w:r>
            <w:r>
              <w:rPr>
                <w:rFonts w:hint="eastAsia" w:ascii="仿宋" w:hAnsi="仿宋" w:eastAsia="仿宋" w:cs="仿宋"/>
                <w:i w:val="0"/>
                <w:color w:val="auto"/>
                <w:kern w:val="0"/>
                <w:sz w:val="18"/>
                <w:szCs w:val="18"/>
                <w:u w:val="none"/>
                <w:shd w:val="clear"/>
                <w:lang w:val="en-US" w:eastAsia="zh-CN" w:bidi="ar"/>
              </w:rPr>
              <w:t>日中华人民共和国国务院令第</w:t>
            </w:r>
            <w:r>
              <w:rPr>
                <w:rFonts w:hint="default" w:ascii="仿宋" w:hAnsi="仿宋" w:eastAsia="仿宋" w:cs="仿宋"/>
                <w:i w:val="0"/>
                <w:color w:val="auto"/>
                <w:kern w:val="0"/>
                <w:sz w:val="18"/>
                <w:szCs w:val="18"/>
                <w:u w:val="none"/>
                <w:shd w:val="clear"/>
                <w:lang w:val="en-US" w:eastAsia="zh-CN" w:bidi="ar"/>
              </w:rPr>
              <w:t>377</w:t>
            </w:r>
            <w:r>
              <w:rPr>
                <w:rFonts w:hint="eastAsia" w:ascii="仿宋" w:hAnsi="仿宋" w:eastAsia="仿宋" w:cs="仿宋"/>
                <w:i w:val="0"/>
                <w:color w:val="auto"/>
                <w:kern w:val="0"/>
                <w:sz w:val="18"/>
                <w:szCs w:val="18"/>
                <w:u w:val="none"/>
                <w:shd w:val="clear"/>
                <w:lang w:val="en-US" w:eastAsia="zh-CN" w:bidi="ar"/>
              </w:rPr>
              <w:t>号公布根据</w:t>
            </w:r>
            <w:r>
              <w:rPr>
                <w:rFonts w:hint="default" w:ascii="仿宋" w:hAnsi="仿宋" w:eastAsia="仿宋" w:cs="仿宋"/>
                <w:i w:val="0"/>
                <w:color w:val="auto"/>
                <w:kern w:val="0"/>
                <w:sz w:val="18"/>
                <w:szCs w:val="18"/>
                <w:u w:val="none"/>
                <w:shd w:val="clear"/>
                <w:lang w:val="en-US" w:eastAsia="zh-CN" w:bidi="ar"/>
              </w:rPr>
              <w:t>2013</w:t>
            </w:r>
            <w:r>
              <w:rPr>
                <w:rFonts w:hint="eastAsia" w:ascii="仿宋" w:hAnsi="仿宋" w:eastAsia="仿宋" w:cs="仿宋"/>
                <w:i w:val="0"/>
                <w:color w:val="auto"/>
                <w:kern w:val="0"/>
                <w:sz w:val="18"/>
                <w:szCs w:val="18"/>
                <w:u w:val="none"/>
                <w:shd w:val="clear"/>
                <w:lang w:val="en-US" w:eastAsia="zh-CN" w:bidi="ar"/>
              </w:rPr>
              <w:t>年</w:t>
            </w:r>
            <w:r>
              <w:rPr>
                <w:rFonts w:hint="default" w:ascii="仿宋" w:hAnsi="仿宋" w:eastAsia="仿宋" w:cs="仿宋"/>
                <w:i w:val="0"/>
                <w:color w:val="auto"/>
                <w:kern w:val="0"/>
                <w:sz w:val="18"/>
                <w:szCs w:val="18"/>
                <w:u w:val="none"/>
                <w:shd w:val="clear"/>
                <w:lang w:val="en-US" w:eastAsia="zh-CN" w:bidi="ar"/>
              </w:rPr>
              <w:t>12</w:t>
            </w:r>
            <w:r>
              <w:rPr>
                <w:rFonts w:hint="eastAsia" w:ascii="仿宋" w:hAnsi="仿宋" w:eastAsia="仿宋" w:cs="仿宋"/>
                <w:i w:val="0"/>
                <w:color w:val="auto"/>
                <w:kern w:val="0"/>
                <w:sz w:val="18"/>
                <w:szCs w:val="18"/>
                <w:u w:val="none"/>
                <w:shd w:val="clear"/>
                <w:lang w:val="en-US" w:eastAsia="zh-CN" w:bidi="ar"/>
              </w:rPr>
              <w:t>月</w:t>
            </w:r>
            <w:r>
              <w:rPr>
                <w:rFonts w:hint="default" w:ascii="仿宋" w:hAnsi="仿宋" w:eastAsia="仿宋" w:cs="仿宋"/>
                <w:i w:val="0"/>
                <w:color w:val="auto"/>
                <w:kern w:val="0"/>
                <w:sz w:val="18"/>
                <w:szCs w:val="18"/>
                <w:u w:val="none"/>
                <w:shd w:val="clear"/>
                <w:lang w:val="en-US" w:eastAsia="zh-CN" w:bidi="ar"/>
              </w:rPr>
              <w:t>7</w:t>
            </w:r>
            <w:r>
              <w:rPr>
                <w:rFonts w:hint="eastAsia" w:ascii="仿宋" w:hAnsi="仿宋" w:eastAsia="仿宋" w:cs="仿宋"/>
                <w:i w:val="0"/>
                <w:color w:val="auto"/>
                <w:kern w:val="0"/>
                <w:sz w:val="18"/>
                <w:szCs w:val="18"/>
                <w:u w:val="none"/>
                <w:shd w:val="clear"/>
                <w:lang w:val="en-US" w:eastAsia="zh-CN" w:bidi="ar"/>
              </w:rPr>
              <w:t>日《国务院关于修改部分行政法规的决定》第一次修订根据</w:t>
            </w:r>
            <w:r>
              <w:rPr>
                <w:rFonts w:hint="default" w:ascii="仿宋" w:hAnsi="仿宋" w:eastAsia="仿宋" w:cs="仿宋"/>
                <w:i w:val="0"/>
                <w:color w:val="auto"/>
                <w:kern w:val="0"/>
                <w:sz w:val="18"/>
                <w:szCs w:val="18"/>
                <w:u w:val="none"/>
                <w:shd w:val="clear"/>
                <w:lang w:val="en-US" w:eastAsia="zh-CN" w:bidi="ar"/>
              </w:rPr>
              <w:t>2016</w:t>
            </w:r>
            <w:r>
              <w:rPr>
                <w:rFonts w:hint="eastAsia" w:ascii="仿宋" w:hAnsi="仿宋" w:eastAsia="仿宋" w:cs="仿宋"/>
                <w:i w:val="0"/>
                <w:color w:val="auto"/>
                <w:kern w:val="0"/>
                <w:sz w:val="18"/>
                <w:szCs w:val="18"/>
                <w:u w:val="none"/>
                <w:shd w:val="clear"/>
                <w:lang w:val="en-US" w:eastAsia="zh-CN" w:bidi="ar"/>
              </w:rPr>
              <w:t>年</w:t>
            </w:r>
            <w:r>
              <w:rPr>
                <w:rFonts w:hint="default" w:ascii="仿宋" w:hAnsi="仿宋" w:eastAsia="仿宋" w:cs="仿宋"/>
                <w:i w:val="0"/>
                <w:color w:val="auto"/>
                <w:kern w:val="0"/>
                <w:sz w:val="18"/>
                <w:szCs w:val="18"/>
                <w:u w:val="none"/>
                <w:shd w:val="clear"/>
                <w:lang w:val="en-US" w:eastAsia="zh-CN" w:bidi="ar"/>
              </w:rPr>
              <w:t>2</w:t>
            </w:r>
            <w:r>
              <w:rPr>
                <w:rFonts w:hint="eastAsia" w:ascii="仿宋" w:hAnsi="仿宋" w:eastAsia="仿宋" w:cs="仿宋"/>
                <w:i w:val="0"/>
                <w:color w:val="auto"/>
                <w:kern w:val="0"/>
                <w:sz w:val="18"/>
                <w:szCs w:val="18"/>
                <w:u w:val="none"/>
                <w:shd w:val="clear"/>
                <w:lang w:val="en-US" w:eastAsia="zh-CN" w:bidi="ar"/>
              </w:rPr>
              <w:t>月</w:t>
            </w:r>
            <w:r>
              <w:rPr>
                <w:rFonts w:hint="default" w:ascii="仿宋" w:hAnsi="仿宋" w:eastAsia="仿宋" w:cs="仿宋"/>
                <w:i w:val="0"/>
                <w:color w:val="auto"/>
                <w:kern w:val="0"/>
                <w:sz w:val="18"/>
                <w:szCs w:val="18"/>
                <w:u w:val="none"/>
                <w:shd w:val="clear"/>
                <w:lang w:val="en-US" w:eastAsia="zh-CN" w:bidi="ar"/>
              </w:rPr>
              <w:t>6</w:t>
            </w:r>
            <w:r>
              <w:rPr>
                <w:rFonts w:hint="eastAsia" w:ascii="仿宋" w:hAnsi="仿宋" w:eastAsia="仿宋" w:cs="仿宋"/>
                <w:i w:val="0"/>
                <w:color w:val="auto"/>
                <w:kern w:val="0"/>
                <w:sz w:val="18"/>
                <w:szCs w:val="18"/>
                <w:u w:val="none"/>
                <w:shd w:val="clear"/>
                <w:lang w:val="en-US" w:eastAsia="zh-CN" w:bidi="ar"/>
              </w:rPr>
              <w:t>日《国务院关于修改部分行政法规的决定》第二次修订根据</w:t>
            </w:r>
            <w:r>
              <w:rPr>
                <w:rFonts w:hint="default" w:ascii="仿宋" w:hAnsi="仿宋" w:eastAsia="仿宋" w:cs="仿宋"/>
                <w:i w:val="0"/>
                <w:color w:val="auto"/>
                <w:kern w:val="0"/>
                <w:sz w:val="18"/>
                <w:szCs w:val="18"/>
                <w:u w:val="none"/>
                <w:shd w:val="clear"/>
                <w:lang w:val="en-US" w:eastAsia="zh-CN" w:bidi="ar"/>
              </w:rPr>
              <w:t>2017</w:t>
            </w:r>
            <w:r>
              <w:rPr>
                <w:rFonts w:hint="eastAsia" w:ascii="仿宋" w:hAnsi="仿宋" w:eastAsia="仿宋" w:cs="仿宋"/>
                <w:i w:val="0"/>
                <w:color w:val="auto"/>
                <w:kern w:val="0"/>
                <w:sz w:val="18"/>
                <w:szCs w:val="18"/>
                <w:u w:val="none"/>
                <w:shd w:val="clear"/>
                <w:lang w:val="en-US" w:eastAsia="zh-CN" w:bidi="ar"/>
              </w:rPr>
              <w:t>年</w:t>
            </w:r>
            <w:r>
              <w:rPr>
                <w:rFonts w:hint="default" w:ascii="仿宋" w:hAnsi="仿宋" w:eastAsia="仿宋" w:cs="仿宋"/>
                <w:i w:val="0"/>
                <w:color w:val="auto"/>
                <w:kern w:val="0"/>
                <w:sz w:val="18"/>
                <w:szCs w:val="18"/>
                <w:u w:val="none"/>
                <w:shd w:val="clear"/>
                <w:lang w:val="en-US" w:eastAsia="zh-CN" w:bidi="ar"/>
              </w:rPr>
              <w:t>3</w:t>
            </w:r>
            <w:r>
              <w:rPr>
                <w:rFonts w:hint="eastAsia" w:ascii="仿宋" w:hAnsi="仿宋" w:eastAsia="仿宋" w:cs="仿宋"/>
                <w:i w:val="0"/>
                <w:color w:val="auto"/>
                <w:kern w:val="0"/>
                <w:sz w:val="18"/>
                <w:szCs w:val="18"/>
                <w:u w:val="none"/>
                <w:shd w:val="clear"/>
                <w:lang w:val="en-US" w:eastAsia="zh-CN" w:bidi="ar"/>
              </w:rPr>
              <w:t>月</w:t>
            </w:r>
            <w:r>
              <w:rPr>
                <w:rFonts w:hint="default" w:ascii="仿宋" w:hAnsi="仿宋" w:eastAsia="仿宋" w:cs="仿宋"/>
                <w:i w:val="0"/>
                <w:color w:val="auto"/>
                <w:kern w:val="0"/>
                <w:sz w:val="18"/>
                <w:szCs w:val="18"/>
                <w:u w:val="none"/>
                <w:shd w:val="clear"/>
                <w:lang w:val="en-US" w:eastAsia="zh-CN" w:bidi="ar"/>
              </w:rPr>
              <w:t>1</w:t>
            </w:r>
            <w:r>
              <w:rPr>
                <w:rFonts w:hint="eastAsia" w:ascii="仿宋" w:hAnsi="仿宋" w:eastAsia="仿宋" w:cs="仿宋"/>
                <w:i w:val="0"/>
                <w:color w:val="auto"/>
                <w:kern w:val="0"/>
                <w:sz w:val="18"/>
                <w:szCs w:val="18"/>
                <w:u w:val="none"/>
                <w:shd w:val="clear"/>
                <w:lang w:val="en-US" w:eastAsia="zh-CN" w:bidi="ar"/>
              </w:rPr>
              <w:t>日《国务院关于修改和废止部分行政法规的决定》第三次修订根据</w:t>
            </w:r>
            <w:r>
              <w:rPr>
                <w:rFonts w:hint="default" w:ascii="仿宋" w:hAnsi="仿宋" w:eastAsia="仿宋" w:cs="仿宋"/>
                <w:i w:val="0"/>
                <w:color w:val="auto"/>
                <w:kern w:val="0"/>
                <w:sz w:val="18"/>
                <w:szCs w:val="18"/>
                <w:u w:val="none"/>
                <w:shd w:val="clear"/>
                <w:lang w:val="en-US" w:eastAsia="zh-CN" w:bidi="ar"/>
              </w:rPr>
              <w:t>2017</w:t>
            </w:r>
            <w:r>
              <w:rPr>
                <w:rFonts w:hint="eastAsia" w:ascii="仿宋" w:hAnsi="仿宋" w:eastAsia="仿宋" w:cs="仿宋"/>
                <w:i w:val="0"/>
                <w:color w:val="auto"/>
                <w:kern w:val="0"/>
                <w:sz w:val="18"/>
                <w:szCs w:val="18"/>
                <w:u w:val="none"/>
                <w:shd w:val="clear"/>
                <w:lang w:val="en-US" w:eastAsia="zh-CN" w:bidi="ar"/>
              </w:rPr>
              <w:t>年</w:t>
            </w:r>
            <w:r>
              <w:rPr>
                <w:rFonts w:hint="default" w:ascii="仿宋" w:hAnsi="仿宋" w:eastAsia="仿宋" w:cs="仿宋"/>
                <w:i w:val="0"/>
                <w:color w:val="auto"/>
                <w:kern w:val="0"/>
                <w:sz w:val="18"/>
                <w:szCs w:val="18"/>
                <w:u w:val="none"/>
                <w:shd w:val="clear"/>
                <w:lang w:val="en-US" w:eastAsia="zh-CN" w:bidi="ar"/>
              </w:rPr>
              <w:t>10</w:t>
            </w:r>
            <w:r>
              <w:rPr>
                <w:rFonts w:hint="eastAsia" w:ascii="仿宋" w:hAnsi="仿宋" w:eastAsia="仿宋" w:cs="仿宋"/>
                <w:i w:val="0"/>
                <w:color w:val="auto"/>
                <w:kern w:val="0"/>
                <w:sz w:val="18"/>
                <w:szCs w:val="18"/>
                <w:u w:val="none"/>
                <w:shd w:val="clear"/>
                <w:lang w:val="en-US" w:eastAsia="zh-CN" w:bidi="ar"/>
              </w:rPr>
              <w:t>月</w:t>
            </w:r>
            <w:r>
              <w:rPr>
                <w:rFonts w:hint="default" w:ascii="仿宋" w:hAnsi="仿宋" w:eastAsia="仿宋" w:cs="仿宋"/>
                <w:i w:val="0"/>
                <w:color w:val="auto"/>
                <w:kern w:val="0"/>
                <w:sz w:val="18"/>
                <w:szCs w:val="18"/>
                <w:u w:val="none"/>
                <w:shd w:val="clear"/>
                <w:lang w:val="en-US" w:eastAsia="zh-CN" w:bidi="ar"/>
              </w:rPr>
              <w:t>7</w:t>
            </w:r>
            <w:r>
              <w:rPr>
                <w:rFonts w:hint="eastAsia" w:ascii="仿宋" w:hAnsi="仿宋" w:eastAsia="仿宋" w:cs="仿宋"/>
                <w:i w:val="0"/>
                <w:color w:val="auto"/>
                <w:kern w:val="0"/>
                <w:sz w:val="18"/>
                <w:szCs w:val="18"/>
                <w:u w:val="none"/>
                <w:shd w:val="clear"/>
                <w:lang w:val="en-US" w:eastAsia="zh-CN" w:bidi="ar"/>
              </w:rPr>
              <w:t>日《国务院关于修改部分行政法规的决定》第四次修订</w:t>
            </w:r>
            <w:r>
              <w:rPr>
                <w:rFonts w:hint="default" w:ascii="仿宋" w:hAnsi="仿宋" w:eastAsia="仿宋" w:cs="仿宋"/>
                <w:i w:val="0"/>
                <w:color w:val="auto"/>
                <w:kern w:val="0"/>
                <w:sz w:val="18"/>
                <w:szCs w:val="18"/>
                <w:u w:val="none"/>
                <w:shd w:val="clear"/>
                <w:lang w:val="en-US" w:eastAsia="zh-CN" w:bidi="ar"/>
              </w:rPr>
              <w:t>)</w:t>
            </w:r>
            <w:r>
              <w:rPr>
                <w:rFonts w:hint="eastAsia" w:ascii="仿宋" w:hAnsi="仿宋" w:eastAsia="仿宋" w:cs="仿宋"/>
                <w:i w:val="0"/>
                <w:color w:val="auto"/>
                <w:kern w:val="0"/>
                <w:sz w:val="18"/>
                <w:szCs w:val="18"/>
                <w:u w:val="none"/>
                <w:lang w:val="en-US" w:eastAsia="zh-CN" w:bidi="ar"/>
              </w:rPr>
              <w:t>第十二条第三款：“负责管理文物保护单位的机</w:t>
            </w:r>
            <w:r>
              <w:rPr>
                <w:rFonts w:hint="eastAsia" w:ascii="仿宋" w:hAnsi="仿宋" w:eastAsia="仿宋" w:cs="仿宋"/>
                <w:i w:val="0"/>
                <w:color w:val="auto"/>
                <w:kern w:val="0"/>
                <w:sz w:val="18"/>
                <w:szCs w:val="18"/>
                <w:u w:val="none"/>
                <w:shd w:val="clear"/>
                <w:lang w:val="en-US" w:eastAsia="zh-CN" w:bidi="ar"/>
              </w:rPr>
              <w:t>构，应当建立健全规章制度，采取安防防范措施；其安全保卫人员，可以依法配备卫器械。</w:t>
            </w:r>
          </w:p>
          <w:p w14:paraId="37B2E46C">
            <w:pPr>
              <w:keepNext w:val="0"/>
              <w:keepLines w:val="0"/>
              <w:pageBreakBefore w:val="0"/>
              <w:widowControl w:val="0"/>
              <w:kinsoku/>
              <w:wordWrap/>
              <w:overflowPunct/>
              <w:topLinePunct w:val="0"/>
              <w:autoSpaceDE/>
              <w:autoSpaceDN/>
              <w:bidi w:val="0"/>
              <w:adjustRightInd/>
              <w:snapToGrid/>
              <w:spacing w:line="180" w:lineRule="exact"/>
              <w:ind w:firstLine="0" w:firstLineChars="0"/>
              <w:jc w:val="both"/>
              <w:textAlignment w:val="auto"/>
              <w:rPr>
                <w:rFonts w:hint="eastAsia" w:ascii="仿宋" w:hAnsi="仿宋" w:eastAsia="仿宋" w:cs="仿宋"/>
                <w:i w:val="0"/>
                <w:color w:val="auto"/>
                <w:kern w:val="0"/>
                <w:sz w:val="18"/>
                <w:szCs w:val="18"/>
                <w:u w:val="none"/>
                <w:shd w:val="clear"/>
                <w:lang w:val="en-US" w:eastAsia="zh-CN" w:bidi="ar"/>
              </w:rPr>
            </w:pPr>
            <w:r>
              <w:rPr>
                <w:rFonts w:hint="eastAsia" w:ascii="仿宋" w:hAnsi="仿宋" w:eastAsia="仿宋" w:cs="仿宋"/>
                <w:i w:val="0"/>
                <w:color w:val="auto"/>
                <w:kern w:val="0"/>
                <w:sz w:val="18"/>
                <w:szCs w:val="18"/>
                <w:u w:val="none"/>
                <w:shd w:val="clear"/>
                <w:lang w:val="en-US" w:eastAsia="zh-CN" w:bidi="ar"/>
              </w:rPr>
              <w:t>国家文物局关于公布《文物保护工程安全检查督察办法（试行）》的决定（文物督发[2020]11号）</w:t>
            </w:r>
          </w:p>
          <w:p w14:paraId="583BE1D5">
            <w:pPr>
              <w:keepNext w:val="0"/>
              <w:keepLines w:val="0"/>
              <w:pageBreakBefore w:val="0"/>
              <w:widowControl w:val="0"/>
              <w:kinsoku/>
              <w:wordWrap/>
              <w:overflowPunct/>
              <w:topLinePunct w:val="0"/>
              <w:autoSpaceDE/>
              <w:autoSpaceDN/>
              <w:bidi w:val="0"/>
              <w:adjustRightInd/>
              <w:snapToGrid/>
              <w:spacing w:line="180" w:lineRule="exact"/>
              <w:ind w:firstLine="0" w:firstLineChars="0"/>
              <w:jc w:val="both"/>
              <w:textAlignment w:val="auto"/>
              <w:rPr>
                <w:rFonts w:hint="eastAsia" w:ascii="仿宋" w:hAnsi="仿宋" w:eastAsia="仿宋" w:cs="仿宋"/>
                <w:i w:val="0"/>
                <w:color w:val="auto"/>
                <w:kern w:val="0"/>
                <w:sz w:val="18"/>
                <w:szCs w:val="18"/>
                <w:u w:val="none"/>
                <w:shd w:val="clear"/>
                <w:lang w:val="en-US" w:eastAsia="zh-CN" w:bidi="ar"/>
              </w:rPr>
            </w:pPr>
            <w:r>
              <w:rPr>
                <w:rFonts w:hint="eastAsia" w:ascii="仿宋" w:hAnsi="仿宋" w:eastAsia="仿宋" w:cs="仿宋"/>
                <w:i w:val="0"/>
                <w:color w:val="auto"/>
                <w:kern w:val="0"/>
                <w:sz w:val="18"/>
                <w:szCs w:val="18"/>
                <w:u w:val="none"/>
                <w:shd w:val="clear"/>
                <w:lang w:val="en-US" w:eastAsia="zh-CN" w:bidi="ar"/>
              </w:rPr>
              <w:t>第二条 各级文物行政部门对实施中的文物修缮、迁移和保护性设施建设等文物保护工程，实施安全检查、督察，适用本办法。</w:t>
            </w:r>
          </w:p>
          <w:p w14:paraId="65C31732">
            <w:pPr>
              <w:keepNext w:val="0"/>
              <w:keepLines w:val="0"/>
              <w:pageBreakBefore w:val="0"/>
              <w:widowControl w:val="0"/>
              <w:kinsoku/>
              <w:wordWrap/>
              <w:overflowPunct/>
              <w:topLinePunct w:val="0"/>
              <w:autoSpaceDE/>
              <w:autoSpaceDN/>
              <w:bidi w:val="0"/>
              <w:adjustRightInd/>
              <w:snapToGrid/>
              <w:spacing w:line="180" w:lineRule="exact"/>
              <w:ind w:firstLine="0" w:firstLineChars="0"/>
              <w:jc w:val="both"/>
              <w:textAlignment w:val="auto"/>
              <w:rPr>
                <w:rFonts w:hint="eastAsia" w:ascii="仿宋" w:hAnsi="仿宋" w:eastAsia="仿宋" w:cs="仿宋"/>
                <w:i w:val="0"/>
                <w:color w:val="auto"/>
                <w:kern w:val="0"/>
                <w:sz w:val="18"/>
                <w:szCs w:val="18"/>
                <w:u w:val="none"/>
                <w:shd w:val="clear"/>
                <w:lang w:val="en-US" w:eastAsia="zh-CN" w:bidi="ar"/>
              </w:rPr>
            </w:pPr>
            <w:r>
              <w:rPr>
                <w:rFonts w:hint="eastAsia" w:ascii="仿宋" w:hAnsi="仿宋" w:eastAsia="仿宋" w:cs="仿宋"/>
                <w:i w:val="0"/>
                <w:color w:val="auto"/>
                <w:kern w:val="0"/>
                <w:sz w:val="18"/>
                <w:szCs w:val="18"/>
                <w:u w:val="none"/>
                <w:shd w:val="clear"/>
                <w:lang w:val="en-US" w:eastAsia="zh-CN" w:bidi="ar"/>
              </w:rPr>
              <w:t>第六条 文物行政部门进行文物保护工程安全现场检查、督察可以采取下列措施：</w:t>
            </w:r>
          </w:p>
          <w:p w14:paraId="16F984BF">
            <w:pPr>
              <w:keepNext w:val="0"/>
              <w:keepLines w:val="0"/>
              <w:pageBreakBefore w:val="0"/>
              <w:widowControl w:val="0"/>
              <w:kinsoku/>
              <w:wordWrap/>
              <w:overflowPunct/>
              <w:topLinePunct w:val="0"/>
              <w:autoSpaceDE/>
              <w:autoSpaceDN/>
              <w:bidi w:val="0"/>
              <w:adjustRightInd/>
              <w:snapToGrid/>
              <w:spacing w:line="180" w:lineRule="exact"/>
              <w:ind w:firstLine="0" w:firstLineChars="0"/>
              <w:jc w:val="both"/>
              <w:textAlignment w:val="auto"/>
              <w:rPr>
                <w:rFonts w:hint="eastAsia" w:ascii="仿宋" w:hAnsi="仿宋" w:eastAsia="仿宋" w:cs="仿宋"/>
                <w:i w:val="0"/>
                <w:color w:val="auto"/>
                <w:kern w:val="0"/>
                <w:sz w:val="18"/>
                <w:szCs w:val="18"/>
                <w:u w:val="none"/>
                <w:shd w:val="clear"/>
                <w:lang w:val="en-US" w:eastAsia="zh-CN" w:bidi="ar"/>
              </w:rPr>
            </w:pPr>
            <w:r>
              <w:rPr>
                <w:rFonts w:hint="eastAsia" w:ascii="仿宋" w:hAnsi="仿宋" w:eastAsia="仿宋" w:cs="仿宋"/>
                <w:i w:val="0"/>
                <w:color w:val="auto"/>
                <w:kern w:val="0"/>
                <w:sz w:val="18"/>
                <w:szCs w:val="18"/>
                <w:u w:val="none"/>
                <w:shd w:val="clear"/>
                <w:lang w:val="en-US" w:eastAsia="zh-CN" w:bidi="ar"/>
              </w:rPr>
              <w:t>（一）查询文物保护工程安全管理情况和有关档案资料；</w:t>
            </w:r>
          </w:p>
          <w:p w14:paraId="6EE5E31E">
            <w:pPr>
              <w:keepNext w:val="0"/>
              <w:keepLines w:val="0"/>
              <w:pageBreakBefore w:val="0"/>
              <w:widowControl w:val="0"/>
              <w:kinsoku/>
              <w:wordWrap/>
              <w:overflowPunct/>
              <w:topLinePunct w:val="0"/>
              <w:autoSpaceDE/>
              <w:autoSpaceDN/>
              <w:bidi w:val="0"/>
              <w:adjustRightInd/>
              <w:snapToGrid/>
              <w:spacing w:line="180" w:lineRule="exact"/>
              <w:ind w:firstLine="0" w:firstLineChars="0"/>
              <w:jc w:val="both"/>
              <w:textAlignment w:val="auto"/>
              <w:rPr>
                <w:rFonts w:hint="eastAsia" w:ascii="仿宋" w:hAnsi="仿宋" w:eastAsia="仿宋" w:cs="仿宋"/>
                <w:i w:val="0"/>
                <w:color w:val="auto"/>
                <w:kern w:val="0"/>
                <w:sz w:val="18"/>
                <w:szCs w:val="18"/>
                <w:u w:val="none"/>
                <w:shd w:val="clear"/>
                <w:lang w:val="en-US" w:eastAsia="zh-CN" w:bidi="ar"/>
              </w:rPr>
            </w:pPr>
            <w:r>
              <w:rPr>
                <w:rFonts w:hint="eastAsia" w:ascii="仿宋" w:hAnsi="仿宋" w:eastAsia="仿宋" w:cs="仿宋"/>
                <w:i w:val="0"/>
                <w:color w:val="auto"/>
                <w:kern w:val="0"/>
                <w:sz w:val="18"/>
                <w:szCs w:val="18"/>
                <w:u w:val="none"/>
                <w:shd w:val="clear"/>
                <w:lang w:val="en-US" w:eastAsia="zh-CN" w:bidi="ar"/>
              </w:rPr>
              <w:t>（二）进入施工现场实地检查核实，检验施工和安全防护设施、设备安全性能与运行情况；</w:t>
            </w:r>
          </w:p>
          <w:p w14:paraId="0CACF942">
            <w:pPr>
              <w:keepNext w:val="0"/>
              <w:keepLines w:val="0"/>
              <w:pageBreakBefore w:val="0"/>
              <w:widowControl w:val="0"/>
              <w:kinsoku/>
              <w:wordWrap/>
              <w:overflowPunct/>
              <w:topLinePunct w:val="0"/>
              <w:autoSpaceDE/>
              <w:autoSpaceDN/>
              <w:bidi w:val="0"/>
              <w:adjustRightInd/>
              <w:snapToGrid/>
              <w:spacing w:line="180" w:lineRule="exact"/>
              <w:ind w:firstLine="0" w:firstLineChars="0"/>
              <w:jc w:val="both"/>
              <w:textAlignment w:val="auto"/>
              <w:rPr>
                <w:rFonts w:hint="eastAsia" w:ascii="仿宋" w:hAnsi="仿宋" w:eastAsia="仿宋" w:cs="仿宋"/>
                <w:i w:val="0"/>
                <w:color w:val="auto"/>
                <w:kern w:val="0"/>
                <w:sz w:val="18"/>
                <w:szCs w:val="18"/>
                <w:u w:val="none"/>
                <w:shd w:val="clear"/>
                <w:lang w:val="en-US" w:eastAsia="zh-CN" w:bidi="ar"/>
              </w:rPr>
            </w:pPr>
            <w:r>
              <w:rPr>
                <w:rFonts w:hint="eastAsia" w:ascii="仿宋" w:hAnsi="仿宋" w:eastAsia="仿宋" w:cs="仿宋"/>
                <w:i w:val="0"/>
                <w:color w:val="auto"/>
                <w:kern w:val="0"/>
                <w:sz w:val="18"/>
                <w:szCs w:val="18"/>
                <w:u w:val="none"/>
                <w:shd w:val="clear"/>
                <w:lang w:val="en-US" w:eastAsia="zh-CN" w:bidi="ar"/>
              </w:rPr>
              <w:t>（三）观摩现场应急演练，检验应急处置能力；</w:t>
            </w:r>
          </w:p>
          <w:p w14:paraId="50C0870B">
            <w:pPr>
              <w:keepNext w:val="0"/>
              <w:keepLines w:val="0"/>
              <w:pageBreakBefore w:val="0"/>
              <w:widowControl w:val="0"/>
              <w:kinsoku/>
              <w:wordWrap/>
              <w:overflowPunct/>
              <w:topLinePunct w:val="0"/>
              <w:autoSpaceDE/>
              <w:autoSpaceDN/>
              <w:bidi w:val="0"/>
              <w:adjustRightInd/>
              <w:snapToGrid/>
              <w:spacing w:line="180" w:lineRule="exact"/>
              <w:ind w:firstLine="0" w:firstLineChars="0"/>
              <w:jc w:val="both"/>
              <w:textAlignment w:val="auto"/>
              <w:rPr>
                <w:rFonts w:hint="eastAsia" w:ascii="仿宋" w:hAnsi="仿宋" w:eastAsia="仿宋" w:cs="仿宋"/>
                <w:i w:val="0"/>
                <w:color w:val="auto"/>
                <w:kern w:val="0"/>
                <w:sz w:val="18"/>
                <w:szCs w:val="18"/>
                <w:u w:val="none"/>
                <w:shd w:val="clear"/>
                <w:lang w:val="en-US" w:eastAsia="zh-CN" w:bidi="ar"/>
              </w:rPr>
            </w:pPr>
            <w:r>
              <w:rPr>
                <w:rFonts w:hint="eastAsia" w:ascii="仿宋" w:hAnsi="仿宋" w:eastAsia="仿宋" w:cs="仿宋"/>
                <w:i w:val="0"/>
                <w:color w:val="auto"/>
                <w:kern w:val="0"/>
                <w:sz w:val="18"/>
                <w:szCs w:val="18"/>
                <w:u w:val="none"/>
                <w:shd w:val="clear"/>
                <w:lang w:val="en-US" w:eastAsia="zh-CN" w:bidi="ar"/>
              </w:rPr>
              <w:t>（四）组织专业机构实施专业安全评估和检测。</w:t>
            </w:r>
          </w:p>
          <w:p w14:paraId="7D925057">
            <w:pPr>
              <w:keepNext w:val="0"/>
              <w:keepLines w:val="0"/>
              <w:pageBreakBefore w:val="0"/>
              <w:widowControl w:val="0"/>
              <w:kinsoku/>
              <w:wordWrap/>
              <w:overflowPunct/>
              <w:topLinePunct w:val="0"/>
              <w:autoSpaceDE/>
              <w:autoSpaceDN/>
              <w:bidi w:val="0"/>
              <w:adjustRightInd/>
              <w:snapToGrid/>
              <w:spacing w:line="180" w:lineRule="exact"/>
              <w:ind w:firstLine="0" w:firstLineChars="0"/>
              <w:jc w:val="both"/>
              <w:textAlignment w:val="auto"/>
              <w:rPr>
                <w:rFonts w:hint="eastAsia" w:ascii="仿宋" w:hAnsi="仿宋" w:eastAsia="仿宋" w:cs="仿宋"/>
                <w:i w:val="0"/>
                <w:color w:val="auto"/>
                <w:kern w:val="0"/>
                <w:sz w:val="18"/>
                <w:szCs w:val="18"/>
                <w:u w:val="none"/>
                <w:shd w:val="clear"/>
                <w:lang w:val="en-US" w:eastAsia="zh-CN" w:bidi="ar"/>
              </w:rPr>
            </w:pPr>
            <w:r>
              <w:rPr>
                <w:rFonts w:hint="eastAsia" w:ascii="仿宋" w:hAnsi="仿宋" w:eastAsia="仿宋" w:cs="仿宋"/>
                <w:i w:val="0"/>
                <w:color w:val="auto"/>
                <w:kern w:val="0"/>
                <w:sz w:val="18"/>
                <w:szCs w:val="18"/>
                <w:u w:val="none"/>
                <w:shd w:val="clear"/>
                <w:lang w:val="en-US" w:eastAsia="zh-CN" w:bidi="ar"/>
              </w:rPr>
              <w:t>第七条 文物行政部门进行文物保护工程安全检查应当填写检查记录，并由检查人员和被查单位负责人签字。</w:t>
            </w:r>
          </w:p>
          <w:p w14:paraId="163E5B2B">
            <w:pPr>
              <w:keepNext w:val="0"/>
              <w:keepLines w:val="0"/>
              <w:pageBreakBefore w:val="0"/>
              <w:widowControl w:val="0"/>
              <w:kinsoku/>
              <w:wordWrap/>
              <w:overflowPunct/>
              <w:topLinePunct w:val="0"/>
              <w:autoSpaceDE/>
              <w:autoSpaceDN/>
              <w:bidi w:val="0"/>
              <w:adjustRightInd/>
              <w:snapToGrid/>
              <w:spacing w:line="180" w:lineRule="exact"/>
              <w:ind w:firstLine="0" w:firstLineChars="0"/>
              <w:jc w:val="both"/>
              <w:textAlignment w:val="auto"/>
              <w:rPr>
                <w:rFonts w:hint="eastAsia" w:ascii="仿宋" w:hAnsi="仿宋" w:eastAsia="仿宋" w:cs="仿宋"/>
                <w:i w:val="0"/>
                <w:color w:val="auto"/>
                <w:kern w:val="0"/>
                <w:sz w:val="18"/>
                <w:szCs w:val="18"/>
                <w:u w:val="none"/>
                <w:shd w:val="clear"/>
                <w:lang w:val="en-US" w:eastAsia="zh-CN" w:bidi="ar"/>
              </w:rPr>
            </w:pPr>
            <w:r>
              <w:rPr>
                <w:rFonts w:hint="eastAsia" w:ascii="仿宋" w:hAnsi="仿宋" w:eastAsia="仿宋" w:cs="仿宋"/>
                <w:i w:val="0"/>
                <w:color w:val="auto"/>
                <w:kern w:val="0"/>
                <w:sz w:val="18"/>
                <w:szCs w:val="18"/>
                <w:u w:val="none"/>
                <w:shd w:val="clear"/>
                <w:lang w:val="en-US" w:eastAsia="zh-CN" w:bidi="ar"/>
              </w:rPr>
              <w:t>第八条 检查中发现安全隐患的，应当现场反馈，并及时向业主单位和施工单位送达隐患整改通知书，责令限期整改。</w:t>
            </w:r>
          </w:p>
          <w:p w14:paraId="25045DE8">
            <w:pPr>
              <w:keepNext w:val="0"/>
              <w:keepLines w:val="0"/>
              <w:pageBreakBefore w:val="0"/>
              <w:widowControl w:val="0"/>
              <w:kinsoku/>
              <w:wordWrap/>
              <w:overflowPunct/>
              <w:topLinePunct w:val="0"/>
              <w:autoSpaceDE/>
              <w:autoSpaceDN/>
              <w:bidi w:val="0"/>
              <w:adjustRightInd/>
              <w:snapToGrid/>
              <w:spacing w:line="180" w:lineRule="exact"/>
              <w:ind w:firstLine="0" w:firstLineChars="0"/>
              <w:jc w:val="both"/>
              <w:textAlignment w:val="auto"/>
              <w:rPr>
                <w:rFonts w:hint="eastAsia" w:ascii="仿宋" w:hAnsi="仿宋" w:eastAsia="仿宋" w:cs="仿宋"/>
                <w:i w:val="0"/>
                <w:color w:val="auto"/>
                <w:kern w:val="0"/>
                <w:sz w:val="18"/>
                <w:szCs w:val="18"/>
                <w:u w:val="none"/>
                <w:shd w:val="clear"/>
                <w:lang w:val="en-US" w:eastAsia="zh-CN" w:bidi="ar"/>
              </w:rPr>
            </w:pPr>
            <w:r>
              <w:rPr>
                <w:rFonts w:hint="eastAsia" w:ascii="仿宋" w:hAnsi="仿宋" w:eastAsia="仿宋" w:cs="仿宋"/>
                <w:i w:val="0"/>
                <w:color w:val="auto"/>
                <w:kern w:val="0"/>
                <w:sz w:val="18"/>
                <w:szCs w:val="18"/>
                <w:u w:val="none"/>
                <w:shd w:val="clear"/>
                <w:lang w:val="en-US" w:eastAsia="zh-CN" w:bidi="ar"/>
              </w:rPr>
              <w:t>发现严重危害人员和文物安全的重大安全隐患，应当责令停工整改。</w:t>
            </w:r>
          </w:p>
          <w:p w14:paraId="2CC2509B">
            <w:pPr>
              <w:keepNext w:val="0"/>
              <w:keepLines w:val="0"/>
              <w:pageBreakBefore w:val="0"/>
              <w:widowControl w:val="0"/>
              <w:kinsoku/>
              <w:wordWrap/>
              <w:overflowPunct/>
              <w:topLinePunct w:val="0"/>
              <w:autoSpaceDE/>
              <w:autoSpaceDN/>
              <w:bidi w:val="0"/>
              <w:adjustRightInd/>
              <w:snapToGrid/>
              <w:spacing w:line="18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olor w:val="auto"/>
                <w:kern w:val="0"/>
                <w:sz w:val="18"/>
                <w:szCs w:val="18"/>
                <w:u w:val="none"/>
                <w:shd w:val="clear"/>
                <w:lang w:val="en-US" w:eastAsia="zh-CN" w:bidi="ar"/>
              </w:rPr>
              <w:t>发生安全生产事故的，应当按规定及时报告当地政府及有关部门，并妥善处置，有效避免和减少文物损失；涉及全国重点文物保护单位和省级文物保护单位的，应当报国家文物局。</w:t>
            </w:r>
          </w:p>
        </w:tc>
        <w:tc>
          <w:tcPr>
            <w:tcW w:w="616" w:type="dxa"/>
            <w:gridSpan w:val="3"/>
            <w:vMerge w:val="restart"/>
            <w:tcBorders>
              <w:top w:val="single" w:color="auto" w:sz="4" w:space="0"/>
              <w:left w:val="single" w:color="auto" w:sz="4" w:space="0"/>
              <w:right w:val="single" w:color="auto" w:sz="4" w:space="0"/>
            </w:tcBorders>
            <w:tcMar>
              <w:top w:w="15" w:type="dxa"/>
              <w:left w:w="15" w:type="dxa"/>
              <w:right w:w="15" w:type="dxa"/>
            </w:tcMar>
            <w:vAlign w:val="center"/>
          </w:tcPr>
          <w:p w14:paraId="6418351F">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b w:val="0"/>
                <w:bCs/>
                <w:color w:val="000000"/>
                <w:spacing w:val="-6"/>
                <w:w w:val="100"/>
                <w:kern w:val="0"/>
                <w:sz w:val="24"/>
                <w:szCs w:val="24"/>
                <w:lang w:eastAsia="zh-CN" w:bidi="ar"/>
              </w:rPr>
            </w:pPr>
            <w:r>
              <w:rPr>
                <w:rFonts w:hint="eastAsia" w:ascii="仿宋" w:hAnsi="仿宋" w:eastAsia="仿宋" w:cs="仿宋"/>
                <w:b w:val="0"/>
                <w:bCs/>
                <w:color w:val="000000"/>
                <w:spacing w:val="-6"/>
                <w:w w:val="100"/>
                <w:kern w:val="0"/>
                <w:sz w:val="24"/>
                <w:szCs w:val="24"/>
                <w:lang w:eastAsia="zh-CN" w:bidi="ar"/>
              </w:rPr>
              <w:t>行政</w:t>
            </w:r>
          </w:p>
          <w:p w14:paraId="21B0ABF7">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6"/>
                <w:w w:val="100"/>
                <w:kern w:val="0"/>
                <w:sz w:val="24"/>
                <w:szCs w:val="24"/>
                <w:lang w:eastAsia="zh-CN" w:bidi="ar"/>
              </w:rPr>
              <w:t>检查</w:t>
            </w:r>
          </w:p>
          <w:p w14:paraId="03927F6F">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337B80C">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6"/>
                <w:w w:val="100"/>
                <w:kern w:val="0"/>
                <w:sz w:val="24"/>
                <w:szCs w:val="24"/>
                <w:lang w:bidi="ar"/>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4616632">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0"/>
                <w:w w:val="100"/>
                <w:kern w:val="0"/>
                <w:sz w:val="24"/>
                <w:szCs w:val="24"/>
                <w:lang w:bidi="ar"/>
              </w:rPr>
              <w:t>1.受理责任：接到投诉按投诉处理流程及时处理后决定是否移交执法机关。</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500F62A2">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不履行或不正确履行职责，有下列情形的行政机关及相关工作人员应当承担相应的责任：</w:t>
            </w:r>
          </w:p>
          <w:p w14:paraId="06B787F9">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1.文物行政部门的工作人员违反本法规定，滥用审批权限、不履行职责或者发现违法行为不予查处，造成严重后果的；</w:t>
            </w:r>
          </w:p>
          <w:p w14:paraId="37404DF4">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2.文物行政部门和国有文物收藏单位的工作人员借用或者非法侵占国有文物的；</w:t>
            </w:r>
          </w:p>
          <w:p w14:paraId="1F216719">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3.文物行政部门的工作人员举办或者参与举办文物商店或者经营文物拍卖的拍卖企业的；</w:t>
            </w:r>
          </w:p>
          <w:p w14:paraId="1ED01ABC">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4.因不负责任造成文物保护单位、珍贵文物损毁或者流失的；</w:t>
            </w:r>
          </w:p>
          <w:p w14:paraId="6A97AEA5">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5.贪污、挪用文物保护经费的。</w:t>
            </w:r>
          </w:p>
          <w:p w14:paraId="37E8906B">
            <w:pPr>
              <w:keepNext w:val="0"/>
              <w:keepLines w:val="0"/>
              <w:pageBreakBefore w:val="0"/>
              <w:kinsoku/>
              <w:wordWrap/>
              <w:overflowPunct/>
              <w:topLinePunct w:val="0"/>
              <w:autoSpaceDE/>
              <w:autoSpaceDN/>
              <w:bidi w:val="0"/>
              <w:adjustRightInd/>
              <w:snapToGrid/>
              <w:spacing w:line="180" w:lineRule="exact"/>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olor w:val="000000"/>
                <w:kern w:val="0"/>
                <w:sz w:val="18"/>
                <w:szCs w:val="18"/>
                <w:u w:val="none"/>
                <w:lang w:val="en-US" w:eastAsia="zh-CN" w:bidi="ar"/>
              </w:rPr>
              <w:t>前款被开除公职或者被吊销从业资格的人员，自被开除公职或者被吊销从业资格之日起十年内不得担任文物管理人员或者从事文物经营活动</w:t>
            </w:r>
            <w:r>
              <w:rPr>
                <w:rFonts w:hint="eastAsia" w:ascii="仿宋" w:hAnsi="仿宋" w:eastAsia="仿宋" w:cs="仿宋"/>
                <w:i w:val="0"/>
                <w:color w:val="000000"/>
                <w:kern w:val="0"/>
                <w:sz w:val="22"/>
                <w:szCs w:val="22"/>
                <w:u w:val="none"/>
                <w:lang w:val="en-US" w:eastAsia="zh-CN" w:bidi="ar"/>
              </w:rPr>
              <w:t>。</w:t>
            </w:r>
          </w:p>
          <w:p w14:paraId="01AC9AEE">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p w14:paraId="347CCC82">
            <w:pPr>
              <w:rPr>
                <w:rFonts w:hint="eastAsia"/>
                <w:lang w:val="en-US" w:eastAsia="zh-CN"/>
              </w:rPr>
            </w:pPr>
          </w:p>
          <w:p w14:paraId="407E350C">
            <w:pPr>
              <w:pStyle w:val="2"/>
              <w:rPr>
                <w:rFonts w:hint="eastAsia"/>
                <w:lang w:val="en-US" w:eastAsia="zh-CN"/>
              </w:rPr>
            </w:pP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1327FC19">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文物非遗股</w:t>
            </w:r>
          </w:p>
          <w:p w14:paraId="7978A2E3">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2D868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40" w:hRule="atLeast"/>
          <w:jc w:val="center"/>
        </w:trPr>
        <w:tc>
          <w:tcPr>
            <w:tcW w:w="678" w:type="dxa"/>
            <w:vMerge w:val="continue"/>
            <w:tcBorders>
              <w:left w:val="single" w:color="auto" w:sz="4" w:space="0"/>
              <w:right w:val="single" w:color="auto" w:sz="4" w:space="0"/>
            </w:tcBorders>
            <w:tcMar>
              <w:top w:w="15" w:type="dxa"/>
              <w:left w:w="15" w:type="dxa"/>
              <w:right w:w="15" w:type="dxa"/>
            </w:tcMar>
            <w:vAlign w:val="center"/>
          </w:tcPr>
          <w:p w14:paraId="1F4250B7">
            <w:pPr>
              <w:keepNext w:val="0"/>
              <w:keepLines w:val="0"/>
              <w:pageBreakBefore w:val="0"/>
              <w:kinsoku/>
              <w:wordWrap/>
              <w:overflowPunct/>
              <w:topLinePunct w:val="0"/>
              <w:autoSpaceDE/>
              <w:autoSpaceDN/>
              <w:bidi w:val="0"/>
              <w:adjustRightInd/>
              <w:ind w:firstLine="0" w:firstLineChars="0"/>
              <w:jc w:val="both"/>
            </w:pPr>
          </w:p>
        </w:tc>
        <w:tc>
          <w:tcPr>
            <w:tcW w:w="1382" w:type="dxa"/>
            <w:vMerge w:val="continue"/>
            <w:tcBorders>
              <w:left w:val="single" w:color="auto" w:sz="4" w:space="0"/>
              <w:right w:val="single" w:color="auto" w:sz="4" w:space="0"/>
            </w:tcBorders>
            <w:tcMar>
              <w:top w:w="15" w:type="dxa"/>
              <w:left w:w="15" w:type="dxa"/>
              <w:right w:w="15" w:type="dxa"/>
            </w:tcMar>
            <w:vAlign w:val="center"/>
          </w:tcPr>
          <w:p w14:paraId="7D5233F8">
            <w:pPr>
              <w:keepNext w:val="0"/>
              <w:keepLines w:val="0"/>
              <w:pageBreakBefore w:val="0"/>
              <w:kinsoku/>
              <w:wordWrap/>
              <w:overflowPunct/>
              <w:topLinePunct w:val="0"/>
              <w:autoSpaceDE/>
              <w:autoSpaceDN/>
              <w:bidi w:val="0"/>
              <w:adjustRightInd/>
              <w:ind w:firstLine="0" w:firstLineChars="0"/>
              <w:jc w:val="both"/>
            </w:pPr>
          </w:p>
        </w:tc>
        <w:tc>
          <w:tcPr>
            <w:tcW w:w="3801" w:type="dxa"/>
            <w:gridSpan w:val="2"/>
            <w:vMerge w:val="continue"/>
            <w:tcBorders>
              <w:left w:val="single" w:color="auto" w:sz="4" w:space="0"/>
              <w:right w:val="single" w:color="auto" w:sz="4" w:space="0"/>
            </w:tcBorders>
            <w:tcMar>
              <w:top w:w="15" w:type="dxa"/>
              <w:left w:w="15" w:type="dxa"/>
              <w:right w:w="15" w:type="dxa"/>
            </w:tcMar>
            <w:vAlign w:val="center"/>
          </w:tcPr>
          <w:p w14:paraId="2721387A">
            <w:pPr>
              <w:keepNext w:val="0"/>
              <w:keepLines w:val="0"/>
              <w:pageBreakBefore w:val="0"/>
              <w:kinsoku/>
              <w:wordWrap/>
              <w:overflowPunct/>
              <w:topLinePunct w:val="0"/>
              <w:autoSpaceDE/>
              <w:autoSpaceDN/>
              <w:bidi w:val="0"/>
              <w:adjustRightInd/>
              <w:ind w:firstLine="0" w:firstLineChars="0"/>
              <w:jc w:val="both"/>
            </w:pPr>
          </w:p>
        </w:tc>
        <w:tc>
          <w:tcPr>
            <w:tcW w:w="616" w:type="dxa"/>
            <w:gridSpan w:val="3"/>
            <w:vMerge w:val="continue"/>
            <w:tcBorders>
              <w:left w:val="single" w:color="auto" w:sz="4" w:space="0"/>
              <w:right w:val="single" w:color="auto" w:sz="4" w:space="0"/>
            </w:tcBorders>
            <w:tcMar>
              <w:top w:w="15" w:type="dxa"/>
              <w:left w:w="15" w:type="dxa"/>
              <w:right w:w="15" w:type="dxa"/>
            </w:tcMar>
            <w:vAlign w:val="center"/>
          </w:tcPr>
          <w:p w14:paraId="4A737629">
            <w:pPr>
              <w:keepNext w:val="0"/>
              <w:keepLines w:val="0"/>
              <w:pageBreakBefore w:val="0"/>
              <w:kinsoku/>
              <w:wordWrap/>
              <w:overflowPunct/>
              <w:topLinePunct w:val="0"/>
              <w:autoSpaceDE/>
              <w:autoSpaceDN/>
              <w:bidi w:val="0"/>
              <w:adjustRightInd/>
              <w:ind w:firstLine="0" w:firstLineChars="0"/>
              <w:jc w:val="both"/>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0F0D171">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6"/>
                <w:w w:val="100"/>
                <w:kern w:val="0"/>
                <w:sz w:val="24"/>
                <w:szCs w:val="24"/>
                <w:lang w:bidi="ar"/>
              </w:rPr>
              <w:t>审查</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41C5854">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0"/>
                <w:w w:val="100"/>
                <w:kern w:val="0"/>
                <w:sz w:val="24"/>
                <w:szCs w:val="24"/>
                <w:lang w:bidi="ar"/>
              </w:rPr>
              <w:t>2.调查阶段责任：有2名以上取得合法执法证件的执法人员在场；主动出示执法证件，表明身份；通知检查对象相关负责人或与检查活动内容相关的人员到场，说明执法检查目的、依据以及需要当事人配合的有关事项。</w:t>
            </w:r>
          </w:p>
        </w:tc>
        <w:tc>
          <w:tcPr>
            <w:tcW w:w="1717" w:type="dxa"/>
            <w:gridSpan w:val="2"/>
            <w:vMerge w:val="continue"/>
            <w:tcBorders>
              <w:left w:val="single" w:color="auto" w:sz="4" w:space="0"/>
              <w:right w:val="single" w:color="auto" w:sz="4" w:space="0"/>
            </w:tcBorders>
            <w:tcMar>
              <w:top w:w="15" w:type="dxa"/>
              <w:left w:w="15" w:type="dxa"/>
              <w:right w:w="15" w:type="dxa"/>
            </w:tcMar>
            <w:vAlign w:val="center"/>
          </w:tcPr>
          <w:p w14:paraId="49CEAA48">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right w:val="single" w:color="auto" w:sz="4" w:space="0"/>
            </w:tcBorders>
            <w:tcMar>
              <w:top w:w="15" w:type="dxa"/>
              <w:left w:w="15" w:type="dxa"/>
              <w:right w:w="15" w:type="dxa"/>
            </w:tcMar>
            <w:vAlign w:val="center"/>
          </w:tcPr>
          <w:p w14:paraId="0B1375C5">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1A81D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2063300">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DCA6136">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801"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2A7F62A">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16"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486745D">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95529F7">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6"/>
                <w:w w:val="100"/>
                <w:kern w:val="0"/>
                <w:sz w:val="24"/>
                <w:szCs w:val="24"/>
                <w:lang w:bidi="ar"/>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DAF92FB">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0"/>
                <w:w w:val="100"/>
                <w:kern w:val="0"/>
                <w:sz w:val="24"/>
                <w:szCs w:val="24"/>
                <w:lang w:bidi="ar"/>
              </w:rPr>
              <w:t>3.审查阶段责任：企业经营行为规范，未发现违法违规问题的，执法人员应如实记录，检查结果可作为企业诚信评价的依据；检查结果基本规范，但存在经营管理不当等瑕疵行为的，执法人员应如实记录，并可以采取约谈企业负责人，提出整改意见，跟踪整改情况等处理措施；企业经营行为不规范，涉嫌违法违规、不构成犯罪的，执法人员应当将案件移交执法机关。</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B05EAEB">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0E6D1F4">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p>
        </w:tc>
      </w:tr>
      <w:tr w14:paraId="59916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3"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AB771FF">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067D9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DF729EE">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0A840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5"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05392BD1">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_GB2312" w:hAnsi="仿宋_GB2312" w:eastAsia="仿宋_GB2312" w:cs="仿宋_GB2312"/>
                <w:i w:val="0"/>
                <w:caps w:val="0"/>
                <w:color w:val="auto"/>
                <w:spacing w:val="0"/>
                <w:sz w:val="24"/>
                <w:szCs w:val="24"/>
                <w:shd w:val="clear" w:color="070000" w:fill="FFFFFF"/>
                <w:lang w:val="en-US" w:eastAsia="zh-CN"/>
              </w:rPr>
              <w:t>23</w:t>
            </w:r>
          </w:p>
          <w:p w14:paraId="4B564B0F">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38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2D7182BD">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olor w:val="000000"/>
                <w:kern w:val="0"/>
                <w:sz w:val="24"/>
                <w:szCs w:val="24"/>
                <w:u w:val="none"/>
                <w:lang w:val="en-US" w:eastAsia="zh-CN" w:bidi="ar"/>
              </w:rPr>
              <w:t>对依法设置安装和使用卫星设施用户的行政检查</w:t>
            </w:r>
          </w:p>
          <w:p w14:paraId="2D25EF89">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3801"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091DD0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hint="default" w:ascii="仿宋" w:hAnsi="仿宋" w:eastAsia="仿宋" w:cs="仿宋"/>
                <w:b w:val="0"/>
                <w:bCs/>
                <w:color w:val="auto"/>
                <w:spacing w:val="0"/>
                <w:w w:val="100"/>
                <w:kern w:val="0"/>
                <w:sz w:val="22"/>
                <w:szCs w:val="22"/>
                <w:lang w:val="en-US" w:eastAsia="zh-CN" w:bidi="ar"/>
              </w:rPr>
            </w:pPr>
            <w:r>
              <w:rPr>
                <w:rFonts w:hint="default" w:ascii="仿宋" w:hAnsi="仿宋" w:eastAsia="仿宋" w:cs="仿宋"/>
                <w:b w:val="0"/>
                <w:bCs/>
                <w:color w:val="auto"/>
                <w:spacing w:val="0"/>
                <w:w w:val="100"/>
                <w:kern w:val="0"/>
                <w:sz w:val="22"/>
                <w:szCs w:val="22"/>
                <w:lang w:val="en-US" w:eastAsia="zh-CN" w:bidi="ar"/>
              </w:rPr>
              <w:t>《卫星电视广播地面接收设施管理规定》实施细则</w:t>
            </w:r>
            <w:r>
              <w:rPr>
                <w:rFonts w:hint="default" w:ascii="仿宋" w:hAnsi="仿宋" w:eastAsia="仿宋" w:cs="仿宋"/>
                <w:b w:val="0"/>
                <w:bCs/>
                <w:color w:val="auto"/>
                <w:spacing w:val="0"/>
                <w:w w:val="100"/>
                <w:kern w:val="0"/>
                <w:sz w:val="22"/>
                <w:szCs w:val="22"/>
                <w:shd w:val="clear"/>
                <w:lang w:val="en-US" w:eastAsia="zh-CN" w:bidi="ar"/>
              </w:rPr>
              <w:t>（1994年2月3日 广播电影电视部令第11号公布 根据2021年10月9日《国家广播电视总局关于第四批修改的部门规章的决定》修订）</w:t>
            </w:r>
            <w:r>
              <w:rPr>
                <w:rFonts w:hint="default" w:ascii="仿宋" w:hAnsi="仿宋" w:eastAsia="仿宋" w:cs="仿宋"/>
                <w:b w:val="0"/>
                <w:bCs/>
                <w:color w:val="auto"/>
                <w:spacing w:val="0"/>
                <w:w w:val="100"/>
                <w:kern w:val="0"/>
                <w:sz w:val="22"/>
                <w:szCs w:val="22"/>
                <w:lang w:val="en-US" w:eastAsia="zh-CN" w:bidi="ar"/>
              </w:rPr>
              <w:t>第二条：</w:t>
            </w:r>
            <w:r>
              <w:rPr>
                <w:rFonts w:hint="eastAsia" w:ascii="仿宋" w:hAnsi="仿宋" w:eastAsia="仿宋" w:cs="仿宋"/>
                <w:b w:val="0"/>
                <w:bCs/>
                <w:color w:val="auto"/>
                <w:spacing w:val="0"/>
                <w:w w:val="100"/>
                <w:kern w:val="0"/>
                <w:sz w:val="22"/>
                <w:szCs w:val="22"/>
                <w:lang w:val="en-US" w:eastAsia="zh-CN" w:bidi="ar"/>
              </w:rPr>
              <w:t>国家广播电视总局是卫星电视广播地面接收设施（以下简称卫星地面接收设施）的归口管理部门，会同公安部、国家安全部负责全国卫星地面接收设施管理工作。</w:t>
            </w:r>
          </w:p>
          <w:p w14:paraId="6EF658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hint="eastAsia" w:ascii="仿宋" w:hAnsi="仿宋" w:eastAsia="仿宋" w:cs="仿宋"/>
                <w:b w:val="0"/>
                <w:bCs/>
                <w:color w:val="auto"/>
                <w:spacing w:val="0"/>
                <w:w w:val="100"/>
                <w:kern w:val="0"/>
                <w:sz w:val="22"/>
                <w:szCs w:val="22"/>
                <w:shd w:val="clear"/>
                <w:lang w:val="en-US" w:eastAsia="zh-CN" w:bidi="ar"/>
              </w:rPr>
            </w:pPr>
            <w:r>
              <w:rPr>
                <w:rFonts w:hint="eastAsia" w:ascii="仿宋" w:hAnsi="仿宋" w:eastAsia="仿宋" w:cs="仿宋"/>
                <w:b w:val="0"/>
                <w:bCs/>
                <w:color w:val="auto"/>
                <w:spacing w:val="0"/>
                <w:w w:val="100"/>
                <w:kern w:val="0"/>
                <w:sz w:val="22"/>
                <w:szCs w:val="22"/>
                <w:lang w:val="en-US" w:eastAsia="zh-CN" w:bidi="ar"/>
              </w:rPr>
              <w:t>　　地方各级人民政府广播电视行政部门是当地的</w:t>
            </w:r>
            <w:r>
              <w:rPr>
                <w:rFonts w:hint="eastAsia" w:ascii="仿宋" w:hAnsi="仿宋" w:eastAsia="仿宋" w:cs="仿宋"/>
                <w:b w:val="0"/>
                <w:bCs/>
                <w:color w:val="auto"/>
                <w:spacing w:val="0"/>
                <w:w w:val="100"/>
                <w:kern w:val="0"/>
                <w:sz w:val="22"/>
                <w:szCs w:val="22"/>
                <w:shd w:val="clear"/>
                <w:lang w:val="en-US" w:eastAsia="zh-CN" w:bidi="ar"/>
              </w:rPr>
              <w:t>卫星地面接收设施的归口管理部门，会同地方各级公安机关和国家安全机关负责本辖区内的卫星地面接收设施的管理工作。</w:t>
            </w:r>
          </w:p>
          <w:p w14:paraId="02CDD1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b w:val="0"/>
                <w:bCs/>
                <w:color w:val="auto"/>
                <w:spacing w:val="0"/>
                <w:w w:val="100"/>
                <w:kern w:val="0"/>
                <w:sz w:val="22"/>
                <w:szCs w:val="22"/>
                <w:shd w:val="clear"/>
                <w:lang w:val="en-US" w:eastAsia="zh-CN" w:bidi="ar"/>
              </w:rPr>
              <w:t>　　广播电视行政部门的职责是对卫星地面接收设施实行归口管理，审批卫星地面接收设施的设置，组织对卫星地面接收设施的生产、销售、使用情况进行检查；公安机关的职责是查处抗拒、阻碍管理部门依法执行公务的违法行为，协助管理部门对卫星地面接收设施进行技术检查；国家安全机关的职责是根据工作需要，依法对单位、个人安装使用的卫星地面接收设施开展电子查验，防范、发现和打击利用卫星地面接收设施从事危害国家安全的活动</w:t>
            </w:r>
            <w:r>
              <w:rPr>
                <w:rFonts w:hint="default" w:ascii="仿宋" w:hAnsi="仿宋" w:eastAsia="仿宋" w:cs="仿宋"/>
                <w:b w:val="0"/>
                <w:bCs/>
                <w:color w:val="auto"/>
                <w:spacing w:val="0"/>
                <w:w w:val="100"/>
                <w:kern w:val="0"/>
                <w:sz w:val="22"/>
                <w:szCs w:val="22"/>
                <w:shd w:val="clear"/>
                <w:lang w:val="en-US" w:eastAsia="zh-CN" w:bidi="ar"/>
              </w:rPr>
              <w:t>。</w:t>
            </w:r>
          </w:p>
        </w:tc>
        <w:tc>
          <w:tcPr>
            <w:tcW w:w="616" w:type="dxa"/>
            <w:gridSpan w:val="3"/>
            <w:vMerge w:val="restart"/>
            <w:tcBorders>
              <w:top w:val="single" w:color="auto" w:sz="4" w:space="0"/>
              <w:left w:val="single" w:color="auto" w:sz="4" w:space="0"/>
              <w:right w:val="single" w:color="auto" w:sz="4" w:space="0"/>
            </w:tcBorders>
            <w:tcMar>
              <w:top w:w="15" w:type="dxa"/>
              <w:left w:w="15" w:type="dxa"/>
              <w:right w:w="15" w:type="dxa"/>
            </w:tcMar>
            <w:vAlign w:val="center"/>
          </w:tcPr>
          <w:p w14:paraId="4085F04E">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b w:val="0"/>
                <w:bCs/>
                <w:color w:val="000000"/>
                <w:spacing w:val="-6"/>
                <w:w w:val="100"/>
                <w:kern w:val="0"/>
                <w:sz w:val="24"/>
                <w:szCs w:val="24"/>
                <w:lang w:eastAsia="zh-CN" w:bidi="ar"/>
              </w:rPr>
            </w:pPr>
            <w:r>
              <w:rPr>
                <w:rFonts w:hint="eastAsia" w:ascii="仿宋" w:hAnsi="仿宋" w:eastAsia="仿宋" w:cs="仿宋"/>
                <w:b w:val="0"/>
                <w:bCs/>
                <w:color w:val="000000"/>
                <w:spacing w:val="-6"/>
                <w:w w:val="100"/>
                <w:kern w:val="0"/>
                <w:sz w:val="24"/>
                <w:szCs w:val="24"/>
                <w:lang w:eastAsia="zh-CN" w:bidi="ar"/>
              </w:rPr>
              <w:t>行政</w:t>
            </w:r>
          </w:p>
          <w:p w14:paraId="2E9FF403">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6"/>
                <w:w w:val="100"/>
                <w:kern w:val="0"/>
                <w:sz w:val="24"/>
                <w:szCs w:val="24"/>
                <w:lang w:eastAsia="zh-CN" w:bidi="ar"/>
              </w:rPr>
              <w:t>检查</w:t>
            </w:r>
          </w:p>
          <w:p w14:paraId="5BBC62D3">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70A74BA">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6"/>
                <w:w w:val="100"/>
                <w:kern w:val="0"/>
                <w:sz w:val="24"/>
                <w:szCs w:val="24"/>
                <w:lang w:bidi="ar"/>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E709E63">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0"/>
                <w:w w:val="100"/>
                <w:kern w:val="0"/>
                <w:sz w:val="24"/>
                <w:szCs w:val="24"/>
                <w:lang w:bidi="ar"/>
              </w:rPr>
              <w:t>1.受理责任：接到投诉按投诉处理流程及时处理后决定是否移交执法机关。</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59D3A7C8">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lang w:val="en-US" w:eastAsia="zh-CN"/>
              </w:rPr>
            </w:pPr>
            <w:r>
              <w:rPr>
                <w:rFonts w:hint="default" w:ascii="仿宋" w:hAnsi="仿宋" w:eastAsia="仿宋" w:cs="仿宋"/>
                <w:b w:val="0"/>
                <w:bCs/>
                <w:color w:val="000000"/>
                <w:spacing w:val="0"/>
                <w:w w:val="100"/>
                <w:kern w:val="0"/>
                <w:sz w:val="24"/>
                <w:szCs w:val="24"/>
                <w:lang w:val="en-US" w:eastAsia="zh-CN" w:bidi="ar"/>
              </w:rPr>
              <w:t>不履行或不正确履行职责，有下列情形的行政机关及相关工作人员应当承担相应的责任：广播电视行政部门及其工作人员在广播电视管理工作中滥用职权、玩忽职守、徇私舞弊，构成犯罪的，依法追究刑事责任；尚不构成犯罪的，依法给予行政处分。</w:t>
            </w: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0E197AD6">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监督管理股</w:t>
            </w:r>
          </w:p>
          <w:p w14:paraId="1E2E2531">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240B7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5" w:hRule="atLeast"/>
          <w:jc w:val="center"/>
        </w:trPr>
        <w:tc>
          <w:tcPr>
            <w:tcW w:w="678" w:type="dxa"/>
            <w:vMerge w:val="continue"/>
            <w:tcBorders>
              <w:left w:val="single" w:color="auto" w:sz="4" w:space="0"/>
              <w:right w:val="single" w:color="auto" w:sz="4" w:space="0"/>
            </w:tcBorders>
            <w:tcMar>
              <w:top w:w="15" w:type="dxa"/>
              <w:left w:w="15" w:type="dxa"/>
              <w:right w:w="15" w:type="dxa"/>
            </w:tcMar>
            <w:vAlign w:val="center"/>
          </w:tcPr>
          <w:p w14:paraId="0B6F151D">
            <w:pPr>
              <w:keepNext w:val="0"/>
              <w:keepLines w:val="0"/>
              <w:pageBreakBefore w:val="0"/>
              <w:kinsoku/>
              <w:wordWrap/>
              <w:overflowPunct/>
              <w:topLinePunct w:val="0"/>
              <w:autoSpaceDE/>
              <w:autoSpaceDN/>
              <w:bidi w:val="0"/>
              <w:adjustRightInd/>
              <w:ind w:firstLine="0" w:firstLineChars="0"/>
              <w:jc w:val="both"/>
            </w:pPr>
          </w:p>
        </w:tc>
        <w:tc>
          <w:tcPr>
            <w:tcW w:w="1382" w:type="dxa"/>
            <w:vMerge w:val="continue"/>
            <w:tcBorders>
              <w:left w:val="single" w:color="auto" w:sz="4" w:space="0"/>
              <w:right w:val="single" w:color="auto" w:sz="4" w:space="0"/>
            </w:tcBorders>
            <w:tcMar>
              <w:top w:w="15" w:type="dxa"/>
              <w:left w:w="15" w:type="dxa"/>
              <w:right w:w="15" w:type="dxa"/>
            </w:tcMar>
            <w:vAlign w:val="center"/>
          </w:tcPr>
          <w:p w14:paraId="1CF969DF">
            <w:pPr>
              <w:keepNext w:val="0"/>
              <w:keepLines w:val="0"/>
              <w:pageBreakBefore w:val="0"/>
              <w:kinsoku/>
              <w:wordWrap/>
              <w:overflowPunct/>
              <w:topLinePunct w:val="0"/>
              <w:autoSpaceDE/>
              <w:autoSpaceDN/>
              <w:bidi w:val="0"/>
              <w:adjustRightInd/>
              <w:ind w:firstLine="0" w:firstLineChars="0"/>
              <w:jc w:val="both"/>
            </w:pPr>
          </w:p>
        </w:tc>
        <w:tc>
          <w:tcPr>
            <w:tcW w:w="3801" w:type="dxa"/>
            <w:gridSpan w:val="2"/>
            <w:vMerge w:val="continue"/>
            <w:tcBorders>
              <w:left w:val="single" w:color="auto" w:sz="4" w:space="0"/>
              <w:right w:val="single" w:color="auto" w:sz="4" w:space="0"/>
            </w:tcBorders>
            <w:tcMar>
              <w:top w:w="15" w:type="dxa"/>
              <w:left w:w="15" w:type="dxa"/>
              <w:right w:w="15" w:type="dxa"/>
            </w:tcMar>
            <w:vAlign w:val="center"/>
          </w:tcPr>
          <w:p w14:paraId="369B5ABA">
            <w:pPr>
              <w:keepNext w:val="0"/>
              <w:keepLines w:val="0"/>
              <w:pageBreakBefore w:val="0"/>
              <w:kinsoku/>
              <w:wordWrap/>
              <w:overflowPunct/>
              <w:topLinePunct w:val="0"/>
              <w:autoSpaceDE/>
              <w:autoSpaceDN/>
              <w:bidi w:val="0"/>
              <w:adjustRightInd/>
              <w:ind w:firstLine="0" w:firstLineChars="0"/>
              <w:jc w:val="both"/>
            </w:pPr>
          </w:p>
        </w:tc>
        <w:tc>
          <w:tcPr>
            <w:tcW w:w="616" w:type="dxa"/>
            <w:gridSpan w:val="3"/>
            <w:vMerge w:val="continue"/>
            <w:tcBorders>
              <w:left w:val="single" w:color="auto" w:sz="4" w:space="0"/>
              <w:right w:val="single" w:color="auto" w:sz="4" w:space="0"/>
            </w:tcBorders>
            <w:tcMar>
              <w:top w:w="15" w:type="dxa"/>
              <w:left w:w="15" w:type="dxa"/>
              <w:right w:w="15" w:type="dxa"/>
            </w:tcMar>
            <w:vAlign w:val="center"/>
          </w:tcPr>
          <w:p w14:paraId="677C057C">
            <w:pPr>
              <w:keepNext w:val="0"/>
              <w:keepLines w:val="0"/>
              <w:pageBreakBefore w:val="0"/>
              <w:kinsoku/>
              <w:wordWrap/>
              <w:overflowPunct/>
              <w:topLinePunct w:val="0"/>
              <w:autoSpaceDE/>
              <w:autoSpaceDN/>
              <w:bidi w:val="0"/>
              <w:adjustRightInd/>
              <w:ind w:firstLine="0" w:firstLineChars="0"/>
              <w:jc w:val="both"/>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DC34B8D">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6"/>
                <w:w w:val="100"/>
                <w:kern w:val="0"/>
                <w:sz w:val="24"/>
                <w:szCs w:val="24"/>
                <w:lang w:bidi="ar"/>
              </w:rPr>
              <w:t>审查</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6F29B08">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0"/>
                <w:w w:val="100"/>
                <w:kern w:val="0"/>
                <w:sz w:val="24"/>
                <w:szCs w:val="24"/>
                <w:lang w:bidi="ar"/>
              </w:rPr>
              <w:t>2.调查阶段责任：有2名以上取得合法执法证件的执法人员在场；主动出示执法证件，表明身份；通知检查对象相关负责人或与检查活动内容相关的人员到场，说明执法检查目的、依据以及需要当事人配合的有关事项。</w:t>
            </w:r>
          </w:p>
        </w:tc>
        <w:tc>
          <w:tcPr>
            <w:tcW w:w="1717" w:type="dxa"/>
            <w:gridSpan w:val="2"/>
            <w:vMerge w:val="continue"/>
            <w:tcBorders>
              <w:left w:val="single" w:color="auto" w:sz="4" w:space="0"/>
              <w:right w:val="single" w:color="auto" w:sz="4" w:space="0"/>
            </w:tcBorders>
            <w:tcMar>
              <w:top w:w="15" w:type="dxa"/>
              <w:left w:w="15" w:type="dxa"/>
              <w:right w:w="15" w:type="dxa"/>
            </w:tcMar>
            <w:vAlign w:val="center"/>
          </w:tcPr>
          <w:p w14:paraId="4E9D6ADC">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right w:val="single" w:color="auto" w:sz="4" w:space="0"/>
            </w:tcBorders>
            <w:tcMar>
              <w:top w:w="15" w:type="dxa"/>
              <w:left w:w="15" w:type="dxa"/>
              <w:right w:w="15" w:type="dxa"/>
            </w:tcMar>
            <w:vAlign w:val="center"/>
          </w:tcPr>
          <w:p w14:paraId="30FD7AFE">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59298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5"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DD7BF60">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E3D7711">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801"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2B082A9">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16"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FB9F81A">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2BC253F">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6"/>
                <w:w w:val="100"/>
                <w:kern w:val="0"/>
                <w:sz w:val="24"/>
                <w:szCs w:val="24"/>
                <w:lang w:bidi="ar"/>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3D70F39">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0"/>
                <w:w w:val="100"/>
                <w:kern w:val="0"/>
                <w:sz w:val="24"/>
                <w:szCs w:val="24"/>
                <w:lang w:bidi="ar"/>
              </w:rPr>
              <w:t>3.审查阶段责任：企业经营行为规范，未发现违法违规问题的，执法人员应如实记录，检查结果可作为企业诚信评价的依据；检查结果基本规范，但存在经营管理不当等瑕疵行为的，执法人员应如实记录，并可以采取约谈企业负责人，提出整改意见，跟踪整改情况等处理措施；企业经营行为不规范，涉嫌违法违规、不构成犯罪的，执法人员应当将案件移交执法机关。</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50087D2">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2C4CBE3">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p>
        </w:tc>
      </w:tr>
      <w:tr w14:paraId="7EA63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84723AF">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566C4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E65393B">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23252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0"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2343F8B9">
            <w:pPr>
              <w:keepNext w:val="0"/>
              <w:keepLines w:val="0"/>
              <w:pageBreakBefore w:val="0"/>
              <w:kinsoku/>
              <w:wordWrap/>
              <w:overflowPunct/>
              <w:topLinePunct w:val="0"/>
              <w:autoSpaceDE/>
              <w:autoSpaceDN/>
              <w:bidi w:val="0"/>
              <w:adjustRightInd/>
              <w:ind w:firstLine="0" w:firstLineChars="0"/>
              <w:jc w:val="center"/>
              <w:rPr>
                <w:rFonts w:hint="default"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24</w:t>
            </w:r>
          </w:p>
        </w:tc>
        <w:tc>
          <w:tcPr>
            <w:tcW w:w="138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6D90921D">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olor w:val="000000"/>
                <w:kern w:val="0"/>
                <w:sz w:val="24"/>
                <w:szCs w:val="24"/>
                <w:u w:val="none"/>
                <w:lang w:val="en-US" w:eastAsia="zh-CN" w:bidi="ar"/>
              </w:rPr>
              <w:t>对擅自使用频率、未按许可参数使用频率（小功率）的行政检查</w:t>
            </w:r>
          </w:p>
          <w:p w14:paraId="70558EFF">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3801"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2F1CF904">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both"/>
              <w:textAlignment w:val="auto"/>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1、《广播电视管理条例》</w:t>
            </w:r>
            <w:r>
              <w:rPr>
                <w:rFonts w:hint="eastAsia" w:ascii="仿宋" w:hAnsi="仿宋" w:eastAsia="仿宋" w:cs="仿宋"/>
                <w:i w:val="0"/>
                <w:color w:val="auto"/>
                <w:kern w:val="0"/>
                <w:sz w:val="20"/>
                <w:szCs w:val="20"/>
                <w:u w:val="none"/>
                <w:shd w:val="clear"/>
                <w:lang w:val="en-US" w:eastAsia="zh-CN" w:bidi="ar"/>
              </w:rPr>
              <w:t>(1997年8月11日中华人民共和国国务院令第228号发布根据2013年12月7日《国务院关于修改部分行政法规的决定》第一次修订根据2017年3月1日《国务院关于修改和废止部分行政法规的决定》第二次修订根据2</w:t>
            </w:r>
            <w:r>
              <w:rPr>
                <w:rFonts w:hint="default" w:ascii="仿宋" w:hAnsi="仿宋" w:eastAsia="仿宋" w:cs="仿宋"/>
                <w:i w:val="0"/>
                <w:color w:val="auto"/>
                <w:kern w:val="0"/>
                <w:sz w:val="20"/>
                <w:szCs w:val="20"/>
                <w:u w:val="none"/>
                <w:shd w:val="clear"/>
                <w:lang w:val="en-US" w:eastAsia="zh-CN" w:bidi="ar"/>
              </w:rPr>
              <w:t>020</w:t>
            </w:r>
            <w:r>
              <w:rPr>
                <w:rFonts w:hint="eastAsia" w:ascii="仿宋" w:hAnsi="仿宋" w:eastAsia="仿宋" w:cs="仿宋"/>
                <w:i w:val="0"/>
                <w:color w:val="auto"/>
                <w:kern w:val="0"/>
                <w:sz w:val="20"/>
                <w:szCs w:val="20"/>
                <w:u w:val="none"/>
                <w:shd w:val="clear"/>
                <w:lang w:val="en-US" w:eastAsia="zh-CN" w:bidi="ar"/>
              </w:rPr>
              <w:t>年</w:t>
            </w:r>
            <w:r>
              <w:rPr>
                <w:rFonts w:hint="default" w:ascii="仿宋" w:hAnsi="仿宋" w:eastAsia="仿宋" w:cs="仿宋"/>
                <w:i w:val="0"/>
                <w:color w:val="auto"/>
                <w:kern w:val="0"/>
                <w:sz w:val="20"/>
                <w:szCs w:val="20"/>
                <w:u w:val="none"/>
                <w:shd w:val="clear"/>
                <w:lang w:val="en-US" w:eastAsia="zh-CN" w:bidi="ar"/>
              </w:rPr>
              <w:t>11</w:t>
            </w:r>
            <w:r>
              <w:rPr>
                <w:rFonts w:hint="eastAsia" w:ascii="仿宋" w:hAnsi="仿宋" w:eastAsia="仿宋" w:cs="仿宋"/>
                <w:i w:val="0"/>
                <w:color w:val="auto"/>
                <w:kern w:val="0"/>
                <w:sz w:val="20"/>
                <w:szCs w:val="20"/>
                <w:u w:val="none"/>
                <w:shd w:val="clear"/>
                <w:lang w:val="en-US" w:eastAsia="zh-CN" w:bidi="ar"/>
              </w:rPr>
              <w:t>月</w:t>
            </w:r>
            <w:r>
              <w:rPr>
                <w:rFonts w:hint="default" w:ascii="仿宋" w:hAnsi="仿宋" w:eastAsia="仿宋" w:cs="仿宋"/>
                <w:i w:val="0"/>
                <w:color w:val="auto"/>
                <w:kern w:val="0"/>
                <w:sz w:val="20"/>
                <w:szCs w:val="20"/>
                <w:u w:val="none"/>
                <w:shd w:val="clear"/>
                <w:lang w:val="en-US" w:eastAsia="zh-CN" w:bidi="ar"/>
              </w:rPr>
              <w:t>29</w:t>
            </w:r>
            <w:r>
              <w:rPr>
                <w:rFonts w:hint="eastAsia" w:ascii="仿宋" w:hAnsi="仿宋" w:eastAsia="仿宋" w:cs="仿宋"/>
                <w:i w:val="0"/>
                <w:color w:val="auto"/>
                <w:kern w:val="0"/>
                <w:sz w:val="20"/>
                <w:szCs w:val="20"/>
                <w:u w:val="none"/>
                <w:shd w:val="clear"/>
                <w:lang w:val="en-US" w:eastAsia="zh-CN" w:bidi="ar"/>
              </w:rPr>
              <w:t>日《国务院关于修改和废止部分行政法规的决定》第三次修订)</w:t>
            </w:r>
            <w:r>
              <w:rPr>
                <w:rFonts w:hint="eastAsia" w:ascii="仿宋" w:hAnsi="仿宋" w:eastAsia="仿宋" w:cs="仿宋"/>
                <w:i w:val="0"/>
                <w:color w:val="auto"/>
                <w:kern w:val="0"/>
                <w:sz w:val="20"/>
                <w:szCs w:val="20"/>
                <w:u w:val="none"/>
                <w:lang w:val="en-US" w:eastAsia="zh-CN" w:bidi="ar"/>
              </w:rPr>
              <w:t>第十八条国务院广播电视行政部门负责指配广播电视专用频段的频率，并核发频率专用指配证明。第十九条设立广播电视发射台、转播台、微波站、卫星上行站，应当按照国家有关规定，持国务院广播电视行政部门核发的频率专用指配证明，向国家的或者省、自治区、直辖市的无线电管理机构办理审批手续，领取无线电台执照。第二十条 广播电视发射台、转播台应当按照国务院广播电视行政部门的有关规定发射、转播广播电视节目。</w:t>
            </w:r>
          </w:p>
          <w:p w14:paraId="2DB8357F">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both"/>
              <w:textAlignment w:val="auto"/>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广播电视发射台、转播台经核准使用的频率、频段不得出租、转让，已经批准的各项技术参数不得擅自变更。</w:t>
            </w:r>
          </w:p>
          <w:p w14:paraId="61011862">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olor w:val="auto"/>
                <w:kern w:val="0"/>
                <w:sz w:val="20"/>
                <w:szCs w:val="20"/>
                <w:u w:val="none"/>
                <w:lang w:val="en-US" w:eastAsia="zh-CN" w:bidi="ar"/>
              </w:rPr>
              <w:t>2、《广播电视无线传输覆盖网管理办法》（2004 年11月15日 国家广播电影电视总局令第45号公布 根据2021年3月23日《国家广播电视总局关于第二批修改的部门规章的决定》修订）经2022年9月22日国家广播电视总局局务会议审议通过，现予公布，自公布之日起施行。第十三条广电总局委托省级广播电视行政部门审批以下业务，申请单位应向所在地县级以上广播电视行政部门提出书面申请，经逐级审核后，报请省级广播电视行政部门领取《广播电视节目传送业务经营许可证（无线）》（二）使用小功率调频、电视发射设备（发射机标称功率50瓦（含）以下）进行广播的。</w:t>
            </w:r>
          </w:p>
        </w:tc>
        <w:tc>
          <w:tcPr>
            <w:tcW w:w="616" w:type="dxa"/>
            <w:gridSpan w:val="3"/>
            <w:vMerge w:val="restart"/>
            <w:tcBorders>
              <w:top w:val="single" w:color="auto" w:sz="4" w:space="0"/>
              <w:left w:val="single" w:color="auto" w:sz="4" w:space="0"/>
              <w:right w:val="single" w:color="auto" w:sz="4" w:space="0"/>
            </w:tcBorders>
            <w:tcMar>
              <w:top w:w="15" w:type="dxa"/>
              <w:left w:w="15" w:type="dxa"/>
              <w:right w:w="15" w:type="dxa"/>
            </w:tcMar>
            <w:vAlign w:val="center"/>
          </w:tcPr>
          <w:p w14:paraId="77B12B3E">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b w:val="0"/>
                <w:bCs/>
                <w:color w:val="000000"/>
                <w:spacing w:val="-6"/>
                <w:w w:val="100"/>
                <w:kern w:val="0"/>
                <w:sz w:val="24"/>
                <w:szCs w:val="24"/>
                <w:lang w:eastAsia="zh-CN" w:bidi="ar"/>
              </w:rPr>
            </w:pPr>
            <w:r>
              <w:rPr>
                <w:rFonts w:hint="eastAsia" w:ascii="仿宋" w:hAnsi="仿宋" w:eastAsia="仿宋" w:cs="仿宋"/>
                <w:b w:val="0"/>
                <w:bCs/>
                <w:color w:val="000000"/>
                <w:spacing w:val="-6"/>
                <w:w w:val="100"/>
                <w:kern w:val="0"/>
                <w:sz w:val="24"/>
                <w:szCs w:val="24"/>
                <w:lang w:eastAsia="zh-CN" w:bidi="ar"/>
              </w:rPr>
              <w:t>行政</w:t>
            </w:r>
          </w:p>
          <w:p w14:paraId="0C731736">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6"/>
                <w:w w:val="100"/>
                <w:kern w:val="0"/>
                <w:sz w:val="24"/>
                <w:szCs w:val="24"/>
                <w:lang w:eastAsia="zh-CN" w:bidi="ar"/>
              </w:rPr>
              <w:t>检查</w:t>
            </w:r>
          </w:p>
          <w:p w14:paraId="2D569D41">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68A2C48">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6"/>
                <w:w w:val="100"/>
                <w:kern w:val="0"/>
                <w:sz w:val="24"/>
                <w:szCs w:val="24"/>
                <w:lang w:bidi="ar"/>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BB9C680">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0"/>
                <w:w w:val="100"/>
                <w:kern w:val="0"/>
                <w:sz w:val="24"/>
                <w:szCs w:val="24"/>
                <w:lang w:bidi="ar"/>
              </w:rPr>
              <w:t>1.受理责任：接到投诉按投诉处理流程及时处理后决定是否移交执法机关。</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270AA5FD">
            <w:pPr>
              <w:rPr>
                <w:rFonts w:hint="eastAsia"/>
                <w:lang w:val="en-US" w:eastAsia="zh-CN"/>
              </w:rPr>
            </w:pPr>
            <w:r>
              <w:rPr>
                <w:rFonts w:hint="default" w:ascii="仿宋" w:hAnsi="仿宋" w:eastAsia="仿宋" w:cs="仿宋"/>
                <w:b w:val="0"/>
                <w:bCs/>
                <w:color w:val="000000"/>
                <w:spacing w:val="0"/>
                <w:w w:val="100"/>
                <w:kern w:val="0"/>
                <w:sz w:val="24"/>
                <w:szCs w:val="24"/>
                <w:lang w:val="en-US" w:eastAsia="zh-CN" w:bidi="ar"/>
              </w:rPr>
              <w:t>不履行或不正确履行职责，有下列情形的行政机关及相关工作人员应当承担相应的责任：广播电视行政部门及其工作人员在广播电视管理工作中滥用职权、玩忽职守、徇私舞弊，构成犯罪的，依法追究刑事责任；尚不构成犯罪的，依法给予行政处分。</w:t>
            </w: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262B5087">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监督管理股</w:t>
            </w:r>
          </w:p>
          <w:p w14:paraId="42448E5B">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6FE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5" w:hRule="atLeast"/>
          <w:jc w:val="center"/>
        </w:trPr>
        <w:tc>
          <w:tcPr>
            <w:tcW w:w="678" w:type="dxa"/>
            <w:vMerge w:val="continue"/>
            <w:tcBorders>
              <w:left w:val="single" w:color="auto" w:sz="4" w:space="0"/>
              <w:right w:val="single" w:color="auto" w:sz="4" w:space="0"/>
            </w:tcBorders>
            <w:tcMar>
              <w:top w:w="15" w:type="dxa"/>
              <w:left w:w="15" w:type="dxa"/>
              <w:right w:w="15" w:type="dxa"/>
            </w:tcMar>
            <w:vAlign w:val="center"/>
          </w:tcPr>
          <w:p w14:paraId="5177EAC5">
            <w:pPr>
              <w:keepNext w:val="0"/>
              <w:keepLines w:val="0"/>
              <w:pageBreakBefore w:val="0"/>
              <w:kinsoku/>
              <w:wordWrap/>
              <w:overflowPunct/>
              <w:topLinePunct w:val="0"/>
              <w:autoSpaceDE/>
              <w:autoSpaceDN/>
              <w:bidi w:val="0"/>
              <w:adjustRightInd/>
              <w:ind w:firstLine="0" w:firstLineChars="0"/>
              <w:jc w:val="both"/>
            </w:pPr>
          </w:p>
        </w:tc>
        <w:tc>
          <w:tcPr>
            <w:tcW w:w="1382" w:type="dxa"/>
            <w:vMerge w:val="continue"/>
            <w:tcBorders>
              <w:left w:val="single" w:color="auto" w:sz="4" w:space="0"/>
              <w:right w:val="single" w:color="auto" w:sz="4" w:space="0"/>
            </w:tcBorders>
            <w:tcMar>
              <w:top w:w="15" w:type="dxa"/>
              <w:left w:w="15" w:type="dxa"/>
              <w:right w:w="15" w:type="dxa"/>
            </w:tcMar>
            <w:vAlign w:val="center"/>
          </w:tcPr>
          <w:p w14:paraId="43322AC7">
            <w:pPr>
              <w:keepNext w:val="0"/>
              <w:keepLines w:val="0"/>
              <w:pageBreakBefore w:val="0"/>
              <w:kinsoku/>
              <w:wordWrap/>
              <w:overflowPunct/>
              <w:topLinePunct w:val="0"/>
              <w:autoSpaceDE/>
              <w:autoSpaceDN/>
              <w:bidi w:val="0"/>
              <w:adjustRightInd/>
              <w:ind w:firstLine="0" w:firstLineChars="0"/>
              <w:jc w:val="both"/>
            </w:pPr>
          </w:p>
        </w:tc>
        <w:tc>
          <w:tcPr>
            <w:tcW w:w="3801" w:type="dxa"/>
            <w:gridSpan w:val="2"/>
            <w:vMerge w:val="continue"/>
            <w:tcBorders>
              <w:left w:val="single" w:color="auto" w:sz="4" w:space="0"/>
              <w:right w:val="single" w:color="auto" w:sz="4" w:space="0"/>
            </w:tcBorders>
            <w:tcMar>
              <w:top w:w="15" w:type="dxa"/>
              <w:left w:w="15" w:type="dxa"/>
              <w:right w:w="15" w:type="dxa"/>
            </w:tcMar>
            <w:vAlign w:val="center"/>
          </w:tcPr>
          <w:p w14:paraId="14B94764">
            <w:pPr>
              <w:keepNext w:val="0"/>
              <w:keepLines w:val="0"/>
              <w:pageBreakBefore w:val="0"/>
              <w:kinsoku/>
              <w:wordWrap/>
              <w:overflowPunct/>
              <w:topLinePunct w:val="0"/>
              <w:autoSpaceDE/>
              <w:autoSpaceDN/>
              <w:bidi w:val="0"/>
              <w:adjustRightInd/>
              <w:ind w:firstLine="0" w:firstLineChars="0"/>
              <w:jc w:val="both"/>
            </w:pPr>
          </w:p>
        </w:tc>
        <w:tc>
          <w:tcPr>
            <w:tcW w:w="616" w:type="dxa"/>
            <w:gridSpan w:val="3"/>
            <w:vMerge w:val="continue"/>
            <w:tcBorders>
              <w:left w:val="single" w:color="auto" w:sz="4" w:space="0"/>
              <w:right w:val="single" w:color="auto" w:sz="4" w:space="0"/>
            </w:tcBorders>
            <w:tcMar>
              <w:top w:w="15" w:type="dxa"/>
              <w:left w:w="15" w:type="dxa"/>
              <w:right w:w="15" w:type="dxa"/>
            </w:tcMar>
            <w:vAlign w:val="center"/>
          </w:tcPr>
          <w:p w14:paraId="2CBB1D69">
            <w:pPr>
              <w:keepNext w:val="0"/>
              <w:keepLines w:val="0"/>
              <w:pageBreakBefore w:val="0"/>
              <w:kinsoku/>
              <w:wordWrap/>
              <w:overflowPunct/>
              <w:topLinePunct w:val="0"/>
              <w:autoSpaceDE/>
              <w:autoSpaceDN/>
              <w:bidi w:val="0"/>
              <w:adjustRightInd/>
              <w:ind w:firstLine="0" w:firstLineChars="0"/>
              <w:jc w:val="both"/>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C95A457">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6"/>
                <w:w w:val="100"/>
                <w:kern w:val="0"/>
                <w:sz w:val="24"/>
                <w:szCs w:val="24"/>
                <w:lang w:bidi="ar"/>
              </w:rPr>
              <w:t>审查</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08E926A">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0"/>
                <w:w w:val="100"/>
                <w:kern w:val="0"/>
                <w:sz w:val="24"/>
                <w:szCs w:val="24"/>
                <w:lang w:bidi="ar"/>
              </w:rPr>
              <w:t>2.调查阶段责任：有2名以上取得合法执法证件的执法人员在场；主动出示执法证件，表明身份；通知检查对象相关负责人或与检查活动内容相关的人员到场，说明执法检查目的、依据以及需要当事人配合的有关事项。</w:t>
            </w:r>
          </w:p>
        </w:tc>
        <w:tc>
          <w:tcPr>
            <w:tcW w:w="1717" w:type="dxa"/>
            <w:gridSpan w:val="2"/>
            <w:vMerge w:val="continue"/>
            <w:tcBorders>
              <w:left w:val="single" w:color="auto" w:sz="4" w:space="0"/>
              <w:right w:val="single" w:color="auto" w:sz="4" w:space="0"/>
            </w:tcBorders>
            <w:tcMar>
              <w:top w:w="15" w:type="dxa"/>
              <w:left w:w="15" w:type="dxa"/>
              <w:right w:w="15" w:type="dxa"/>
            </w:tcMar>
            <w:vAlign w:val="center"/>
          </w:tcPr>
          <w:p w14:paraId="3977F4EC">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right w:val="single" w:color="auto" w:sz="4" w:space="0"/>
            </w:tcBorders>
            <w:tcMar>
              <w:top w:w="15" w:type="dxa"/>
              <w:left w:w="15" w:type="dxa"/>
              <w:right w:w="15" w:type="dxa"/>
            </w:tcMar>
            <w:vAlign w:val="center"/>
          </w:tcPr>
          <w:p w14:paraId="715CE17D">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7B42F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5"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2B59016">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9FDC2DE">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801"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FF63EB2">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16"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B9FF569">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4481E29">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6"/>
                <w:w w:val="100"/>
                <w:kern w:val="0"/>
                <w:sz w:val="24"/>
                <w:szCs w:val="24"/>
                <w:lang w:bidi="ar"/>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3BC6B55">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0"/>
                <w:w w:val="100"/>
                <w:kern w:val="0"/>
                <w:sz w:val="24"/>
                <w:szCs w:val="24"/>
                <w:lang w:bidi="ar"/>
              </w:rPr>
              <w:t>3.审查阶段责任：企业经营行为规范，未发现违法违规问题的，执法人员应如实记录，检查结果可作为企业诚信评价的依据；检查结果基本规范，但存在经营管理不当等瑕疵行为的，执法人员应如实记录，并可以采取约谈企业负责人，提出整改意见，跟踪整改情况等处理措施；企业经营行为不规范，涉嫌违法违规、不构成犯罪的，执法人员应当将案件移交执法机关。</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E00E84C">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F0160E8">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p>
        </w:tc>
      </w:tr>
      <w:tr w14:paraId="02DFC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BA35EED">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0C369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C773101">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6155C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74EA30C1">
            <w:pPr>
              <w:keepNext w:val="0"/>
              <w:keepLines w:val="0"/>
              <w:pageBreakBefore w:val="0"/>
              <w:kinsoku/>
              <w:wordWrap/>
              <w:overflowPunct/>
              <w:topLinePunct w:val="0"/>
              <w:autoSpaceDE/>
              <w:autoSpaceDN/>
              <w:bidi w:val="0"/>
              <w:adjustRightInd/>
              <w:ind w:firstLine="0" w:firstLineChars="0"/>
              <w:jc w:val="center"/>
              <w:rPr>
                <w:rFonts w:hint="default"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25</w:t>
            </w:r>
          </w:p>
        </w:tc>
        <w:tc>
          <w:tcPr>
            <w:tcW w:w="138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3A8FFA6F">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olor w:val="000000"/>
                <w:kern w:val="0"/>
                <w:sz w:val="24"/>
                <w:szCs w:val="24"/>
                <w:u w:val="none"/>
                <w:lang w:val="en-US" w:eastAsia="zh-CN" w:bidi="ar"/>
              </w:rPr>
              <w:t>对企业经营旅行社业务的行政检查</w:t>
            </w:r>
          </w:p>
          <w:p w14:paraId="2F20DCA1">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3801"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5A606BBC">
            <w:pPr>
              <w:keepNext w:val="0"/>
              <w:keepLines w:val="0"/>
              <w:pageBreakBefore w:val="0"/>
              <w:widowControl w:val="0"/>
              <w:kinsoku/>
              <w:wordWrap/>
              <w:overflowPunct/>
              <w:topLinePunct w:val="0"/>
              <w:autoSpaceDE/>
              <w:autoSpaceDN/>
              <w:bidi w:val="0"/>
              <w:adjustRightInd/>
              <w:snapToGrid/>
              <w:spacing w:line="180" w:lineRule="exact"/>
              <w:ind w:firstLine="0" w:firstLineChars="0"/>
              <w:jc w:val="both"/>
              <w:textAlignment w:val="auto"/>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《中华人民共和国旅游法》</w:t>
            </w:r>
            <w:r>
              <w:rPr>
                <w:rFonts w:hint="eastAsia" w:ascii="仿宋" w:hAnsi="仿宋" w:eastAsia="仿宋" w:cs="仿宋"/>
                <w:i w:val="0"/>
                <w:color w:val="auto"/>
                <w:kern w:val="0"/>
                <w:sz w:val="18"/>
                <w:szCs w:val="18"/>
                <w:u w:val="none"/>
                <w:shd w:val="clear"/>
                <w:lang w:val="en-US" w:eastAsia="zh-CN" w:bidi="ar"/>
              </w:rPr>
              <w:t>（2</w:t>
            </w:r>
            <w:r>
              <w:rPr>
                <w:rFonts w:hint="default" w:ascii="仿宋" w:hAnsi="仿宋" w:eastAsia="仿宋" w:cs="仿宋"/>
                <w:i w:val="0"/>
                <w:color w:val="auto"/>
                <w:kern w:val="0"/>
                <w:sz w:val="18"/>
                <w:szCs w:val="18"/>
                <w:u w:val="none"/>
                <w:shd w:val="clear"/>
                <w:lang w:val="en-US" w:eastAsia="zh-CN" w:bidi="ar"/>
              </w:rPr>
              <w:t>013</w:t>
            </w:r>
            <w:r>
              <w:rPr>
                <w:rFonts w:hint="eastAsia" w:ascii="仿宋" w:hAnsi="仿宋" w:eastAsia="仿宋" w:cs="仿宋"/>
                <w:i w:val="0"/>
                <w:color w:val="auto"/>
                <w:kern w:val="0"/>
                <w:sz w:val="18"/>
                <w:szCs w:val="18"/>
                <w:u w:val="none"/>
                <w:shd w:val="clear"/>
                <w:lang w:val="en-US" w:eastAsia="zh-CN" w:bidi="ar"/>
              </w:rPr>
              <w:t>年</w:t>
            </w:r>
            <w:r>
              <w:rPr>
                <w:rFonts w:hint="default" w:ascii="仿宋" w:hAnsi="仿宋" w:eastAsia="仿宋" w:cs="仿宋"/>
                <w:i w:val="0"/>
                <w:color w:val="auto"/>
                <w:kern w:val="0"/>
                <w:sz w:val="18"/>
                <w:szCs w:val="18"/>
                <w:u w:val="none"/>
                <w:shd w:val="clear"/>
                <w:lang w:val="en-US" w:eastAsia="zh-CN" w:bidi="ar"/>
              </w:rPr>
              <w:t>4</w:t>
            </w:r>
            <w:r>
              <w:rPr>
                <w:rFonts w:hint="eastAsia" w:ascii="仿宋" w:hAnsi="仿宋" w:eastAsia="仿宋" w:cs="仿宋"/>
                <w:i w:val="0"/>
                <w:color w:val="auto"/>
                <w:kern w:val="0"/>
                <w:sz w:val="18"/>
                <w:szCs w:val="18"/>
                <w:u w:val="none"/>
                <w:shd w:val="clear"/>
                <w:lang w:val="en-US" w:eastAsia="zh-CN" w:bidi="ar"/>
              </w:rPr>
              <w:t>月</w:t>
            </w:r>
            <w:r>
              <w:rPr>
                <w:rFonts w:hint="default" w:ascii="仿宋" w:hAnsi="仿宋" w:eastAsia="仿宋" w:cs="仿宋"/>
                <w:i w:val="0"/>
                <w:color w:val="auto"/>
                <w:kern w:val="0"/>
                <w:sz w:val="18"/>
                <w:szCs w:val="18"/>
                <w:u w:val="none"/>
                <w:shd w:val="clear"/>
                <w:lang w:val="en-US" w:eastAsia="zh-CN" w:bidi="ar"/>
              </w:rPr>
              <w:t>25</w:t>
            </w:r>
            <w:r>
              <w:rPr>
                <w:rFonts w:hint="eastAsia" w:ascii="仿宋" w:hAnsi="仿宋" w:eastAsia="仿宋" w:cs="仿宋"/>
                <w:i w:val="0"/>
                <w:color w:val="auto"/>
                <w:kern w:val="0"/>
                <w:sz w:val="18"/>
                <w:szCs w:val="18"/>
                <w:u w:val="none"/>
                <w:shd w:val="clear"/>
                <w:lang w:val="en-US" w:eastAsia="zh-CN" w:bidi="ar"/>
              </w:rPr>
              <w:t>日第十二届全国人民代表大会常务委员会第二次会议通过根据</w:t>
            </w:r>
            <w:r>
              <w:rPr>
                <w:rFonts w:hint="default" w:ascii="仿宋" w:hAnsi="仿宋" w:eastAsia="仿宋" w:cs="仿宋"/>
                <w:i w:val="0"/>
                <w:color w:val="auto"/>
                <w:kern w:val="0"/>
                <w:sz w:val="18"/>
                <w:szCs w:val="18"/>
                <w:u w:val="none"/>
                <w:shd w:val="clear"/>
                <w:lang w:val="en-US" w:eastAsia="zh-CN" w:bidi="ar"/>
              </w:rPr>
              <w:t>2016</w:t>
            </w:r>
            <w:r>
              <w:rPr>
                <w:rFonts w:hint="eastAsia" w:ascii="仿宋" w:hAnsi="仿宋" w:eastAsia="仿宋" w:cs="仿宋"/>
                <w:i w:val="0"/>
                <w:color w:val="auto"/>
                <w:kern w:val="0"/>
                <w:sz w:val="18"/>
                <w:szCs w:val="18"/>
                <w:u w:val="none"/>
                <w:shd w:val="clear"/>
                <w:lang w:val="en-US" w:eastAsia="zh-CN" w:bidi="ar"/>
              </w:rPr>
              <w:t>年</w:t>
            </w:r>
            <w:r>
              <w:rPr>
                <w:rFonts w:hint="default" w:ascii="仿宋" w:hAnsi="仿宋" w:eastAsia="仿宋" w:cs="仿宋"/>
                <w:i w:val="0"/>
                <w:color w:val="auto"/>
                <w:kern w:val="0"/>
                <w:sz w:val="18"/>
                <w:szCs w:val="18"/>
                <w:u w:val="none"/>
                <w:shd w:val="clear"/>
                <w:lang w:val="en-US" w:eastAsia="zh-CN" w:bidi="ar"/>
              </w:rPr>
              <w:t>11</w:t>
            </w:r>
            <w:r>
              <w:rPr>
                <w:rFonts w:hint="eastAsia" w:ascii="仿宋" w:hAnsi="仿宋" w:eastAsia="仿宋" w:cs="仿宋"/>
                <w:i w:val="0"/>
                <w:color w:val="auto"/>
                <w:kern w:val="0"/>
                <w:sz w:val="18"/>
                <w:szCs w:val="18"/>
                <w:u w:val="none"/>
                <w:shd w:val="clear"/>
                <w:lang w:val="en-US" w:eastAsia="zh-CN" w:bidi="ar"/>
              </w:rPr>
              <w:t>月</w:t>
            </w:r>
            <w:r>
              <w:rPr>
                <w:rFonts w:hint="default" w:ascii="仿宋" w:hAnsi="仿宋" w:eastAsia="仿宋" w:cs="仿宋"/>
                <w:i w:val="0"/>
                <w:color w:val="auto"/>
                <w:kern w:val="0"/>
                <w:sz w:val="18"/>
                <w:szCs w:val="18"/>
                <w:u w:val="none"/>
                <w:shd w:val="clear"/>
                <w:lang w:val="en-US" w:eastAsia="zh-CN" w:bidi="ar"/>
              </w:rPr>
              <w:t>7</w:t>
            </w:r>
            <w:r>
              <w:rPr>
                <w:rFonts w:hint="eastAsia" w:ascii="仿宋" w:hAnsi="仿宋" w:eastAsia="仿宋" w:cs="仿宋"/>
                <w:i w:val="0"/>
                <w:color w:val="auto"/>
                <w:kern w:val="0"/>
                <w:sz w:val="18"/>
                <w:szCs w:val="18"/>
                <w:u w:val="none"/>
                <w:shd w:val="clear"/>
                <w:lang w:val="en-US" w:eastAsia="zh-CN" w:bidi="ar"/>
              </w:rPr>
              <w:t>日第十二届全国人民代表大会常务委员会第二十四次会议《关于修改〈中华人民共和国对外贸易法〉等十二部法律的决定》第一次修正根据</w:t>
            </w:r>
            <w:r>
              <w:rPr>
                <w:rFonts w:hint="default" w:ascii="仿宋" w:hAnsi="仿宋" w:eastAsia="仿宋" w:cs="仿宋"/>
                <w:i w:val="0"/>
                <w:color w:val="auto"/>
                <w:kern w:val="0"/>
                <w:sz w:val="18"/>
                <w:szCs w:val="18"/>
                <w:u w:val="none"/>
                <w:shd w:val="clear"/>
                <w:lang w:val="en-US" w:eastAsia="zh-CN" w:bidi="ar"/>
              </w:rPr>
              <w:t>2018</w:t>
            </w:r>
            <w:r>
              <w:rPr>
                <w:rFonts w:hint="eastAsia" w:ascii="仿宋" w:hAnsi="仿宋" w:eastAsia="仿宋" w:cs="仿宋"/>
                <w:i w:val="0"/>
                <w:color w:val="auto"/>
                <w:kern w:val="0"/>
                <w:sz w:val="18"/>
                <w:szCs w:val="18"/>
                <w:u w:val="none"/>
                <w:shd w:val="clear"/>
                <w:lang w:val="en-US" w:eastAsia="zh-CN" w:bidi="ar"/>
              </w:rPr>
              <w:t>年</w:t>
            </w:r>
            <w:r>
              <w:rPr>
                <w:rFonts w:hint="default" w:ascii="仿宋" w:hAnsi="仿宋" w:eastAsia="仿宋" w:cs="仿宋"/>
                <w:i w:val="0"/>
                <w:color w:val="auto"/>
                <w:kern w:val="0"/>
                <w:sz w:val="18"/>
                <w:szCs w:val="18"/>
                <w:u w:val="none"/>
                <w:shd w:val="clear"/>
                <w:lang w:val="en-US" w:eastAsia="zh-CN" w:bidi="ar"/>
              </w:rPr>
              <w:t>10</w:t>
            </w:r>
            <w:r>
              <w:rPr>
                <w:rFonts w:hint="eastAsia" w:ascii="仿宋" w:hAnsi="仿宋" w:eastAsia="仿宋" w:cs="仿宋"/>
                <w:i w:val="0"/>
                <w:color w:val="auto"/>
                <w:kern w:val="0"/>
                <w:sz w:val="18"/>
                <w:szCs w:val="18"/>
                <w:u w:val="none"/>
                <w:shd w:val="clear"/>
                <w:lang w:val="en-US" w:eastAsia="zh-CN" w:bidi="ar"/>
              </w:rPr>
              <w:t>月</w:t>
            </w:r>
            <w:r>
              <w:rPr>
                <w:rFonts w:hint="default" w:ascii="仿宋" w:hAnsi="仿宋" w:eastAsia="仿宋" w:cs="仿宋"/>
                <w:i w:val="0"/>
                <w:color w:val="auto"/>
                <w:kern w:val="0"/>
                <w:sz w:val="18"/>
                <w:szCs w:val="18"/>
                <w:u w:val="none"/>
                <w:shd w:val="clear"/>
                <w:lang w:val="en-US" w:eastAsia="zh-CN" w:bidi="ar"/>
              </w:rPr>
              <w:t>26</w:t>
            </w:r>
            <w:r>
              <w:rPr>
                <w:rFonts w:hint="eastAsia" w:ascii="仿宋" w:hAnsi="仿宋" w:eastAsia="仿宋" w:cs="仿宋"/>
                <w:i w:val="0"/>
                <w:color w:val="auto"/>
                <w:kern w:val="0"/>
                <w:sz w:val="18"/>
                <w:szCs w:val="18"/>
                <w:u w:val="none"/>
                <w:shd w:val="clear"/>
                <w:lang w:val="en-US" w:eastAsia="zh-CN" w:bidi="ar"/>
              </w:rPr>
              <w:t>日第十三届全国人民代表大会常务委员会第六次会议《关于修改〈中华人民共和国野生动物保护法〉等十五部法律的决定》第二次修正）</w:t>
            </w:r>
            <w:r>
              <w:rPr>
                <w:rFonts w:hint="eastAsia" w:ascii="仿宋" w:hAnsi="仿宋" w:eastAsia="仿宋" w:cs="仿宋"/>
                <w:i w:val="0"/>
                <w:color w:val="auto"/>
                <w:kern w:val="0"/>
                <w:sz w:val="18"/>
                <w:szCs w:val="18"/>
                <w:u w:val="none"/>
                <w:lang w:val="en-US" w:eastAsia="zh-CN" w:bidi="ar"/>
              </w:rPr>
              <w:t>第八十三条：“县级以上人民政府旅游主管部门和有关部门依照本法和有关法律、法规的规定，在各自职责范围内对旅游市场实施监督管理。县级以上人民政府应当组织旅游主管部门、有关主管部门和市场监督管理、交通等执法部门对相关旅游经营行为实施监督检查。”《旅行社条例》</w:t>
            </w:r>
            <w:r>
              <w:rPr>
                <w:rFonts w:hint="eastAsia" w:ascii="仿宋" w:hAnsi="仿宋" w:eastAsia="仿宋" w:cs="仿宋"/>
                <w:i w:val="0"/>
                <w:color w:val="auto"/>
                <w:kern w:val="0"/>
                <w:sz w:val="18"/>
                <w:szCs w:val="18"/>
                <w:u w:val="none"/>
                <w:shd w:val="clear"/>
                <w:lang w:val="en-US" w:eastAsia="zh-CN" w:bidi="ar"/>
              </w:rPr>
              <w:t>(</w:t>
            </w:r>
            <w:r>
              <w:rPr>
                <w:rFonts w:hint="default" w:ascii="仿宋" w:hAnsi="仿宋" w:eastAsia="仿宋" w:cs="仿宋"/>
                <w:i w:val="0"/>
                <w:color w:val="auto"/>
                <w:kern w:val="0"/>
                <w:sz w:val="18"/>
                <w:szCs w:val="18"/>
                <w:u w:val="none"/>
                <w:shd w:val="clear"/>
                <w:lang w:val="en-US" w:eastAsia="zh-CN" w:bidi="ar"/>
              </w:rPr>
              <w:t>2009年2月20日中华人民共和国国务院令第550号公布根据2016年2月6日《国务院关于修改部分行政法规的决定》第一次修订根据2017年3月1日《国务院关于修改和废止部分行政法规的决定》第二次修订根据</w:t>
            </w:r>
            <w:r>
              <w:rPr>
                <w:rFonts w:hint="eastAsia" w:ascii="仿宋" w:hAnsi="仿宋" w:eastAsia="仿宋" w:cs="仿宋"/>
                <w:i w:val="0"/>
                <w:color w:val="auto"/>
                <w:kern w:val="0"/>
                <w:sz w:val="18"/>
                <w:szCs w:val="18"/>
                <w:u w:val="none"/>
                <w:shd w:val="clear"/>
                <w:lang w:val="en-US" w:eastAsia="zh-CN" w:bidi="ar"/>
              </w:rPr>
              <w:t>2</w:t>
            </w:r>
            <w:r>
              <w:rPr>
                <w:rFonts w:hint="default" w:ascii="仿宋" w:hAnsi="仿宋" w:eastAsia="仿宋" w:cs="仿宋"/>
                <w:i w:val="0"/>
                <w:color w:val="auto"/>
                <w:kern w:val="0"/>
                <w:sz w:val="18"/>
                <w:szCs w:val="18"/>
                <w:u w:val="none"/>
                <w:shd w:val="clear"/>
                <w:lang w:val="en-US" w:eastAsia="zh-CN" w:bidi="ar"/>
              </w:rPr>
              <w:t>020年11月29日《国务院关于修改和废止部分行政法规的决定》第三次修订)</w:t>
            </w:r>
            <w:r>
              <w:rPr>
                <w:rFonts w:hint="eastAsia" w:ascii="仿宋" w:hAnsi="仿宋" w:eastAsia="仿宋" w:cs="仿宋"/>
                <w:i w:val="0"/>
                <w:color w:val="auto"/>
                <w:kern w:val="0"/>
                <w:sz w:val="18"/>
                <w:szCs w:val="18"/>
                <w:u w:val="none"/>
                <w:lang w:val="en-US" w:eastAsia="zh-CN" w:bidi="ar"/>
              </w:rPr>
              <w:t>第四十一条：“旅游、工商、价格、商务、外汇等有关部门应当依法加强对旅行社的监督管理，发现违法行为，应当及时予以处理。”</w:t>
            </w:r>
          </w:p>
          <w:p w14:paraId="2A2F9FA6">
            <w:pPr>
              <w:keepNext w:val="0"/>
              <w:keepLines w:val="0"/>
              <w:pageBreakBefore w:val="0"/>
              <w:widowControl w:val="0"/>
              <w:kinsoku/>
              <w:wordWrap/>
              <w:overflowPunct/>
              <w:topLinePunct w:val="0"/>
              <w:autoSpaceDE/>
              <w:autoSpaceDN/>
              <w:bidi w:val="0"/>
              <w:adjustRightInd/>
              <w:snapToGrid/>
              <w:spacing w:line="180" w:lineRule="exact"/>
              <w:ind w:firstLine="0" w:firstLineChars="0"/>
              <w:jc w:val="both"/>
              <w:textAlignment w:val="auto"/>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第四十二条：“旅游、工商、价格等行政管理部门应当及时向社会公告监督检查的情况。公告的内容包括旅行社业务经营许可证的颁发、变更、吊销、注销情况，旅行社的违法经营行为以及旅行社的诚信记录、旅游者投诉信息等。”</w:t>
            </w:r>
          </w:p>
          <w:p w14:paraId="17EBB0FE">
            <w:pPr>
              <w:keepNext w:val="0"/>
              <w:keepLines w:val="0"/>
              <w:pageBreakBefore w:val="0"/>
              <w:widowControl w:val="0"/>
              <w:kinsoku/>
              <w:wordWrap/>
              <w:overflowPunct/>
              <w:topLinePunct w:val="0"/>
              <w:autoSpaceDE/>
              <w:autoSpaceDN/>
              <w:bidi w:val="0"/>
              <w:adjustRightInd/>
              <w:snapToGrid/>
              <w:spacing w:line="180" w:lineRule="exact"/>
              <w:ind w:firstLine="0" w:firstLineChars="0"/>
              <w:jc w:val="both"/>
              <w:textAlignment w:val="auto"/>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第四十三条：“旅行社损害旅游者合法权益的，旅游者可以向旅游行政管理部门、工商行政管理部门、价格主管部门、商务主管部门或者外汇管理部门投诉，接到投诉的部门应当按照其职责权限及时调查处理，并将调查处理的有关情况告知旅游者。”</w:t>
            </w:r>
          </w:p>
          <w:p w14:paraId="015B2D42">
            <w:pPr>
              <w:keepNext w:val="0"/>
              <w:keepLines w:val="0"/>
              <w:pageBreakBefore w:val="0"/>
              <w:widowControl w:val="0"/>
              <w:kinsoku/>
              <w:wordWrap/>
              <w:overflowPunct/>
              <w:topLinePunct w:val="0"/>
              <w:autoSpaceDE/>
              <w:autoSpaceDN/>
              <w:bidi w:val="0"/>
              <w:adjustRightInd/>
              <w:snapToGrid/>
              <w:spacing w:line="180" w:lineRule="exact"/>
              <w:ind w:firstLine="0" w:firstLineChars="0"/>
              <w:jc w:val="both"/>
              <w:textAlignment w:val="auto"/>
              <w:rPr>
                <w:rFonts w:hint="eastAsia"/>
                <w:lang w:val="en-US" w:eastAsia="zh-CN"/>
              </w:rPr>
            </w:pPr>
            <w:r>
              <w:rPr>
                <w:rFonts w:hint="eastAsia" w:ascii="仿宋" w:hAnsi="仿宋" w:eastAsia="仿宋" w:cs="仿宋"/>
                <w:i w:val="0"/>
                <w:color w:val="auto"/>
                <w:kern w:val="0"/>
                <w:sz w:val="18"/>
                <w:szCs w:val="18"/>
                <w:u w:val="none"/>
                <w:lang w:val="en-US" w:eastAsia="zh-CN" w:bidi="ar"/>
              </w:rPr>
              <w:t>第四十四条：“旅行社及其分社应当接受旅游行政管理部门对其旅游合同、服务质量、旅游安全、财务账簿等情况的监督检查，并按照国家有关规定向旅游行政管理部门报送经营和财务信息等统计资料。”</w:t>
            </w:r>
          </w:p>
        </w:tc>
        <w:tc>
          <w:tcPr>
            <w:tcW w:w="616" w:type="dxa"/>
            <w:gridSpan w:val="3"/>
            <w:vMerge w:val="restart"/>
            <w:tcBorders>
              <w:top w:val="single" w:color="auto" w:sz="4" w:space="0"/>
              <w:left w:val="single" w:color="auto" w:sz="4" w:space="0"/>
              <w:right w:val="single" w:color="auto" w:sz="4" w:space="0"/>
            </w:tcBorders>
            <w:tcMar>
              <w:top w:w="15" w:type="dxa"/>
              <w:left w:w="15" w:type="dxa"/>
              <w:right w:w="15" w:type="dxa"/>
            </w:tcMar>
            <w:vAlign w:val="center"/>
          </w:tcPr>
          <w:p w14:paraId="1E2C35B4">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b w:val="0"/>
                <w:bCs/>
                <w:color w:val="000000"/>
                <w:spacing w:val="-6"/>
                <w:w w:val="100"/>
                <w:kern w:val="0"/>
                <w:sz w:val="24"/>
                <w:szCs w:val="24"/>
                <w:lang w:eastAsia="zh-CN" w:bidi="ar"/>
              </w:rPr>
            </w:pPr>
            <w:r>
              <w:rPr>
                <w:rFonts w:hint="eastAsia" w:ascii="仿宋" w:hAnsi="仿宋" w:eastAsia="仿宋" w:cs="仿宋"/>
                <w:b w:val="0"/>
                <w:bCs/>
                <w:color w:val="000000"/>
                <w:spacing w:val="-6"/>
                <w:w w:val="100"/>
                <w:kern w:val="0"/>
                <w:sz w:val="24"/>
                <w:szCs w:val="24"/>
                <w:lang w:eastAsia="zh-CN" w:bidi="ar"/>
              </w:rPr>
              <w:t>行政</w:t>
            </w:r>
          </w:p>
          <w:p w14:paraId="26E57E97">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6"/>
                <w:w w:val="100"/>
                <w:kern w:val="0"/>
                <w:sz w:val="24"/>
                <w:szCs w:val="24"/>
                <w:lang w:eastAsia="zh-CN" w:bidi="ar"/>
              </w:rPr>
              <w:t>检查</w:t>
            </w:r>
          </w:p>
          <w:p w14:paraId="3B8CD853">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2256ADD">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6"/>
                <w:w w:val="100"/>
                <w:kern w:val="0"/>
                <w:sz w:val="24"/>
                <w:szCs w:val="24"/>
                <w:lang w:bidi="ar"/>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E15240D">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0"/>
                <w:w w:val="100"/>
                <w:kern w:val="0"/>
                <w:sz w:val="24"/>
                <w:szCs w:val="24"/>
                <w:lang w:bidi="ar"/>
              </w:rPr>
              <w:t>1.受理责任：接到投诉按投诉处理流程及时处理后决定是否移交执法机关。</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13E4FDAB">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olor w:val="000000"/>
                <w:kern w:val="0"/>
                <w:sz w:val="24"/>
                <w:szCs w:val="24"/>
                <w:u w:val="none"/>
                <w:lang w:val="en-US" w:eastAsia="zh-CN" w:bidi="ar"/>
              </w:rPr>
              <w:t>不履行或不正确履行职责，有下列情形的行政机关及相关工作人员应承担相应的责任：</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旅游主管部门和有关部门工作人员在履行监督管理职责中，滥用职权、玩忽职守、徇私舞弊，尚不构成犯罪的，依法给予处分。</w:t>
            </w:r>
          </w:p>
          <w:p w14:paraId="3D648B30">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7F5BBAED">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24"/>
                <w:szCs w:val="24"/>
                <w:shd w:val="clear" w:color="070000" w:fill="FFFFFF"/>
                <w:lang w:val="en-US" w:eastAsia="zh-CN"/>
              </w:rPr>
              <w:t>监督管理股</w:t>
            </w:r>
          </w:p>
          <w:p w14:paraId="60622B5C">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30195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0" w:hRule="atLeast"/>
          <w:jc w:val="center"/>
        </w:trPr>
        <w:tc>
          <w:tcPr>
            <w:tcW w:w="678" w:type="dxa"/>
            <w:vMerge w:val="continue"/>
            <w:tcBorders>
              <w:left w:val="single" w:color="auto" w:sz="4" w:space="0"/>
              <w:right w:val="single" w:color="auto" w:sz="4" w:space="0"/>
            </w:tcBorders>
            <w:tcMar>
              <w:top w:w="15" w:type="dxa"/>
              <w:left w:w="15" w:type="dxa"/>
              <w:right w:w="15" w:type="dxa"/>
            </w:tcMar>
            <w:vAlign w:val="center"/>
          </w:tcPr>
          <w:p w14:paraId="5CA63B1C">
            <w:pPr>
              <w:keepNext w:val="0"/>
              <w:keepLines w:val="0"/>
              <w:pageBreakBefore w:val="0"/>
              <w:kinsoku/>
              <w:wordWrap/>
              <w:overflowPunct/>
              <w:topLinePunct w:val="0"/>
              <w:autoSpaceDE/>
              <w:autoSpaceDN/>
              <w:bidi w:val="0"/>
              <w:adjustRightInd/>
              <w:ind w:firstLine="0" w:firstLineChars="0"/>
              <w:jc w:val="both"/>
            </w:pPr>
          </w:p>
        </w:tc>
        <w:tc>
          <w:tcPr>
            <w:tcW w:w="1382" w:type="dxa"/>
            <w:vMerge w:val="continue"/>
            <w:tcBorders>
              <w:left w:val="single" w:color="auto" w:sz="4" w:space="0"/>
              <w:right w:val="single" w:color="auto" w:sz="4" w:space="0"/>
            </w:tcBorders>
            <w:tcMar>
              <w:top w:w="15" w:type="dxa"/>
              <w:left w:w="15" w:type="dxa"/>
              <w:right w:w="15" w:type="dxa"/>
            </w:tcMar>
            <w:vAlign w:val="center"/>
          </w:tcPr>
          <w:p w14:paraId="09E3FF78">
            <w:pPr>
              <w:keepNext w:val="0"/>
              <w:keepLines w:val="0"/>
              <w:pageBreakBefore w:val="0"/>
              <w:kinsoku/>
              <w:wordWrap/>
              <w:overflowPunct/>
              <w:topLinePunct w:val="0"/>
              <w:autoSpaceDE/>
              <w:autoSpaceDN/>
              <w:bidi w:val="0"/>
              <w:adjustRightInd/>
              <w:ind w:firstLine="0" w:firstLineChars="0"/>
              <w:jc w:val="both"/>
            </w:pPr>
          </w:p>
        </w:tc>
        <w:tc>
          <w:tcPr>
            <w:tcW w:w="3801" w:type="dxa"/>
            <w:gridSpan w:val="2"/>
            <w:vMerge w:val="continue"/>
            <w:tcBorders>
              <w:left w:val="single" w:color="auto" w:sz="4" w:space="0"/>
              <w:right w:val="single" w:color="auto" w:sz="4" w:space="0"/>
            </w:tcBorders>
            <w:tcMar>
              <w:top w:w="15" w:type="dxa"/>
              <w:left w:w="15" w:type="dxa"/>
              <w:right w:w="15" w:type="dxa"/>
            </w:tcMar>
            <w:vAlign w:val="center"/>
          </w:tcPr>
          <w:p w14:paraId="06D7461E">
            <w:pPr>
              <w:keepNext w:val="0"/>
              <w:keepLines w:val="0"/>
              <w:pageBreakBefore w:val="0"/>
              <w:kinsoku/>
              <w:wordWrap/>
              <w:overflowPunct/>
              <w:topLinePunct w:val="0"/>
              <w:autoSpaceDE/>
              <w:autoSpaceDN/>
              <w:bidi w:val="0"/>
              <w:adjustRightInd/>
              <w:ind w:firstLine="0" w:firstLineChars="0"/>
              <w:jc w:val="both"/>
            </w:pPr>
          </w:p>
        </w:tc>
        <w:tc>
          <w:tcPr>
            <w:tcW w:w="616" w:type="dxa"/>
            <w:gridSpan w:val="3"/>
            <w:vMerge w:val="continue"/>
            <w:tcBorders>
              <w:left w:val="single" w:color="auto" w:sz="4" w:space="0"/>
              <w:right w:val="single" w:color="auto" w:sz="4" w:space="0"/>
            </w:tcBorders>
            <w:tcMar>
              <w:top w:w="15" w:type="dxa"/>
              <w:left w:w="15" w:type="dxa"/>
              <w:right w:w="15" w:type="dxa"/>
            </w:tcMar>
            <w:vAlign w:val="center"/>
          </w:tcPr>
          <w:p w14:paraId="538A85FD">
            <w:pPr>
              <w:keepNext w:val="0"/>
              <w:keepLines w:val="0"/>
              <w:pageBreakBefore w:val="0"/>
              <w:kinsoku/>
              <w:wordWrap/>
              <w:overflowPunct/>
              <w:topLinePunct w:val="0"/>
              <w:autoSpaceDE/>
              <w:autoSpaceDN/>
              <w:bidi w:val="0"/>
              <w:adjustRightInd/>
              <w:ind w:firstLine="0" w:firstLineChars="0"/>
              <w:jc w:val="both"/>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10E4041">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6"/>
                <w:w w:val="100"/>
                <w:kern w:val="0"/>
                <w:sz w:val="24"/>
                <w:szCs w:val="24"/>
                <w:lang w:bidi="ar"/>
              </w:rPr>
              <w:t>审查</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72AC4C5">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0"/>
                <w:w w:val="100"/>
                <w:kern w:val="0"/>
                <w:sz w:val="24"/>
                <w:szCs w:val="24"/>
                <w:lang w:bidi="ar"/>
              </w:rPr>
              <w:t>2.调查阶段责任：有2名以上取得合法执法证件的执法人员在场；主动出示执法证件，表明身份；通知检查对象相关负责人或与检查活动内容相关的人员到场，说明执法检查目的、依据以及需要当事人配合的有关事项。</w:t>
            </w:r>
          </w:p>
        </w:tc>
        <w:tc>
          <w:tcPr>
            <w:tcW w:w="1717" w:type="dxa"/>
            <w:gridSpan w:val="2"/>
            <w:vMerge w:val="continue"/>
            <w:tcBorders>
              <w:left w:val="single" w:color="auto" w:sz="4" w:space="0"/>
              <w:right w:val="single" w:color="auto" w:sz="4" w:space="0"/>
            </w:tcBorders>
            <w:tcMar>
              <w:top w:w="15" w:type="dxa"/>
              <w:left w:w="15" w:type="dxa"/>
              <w:right w:w="15" w:type="dxa"/>
            </w:tcMar>
            <w:vAlign w:val="center"/>
          </w:tcPr>
          <w:p w14:paraId="5DB468FC">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right w:val="single" w:color="auto" w:sz="4" w:space="0"/>
            </w:tcBorders>
            <w:tcMar>
              <w:top w:w="15" w:type="dxa"/>
              <w:left w:w="15" w:type="dxa"/>
              <w:right w:w="15" w:type="dxa"/>
            </w:tcMar>
            <w:vAlign w:val="center"/>
          </w:tcPr>
          <w:p w14:paraId="4F335E14">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1EC14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0"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6700A32">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D50F303">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3801"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4E967F0">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16"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24FB324">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E45D7FB">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6"/>
                <w:w w:val="100"/>
                <w:kern w:val="0"/>
                <w:sz w:val="24"/>
                <w:szCs w:val="24"/>
                <w:lang w:bidi="ar"/>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7AE56A8">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b w:val="0"/>
                <w:bCs/>
                <w:color w:val="000000"/>
                <w:spacing w:val="0"/>
                <w:w w:val="100"/>
                <w:kern w:val="0"/>
                <w:sz w:val="24"/>
                <w:szCs w:val="24"/>
                <w:lang w:bidi="ar"/>
              </w:rPr>
              <w:t>3.审查阶段责任：企业经营行为规范，未发现违法违规问题的，执法人员应如实记录，检查结果可作为企业诚信评价的依据；检查结果基本规范，但存在经营管理不当等瑕疵行为的，执法人员应如实记录，并可以采取约谈企业负责人，提出整改意见，跟踪整改情况等处理措施；企业经营行为不规范，涉嫌违法违规、不构成犯罪的，执法人员应当将案件移交执法机关。</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A6E7CF9">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F7D2025">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kern w:val="2"/>
                <w:sz w:val="24"/>
                <w:szCs w:val="24"/>
                <w:shd w:val="clear" w:color="070000" w:fill="FFFFFF"/>
                <w:lang w:val="en-US" w:eastAsia="zh-CN" w:bidi="ar-SA"/>
              </w:rPr>
            </w:pPr>
          </w:p>
        </w:tc>
      </w:tr>
      <w:tr w14:paraId="75E5A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1DD1194">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49DF5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560CC33">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22B8A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5"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1DF7AB5A">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default"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t>26</w:t>
            </w:r>
          </w:p>
        </w:tc>
        <w:tc>
          <w:tcPr>
            <w:tcW w:w="138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75A49A91">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b w:val="0"/>
                <w:bCs w:val="0"/>
                <w:color w:val="auto"/>
                <w:sz w:val="24"/>
                <w:szCs w:val="24"/>
              </w:rPr>
              <w:t>文物的认定</w:t>
            </w:r>
          </w:p>
        </w:tc>
        <w:tc>
          <w:tcPr>
            <w:tcW w:w="3801"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24FBB4FE">
            <w:pPr>
              <w:widowControl w:val="0"/>
              <w:wordWrap/>
              <w:autoSpaceDN w:val="0"/>
              <w:adjustRightInd/>
              <w:snapToGrid w:val="0"/>
              <w:spacing w:line="240" w:lineRule="auto"/>
              <w:ind w:left="0" w:leftChars="0" w:firstLine="0" w:firstLineChars="0"/>
              <w:jc w:val="left"/>
              <w:textAlignment w:val="center"/>
              <w:rPr>
                <w:rFonts w:hint="eastAsia" w:ascii="仿宋" w:hAnsi="仿宋" w:eastAsia="仿宋" w:cs="仿宋"/>
                <w:i w:val="0"/>
                <w:caps w:val="0"/>
                <w:color w:val="auto"/>
                <w:spacing w:val="0"/>
                <w:kern w:val="2"/>
                <w:sz w:val="22"/>
                <w:szCs w:val="22"/>
                <w:shd w:val="clear" w:color="070000" w:fill="FFFFFF"/>
                <w:lang w:val="en-US" w:eastAsia="zh-CN" w:bidi="ar-SA"/>
              </w:rPr>
            </w:pPr>
            <w:r>
              <w:rPr>
                <w:rFonts w:hint="eastAsia" w:ascii="仿宋" w:hAnsi="仿宋" w:eastAsia="仿宋" w:cs="仿宋"/>
                <w:i w:val="0"/>
                <w:caps w:val="0"/>
                <w:color w:val="auto"/>
                <w:spacing w:val="0"/>
                <w:kern w:val="2"/>
                <w:sz w:val="22"/>
                <w:szCs w:val="22"/>
                <w:shd w:val="clear" w:color="070000" w:fill="FFFFFF"/>
                <w:lang w:val="en-US" w:eastAsia="zh-CN" w:bidi="ar-SA"/>
              </w:rPr>
              <w:t>【规章】《文物认定管理暂行办法》</w:t>
            </w:r>
            <w:r>
              <w:rPr>
                <w:rFonts w:hint="eastAsia" w:ascii="仿宋" w:hAnsi="仿宋" w:eastAsia="仿宋" w:cs="仿宋"/>
                <w:i w:val="0"/>
                <w:caps w:val="0"/>
                <w:color w:val="auto"/>
                <w:spacing w:val="0"/>
                <w:kern w:val="2"/>
                <w:sz w:val="22"/>
                <w:szCs w:val="22"/>
                <w:shd w:val="clear" w:color="070000"/>
                <w:lang w:val="en-US" w:eastAsia="zh-CN" w:bidi="ar-SA"/>
              </w:rPr>
              <w:t>（文化部令第46号 2009年8月5日文化部2009年第三次部务会议审议通过，自2009年10月1日起施行。）</w:t>
            </w:r>
          </w:p>
          <w:p w14:paraId="3D4DC549">
            <w:pPr>
              <w:widowControl w:val="0"/>
              <w:wordWrap/>
              <w:autoSpaceDN w:val="0"/>
              <w:adjustRightInd/>
              <w:snapToGrid w:val="0"/>
              <w:spacing w:line="240" w:lineRule="auto"/>
              <w:ind w:left="0" w:leftChars="0" w:firstLine="0" w:firstLineChars="0"/>
              <w:jc w:val="left"/>
              <w:textAlignment w:val="center"/>
              <w:rPr>
                <w:rFonts w:hint="eastAsia" w:ascii="仿宋" w:hAnsi="仿宋" w:eastAsia="仿宋" w:cs="仿宋"/>
                <w:i w:val="0"/>
                <w:caps w:val="0"/>
                <w:color w:val="auto"/>
                <w:spacing w:val="0"/>
                <w:kern w:val="2"/>
                <w:sz w:val="22"/>
                <w:szCs w:val="22"/>
                <w:shd w:val="clear" w:color="070000" w:fill="FFFFFF"/>
                <w:lang w:val="en-US" w:eastAsia="zh-CN" w:bidi="ar-SA"/>
              </w:rPr>
            </w:pPr>
            <w:r>
              <w:rPr>
                <w:rFonts w:hint="eastAsia" w:ascii="仿宋" w:hAnsi="仿宋" w:eastAsia="仿宋" w:cs="仿宋"/>
                <w:i w:val="0"/>
                <w:caps w:val="0"/>
                <w:color w:val="auto"/>
                <w:spacing w:val="0"/>
                <w:kern w:val="2"/>
                <w:sz w:val="22"/>
                <w:szCs w:val="22"/>
                <w:shd w:val="clear" w:color="070000" w:fill="FFFFFF"/>
                <w:lang w:val="en-US" w:eastAsia="zh-CN" w:bidi="ar-SA"/>
              </w:rPr>
              <w:t>第三条认定文物，由县级以上地方文物行政部门负责。认定文物发生争议的，由省级文物行政部门作出裁定。省级文物行政部门应当根据国务院文物行政部门的要求，认定特定的文化资源为文物。</w:t>
            </w:r>
          </w:p>
          <w:p w14:paraId="451C9CC5">
            <w:pPr>
              <w:widowControl w:val="0"/>
              <w:wordWrap/>
              <w:autoSpaceDN w:val="0"/>
              <w:adjustRightInd/>
              <w:snapToGrid w:val="0"/>
              <w:spacing w:line="240" w:lineRule="auto"/>
              <w:ind w:left="0" w:leftChars="0" w:firstLine="0" w:firstLineChars="0"/>
              <w:jc w:val="left"/>
              <w:textAlignment w:val="center"/>
              <w:rPr>
                <w:rFonts w:hint="eastAsia" w:ascii="仿宋" w:hAnsi="仿宋" w:eastAsia="仿宋" w:cs="仿宋"/>
                <w:i w:val="0"/>
                <w:caps w:val="0"/>
                <w:color w:val="auto"/>
                <w:spacing w:val="0"/>
                <w:kern w:val="2"/>
                <w:sz w:val="22"/>
                <w:szCs w:val="22"/>
                <w:shd w:val="clear" w:color="070000" w:fill="FFFFFF"/>
                <w:lang w:val="en-US" w:eastAsia="zh-CN" w:bidi="ar-SA"/>
              </w:rPr>
            </w:pPr>
            <w:r>
              <w:rPr>
                <w:rFonts w:hint="eastAsia" w:ascii="仿宋" w:hAnsi="仿宋" w:eastAsia="仿宋" w:cs="仿宋"/>
                <w:i w:val="0"/>
                <w:caps w:val="0"/>
                <w:color w:val="auto"/>
                <w:spacing w:val="0"/>
                <w:kern w:val="2"/>
                <w:sz w:val="22"/>
                <w:szCs w:val="22"/>
                <w:shd w:val="clear" w:color="070000" w:fill="FFFFFF"/>
                <w:lang w:val="en-US" w:eastAsia="zh-CN" w:bidi="ar-SA"/>
              </w:rPr>
              <w:t>第六条所有权人或持有人书面要求认定文物的，应当向县级以上地方文物行政部门提供其姓名或者名称、住所、有效身份证件号码或者有效证照号码，以及认定对象的来源说明。县级以上地方文物行政部门应当作出决定并予以答复。</w:t>
            </w:r>
          </w:p>
          <w:p w14:paraId="4853DEDD">
            <w:pPr>
              <w:widowControl w:val="0"/>
              <w:wordWrap/>
              <w:autoSpaceDN w:val="0"/>
              <w:adjustRightInd/>
              <w:snapToGrid w:val="0"/>
              <w:spacing w:line="240" w:lineRule="auto"/>
              <w:ind w:left="0" w:leftChars="0" w:firstLine="0" w:firstLineChars="0"/>
              <w:jc w:val="left"/>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2"/>
                <w:szCs w:val="22"/>
                <w:shd w:val="clear" w:color="070000" w:fill="FFFFFF"/>
                <w:lang w:val="en-US" w:eastAsia="zh-CN" w:bidi="ar-SA"/>
              </w:rPr>
              <w:t>第七条公民、法人和其他组织书面要求认定不可移动文物的，应当向县级以上地方文物行政部门提供其姓名或者名称、住所、有效身份证件号码或者有效证照号码。县级以上地方文物行政部门应当通过听证会等形式听取公众意见并作出决定予以答复。</w:t>
            </w:r>
          </w:p>
        </w:tc>
        <w:tc>
          <w:tcPr>
            <w:tcW w:w="616" w:type="dxa"/>
            <w:gridSpan w:val="3"/>
            <w:vMerge w:val="restart"/>
            <w:tcBorders>
              <w:top w:val="single" w:color="auto" w:sz="4" w:space="0"/>
              <w:left w:val="single" w:color="auto" w:sz="4" w:space="0"/>
              <w:right w:val="single" w:color="auto" w:sz="4" w:space="0"/>
            </w:tcBorders>
            <w:tcMar>
              <w:top w:w="15" w:type="dxa"/>
              <w:left w:w="15" w:type="dxa"/>
              <w:right w:w="15" w:type="dxa"/>
            </w:tcMar>
            <w:vAlign w:val="center"/>
          </w:tcPr>
          <w:p w14:paraId="41752B71">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行政确认</w:t>
            </w: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51B29A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C75490E">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3EA8A2AF">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不履行或不正确履行职责，有下列情形的行政机关及相关工作人员应当承担相应的责任：</w:t>
            </w:r>
          </w:p>
          <w:p w14:paraId="6AD5B1E2">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滥用审批权限、不履行职责或者发现违法行为不予查处，造成严重后果的，依法给予行政处分，情节严重的，依法开除公职或者吊销其从业资格；构成犯罪的，依法追究刑事责任。</w:t>
            </w: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1A79F492">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14:paraId="24982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5" w:hRule="atLeast"/>
          <w:jc w:val="center"/>
        </w:trPr>
        <w:tc>
          <w:tcPr>
            <w:tcW w:w="678" w:type="dxa"/>
            <w:vMerge w:val="continue"/>
            <w:tcBorders>
              <w:left w:val="single" w:color="auto" w:sz="4" w:space="0"/>
              <w:right w:val="single" w:color="auto" w:sz="4" w:space="0"/>
            </w:tcBorders>
            <w:tcMar>
              <w:top w:w="15" w:type="dxa"/>
              <w:left w:w="15" w:type="dxa"/>
              <w:right w:w="15" w:type="dxa"/>
            </w:tcMar>
            <w:vAlign w:val="center"/>
          </w:tcPr>
          <w:p w14:paraId="64991E4C">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382" w:type="dxa"/>
            <w:vMerge w:val="continue"/>
            <w:tcBorders>
              <w:left w:val="single" w:color="auto" w:sz="4" w:space="0"/>
              <w:right w:val="single" w:color="auto" w:sz="4" w:space="0"/>
            </w:tcBorders>
            <w:tcMar>
              <w:top w:w="15" w:type="dxa"/>
              <w:left w:w="15" w:type="dxa"/>
              <w:right w:w="15" w:type="dxa"/>
            </w:tcMar>
            <w:vAlign w:val="center"/>
          </w:tcPr>
          <w:p w14:paraId="22DBF24E">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3801" w:type="dxa"/>
            <w:gridSpan w:val="2"/>
            <w:vMerge w:val="continue"/>
            <w:tcBorders>
              <w:left w:val="single" w:color="auto" w:sz="4" w:space="0"/>
              <w:right w:val="single" w:color="auto" w:sz="4" w:space="0"/>
            </w:tcBorders>
            <w:tcMar>
              <w:top w:w="15" w:type="dxa"/>
              <w:left w:w="15" w:type="dxa"/>
              <w:right w:w="15" w:type="dxa"/>
            </w:tcMar>
            <w:vAlign w:val="center"/>
          </w:tcPr>
          <w:p w14:paraId="70E3F48E">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16" w:type="dxa"/>
            <w:gridSpan w:val="3"/>
            <w:vMerge w:val="continue"/>
            <w:tcBorders>
              <w:left w:val="single" w:color="auto" w:sz="4" w:space="0"/>
              <w:right w:val="single" w:color="auto" w:sz="4" w:space="0"/>
            </w:tcBorders>
            <w:tcMar>
              <w:top w:w="15" w:type="dxa"/>
              <w:left w:w="15" w:type="dxa"/>
              <w:right w:w="15" w:type="dxa"/>
            </w:tcMar>
            <w:vAlign w:val="center"/>
          </w:tcPr>
          <w:p w14:paraId="47DBAD9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78DEC0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51E3EAF">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17" w:type="dxa"/>
            <w:gridSpan w:val="2"/>
            <w:vMerge w:val="continue"/>
            <w:tcBorders>
              <w:left w:val="single" w:color="auto" w:sz="4" w:space="0"/>
              <w:right w:val="single" w:color="auto" w:sz="4" w:space="0"/>
            </w:tcBorders>
            <w:tcMar>
              <w:top w:w="15" w:type="dxa"/>
              <w:left w:w="15" w:type="dxa"/>
              <w:right w:w="15" w:type="dxa"/>
            </w:tcMar>
            <w:vAlign w:val="center"/>
          </w:tcPr>
          <w:p w14:paraId="4DC55256">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right w:val="single" w:color="auto" w:sz="4" w:space="0"/>
            </w:tcBorders>
            <w:tcMar>
              <w:top w:w="15" w:type="dxa"/>
              <w:left w:w="15" w:type="dxa"/>
              <w:right w:w="15" w:type="dxa"/>
            </w:tcMar>
            <w:vAlign w:val="center"/>
          </w:tcPr>
          <w:p w14:paraId="1B3B5B70">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27793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6"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0315764">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E303B6E">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3801"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8AC9DF6">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16"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B4787F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7F0947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0102BD4">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C6B2685">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DE1A664">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06AD7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9230F2E">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7660B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9FD8D17">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3DEFE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5"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17E0CAA9">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default"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t>27</w:t>
            </w:r>
          </w:p>
        </w:tc>
        <w:tc>
          <w:tcPr>
            <w:tcW w:w="138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3F9273A2">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b w:val="0"/>
                <w:bCs w:val="0"/>
                <w:color w:val="auto"/>
                <w:sz w:val="24"/>
                <w:szCs w:val="24"/>
              </w:rPr>
              <w:t>省级文化产业示范基地（单位）命名</w:t>
            </w:r>
          </w:p>
        </w:tc>
        <w:tc>
          <w:tcPr>
            <w:tcW w:w="3801"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531B8BBE">
            <w:pPr>
              <w:keepNext w:val="0"/>
              <w:keepLines w:val="0"/>
              <w:pageBreakBefore w:val="0"/>
              <w:widowControl w:val="0"/>
              <w:kinsoku/>
              <w:wordWrap/>
              <w:overflowPunct/>
              <w:topLinePunct w:val="0"/>
              <w:autoSpaceDE/>
              <w:autoSpaceDN w:val="0"/>
              <w:bidi w:val="0"/>
              <w:adjustRightInd/>
              <w:snapToGrid w:val="0"/>
              <w:spacing w:line="210" w:lineRule="exact"/>
              <w:ind w:left="0" w:leftChars="0" w:firstLine="0" w:firstLineChars="0"/>
              <w:jc w:val="both"/>
              <w:textAlignment w:val="center"/>
              <w:rPr>
                <w:rFonts w:hint="eastAsia" w:ascii="仿宋" w:hAnsi="仿宋" w:eastAsia="仿宋" w:cs="仿宋"/>
                <w:i w:val="0"/>
                <w:caps w:val="0"/>
                <w:color w:val="auto"/>
                <w:spacing w:val="0"/>
                <w:kern w:val="2"/>
                <w:sz w:val="21"/>
                <w:szCs w:val="21"/>
                <w:shd w:val="clear" w:color="070000" w:fill="FFFFFF"/>
                <w:lang w:val="en-US" w:eastAsia="zh-CN" w:bidi="ar-SA"/>
              </w:rPr>
            </w:pPr>
            <w:r>
              <w:rPr>
                <w:rFonts w:hint="eastAsia" w:ascii="仿宋" w:hAnsi="仿宋" w:eastAsia="仿宋" w:cs="仿宋"/>
                <w:i w:val="0"/>
                <w:caps w:val="0"/>
                <w:color w:val="auto"/>
                <w:spacing w:val="0"/>
                <w:kern w:val="2"/>
                <w:sz w:val="21"/>
                <w:szCs w:val="21"/>
                <w:shd w:val="clear" w:color="070000" w:fill="FFFFFF"/>
                <w:lang w:val="en-US" w:eastAsia="zh-CN" w:bidi="ar-SA"/>
              </w:rPr>
              <w:t>《文化部办公厅关于修订印发〈国家文化产业示范基地管理办法〉的通知》（办产发〔2014〕13号）第二十五条省级文化行政部门可结合本地区实际，参照本办法，制定相应管理办法和配套政策，开展省(（区、市）级文化产业示范基地命名和建设工作。《河南省文化产业示范基地评选管理办法》第二章 认定标准</w:t>
            </w:r>
          </w:p>
          <w:p w14:paraId="52C24A41">
            <w:pPr>
              <w:keepNext w:val="0"/>
              <w:keepLines w:val="0"/>
              <w:pageBreakBefore w:val="0"/>
              <w:widowControl w:val="0"/>
              <w:kinsoku/>
              <w:wordWrap/>
              <w:overflowPunct/>
              <w:topLinePunct w:val="0"/>
              <w:autoSpaceDE/>
              <w:autoSpaceDN w:val="0"/>
              <w:bidi w:val="0"/>
              <w:adjustRightInd/>
              <w:snapToGrid w:val="0"/>
              <w:spacing w:line="210" w:lineRule="exact"/>
              <w:ind w:left="0" w:leftChars="0" w:firstLine="0" w:firstLineChars="0"/>
              <w:jc w:val="both"/>
              <w:textAlignment w:val="center"/>
              <w:rPr>
                <w:rFonts w:hint="eastAsia" w:ascii="仿宋" w:hAnsi="仿宋" w:eastAsia="仿宋" w:cs="仿宋"/>
                <w:i w:val="0"/>
                <w:caps w:val="0"/>
                <w:color w:val="auto"/>
                <w:spacing w:val="0"/>
                <w:kern w:val="2"/>
                <w:sz w:val="21"/>
                <w:szCs w:val="21"/>
                <w:shd w:val="clear" w:color="070000" w:fill="FFFFFF"/>
                <w:lang w:val="en-US" w:eastAsia="zh-CN" w:bidi="ar-SA"/>
              </w:rPr>
            </w:pPr>
            <w:r>
              <w:rPr>
                <w:rFonts w:hint="eastAsia" w:ascii="仿宋" w:hAnsi="仿宋" w:eastAsia="仿宋" w:cs="仿宋"/>
                <w:i w:val="0"/>
                <w:caps w:val="0"/>
                <w:color w:val="auto"/>
                <w:spacing w:val="0"/>
                <w:kern w:val="2"/>
                <w:sz w:val="21"/>
                <w:szCs w:val="21"/>
                <w:shd w:val="clear" w:color="070000" w:fill="FFFFFF"/>
                <w:lang w:val="en-US" w:eastAsia="zh-CN" w:bidi="ar-SA"/>
              </w:rPr>
              <w:t>第四条 规划合理。示范园区制定有总体发展规划，且符合全省文化产业发展规划以及相关的地区发展规划，符合城镇总体规划和土地利用规划，在土地、消防安全、环保、卫生等方面符合国家相关规定和标准。</w:t>
            </w:r>
          </w:p>
          <w:p w14:paraId="65D958BF">
            <w:pPr>
              <w:keepNext w:val="0"/>
              <w:keepLines w:val="0"/>
              <w:pageBreakBefore w:val="0"/>
              <w:widowControl w:val="0"/>
              <w:kinsoku/>
              <w:wordWrap/>
              <w:overflowPunct/>
              <w:topLinePunct w:val="0"/>
              <w:autoSpaceDE/>
              <w:autoSpaceDN w:val="0"/>
              <w:bidi w:val="0"/>
              <w:adjustRightInd/>
              <w:snapToGrid w:val="0"/>
              <w:spacing w:line="210" w:lineRule="exact"/>
              <w:ind w:left="0" w:leftChars="0" w:firstLine="0" w:firstLineChars="0"/>
              <w:jc w:val="both"/>
              <w:textAlignment w:val="center"/>
              <w:rPr>
                <w:rFonts w:hint="eastAsia" w:ascii="仿宋" w:hAnsi="仿宋" w:eastAsia="仿宋" w:cs="仿宋"/>
                <w:i w:val="0"/>
                <w:caps w:val="0"/>
                <w:color w:val="auto"/>
                <w:spacing w:val="0"/>
                <w:kern w:val="2"/>
                <w:sz w:val="21"/>
                <w:szCs w:val="21"/>
                <w:shd w:val="clear" w:color="070000" w:fill="FFFFFF"/>
                <w:lang w:val="en-US" w:eastAsia="zh-CN" w:bidi="ar-SA"/>
              </w:rPr>
            </w:pPr>
            <w:r>
              <w:rPr>
                <w:rFonts w:hint="eastAsia" w:ascii="仿宋" w:hAnsi="仿宋" w:eastAsia="仿宋" w:cs="仿宋"/>
                <w:i w:val="0"/>
                <w:caps w:val="0"/>
                <w:color w:val="auto"/>
                <w:spacing w:val="0"/>
                <w:kern w:val="2"/>
                <w:sz w:val="21"/>
                <w:szCs w:val="21"/>
                <w:shd w:val="clear" w:color="070000" w:fill="FFFFFF"/>
                <w:lang w:val="en-US" w:eastAsia="zh-CN" w:bidi="ar-SA"/>
              </w:rPr>
              <w:t>第五条 功能明确。示范园区有丰富的文化内容和明确的产业特色，在全省具有代表性，生产的文化产品和提供的文化服务内容健康。非文化类商业及其他配套设施面积不得超过园区总建设面积的20%。</w:t>
            </w:r>
          </w:p>
          <w:p w14:paraId="5553A1EF">
            <w:pPr>
              <w:keepNext w:val="0"/>
              <w:keepLines w:val="0"/>
              <w:pageBreakBefore w:val="0"/>
              <w:widowControl w:val="0"/>
              <w:kinsoku/>
              <w:wordWrap/>
              <w:overflowPunct/>
              <w:topLinePunct w:val="0"/>
              <w:autoSpaceDE/>
              <w:autoSpaceDN w:val="0"/>
              <w:bidi w:val="0"/>
              <w:adjustRightInd/>
              <w:snapToGrid w:val="0"/>
              <w:spacing w:line="210" w:lineRule="exact"/>
              <w:ind w:left="0" w:leftChars="0" w:firstLine="0" w:firstLineChars="0"/>
              <w:jc w:val="both"/>
              <w:textAlignment w:val="center"/>
              <w:rPr>
                <w:rFonts w:hint="eastAsia" w:ascii="仿宋" w:hAnsi="仿宋" w:eastAsia="仿宋" w:cs="仿宋"/>
                <w:i w:val="0"/>
                <w:caps w:val="0"/>
                <w:color w:val="auto"/>
                <w:spacing w:val="0"/>
                <w:kern w:val="2"/>
                <w:sz w:val="21"/>
                <w:szCs w:val="21"/>
                <w:shd w:val="clear" w:color="070000" w:fill="FFFFFF"/>
                <w:lang w:val="en-US" w:eastAsia="zh-CN" w:bidi="ar-SA"/>
              </w:rPr>
            </w:pPr>
            <w:r>
              <w:rPr>
                <w:rFonts w:hint="eastAsia" w:ascii="仿宋" w:hAnsi="仿宋" w:eastAsia="仿宋" w:cs="仿宋"/>
                <w:i w:val="0"/>
                <w:caps w:val="0"/>
                <w:color w:val="auto"/>
                <w:spacing w:val="0"/>
                <w:kern w:val="2"/>
                <w:sz w:val="21"/>
                <w:szCs w:val="21"/>
                <w:shd w:val="clear" w:color="070000" w:fill="FFFFFF"/>
                <w:lang w:val="en-US" w:eastAsia="zh-CN" w:bidi="ar-SA"/>
              </w:rPr>
              <w:t>第六条 设施完善。公共服务体系和为生产配套的生活设施能够满足产业发展需求，与所在城镇的基础设施实现互通共享。</w:t>
            </w:r>
          </w:p>
          <w:p w14:paraId="74913478">
            <w:pPr>
              <w:keepNext w:val="0"/>
              <w:keepLines w:val="0"/>
              <w:pageBreakBefore w:val="0"/>
              <w:widowControl w:val="0"/>
              <w:kinsoku/>
              <w:wordWrap/>
              <w:overflowPunct/>
              <w:topLinePunct w:val="0"/>
              <w:autoSpaceDE/>
              <w:autoSpaceDN w:val="0"/>
              <w:bidi w:val="0"/>
              <w:adjustRightInd/>
              <w:snapToGrid w:val="0"/>
              <w:spacing w:line="210" w:lineRule="exact"/>
              <w:ind w:left="0" w:leftChars="0" w:firstLine="0" w:firstLineChars="0"/>
              <w:jc w:val="both"/>
              <w:textAlignment w:val="center"/>
              <w:rPr>
                <w:rFonts w:hint="eastAsia" w:ascii="仿宋" w:hAnsi="仿宋" w:eastAsia="仿宋" w:cs="仿宋"/>
                <w:i w:val="0"/>
                <w:caps w:val="0"/>
                <w:color w:val="auto"/>
                <w:spacing w:val="0"/>
                <w:kern w:val="2"/>
                <w:sz w:val="21"/>
                <w:szCs w:val="21"/>
                <w:shd w:val="clear" w:color="070000" w:fill="FFFFFF"/>
                <w:lang w:val="en-US" w:eastAsia="zh-CN" w:bidi="ar-SA"/>
              </w:rPr>
            </w:pPr>
            <w:r>
              <w:rPr>
                <w:rFonts w:hint="eastAsia" w:ascii="仿宋" w:hAnsi="仿宋" w:eastAsia="仿宋" w:cs="仿宋"/>
                <w:i w:val="0"/>
                <w:caps w:val="0"/>
                <w:color w:val="auto"/>
                <w:spacing w:val="0"/>
                <w:kern w:val="2"/>
                <w:sz w:val="21"/>
                <w:szCs w:val="21"/>
                <w:shd w:val="clear" w:color="070000" w:fill="FFFFFF"/>
                <w:lang w:val="en-US" w:eastAsia="zh-CN" w:bidi="ar-SA"/>
              </w:rPr>
              <w:t>第七条 管理科学。示范园区有健全的管理机构、完善的经营管理制度和优惠的文化产业发展政策、措施。</w:t>
            </w:r>
          </w:p>
          <w:p w14:paraId="730050FD">
            <w:pPr>
              <w:keepNext w:val="0"/>
              <w:keepLines w:val="0"/>
              <w:pageBreakBefore w:val="0"/>
              <w:widowControl w:val="0"/>
              <w:kinsoku/>
              <w:wordWrap/>
              <w:overflowPunct/>
              <w:topLinePunct w:val="0"/>
              <w:autoSpaceDE/>
              <w:autoSpaceDN w:val="0"/>
              <w:bidi w:val="0"/>
              <w:adjustRightInd/>
              <w:snapToGrid w:val="0"/>
              <w:spacing w:line="210" w:lineRule="exact"/>
              <w:ind w:left="0" w:leftChars="0"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1"/>
                <w:szCs w:val="21"/>
                <w:shd w:val="clear" w:color="070000" w:fill="FFFFFF"/>
                <w:lang w:val="en-US" w:eastAsia="zh-CN" w:bidi="ar-SA"/>
              </w:rPr>
              <w:t>第八条 业绩突出。规范运营2年以上，从业人员7500人以上，经济效益和社会效益显著。实现年营业收入10亿元以上、年税收1亿元以上。主导产业突出，特色产业集群初步形成。文化企业（单位）数量占园区企业（单位）总数的60%以上，文化产业营业收入占全部企业（单位）营业收入的50%以上。</w:t>
            </w:r>
          </w:p>
        </w:tc>
        <w:tc>
          <w:tcPr>
            <w:tcW w:w="616" w:type="dxa"/>
            <w:gridSpan w:val="3"/>
            <w:vMerge w:val="restart"/>
            <w:tcBorders>
              <w:top w:val="single" w:color="auto" w:sz="4" w:space="0"/>
              <w:left w:val="single" w:color="auto" w:sz="4" w:space="0"/>
              <w:right w:val="single" w:color="auto" w:sz="4" w:space="0"/>
            </w:tcBorders>
            <w:tcMar>
              <w:top w:w="15" w:type="dxa"/>
              <w:left w:w="15" w:type="dxa"/>
              <w:right w:w="15" w:type="dxa"/>
            </w:tcMar>
            <w:vAlign w:val="center"/>
          </w:tcPr>
          <w:p w14:paraId="7C7721F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行政确认</w:t>
            </w: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0A3D86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B26451A">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27F858FF">
            <w:pPr>
              <w:keepNext w:val="0"/>
              <w:keepLines w:val="0"/>
              <w:pageBreakBefore w:val="0"/>
              <w:widowControl w:val="0"/>
              <w:kinsoku/>
              <w:wordWrap/>
              <w:overflowPunct/>
              <w:topLinePunct w:val="0"/>
              <w:autoSpaceDE/>
              <w:autoSpaceDN/>
              <w:bidi w:val="0"/>
              <w:adjustRightInd/>
              <w:snapToGrid/>
              <w:spacing w:line="22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有下列行为之一，情节较重的，予以警告、记过或者记大过；情节严重的，予以降级或者撤职：</w:t>
            </w:r>
          </w:p>
          <w:p w14:paraId="27D7268B">
            <w:pPr>
              <w:keepNext w:val="0"/>
              <w:keepLines w:val="0"/>
              <w:pageBreakBefore w:val="0"/>
              <w:widowControl w:val="0"/>
              <w:kinsoku/>
              <w:wordWrap/>
              <w:overflowPunct/>
              <w:topLinePunct w:val="0"/>
              <w:autoSpaceDE/>
              <w:autoSpaceDN/>
              <w:bidi w:val="0"/>
              <w:adjustRightInd/>
              <w:snapToGrid/>
              <w:spacing w:line="22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（一）违反规定向管理服务对象收取、摊派财物的；</w:t>
            </w:r>
          </w:p>
          <w:p w14:paraId="21F07E6A">
            <w:pPr>
              <w:keepNext w:val="0"/>
              <w:keepLines w:val="0"/>
              <w:pageBreakBefore w:val="0"/>
              <w:widowControl w:val="0"/>
              <w:kinsoku/>
              <w:wordWrap/>
              <w:overflowPunct/>
              <w:topLinePunct w:val="0"/>
              <w:autoSpaceDE/>
              <w:autoSpaceDN/>
              <w:bidi w:val="0"/>
              <w:adjustRightInd/>
              <w:snapToGrid/>
              <w:spacing w:line="22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（二）在管理服务活动中故意刁难、吃拿卡要的；</w:t>
            </w:r>
          </w:p>
          <w:p w14:paraId="466B6AC4">
            <w:pPr>
              <w:keepNext w:val="0"/>
              <w:keepLines w:val="0"/>
              <w:pageBreakBefore w:val="0"/>
              <w:widowControl w:val="0"/>
              <w:kinsoku/>
              <w:wordWrap/>
              <w:overflowPunct/>
              <w:topLinePunct w:val="0"/>
              <w:autoSpaceDE/>
              <w:autoSpaceDN/>
              <w:bidi w:val="0"/>
              <w:adjustRightInd/>
              <w:snapToGrid/>
              <w:spacing w:line="22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（三）在管理服务活动中态度恶劣粗暴，造成不良后果或者影响的；</w:t>
            </w:r>
          </w:p>
          <w:p w14:paraId="1EE9EB4D">
            <w:pPr>
              <w:keepNext w:val="0"/>
              <w:keepLines w:val="0"/>
              <w:pageBreakBefore w:val="0"/>
              <w:widowControl w:val="0"/>
              <w:kinsoku/>
              <w:wordWrap/>
              <w:overflowPunct/>
              <w:topLinePunct w:val="0"/>
              <w:autoSpaceDE/>
              <w:autoSpaceDN/>
              <w:bidi w:val="0"/>
              <w:adjustRightInd/>
              <w:snapToGrid/>
              <w:spacing w:line="22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（四）不按照规定公开工作信息，侵犯管理服务对象知情权，造成不良后果或者影响的；</w:t>
            </w:r>
          </w:p>
          <w:p w14:paraId="1498690B">
            <w:pPr>
              <w:keepNext w:val="0"/>
              <w:keepLines w:val="0"/>
              <w:pageBreakBefore w:val="0"/>
              <w:widowControl w:val="0"/>
              <w:kinsoku/>
              <w:wordWrap/>
              <w:overflowPunct/>
              <w:topLinePunct w:val="0"/>
              <w:autoSpaceDE/>
              <w:autoSpaceDN/>
              <w:bidi w:val="0"/>
              <w:adjustRightInd/>
              <w:snapToGrid/>
              <w:spacing w:line="22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（五）其他侵犯管理服务对象利益的行为，造成不良后果或者影响的。</w:t>
            </w:r>
          </w:p>
          <w:p w14:paraId="1D044B7D">
            <w:pPr>
              <w:keepNext w:val="0"/>
              <w:keepLines w:val="0"/>
              <w:pageBreakBefore w:val="0"/>
              <w:widowControl w:val="0"/>
              <w:kinsoku/>
              <w:wordWrap/>
              <w:overflowPunct/>
              <w:topLinePunct w:val="0"/>
              <w:autoSpaceDE/>
              <w:autoSpaceDN/>
              <w:bidi w:val="0"/>
              <w:adjustRightInd/>
              <w:snapToGrid/>
              <w:spacing w:line="220" w:lineRule="exact"/>
              <w:ind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有前款第一项、第二项和第五项行为，情节特别严重的，予以开除。</w:t>
            </w: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6C136B56">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14:paraId="338AB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5" w:hRule="atLeast"/>
          <w:jc w:val="center"/>
        </w:trPr>
        <w:tc>
          <w:tcPr>
            <w:tcW w:w="678" w:type="dxa"/>
            <w:vMerge w:val="continue"/>
            <w:tcBorders>
              <w:left w:val="single" w:color="auto" w:sz="4" w:space="0"/>
              <w:right w:val="single" w:color="auto" w:sz="4" w:space="0"/>
            </w:tcBorders>
            <w:tcMar>
              <w:top w:w="15" w:type="dxa"/>
              <w:left w:w="15" w:type="dxa"/>
              <w:right w:w="15" w:type="dxa"/>
            </w:tcMar>
            <w:vAlign w:val="center"/>
          </w:tcPr>
          <w:p w14:paraId="20260F48">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382" w:type="dxa"/>
            <w:vMerge w:val="continue"/>
            <w:tcBorders>
              <w:left w:val="single" w:color="auto" w:sz="4" w:space="0"/>
              <w:right w:val="single" w:color="auto" w:sz="4" w:space="0"/>
            </w:tcBorders>
            <w:tcMar>
              <w:top w:w="15" w:type="dxa"/>
              <w:left w:w="15" w:type="dxa"/>
              <w:right w:w="15" w:type="dxa"/>
            </w:tcMar>
            <w:vAlign w:val="center"/>
          </w:tcPr>
          <w:p w14:paraId="283081AD">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3801" w:type="dxa"/>
            <w:gridSpan w:val="2"/>
            <w:vMerge w:val="continue"/>
            <w:tcBorders>
              <w:left w:val="single" w:color="auto" w:sz="4" w:space="0"/>
              <w:right w:val="single" w:color="auto" w:sz="4" w:space="0"/>
            </w:tcBorders>
            <w:tcMar>
              <w:top w:w="15" w:type="dxa"/>
              <w:left w:w="15" w:type="dxa"/>
              <w:right w:w="15" w:type="dxa"/>
            </w:tcMar>
            <w:vAlign w:val="center"/>
          </w:tcPr>
          <w:p w14:paraId="00367834">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16" w:type="dxa"/>
            <w:gridSpan w:val="3"/>
            <w:vMerge w:val="continue"/>
            <w:tcBorders>
              <w:left w:val="single" w:color="auto" w:sz="4" w:space="0"/>
              <w:right w:val="single" w:color="auto" w:sz="4" w:space="0"/>
            </w:tcBorders>
            <w:tcMar>
              <w:top w:w="15" w:type="dxa"/>
              <w:left w:w="15" w:type="dxa"/>
              <w:right w:w="15" w:type="dxa"/>
            </w:tcMar>
            <w:vAlign w:val="center"/>
          </w:tcPr>
          <w:p w14:paraId="3640370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94D80C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E53179F">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17" w:type="dxa"/>
            <w:gridSpan w:val="2"/>
            <w:vMerge w:val="continue"/>
            <w:tcBorders>
              <w:left w:val="single" w:color="auto" w:sz="4" w:space="0"/>
              <w:right w:val="single" w:color="auto" w:sz="4" w:space="0"/>
            </w:tcBorders>
            <w:tcMar>
              <w:top w:w="15" w:type="dxa"/>
              <w:left w:w="15" w:type="dxa"/>
              <w:right w:w="15" w:type="dxa"/>
            </w:tcMar>
            <w:vAlign w:val="center"/>
          </w:tcPr>
          <w:p w14:paraId="6CBCECE0">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right w:val="single" w:color="auto" w:sz="4" w:space="0"/>
            </w:tcBorders>
            <w:tcMar>
              <w:top w:w="15" w:type="dxa"/>
              <w:left w:w="15" w:type="dxa"/>
              <w:right w:w="15" w:type="dxa"/>
            </w:tcMar>
            <w:vAlign w:val="center"/>
          </w:tcPr>
          <w:p w14:paraId="6316180F">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37521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2921CA6">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419E6FF">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3801"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D76FEEE">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16"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4D94BF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851037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E74C3AA">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1309391">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DD26737">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17C8D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EA29B5A">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17FAB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93539FE">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141F9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5"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5D791B69">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default"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t>28</w:t>
            </w:r>
          </w:p>
        </w:tc>
        <w:tc>
          <w:tcPr>
            <w:tcW w:w="138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2460FB93">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b w:val="0"/>
                <w:bCs w:val="0"/>
                <w:color w:val="auto"/>
                <w:sz w:val="24"/>
                <w:szCs w:val="24"/>
              </w:rPr>
              <w:t>对非物质文化遗产代表性项目的组织推荐评审认定</w:t>
            </w:r>
          </w:p>
        </w:tc>
        <w:tc>
          <w:tcPr>
            <w:tcW w:w="3801"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2B97CBF4">
            <w:pPr>
              <w:widowControl w:val="0"/>
              <w:wordWrap/>
              <w:autoSpaceDN w:val="0"/>
              <w:adjustRightInd/>
              <w:snapToGrid w:val="0"/>
              <w:spacing w:line="240" w:lineRule="auto"/>
              <w:ind w:left="0" w:leftChars="0" w:firstLine="0" w:firstLineChars="0"/>
              <w:jc w:val="left"/>
              <w:textAlignment w:val="center"/>
              <w:rPr>
                <w:rFonts w:hint="eastAsia" w:ascii="仿宋" w:hAnsi="仿宋" w:eastAsia="仿宋" w:cs="仿宋"/>
                <w:i w:val="0"/>
                <w:caps w:val="0"/>
                <w:color w:val="auto"/>
                <w:spacing w:val="0"/>
                <w:kern w:val="2"/>
                <w:sz w:val="22"/>
                <w:szCs w:val="22"/>
                <w:shd w:val="clear" w:color="070000" w:fill="FFFFFF"/>
                <w:lang w:val="en-US" w:eastAsia="zh-CN" w:bidi="ar-SA"/>
              </w:rPr>
            </w:pPr>
            <w:r>
              <w:rPr>
                <w:rFonts w:hint="eastAsia" w:ascii="仿宋" w:hAnsi="仿宋" w:eastAsia="仿宋" w:cs="仿宋"/>
                <w:i w:val="0"/>
                <w:caps w:val="0"/>
                <w:color w:val="auto"/>
                <w:spacing w:val="0"/>
                <w:kern w:val="2"/>
                <w:sz w:val="22"/>
                <w:szCs w:val="22"/>
                <w:shd w:val="clear" w:color="070000" w:fill="FFFFFF"/>
                <w:lang w:val="en-US" w:eastAsia="zh-CN" w:bidi="ar-SA"/>
              </w:rPr>
              <w:t>《中华人民共和国非物质文化遗产法》</w:t>
            </w:r>
            <w:r>
              <w:rPr>
                <w:rFonts w:hint="eastAsia" w:ascii="仿宋" w:hAnsi="仿宋" w:eastAsia="仿宋" w:cs="仿宋"/>
                <w:i w:val="0"/>
                <w:caps w:val="0"/>
                <w:color w:val="auto"/>
                <w:spacing w:val="0"/>
                <w:kern w:val="2"/>
                <w:sz w:val="22"/>
                <w:szCs w:val="22"/>
                <w:shd w:val="clear" w:color="070000"/>
                <w:lang w:val="en-US" w:eastAsia="zh-CN" w:bidi="ar-SA"/>
              </w:rPr>
              <w:t>（国家主席令第四十二号 ２０１１年２月２５日  第十一届全国人民代表大会常务委员会第十九次会议通过）</w:t>
            </w:r>
            <w:r>
              <w:rPr>
                <w:rFonts w:hint="eastAsia" w:ascii="仿宋" w:hAnsi="仿宋" w:eastAsia="仿宋" w:cs="仿宋"/>
                <w:i w:val="0"/>
                <w:caps w:val="0"/>
                <w:color w:val="auto"/>
                <w:spacing w:val="0"/>
                <w:kern w:val="2"/>
                <w:sz w:val="22"/>
                <w:szCs w:val="22"/>
                <w:shd w:val="clear" w:color="070000" w:fill="FFFFFF"/>
                <w:lang w:val="en-US" w:eastAsia="zh-CN" w:bidi="ar-SA"/>
              </w:rPr>
              <w:t>第二十条 公民、法人和其他组织认为某项非物质文化遗产体现中华民族优秀传统文化，具有重大历史、文学、艺术、科学价值的，可以向省、自治区、直辖市人民政府或者国务院文化主管部门提出列入国家级非物质文化遗产代表性项目名录的建议。</w:t>
            </w:r>
          </w:p>
          <w:p w14:paraId="0CB1D6BB">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2"/>
                <w:szCs w:val="22"/>
                <w:shd w:val="clear" w:color="070000" w:fill="FFFFFF"/>
                <w:lang w:val="en-US" w:eastAsia="zh-CN" w:bidi="ar-SA"/>
              </w:rPr>
              <w:t>《河南省非物质文化遗产保护条例》</w:t>
            </w:r>
            <w:r>
              <w:rPr>
                <w:rFonts w:hint="eastAsia" w:ascii="仿宋" w:hAnsi="仿宋" w:eastAsia="仿宋" w:cs="仿宋"/>
                <w:i w:val="0"/>
                <w:caps w:val="0"/>
                <w:color w:val="auto"/>
                <w:spacing w:val="0"/>
                <w:kern w:val="2"/>
                <w:sz w:val="22"/>
                <w:szCs w:val="22"/>
                <w:shd w:val="clear" w:color="070000"/>
                <w:lang w:val="en-US" w:eastAsia="zh-CN" w:bidi="ar-SA"/>
              </w:rPr>
              <w:t>（2013年9月26日河南省第十二届人民代表大会常务委员会第四次会议通过）</w:t>
            </w:r>
            <w:r>
              <w:rPr>
                <w:rFonts w:hint="eastAsia" w:ascii="仿宋" w:hAnsi="仿宋" w:eastAsia="仿宋" w:cs="仿宋"/>
                <w:i w:val="0"/>
                <w:caps w:val="0"/>
                <w:color w:val="auto"/>
                <w:spacing w:val="0"/>
                <w:kern w:val="2"/>
                <w:sz w:val="22"/>
                <w:szCs w:val="22"/>
                <w:shd w:val="clear" w:color="070000" w:fill="FFFF00"/>
                <w:lang w:val="en-US" w:eastAsia="zh-CN" w:bidi="ar-SA"/>
              </w:rPr>
              <w:t xml:space="preserve"> </w:t>
            </w:r>
            <w:r>
              <w:rPr>
                <w:rFonts w:hint="eastAsia" w:ascii="仿宋" w:hAnsi="仿宋" w:eastAsia="仿宋" w:cs="仿宋"/>
                <w:i w:val="0"/>
                <w:caps w:val="0"/>
                <w:color w:val="auto"/>
                <w:spacing w:val="0"/>
                <w:kern w:val="2"/>
                <w:sz w:val="22"/>
                <w:szCs w:val="22"/>
                <w:shd w:val="clear" w:color="070000" w:fill="FFFFFF"/>
                <w:lang w:val="en-US" w:eastAsia="zh-CN" w:bidi="ar-SA"/>
              </w:rPr>
              <w:t>第十七条 县级以上人民政府可以从本级非物质文化遗产代表性项目名录中向上一级人民政府推荐列入上一级非物质文化遗产代表性项目名录的项目。 第二十一条 县级以上人民政府文化主管部门应当组织专家组成专家评审小组，对推荐、申请或者建议列入非物质文化遗产代表性项目名录的项目进行初评并形成初评意见，初评意见应当经专家评审小组过半数通过。</w:t>
            </w:r>
          </w:p>
        </w:tc>
        <w:tc>
          <w:tcPr>
            <w:tcW w:w="616" w:type="dxa"/>
            <w:gridSpan w:val="3"/>
            <w:vMerge w:val="restart"/>
            <w:tcBorders>
              <w:top w:val="single" w:color="auto" w:sz="4" w:space="0"/>
              <w:left w:val="single" w:color="auto" w:sz="4" w:space="0"/>
              <w:right w:val="single" w:color="auto" w:sz="4" w:space="0"/>
            </w:tcBorders>
            <w:tcMar>
              <w:top w:w="15" w:type="dxa"/>
              <w:left w:w="15" w:type="dxa"/>
              <w:right w:w="15" w:type="dxa"/>
            </w:tcMar>
            <w:vAlign w:val="center"/>
          </w:tcPr>
          <w:p w14:paraId="7601013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行政确认</w:t>
            </w: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BC9416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6529EF8">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7083800A">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有下列行为之一，情节较重的，予以警告、记过或者记大过；情节严重的，予以降级或者撤职：</w:t>
            </w:r>
          </w:p>
          <w:p w14:paraId="29342462">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（一）违反规定向管理服务对象收取、摊派财物的；</w:t>
            </w:r>
          </w:p>
          <w:p w14:paraId="6845FA2D">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（二）在管理服务活动中故意刁难、吃拿卡要的；</w:t>
            </w:r>
          </w:p>
          <w:p w14:paraId="18ECF853">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（三）在管理服务活动中态度恶劣粗暴，造成不良后果或者影响的；</w:t>
            </w:r>
          </w:p>
          <w:p w14:paraId="2305AD31">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（四）不按照规定公开工作信息，侵犯管理服务对象知情权，造成不良后果或者影响的；</w:t>
            </w:r>
          </w:p>
          <w:p w14:paraId="3894512B">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（五）其他侵犯管理服务对象利益的行为，造成不良后果或者影响的。</w:t>
            </w:r>
          </w:p>
          <w:p w14:paraId="0AD9499A">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有前款第一项、第二项和第五项行为，情节特别严重的，予以开除。</w:t>
            </w: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27F6FCC1">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14:paraId="43631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5" w:hRule="atLeast"/>
          <w:jc w:val="center"/>
        </w:trPr>
        <w:tc>
          <w:tcPr>
            <w:tcW w:w="678" w:type="dxa"/>
            <w:vMerge w:val="continue"/>
            <w:tcBorders>
              <w:left w:val="single" w:color="auto" w:sz="4" w:space="0"/>
              <w:right w:val="single" w:color="auto" w:sz="4" w:space="0"/>
            </w:tcBorders>
            <w:tcMar>
              <w:top w:w="15" w:type="dxa"/>
              <w:left w:w="15" w:type="dxa"/>
              <w:right w:w="15" w:type="dxa"/>
            </w:tcMar>
            <w:vAlign w:val="center"/>
          </w:tcPr>
          <w:p w14:paraId="181C02BB">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382" w:type="dxa"/>
            <w:vMerge w:val="continue"/>
            <w:tcBorders>
              <w:left w:val="single" w:color="auto" w:sz="4" w:space="0"/>
              <w:right w:val="single" w:color="auto" w:sz="4" w:space="0"/>
            </w:tcBorders>
            <w:tcMar>
              <w:top w:w="15" w:type="dxa"/>
              <w:left w:w="15" w:type="dxa"/>
              <w:right w:w="15" w:type="dxa"/>
            </w:tcMar>
            <w:vAlign w:val="center"/>
          </w:tcPr>
          <w:p w14:paraId="3F46708A">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3801" w:type="dxa"/>
            <w:gridSpan w:val="2"/>
            <w:vMerge w:val="continue"/>
            <w:tcBorders>
              <w:left w:val="single" w:color="auto" w:sz="4" w:space="0"/>
              <w:right w:val="single" w:color="auto" w:sz="4" w:space="0"/>
            </w:tcBorders>
            <w:tcMar>
              <w:top w:w="15" w:type="dxa"/>
              <w:left w:w="15" w:type="dxa"/>
              <w:right w:w="15" w:type="dxa"/>
            </w:tcMar>
            <w:vAlign w:val="center"/>
          </w:tcPr>
          <w:p w14:paraId="49210833">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16" w:type="dxa"/>
            <w:gridSpan w:val="3"/>
            <w:vMerge w:val="continue"/>
            <w:tcBorders>
              <w:left w:val="single" w:color="auto" w:sz="4" w:space="0"/>
              <w:right w:val="single" w:color="auto" w:sz="4" w:space="0"/>
            </w:tcBorders>
            <w:tcMar>
              <w:top w:w="15" w:type="dxa"/>
              <w:left w:w="15" w:type="dxa"/>
              <w:right w:w="15" w:type="dxa"/>
            </w:tcMar>
            <w:vAlign w:val="center"/>
          </w:tcPr>
          <w:p w14:paraId="62DEE1E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EC6F9E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CDDF407">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17" w:type="dxa"/>
            <w:gridSpan w:val="2"/>
            <w:vMerge w:val="continue"/>
            <w:tcBorders>
              <w:left w:val="single" w:color="auto" w:sz="4" w:space="0"/>
              <w:right w:val="single" w:color="auto" w:sz="4" w:space="0"/>
            </w:tcBorders>
            <w:tcMar>
              <w:top w:w="15" w:type="dxa"/>
              <w:left w:w="15" w:type="dxa"/>
              <w:right w:w="15" w:type="dxa"/>
            </w:tcMar>
            <w:vAlign w:val="center"/>
          </w:tcPr>
          <w:p w14:paraId="2BA66BD1">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right w:val="single" w:color="auto" w:sz="4" w:space="0"/>
            </w:tcBorders>
            <w:tcMar>
              <w:top w:w="15" w:type="dxa"/>
              <w:left w:w="15" w:type="dxa"/>
              <w:right w:w="15" w:type="dxa"/>
            </w:tcMar>
            <w:vAlign w:val="center"/>
          </w:tcPr>
          <w:p w14:paraId="6BF6F26D">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7D9D7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ADBC8E3">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88ECC05">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3801"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3C30E74">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16"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437AF3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26BECD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0C9A5A3">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0F4FE0B">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8526FC2">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6A15F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1DD5D74">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387CF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A389F6E">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48891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0"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55036874">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default"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t>29</w:t>
            </w:r>
          </w:p>
        </w:tc>
        <w:tc>
          <w:tcPr>
            <w:tcW w:w="138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2B590F29">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b w:val="0"/>
                <w:bCs w:val="0"/>
                <w:color w:val="auto"/>
                <w:sz w:val="24"/>
                <w:szCs w:val="24"/>
              </w:rPr>
              <w:t>对非物质文化遗产代表性传承人的组织推荐评审认定</w:t>
            </w:r>
          </w:p>
        </w:tc>
        <w:tc>
          <w:tcPr>
            <w:tcW w:w="3801"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4DEB3A1F">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2"/>
                <w:szCs w:val="22"/>
                <w:shd w:val="clear" w:color="070000" w:fill="FFFFFF"/>
                <w:lang w:val="en-US" w:eastAsia="zh-CN" w:bidi="ar-SA"/>
              </w:rPr>
            </w:pPr>
            <w:r>
              <w:rPr>
                <w:rFonts w:hint="eastAsia" w:ascii="仿宋" w:hAnsi="仿宋" w:eastAsia="仿宋" w:cs="仿宋"/>
                <w:i w:val="0"/>
                <w:caps w:val="0"/>
                <w:color w:val="auto"/>
                <w:spacing w:val="0"/>
                <w:kern w:val="2"/>
                <w:sz w:val="22"/>
                <w:szCs w:val="22"/>
                <w:shd w:val="clear" w:color="070000" w:fill="FFFFFF"/>
                <w:lang w:val="en-US" w:eastAsia="zh-CN" w:bidi="ar-SA"/>
              </w:rPr>
              <w:t>《中华人民共和国非物质文化遗产法》</w:t>
            </w:r>
            <w:r>
              <w:rPr>
                <w:rFonts w:hint="eastAsia" w:ascii="仿宋" w:hAnsi="仿宋" w:eastAsia="仿宋" w:cs="仿宋"/>
                <w:i w:val="0"/>
                <w:caps w:val="0"/>
                <w:color w:val="auto"/>
                <w:spacing w:val="0"/>
                <w:kern w:val="2"/>
                <w:sz w:val="22"/>
                <w:szCs w:val="22"/>
                <w:shd w:val="clear" w:color="070000"/>
                <w:lang w:val="en-US" w:eastAsia="zh-CN" w:bidi="ar-SA"/>
              </w:rPr>
              <w:t>（国家主席令第四十二号 ２０１１年２月２５日  第十一届全国人民代表大会常务委员会第十九次会议通过）</w:t>
            </w:r>
            <w:r>
              <w:rPr>
                <w:rFonts w:hint="eastAsia" w:ascii="仿宋" w:hAnsi="仿宋" w:eastAsia="仿宋" w:cs="仿宋"/>
                <w:i w:val="0"/>
                <w:caps w:val="0"/>
                <w:color w:val="auto"/>
                <w:spacing w:val="0"/>
                <w:kern w:val="2"/>
                <w:sz w:val="22"/>
                <w:szCs w:val="22"/>
                <w:shd w:val="clear" w:color="070000" w:fill="FFFFFF"/>
                <w:lang w:val="en-US" w:eastAsia="zh-CN" w:bidi="ar-SA"/>
              </w:rPr>
              <w:t>第二十九条 国务院文化主管部门和省、自治区、直辖市人民政府文化主管部门对本级人民政府批准公布的非物质文化遗产代表性项目，可以认定代表性传承人。</w:t>
            </w:r>
          </w:p>
          <w:p w14:paraId="543E294A">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2"/>
                <w:szCs w:val="22"/>
                <w:shd w:val="clear" w:color="070000" w:fill="FFFFFF"/>
                <w:lang w:val="en-US" w:eastAsia="zh-CN" w:bidi="ar-SA"/>
              </w:rPr>
              <w:t xml:space="preserve">《河南省非物质文化遗产保护条例》 </w:t>
            </w:r>
            <w:r>
              <w:rPr>
                <w:rFonts w:hint="eastAsia" w:ascii="仿宋" w:hAnsi="仿宋" w:eastAsia="仿宋" w:cs="仿宋"/>
                <w:i w:val="0"/>
                <w:caps w:val="0"/>
                <w:color w:val="auto"/>
                <w:spacing w:val="0"/>
                <w:kern w:val="2"/>
                <w:sz w:val="22"/>
                <w:szCs w:val="22"/>
                <w:shd w:val="clear" w:color="070000"/>
                <w:lang w:val="en-US" w:eastAsia="zh-CN" w:bidi="ar-SA"/>
              </w:rPr>
              <w:t>（2013年9月26日河南省第十二届人民代表大会常务委员会第四次会议通过）</w:t>
            </w:r>
            <w:r>
              <w:rPr>
                <w:rFonts w:hint="eastAsia" w:ascii="仿宋" w:hAnsi="仿宋" w:eastAsia="仿宋" w:cs="仿宋"/>
                <w:i w:val="0"/>
                <w:caps w:val="0"/>
                <w:color w:val="auto"/>
                <w:spacing w:val="0"/>
                <w:kern w:val="2"/>
                <w:sz w:val="22"/>
                <w:szCs w:val="22"/>
                <w:shd w:val="clear" w:color="070000" w:fill="FFFFFF"/>
                <w:lang w:val="en-US" w:eastAsia="zh-CN" w:bidi="ar-SA"/>
              </w:rPr>
              <w:t>第二十九条 公民、法人和其他组织可以向县级以上人民政府文化主管部门推荐非物质文化遗产代表性项目的代表性传承人人选；推荐时，应当征得被推荐人的书面同意。第三十一条 非物质文化遗产代表性项目的代表性传承人应当按照本条例有关非物质文化遗产代表性项目评审的规定进行认定。代表性传承人名单经县级以上人民政府文化主管部门批准后予以公布。</w:t>
            </w:r>
          </w:p>
        </w:tc>
        <w:tc>
          <w:tcPr>
            <w:tcW w:w="616" w:type="dxa"/>
            <w:gridSpan w:val="3"/>
            <w:vMerge w:val="restart"/>
            <w:tcBorders>
              <w:top w:val="single" w:color="auto" w:sz="4" w:space="0"/>
              <w:left w:val="single" w:color="auto" w:sz="4" w:space="0"/>
              <w:right w:val="single" w:color="auto" w:sz="4" w:space="0"/>
            </w:tcBorders>
            <w:tcMar>
              <w:top w:w="15" w:type="dxa"/>
              <w:left w:w="15" w:type="dxa"/>
              <w:right w:w="15" w:type="dxa"/>
            </w:tcMar>
            <w:vAlign w:val="center"/>
          </w:tcPr>
          <w:p w14:paraId="63BB847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行政确认</w:t>
            </w: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ED6F42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75A1905">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22C2B2FF">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有下列行为之一，情节较重的，予以警告、记过或者记大过；情节严重的，予以降级或者撤职：</w:t>
            </w:r>
          </w:p>
          <w:p w14:paraId="2861ADAF">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（一）违反规定向管理服务对象收取、摊派财物的；</w:t>
            </w:r>
          </w:p>
          <w:p w14:paraId="5AFB49F3">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（二）在管理服务活动中故意刁难、吃拿卡要的；</w:t>
            </w:r>
          </w:p>
          <w:p w14:paraId="1530AE2A">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（三）在管理服务活动中态度恶劣粗暴，造成不良后果或者影响的；</w:t>
            </w:r>
          </w:p>
          <w:p w14:paraId="78547940">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（四）不按照规定公开工作信息，侵犯管理服务对象知情权，造成不良后果或者影响的；</w:t>
            </w:r>
          </w:p>
          <w:p w14:paraId="4E653E57">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（五）其他侵犯管理服务对象利益的行为，造成不良后果或者影响的。</w:t>
            </w:r>
          </w:p>
          <w:p w14:paraId="3D294B0F">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有前款第一项、第二项和第五项行为，情节特别严重的，予以开除。</w:t>
            </w: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22E40C0F">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14:paraId="009E5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jc w:val="center"/>
        </w:trPr>
        <w:tc>
          <w:tcPr>
            <w:tcW w:w="678" w:type="dxa"/>
            <w:vMerge w:val="continue"/>
            <w:tcBorders>
              <w:left w:val="single" w:color="auto" w:sz="4" w:space="0"/>
              <w:right w:val="single" w:color="auto" w:sz="4" w:space="0"/>
            </w:tcBorders>
            <w:tcMar>
              <w:top w:w="15" w:type="dxa"/>
              <w:left w:w="15" w:type="dxa"/>
              <w:right w:w="15" w:type="dxa"/>
            </w:tcMar>
            <w:vAlign w:val="center"/>
          </w:tcPr>
          <w:p w14:paraId="0FC0E5E8">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382" w:type="dxa"/>
            <w:vMerge w:val="continue"/>
            <w:tcBorders>
              <w:left w:val="single" w:color="auto" w:sz="4" w:space="0"/>
              <w:right w:val="single" w:color="auto" w:sz="4" w:space="0"/>
            </w:tcBorders>
            <w:tcMar>
              <w:top w:w="15" w:type="dxa"/>
              <w:left w:w="15" w:type="dxa"/>
              <w:right w:w="15" w:type="dxa"/>
            </w:tcMar>
            <w:vAlign w:val="center"/>
          </w:tcPr>
          <w:p w14:paraId="57468E3C">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3801" w:type="dxa"/>
            <w:gridSpan w:val="2"/>
            <w:vMerge w:val="continue"/>
            <w:tcBorders>
              <w:left w:val="single" w:color="auto" w:sz="4" w:space="0"/>
              <w:right w:val="single" w:color="auto" w:sz="4" w:space="0"/>
            </w:tcBorders>
            <w:tcMar>
              <w:top w:w="15" w:type="dxa"/>
              <w:left w:w="15" w:type="dxa"/>
              <w:right w:w="15" w:type="dxa"/>
            </w:tcMar>
            <w:vAlign w:val="center"/>
          </w:tcPr>
          <w:p w14:paraId="2C344192">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16" w:type="dxa"/>
            <w:gridSpan w:val="3"/>
            <w:vMerge w:val="continue"/>
            <w:tcBorders>
              <w:left w:val="single" w:color="auto" w:sz="4" w:space="0"/>
              <w:right w:val="single" w:color="auto" w:sz="4" w:space="0"/>
            </w:tcBorders>
            <w:tcMar>
              <w:top w:w="15" w:type="dxa"/>
              <w:left w:w="15" w:type="dxa"/>
              <w:right w:w="15" w:type="dxa"/>
            </w:tcMar>
            <w:vAlign w:val="center"/>
          </w:tcPr>
          <w:p w14:paraId="444B57E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1D60D2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75B671E">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17" w:type="dxa"/>
            <w:gridSpan w:val="2"/>
            <w:vMerge w:val="continue"/>
            <w:tcBorders>
              <w:left w:val="single" w:color="auto" w:sz="4" w:space="0"/>
              <w:right w:val="single" w:color="auto" w:sz="4" w:space="0"/>
            </w:tcBorders>
            <w:tcMar>
              <w:top w:w="15" w:type="dxa"/>
              <w:left w:w="15" w:type="dxa"/>
              <w:right w:w="15" w:type="dxa"/>
            </w:tcMar>
            <w:vAlign w:val="center"/>
          </w:tcPr>
          <w:p w14:paraId="4A767494">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right w:val="single" w:color="auto" w:sz="4" w:space="0"/>
            </w:tcBorders>
            <w:tcMar>
              <w:top w:w="15" w:type="dxa"/>
              <w:left w:w="15" w:type="dxa"/>
              <w:right w:w="15" w:type="dxa"/>
            </w:tcMar>
            <w:vAlign w:val="center"/>
          </w:tcPr>
          <w:p w14:paraId="69056351">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32F4C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D217163">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E6EC93A">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3801"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E447D56">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16"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7B067B1">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4A1303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E50AC00">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C95A987">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22B0288">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64BD2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B1375AE">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16C8B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151D1B4">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2FBCE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5"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464812DE">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default"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t>30</w:t>
            </w:r>
          </w:p>
        </w:tc>
        <w:tc>
          <w:tcPr>
            <w:tcW w:w="138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6F4AC5B3">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b w:val="0"/>
                <w:bCs w:val="0"/>
                <w:color w:val="auto"/>
                <w:sz w:val="24"/>
                <w:szCs w:val="24"/>
              </w:rPr>
              <w:t>旅行社等级的划分与评定</w:t>
            </w:r>
          </w:p>
        </w:tc>
        <w:tc>
          <w:tcPr>
            <w:tcW w:w="3801"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3EF7B3C2">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河南地方标准DB41/T505-2009《河南省旅行社星级评定与管理》（2009年12月25日发布，2009年12月30日实施），5.划分与评定方式  5.1 按照旅行社的基本条件、经营管理水平、经营业绩、广告宣传、服务质量、安全保障等方面，结合旅行社业务年检和旅游投诉情况，通过各级旅行社星级评定机构和行业协会的检查，以基础分100分、鼓励分100分进行打分考评，并按照获得的总分数来确定相应的星级。</w:t>
            </w:r>
          </w:p>
        </w:tc>
        <w:tc>
          <w:tcPr>
            <w:tcW w:w="616" w:type="dxa"/>
            <w:gridSpan w:val="3"/>
            <w:vMerge w:val="restart"/>
            <w:tcBorders>
              <w:top w:val="single" w:color="auto" w:sz="4" w:space="0"/>
              <w:left w:val="single" w:color="auto" w:sz="4" w:space="0"/>
              <w:right w:val="single" w:color="auto" w:sz="4" w:space="0"/>
            </w:tcBorders>
            <w:tcMar>
              <w:top w:w="15" w:type="dxa"/>
              <w:left w:w="15" w:type="dxa"/>
              <w:right w:w="15" w:type="dxa"/>
            </w:tcMar>
            <w:vAlign w:val="center"/>
          </w:tcPr>
          <w:p w14:paraId="206334E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行政确认</w:t>
            </w: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5A43D5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CD62F0F">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474817E3">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有下列行为之一，情节较重的，予以警告、记过或者记大过；情节严重的，予以降级或者撤职：</w:t>
            </w:r>
          </w:p>
          <w:p w14:paraId="6C37C7DA">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（一）违反规定向管理服务对象收取、摊派财物的；</w:t>
            </w:r>
          </w:p>
          <w:p w14:paraId="735EE9EB">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（二）在管理服务活动中故意刁难、吃拿卡要的；</w:t>
            </w:r>
          </w:p>
          <w:p w14:paraId="47F8CF3D">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（三）在管理服务活动中态度恶劣粗暴，造成不良后果或者影响的；</w:t>
            </w:r>
          </w:p>
          <w:p w14:paraId="7B28DBFF">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（四）不按照规定公开工作信息，侵犯管理服务对象知情权，造成不良后果或者影响的；</w:t>
            </w:r>
          </w:p>
          <w:p w14:paraId="452E1DBB">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（五）其他侵犯管理服务对象利益的行为，造成不良后果或者影响的。</w:t>
            </w:r>
          </w:p>
          <w:p w14:paraId="60B0C255">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有前款第一项、第二项和第五项行为，情节特别严重的，予以开除。</w:t>
            </w: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1E731E6E">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14:paraId="718C9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0" w:hRule="atLeast"/>
          <w:jc w:val="center"/>
        </w:trPr>
        <w:tc>
          <w:tcPr>
            <w:tcW w:w="678" w:type="dxa"/>
            <w:vMerge w:val="continue"/>
            <w:tcBorders>
              <w:left w:val="single" w:color="auto" w:sz="4" w:space="0"/>
              <w:right w:val="single" w:color="auto" w:sz="4" w:space="0"/>
            </w:tcBorders>
            <w:tcMar>
              <w:top w:w="15" w:type="dxa"/>
              <w:left w:w="15" w:type="dxa"/>
              <w:right w:w="15" w:type="dxa"/>
            </w:tcMar>
            <w:vAlign w:val="center"/>
          </w:tcPr>
          <w:p w14:paraId="0D524821">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382" w:type="dxa"/>
            <w:vMerge w:val="continue"/>
            <w:tcBorders>
              <w:left w:val="single" w:color="auto" w:sz="4" w:space="0"/>
              <w:right w:val="single" w:color="auto" w:sz="4" w:space="0"/>
            </w:tcBorders>
            <w:tcMar>
              <w:top w:w="15" w:type="dxa"/>
              <w:left w:w="15" w:type="dxa"/>
              <w:right w:w="15" w:type="dxa"/>
            </w:tcMar>
            <w:vAlign w:val="center"/>
          </w:tcPr>
          <w:p w14:paraId="63985595">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3801" w:type="dxa"/>
            <w:gridSpan w:val="2"/>
            <w:vMerge w:val="continue"/>
            <w:tcBorders>
              <w:left w:val="single" w:color="auto" w:sz="4" w:space="0"/>
              <w:right w:val="single" w:color="auto" w:sz="4" w:space="0"/>
            </w:tcBorders>
            <w:tcMar>
              <w:top w:w="15" w:type="dxa"/>
              <w:left w:w="15" w:type="dxa"/>
              <w:right w:w="15" w:type="dxa"/>
            </w:tcMar>
            <w:vAlign w:val="center"/>
          </w:tcPr>
          <w:p w14:paraId="0180493B">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16" w:type="dxa"/>
            <w:gridSpan w:val="3"/>
            <w:vMerge w:val="continue"/>
            <w:tcBorders>
              <w:left w:val="single" w:color="auto" w:sz="4" w:space="0"/>
              <w:right w:val="single" w:color="auto" w:sz="4" w:space="0"/>
            </w:tcBorders>
            <w:tcMar>
              <w:top w:w="15" w:type="dxa"/>
              <w:left w:w="15" w:type="dxa"/>
              <w:right w:w="15" w:type="dxa"/>
            </w:tcMar>
            <w:vAlign w:val="center"/>
          </w:tcPr>
          <w:p w14:paraId="0E72C82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E89A7E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FEE3419">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17" w:type="dxa"/>
            <w:gridSpan w:val="2"/>
            <w:vMerge w:val="continue"/>
            <w:tcBorders>
              <w:left w:val="single" w:color="auto" w:sz="4" w:space="0"/>
              <w:right w:val="single" w:color="auto" w:sz="4" w:space="0"/>
            </w:tcBorders>
            <w:tcMar>
              <w:top w:w="15" w:type="dxa"/>
              <w:left w:w="15" w:type="dxa"/>
              <w:right w:w="15" w:type="dxa"/>
            </w:tcMar>
            <w:vAlign w:val="center"/>
          </w:tcPr>
          <w:p w14:paraId="31F40325">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right w:val="single" w:color="auto" w:sz="4" w:space="0"/>
            </w:tcBorders>
            <w:tcMar>
              <w:top w:w="15" w:type="dxa"/>
              <w:left w:w="15" w:type="dxa"/>
              <w:right w:w="15" w:type="dxa"/>
            </w:tcMar>
            <w:vAlign w:val="center"/>
          </w:tcPr>
          <w:p w14:paraId="722DDC2F">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30B25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33141BB">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BD9FC29">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3801"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E3DAF5C">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16"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B98569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6C0B24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CCF25BC">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87958A1">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860C044">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5D105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E045F59">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2394F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9C7A59A">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191FA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5"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32515E2F">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default"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t>31</w:t>
            </w:r>
          </w:p>
        </w:tc>
        <w:tc>
          <w:tcPr>
            <w:tcW w:w="138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316E0501">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b w:val="0"/>
                <w:bCs w:val="0"/>
                <w:color w:val="auto"/>
                <w:sz w:val="24"/>
                <w:szCs w:val="24"/>
              </w:rPr>
              <w:t>河南省乡村旅游单位星级评定</w:t>
            </w:r>
          </w:p>
        </w:tc>
        <w:tc>
          <w:tcPr>
            <w:tcW w:w="3801"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00D0D2F1">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《乡村旅游经营单位等级划分与评定》（DB41/T 791-2017）（2017年12月6日发布，2018年3月6日实施）6.2 评定组织。 6.2.1 乡村旅游经营单位等级评定，遵循“统一领导、属地管理、自愿申报、分级评定”的原则。各级旅游行政主管部门组建相应的乡村旅游经营单位等级评定委员会（以下简称评委会），并负责相应辖区等级评定工作。</w:t>
            </w:r>
          </w:p>
        </w:tc>
        <w:tc>
          <w:tcPr>
            <w:tcW w:w="616" w:type="dxa"/>
            <w:gridSpan w:val="3"/>
            <w:vMerge w:val="restart"/>
            <w:tcBorders>
              <w:top w:val="single" w:color="auto" w:sz="4" w:space="0"/>
              <w:left w:val="single" w:color="auto" w:sz="4" w:space="0"/>
              <w:right w:val="single" w:color="auto" w:sz="4" w:space="0"/>
            </w:tcBorders>
            <w:tcMar>
              <w:top w:w="15" w:type="dxa"/>
              <w:left w:w="15" w:type="dxa"/>
              <w:right w:w="15" w:type="dxa"/>
            </w:tcMar>
            <w:vAlign w:val="center"/>
          </w:tcPr>
          <w:p w14:paraId="3B20A7F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行政确认</w:t>
            </w: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870FBC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E7A9529">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6AEB45A3">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有下列行为之一，情节较重的，予以警告、记过或者记大过；情节严重的，予以降级或者撤职：</w:t>
            </w:r>
          </w:p>
          <w:p w14:paraId="5E4C6248">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（一）违反规定向管理服务对象收取、摊派财物的；</w:t>
            </w:r>
          </w:p>
          <w:p w14:paraId="4113081E">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（二）在管理服务活动中故意刁难、吃拿卡要的；</w:t>
            </w:r>
          </w:p>
          <w:p w14:paraId="64C1F33D">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（三）在管理服务活动中态度恶劣粗暴，造成不良后果或者影响的；</w:t>
            </w:r>
          </w:p>
          <w:p w14:paraId="6FDD7392">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（四）不按照规定公开工作信息，侵犯管理服务对象知情权，造成不良后果或者影响的；</w:t>
            </w:r>
          </w:p>
          <w:p w14:paraId="769EFBE4">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（五）其他侵犯管理服务对象利益的行为，造成不良后果或者影响的。</w:t>
            </w:r>
          </w:p>
          <w:p w14:paraId="479CF169">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有前款第一项、第二项和第五项行为，情节特别严重的，予以开除。</w:t>
            </w: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6A05DC29">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14:paraId="3D7E2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5" w:hRule="atLeast"/>
          <w:jc w:val="center"/>
        </w:trPr>
        <w:tc>
          <w:tcPr>
            <w:tcW w:w="678" w:type="dxa"/>
            <w:vMerge w:val="continue"/>
            <w:tcBorders>
              <w:left w:val="single" w:color="auto" w:sz="4" w:space="0"/>
              <w:right w:val="single" w:color="auto" w:sz="4" w:space="0"/>
            </w:tcBorders>
            <w:tcMar>
              <w:top w:w="15" w:type="dxa"/>
              <w:left w:w="15" w:type="dxa"/>
              <w:right w:w="15" w:type="dxa"/>
            </w:tcMar>
            <w:vAlign w:val="center"/>
          </w:tcPr>
          <w:p w14:paraId="28BF75BE">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382" w:type="dxa"/>
            <w:vMerge w:val="continue"/>
            <w:tcBorders>
              <w:left w:val="single" w:color="auto" w:sz="4" w:space="0"/>
              <w:right w:val="single" w:color="auto" w:sz="4" w:space="0"/>
            </w:tcBorders>
            <w:tcMar>
              <w:top w:w="15" w:type="dxa"/>
              <w:left w:w="15" w:type="dxa"/>
              <w:right w:w="15" w:type="dxa"/>
            </w:tcMar>
            <w:vAlign w:val="center"/>
          </w:tcPr>
          <w:p w14:paraId="45C6965E">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3801" w:type="dxa"/>
            <w:gridSpan w:val="2"/>
            <w:vMerge w:val="continue"/>
            <w:tcBorders>
              <w:left w:val="single" w:color="auto" w:sz="4" w:space="0"/>
              <w:right w:val="single" w:color="auto" w:sz="4" w:space="0"/>
            </w:tcBorders>
            <w:tcMar>
              <w:top w:w="15" w:type="dxa"/>
              <w:left w:w="15" w:type="dxa"/>
              <w:right w:w="15" w:type="dxa"/>
            </w:tcMar>
            <w:vAlign w:val="center"/>
          </w:tcPr>
          <w:p w14:paraId="06ADE5EA">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16" w:type="dxa"/>
            <w:gridSpan w:val="3"/>
            <w:vMerge w:val="continue"/>
            <w:tcBorders>
              <w:left w:val="single" w:color="auto" w:sz="4" w:space="0"/>
              <w:right w:val="single" w:color="auto" w:sz="4" w:space="0"/>
            </w:tcBorders>
            <w:tcMar>
              <w:top w:w="15" w:type="dxa"/>
              <w:left w:w="15" w:type="dxa"/>
              <w:right w:w="15" w:type="dxa"/>
            </w:tcMar>
            <w:vAlign w:val="center"/>
          </w:tcPr>
          <w:p w14:paraId="0B66516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3C123A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B58508F">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17" w:type="dxa"/>
            <w:gridSpan w:val="2"/>
            <w:vMerge w:val="continue"/>
            <w:tcBorders>
              <w:left w:val="single" w:color="auto" w:sz="4" w:space="0"/>
              <w:right w:val="single" w:color="auto" w:sz="4" w:space="0"/>
            </w:tcBorders>
            <w:tcMar>
              <w:top w:w="15" w:type="dxa"/>
              <w:left w:w="15" w:type="dxa"/>
              <w:right w:w="15" w:type="dxa"/>
            </w:tcMar>
            <w:vAlign w:val="center"/>
          </w:tcPr>
          <w:p w14:paraId="1A5CE1C2">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right w:val="single" w:color="auto" w:sz="4" w:space="0"/>
            </w:tcBorders>
            <w:tcMar>
              <w:top w:w="15" w:type="dxa"/>
              <w:left w:w="15" w:type="dxa"/>
              <w:right w:w="15" w:type="dxa"/>
            </w:tcMar>
            <w:vAlign w:val="center"/>
          </w:tcPr>
          <w:p w14:paraId="74107904">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014F0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BA161A4">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216058A">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3801"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A724530">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16"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5FD7F2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17BC5A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6A2DF36">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1507812">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6807243">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23A14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5338DDE">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3B4E1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960FB7D">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5B6CB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5"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5F503B48">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default"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t>32</w:t>
            </w:r>
          </w:p>
        </w:tc>
        <w:tc>
          <w:tcPr>
            <w:tcW w:w="138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45B963BA">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b w:val="0"/>
                <w:bCs w:val="0"/>
                <w:color w:val="auto"/>
                <w:sz w:val="24"/>
                <w:szCs w:val="24"/>
              </w:rPr>
              <w:t>绿色旅游饭店评定</w:t>
            </w:r>
          </w:p>
        </w:tc>
        <w:tc>
          <w:tcPr>
            <w:tcW w:w="3801"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45979BD6">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《绿色旅游饭店》(LB/T007-2015）（2015年12月23日发布，2016年2月1日实施）第12.2.2 省、自治区、直辖市旅游星级饭店评定机构按照全国旅游星级饭店评定机构的授权和督导，组织本地区绿色旅游饭店的评定与复核工作，保有对本地区下级旅游星级饭店评定机构所评绿色旅游饭店的否决权。12.2.3 其他城市或行政区域旅游星级饭店评定机构按照全国旅游星级饭店评定机构的授权和所在地区省级旅游星级饭店评定机构的督导，实施本地区绿色旅游饭店的推荐、评定和复核工作。</w:t>
            </w:r>
          </w:p>
        </w:tc>
        <w:tc>
          <w:tcPr>
            <w:tcW w:w="616" w:type="dxa"/>
            <w:gridSpan w:val="3"/>
            <w:vMerge w:val="restart"/>
            <w:tcBorders>
              <w:top w:val="single" w:color="auto" w:sz="4" w:space="0"/>
              <w:left w:val="single" w:color="auto" w:sz="4" w:space="0"/>
              <w:right w:val="single" w:color="auto" w:sz="4" w:space="0"/>
            </w:tcBorders>
            <w:tcMar>
              <w:top w:w="15" w:type="dxa"/>
              <w:left w:w="15" w:type="dxa"/>
              <w:right w:w="15" w:type="dxa"/>
            </w:tcMar>
            <w:vAlign w:val="center"/>
          </w:tcPr>
          <w:p w14:paraId="30EF1DB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行政确认</w:t>
            </w: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AF8576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7CF116F">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1EAC4106">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有下列行为之一，情节较重的，予以警告、记过或者记大过；情节严重的，予以降级或者撤职：</w:t>
            </w:r>
          </w:p>
          <w:p w14:paraId="54C626B4">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（一）违反规定向管理服务对象收取、摊派财物的；</w:t>
            </w:r>
          </w:p>
          <w:p w14:paraId="1CE4DFCA">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（二）在管理服务活动中故意刁难、吃拿卡要的；</w:t>
            </w:r>
          </w:p>
          <w:p w14:paraId="5B730112">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（三）在管理服务活动中态度恶劣粗暴，造成不良后果或者影响的；</w:t>
            </w:r>
          </w:p>
          <w:p w14:paraId="79E91D66">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（四）不按照规定公开工作信息，侵犯管理服务对象知情权，造成不良后果或者影响的；</w:t>
            </w:r>
          </w:p>
          <w:p w14:paraId="249371E7">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（五）其他侵犯管理服务对象利益的行为，造成不良后果或者影响的。</w:t>
            </w:r>
          </w:p>
          <w:p w14:paraId="67F0D00E">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有前款第一项、第二项和第五项行为，情节特别严重的，予以开除。</w:t>
            </w: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1BE71432">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14:paraId="091B2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5" w:hRule="atLeast"/>
          <w:jc w:val="center"/>
        </w:trPr>
        <w:tc>
          <w:tcPr>
            <w:tcW w:w="678" w:type="dxa"/>
            <w:vMerge w:val="continue"/>
            <w:tcBorders>
              <w:left w:val="single" w:color="auto" w:sz="4" w:space="0"/>
              <w:right w:val="single" w:color="auto" w:sz="4" w:space="0"/>
            </w:tcBorders>
            <w:tcMar>
              <w:top w:w="15" w:type="dxa"/>
              <w:left w:w="15" w:type="dxa"/>
              <w:right w:w="15" w:type="dxa"/>
            </w:tcMar>
            <w:vAlign w:val="center"/>
          </w:tcPr>
          <w:p w14:paraId="3F7F8350">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382" w:type="dxa"/>
            <w:vMerge w:val="continue"/>
            <w:tcBorders>
              <w:left w:val="single" w:color="auto" w:sz="4" w:space="0"/>
              <w:right w:val="single" w:color="auto" w:sz="4" w:space="0"/>
            </w:tcBorders>
            <w:tcMar>
              <w:top w:w="15" w:type="dxa"/>
              <w:left w:w="15" w:type="dxa"/>
              <w:right w:w="15" w:type="dxa"/>
            </w:tcMar>
            <w:vAlign w:val="center"/>
          </w:tcPr>
          <w:p w14:paraId="7A4771D1">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3801" w:type="dxa"/>
            <w:gridSpan w:val="2"/>
            <w:vMerge w:val="continue"/>
            <w:tcBorders>
              <w:left w:val="single" w:color="auto" w:sz="4" w:space="0"/>
              <w:right w:val="single" w:color="auto" w:sz="4" w:space="0"/>
            </w:tcBorders>
            <w:tcMar>
              <w:top w:w="15" w:type="dxa"/>
              <w:left w:w="15" w:type="dxa"/>
              <w:right w:w="15" w:type="dxa"/>
            </w:tcMar>
            <w:vAlign w:val="center"/>
          </w:tcPr>
          <w:p w14:paraId="4AFD0159">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16" w:type="dxa"/>
            <w:gridSpan w:val="3"/>
            <w:vMerge w:val="continue"/>
            <w:tcBorders>
              <w:left w:val="single" w:color="auto" w:sz="4" w:space="0"/>
              <w:right w:val="single" w:color="auto" w:sz="4" w:space="0"/>
            </w:tcBorders>
            <w:tcMar>
              <w:top w:w="15" w:type="dxa"/>
              <w:left w:w="15" w:type="dxa"/>
              <w:right w:w="15" w:type="dxa"/>
            </w:tcMar>
            <w:vAlign w:val="center"/>
          </w:tcPr>
          <w:p w14:paraId="5BF23E6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0DBEE8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01895E4">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17" w:type="dxa"/>
            <w:gridSpan w:val="2"/>
            <w:vMerge w:val="continue"/>
            <w:tcBorders>
              <w:left w:val="single" w:color="auto" w:sz="4" w:space="0"/>
              <w:right w:val="single" w:color="auto" w:sz="4" w:space="0"/>
            </w:tcBorders>
            <w:tcMar>
              <w:top w:w="15" w:type="dxa"/>
              <w:left w:w="15" w:type="dxa"/>
              <w:right w:w="15" w:type="dxa"/>
            </w:tcMar>
            <w:vAlign w:val="center"/>
          </w:tcPr>
          <w:p w14:paraId="773214CD">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right w:val="single" w:color="auto" w:sz="4" w:space="0"/>
            </w:tcBorders>
            <w:tcMar>
              <w:top w:w="15" w:type="dxa"/>
              <w:left w:w="15" w:type="dxa"/>
              <w:right w:w="15" w:type="dxa"/>
            </w:tcMar>
            <w:vAlign w:val="center"/>
          </w:tcPr>
          <w:p w14:paraId="0689D240">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4D866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DF77C7C">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6B9BCA6">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3801"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3B8B864">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16"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77F817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3C73FD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679F760">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8AEC696">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17D1B6E">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p>
        </w:tc>
      </w:tr>
      <w:tr w14:paraId="29BF7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D1F5614">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32BFC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728E276">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36F80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5"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4B9F0B4C">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default"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t>33</w:t>
            </w:r>
          </w:p>
        </w:tc>
        <w:tc>
          <w:tcPr>
            <w:tcW w:w="1389"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2A436C20">
            <w:pPr>
              <w:widowControl w:val="0"/>
              <w:wordWrap/>
              <w:autoSpaceDN w:val="0"/>
              <w:adjustRightInd/>
              <w:snapToGrid w:val="0"/>
              <w:spacing w:line="240" w:lineRule="auto"/>
              <w:ind w:left="0" w:leftChars="0" w:firstLine="0" w:firstLineChars="0"/>
              <w:jc w:val="both"/>
              <w:textAlignment w:val="center"/>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b w:val="0"/>
                <w:bCs w:val="0"/>
                <w:color w:val="auto"/>
                <w:sz w:val="24"/>
                <w:szCs w:val="24"/>
              </w:rPr>
              <w:t>旅行社从业质量保证金管理</w:t>
            </w:r>
          </w:p>
        </w:tc>
        <w:tc>
          <w:tcPr>
            <w:tcW w:w="3794"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5334DA8B">
            <w:pPr>
              <w:keepNext w:val="0"/>
              <w:keepLines w:val="0"/>
              <w:pageBreakBefore w:val="0"/>
              <w:widowControl w:val="0"/>
              <w:kinsoku/>
              <w:wordWrap/>
              <w:overflowPunct/>
              <w:topLinePunct w:val="0"/>
              <w:autoSpaceDE/>
              <w:autoSpaceDN w:val="0"/>
              <w:bidi w:val="0"/>
              <w:adjustRightInd/>
              <w:snapToGrid w:val="0"/>
              <w:spacing w:line="200" w:lineRule="exact"/>
              <w:ind w:left="0" w:leftChars="0" w:firstLine="0" w:firstLineChars="0"/>
              <w:jc w:val="both"/>
              <w:textAlignment w:val="center"/>
              <w:rPr>
                <w:rFonts w:hint="eastAsia" w:ascii="仿宋" w:hAnsi="仿宋" w:eastAsia="仿宋" w:cs="仿宋"/>
                <w:i w:val="0"/>
                <w:caps w:val="0"/>
                <w:color w:val="auto"/>
                <w:spacing w:val="0"/>
                <w:kern w:val="2"/>
                <w:sz w:val="20"/>
                <w:szCs w:val="20"/>
                <w:shd w:val="clear" w:color="070000" w:fill="FFFFFF"/>
                <w:lang w:val="en-US" w:eastAsia="zh-CN" w:bidi="ar-SA"/>
              </w:rPr>
            </w:pPr>
            <w:r>
              <w:rPr>
                <w:rFonts w:hint="eastAsia" w:ascii="仿宋" w:hAnsi="仿宋" w:eastAsia="仿宋" w:cs="仿宋"/>
                <w:i w:val="0"/>
                <w:caps w:val="0"/>
                <w:color w:val="auto"/>
                <w:spacing w:val="0"/>
                <w:kern w:val="2"/>
                <w:sz w:val="20"/>
                <w:szCs w:val="20"/>
                <w:shd w:val="clear" w:color="070000" w:fill="FFFFFF"/>
                <w:lang w:val="en-US" w:eastAsia="zh-CN" w:bidi="ar-SA"/>
              </w:rPr>
              <w:t>"《旅行社条例</w:t>
            </w:r>
            <w:r>
              <w:rPr>
                <w:rFonts w:hint="eastAsia" w:ascii="仿宋" w:hAnsi="仿宋" w:eastAsia="仿宋" w:cs="仿宋"/>
                <w:i w:val="0"/>
                <w:caps w:val="0"/>
                <w:color w:val="auto"/>
                <w:spacing w:val="0"/>
                <w:kern w:val="2"/>
                <w:sz w:val="20"/>
                <w:szCs w:val="20"/>
                <w:shd w:val="clear" w:color="070000"/>
                <w:lang w:val="en-US" w:eastAsia="zh-CN" w:bidi="ar-SA"/>
              </w:rPr>
              <w:t>》(</w:t>
            </w:r>
            <w:r>
              <w:rPr>
                <w:rFonts w:hint="default" w:ascii="仿宋" w:hAnsi="仿宋" w:eastAsia="仿宋" w:cs="仿宋"/>
                <w:i w:val="0"/>
                <w:caps w:val="0"/>
                <w:color w:val="auto"/>
                <w:spacing w:val="0"/>
                <w:kern w:val="2"/>
                <w:sz w:val="20"/>
                <w:szCs w:val="20"/>
                <w:shd w:val="clear" w:color="070000"/>
                <w:lang w:val="en-US" w:eastAsia="zh-CN" w:bidi="ar-SA"/>
              </w:rPr>
              <w:t>2009年2月20日中华人民共和国国务院令第550号公布根据2016年2月6日《国务院关于修改部分行政法规的决定》第一次修订根据2017年3月1日《国务院关于修改和废止部分行政法规的决定》第二次修订根据</w:t>
            </w:r>
            <w:r>
              <w:rPr>
                <w:rFonts w:hint="eastAsia" w:ascii="仿宋" w:hAnsi="仿宋" w:eastAsia="仿宋" w:cs="仿宋"/>
                <w:i w:val="0"/>
                <w:caps w:val="0"/>
                <w:color w:val="auto"/>
                <w:spacing w:val="0"/>
                <w:kern w:val="2"/>
                <w:sz w:val="20"/>
                <w:szCs w:val="20"/>
                <w:shd w:val="clear" w:color="070000"/>
                <w:lang w:val="en-US" w:eastAsia="zh-CN" w:bidi="ar-SA"/>
              </w:rPr>
              <w:t>2</w:t>
            </w:r>
            <w:r>
              <w:rPr>
                <w:rFonts w:hint="default" w:ascii="仿宋" w:hAnsi="仿宋" w:eastAsia="仿宋" w:cs="仿宋"/>
                <w:i w:val="0"/>
                <w:caps w:val="0"/>
                <w:color w:val="auto"/>
                <w:spacing w:val="0"/>
                <w:kern w:val="2"/>
                <w:sz w:val="20"/>
                <w:szCs w:val="20"/>
                <w:shd w:val="clear" w:color="070000"/>
                <w:lang w:val="en-US" w:eastAsia="zh-CN" w:bidi="ar-SA"/>
              </w:rPr>
              <w:t>020年11月29日《国务院关于修改和废止部分行政法规的决定》第三次修订)</w:t>
            </w:r>
            <w:r>
              <w:rPr>
                <w:rFonts w:hint="eastAsia" w:ascii="仿宋" w:hAnsi="仿宋" w:eastAsia="仿宋" w:cs="仿宋"/>
                <w:i w:val="0"/>
                <w:caps w:val="0"/>
                <w:color w:val="auto"/>
                <w:spacing w:val="0"/>
                <w:kern w:val="2"/>
                <w:sz w:val="20"/>
                <w:szCs w:val="20"/>
                <w:shd w:val="clear" w:color="070000"/>
                <w:lang w:val="en-US" w:eastAsia="zh-CN" w:bidi="ar-SA"/>
              </w:rPr>
              <w:t>第十三条 旅行社应当自取得旅行社业务经营许可证之日起3个工作日内，在国务院</w:t>
            </w:r>
            <w:r>
              <w:rPr>
                <w:rFonts w:hint="eastAsia" w:ascii="仿宋" w:hAnsi="仿宋" w:eastAsia="仿宋" w:cs="仿宋"/>
                <w:i w:val="0"/>
                <w:caps w:val="0"/>
                <w:color w:val="auto"/>
                <w:spacing w:val="0"/>
                <w:kern w:val="2"/>
                <w:sz w:val="20"/>
                <w:szCs w:val="20"/>
                <w:shd w:val="clear" w:color="070000" w:fill="FFFFFF"/>
                <w:lang w:val="en-US" w:eastAsia="zh-CN" w:bidi="ar-SA"/>
              </w:rPr>
              <w:t>旅游行政主管部门指定的银行开设专门的质量保证金账户，存入质量保证金，或者向作出许可的旅游行政管理部门提交依法取得的担保额度不低于相应质量保证金数额的银行担保。</w:t>
            </w:r>
          </w:p>
          <w:p w14:paraId="612E5947">
            <w:pPr>
              <w:keepNext w:val="0"/>
              <w:keepLines w:val="0"/>
              <w:pageBreakBefore w:val="0"/>
              <w:widowControl w:val="0"/>
              <w:kinsoku/>
              <w:wordWrap/>
              <w:overflowPunct/>
              <w:topLinePunct w:val="0"/>
              <w:autoSpaceDE/>
              <w:autoSpaceDN w:val="0"/>
              <w:bidi w:val="0"/>
              <w:adjustRightInd/>
              <w:snapToGrid w:val="0"/>
              <w:spacing w:line="200" w:lineRule="exact"/>
              <w:ind w:left="0" w:leftChars="0" w:firstLine="0" w:firstLineChars="0"/>
              <w:jc w:val="both"/>
              <w:textAlignment w:val="center"/>
              <w:rPr>
                <w:rFonts w:hint="eastAsia" w:ascii="仿宋" w:hAnsi="仿宋" w:eastAsia="仿宋" w:cs="仿宋"/>
                <w:i w:val="0"/>
                <w:caps w:val="0"/>
                <w:color w:val="auto"/>
                <w:spacing w:val="0"/>
                <w:kern w:val="2"/>
                <w:sz w:val="20"/>
                <w:szCs w:val="20"/>
                <w:shd w:val="clear" w:color="070000" w:fill="FFFFFF"/>
                <w:lang w:val="en-US" w:eastAsia="zh-CN" w:bidi="ar-SA"/>
              </w:rPr>
            </w:pPr>
            <w:r>
              <w:rPr>
                <w:rFonts w:hint="eastAsia" w:ascii="仿宋" w:hAnsi="仿宋" w:eastAsia="仿宋" w:cs="仿宋"/>
                <w:i w:val="0"/>
                <w:caps w:val="0"/>
                <w:color w:val="auto"/>
                <w:spacing w:val="0"/>
                <w:kern w:val="2"/>
                <w:sz w:val="20"/>
                <w:szCs w:val="20"/>
                <w:shd w:val="clear" w:color="070000" w:fill="FFFFFF"/>
                <w:lang w:val="en-US" w:eastAsia="zh-CN" w:bidi="ar-SA"/>
              </w:rPr>
              <w:t>经营国内旅游业务和入境旅游业务的旅行社，应当存入质量保证金20万元；经营出境旅游业务的旅行社，应当增存质量保证金120万元。</w:t>
            </w:r>
          </w:p>
          <w:p w14:paraId="3CBFFB15">
            <w:pPr>
              <w:keepNext w:val="0"/>
              <w:keepLines w:val="0"/>
              <w:pageBreakBefore w:val="0"/>
              <w:widowControl w:val="0"/>
              <w:kinsoku/>
              <w:wordWrap/>
              <w:overflowPunct/>
              <w:topLinePunct w:val="0"/>
              <w:autoSpaceDE/>
              <w:autoSpaceDN w:val="0"/>
              <w:bidi w:val="0"/>
              <w:adjustRightInd/>
              <w:snapToGrid w:val="0"/>
              <w:spacing w:line="200" w:lineRule="exact"/>
              <w:ind w:left="0" w:leftChars="0" w:firstLine="0" w:firstLineChars="0"/>
              <w:jc w:val="both"/>
              <w:textAlignment w:val="center"/>
              <w:rPr>
                <w:rFonts w:hint="eastAsia" w:ascii="仿宋" w:hAnsi="仿宋" w:eastAsia="仿宋" w:cs="仿宋"/>
                <w:i w:val="0"/>
                <w:caps w:val="0"/>
                <w:color w:val="auto"/>
                <w:spacing w:val="0"/>
                <w:kern w:val="2"/>
                <w:sz w:val="20"/>
                <w:szCs w:val="20"/>
                <w:shd w:val="clear" w:color="070000" w:fill="FFFFFF"/>
                <w:lang w:val="en-US" w:eastAsia="zh-CN" w:bidi="ar-SA"/>
              </w:rPr>
            </w:pPr>
            <w:r>
              <w:rPr>
                <w:rFonts w:hint="eastAsia" w:ascii="仿宋" w:hAnsi="仿宋" w:eastAsia="仿宋" w:cs="仿宋"/>
                <w:i w:val="0"/>
                <w:caps w:val="0"/>
                <w:color w:val="auto"/>
                <w:spacing w:val="0"/>
                <w:kern w:val="2"/>
                <w:sz w:val="20"/>
                <w:szCs w:val="20"/>
                <w:shd w:val="clear" w:color="070000" w:fill="FFFFFF"/>
                <w:lang w:val="en-US" w:eastAsia="zh-CN" w:bidi="ar-SA"/>
              </w:rPr>
              <w:t>质量保证金的利息属于旅行社所有。</w:t>
            </w:r>
          </w:p>
          <w:p w14:paraId="6B14CBEA">
            <w:pPr>
              <w:keepNext w:val="0"/>
              <w:keepLines w:val="0"/>
              <w:pageBreakBefore w:val="0"/>
              <w:widowControl w:val="0"/>
              <w:kinsoku/>
              <w:wordWrap/>
              <w:overflowPunct/>
              <w:topLinePunct w:val="0"/>
              <w:autoSpaceDE/>
              <w:autoSpaceDN w:val="0"/>
              <w:bidi w:val="0"/>
              <w:adjustRightInd/>
              <w:snapToGrid w:val="0"/>
              <w:spacing w:line="200" w:lineRule="exact"/>
              <w:ind w:left="0" w:leftChars="0" w:firstLine="0" w:firstLineChars="0"/>
              <w:jc w:val="both"/>
              <w:textAlignment w:val="center"/>
              <w:rPr>
                <w:rFonts w:hint="eastAsia" w:ascii="仿宋" w:hAnsi="仿宋" w:eastAsia="仿宋" w:cs="仿宋"/>
                <w:i w:val="0"/>
                <w:caps w:val="0"/>
                <w:color w:val="auto"/>
                <w:spacing w:val="0"/>
                <w:kern w:val="2"/>
                <w:sz w:val="20"/>
                <w:szCs w:val="20"/>
                <w:shd w:val="clear" w:color="070000" w:fill="FFFFFF"/>
                <w:lang w:val="en-US" w:eastAsia="zh-CN" w:bidi="ar-SA"/>
              </w:rPr>
            </w:pPr>
            <w:r>
              <w:rPr>
                <w:rFonts w:hint="eastAsia" w:ascii="仿宋" w:hAnsi="仿宋" w:eastAsia="仿宋" w:cs="仿宋"/>
                <w:i w:val="0"/>
                <w:caps w:val="0"/>
                <w:color w:val="auto"/>
                <w:spacing w:val="0"/>
                <w:kern w:val="2"/>
                <w:sz w:val="20"/>
                <w:szCs w:val="20"/>
                <w:shd w:val="clear" w:color="070000" w:fill="FFFFFF"/>
                <w:lang w:val="en-US" w:eastAsia="zh-CN" w:bidi="ar-SA"/>
              </w:rPr>
              <w:t>第十四条 旅行社每设立一个经营国内旅游业务和入境旅游业务的分社，应当向其质量保证金账户增存5万元；每设立一个经营出境旅游业务的分社，应当向其质量保证金账户增存30万元。</w:t>
            </w:r>
          </w:p>
          <w:p w14:paraId="61D01952">
            <w:pPr>
              <w:keepNext w:val="0"/>
              <w:keepLines w:val="0"/>
              <w:pageBreakBefore w:val="0"/>
              <w:widowControl w:val="0"/>
              <w:kinsoku/>
              <w:wordWrap/>
              <w:overflowPunct/>
              <w:topLinePunct w:val="0"/>
              <w:autoSpaceDE/>
              <w:autoSpaceDN w:val="0"/>
              <w:bidi w:val="0"/>
              <w:adjustRightInd/>
              <w:snapToGrid w:val="0"/>
              <w:spacing w:line="200" w:lineRule="exact"/>
              <w:ind w:left="0" w:leftChars="0" w:firstLine="0" w:firstLineChars="0"/>
              <w:jc w:val="both"/>
              <w:textAlignment w:val="center"/>
              <w:rPr>
                <w:rFonts w:hint="eastAsia" w:ascii="仿宋" w:hAnsi="仿宋" w:eastAsia="仿宋" w:cs="仿宋"/>
                <w:i w:val="0"/>
                <w:caps w:val="0"/>
                <w:color w:val="auto"/>
                <w:spacing w:val="0"/>
                <w:kern w:val="2"/>
                <w:sz w:val="20"/>
                <w:szCs w:val="20"/>
                <w:shd w:val="clear" w:color="070000" w:fill="FFFFFF"/>
                <w:lang w:val="en-US" w:eastAsia="zh-CN" w:bidi="ar-SA"/>
              </w:rPr>
            </w:pPr>
            <w:r>
              <w:rPr>
                <w:rFonts w:hint="eastAsia" w:ascii="仿宋" w:hAnsi="仿宋" w:eastAsia="仿宋" w:cs="仿宋"/>
                <w:i w:val="0"/>
                <w:caps w:val="0"/>
                <w:color w:val="auto"/>
                <w:spacing w:val="0"/>
                <w:kern w:val="2"/>
                <w:sz w:val="20"/>
                <w:szCs w:val="20"/>
                <w:shd w:val="clear" w:color="070000" w:fill="FFFFFF"/>
                <w:lang w:val="en-US" w:eastAsia="zh-CN" w:bidi="ar-SA"/>
              </w:rPr>
              <w:t>第十七条 旅行社自交纳或者补足质量保证金之日起三年内未因侵害旅游者合法权益受到行政机关罚款以上处罚的，旅游行政管理部门应当将旅行社质量保证金的交存数额降低50%，并向社会公告。旅行社可凭省、自治区、直辖市旅游行政管理部门出具的凭证减少其质量保证金。</w:t>
            </w:r>
          </w:p>
          <w:p w14:paraId="4299D183">
            <w:pPr>
              <w:keepNext w:val="0"/>
              <w:keepLines w:val="0"/>
              <w:pageBreakBefore w:val="0"/>
              <w:widowControl w:val="0"/>
              <w:kinsoku/>
              <w:wordWrap/>
              <w:overflowPunct/>
              <w:topLinePunct w:val="0"/>
              <w:autoSpaceDE/>
              <w:autoSpaceDN w:val="0"/>
              <w:bidi w:val="0"/>
              <w:adjustRightInd/>
              <w:snapToGrid w:val="0"/>
              <w:spacing w:line="200" w:lineRule="exact"/>
              <w:ind w:left="0" w:leftChars="0" w:firstLine="0" w:firstLineChars="0"/>
              <w:jc w:val="both"/>
              <w:textAlignment w:val="center"/>
              <w:rPr>
                <w:rFonts w:hint="eastAsia"/>
                <w:lang w:val="en-US" w:eastAsia="zh-CN"/>
              </w:rPr>
            </w:pPr>
            <w:r>
              <w:rPr>
                <w:rFonts w:hint="eastAsia" w:ascii="仿宋" w:hAnsi="仿宋" w:eastAsia="仿宋" w:cs="仿宋"/>
                <w:i w:val="0"/>
                <w:caps w:val="0"/>
                <w:color w:val="auto"/>
                <w:spacing w:val="0"/>
                <w:kern w:val="2"/>
                <w:sz w:val="20"/>
                <w:szCs w:val="20"/>
                <w:shd w:val="clear" w:color="070000" w:fill="FFFFFF"/>
                <w:lang w:val="en-US" w:eastAsia="zh-CN" w:bidi="ar-SA"/>
              </w:rPr>
              <w:t>第十九条 旅行社不再从事旅游业务的，凭旅游行政管理部门出具的凭证，向银行取回质量保证金。"</w:t>
            </w:r>
          </w:p>
        </w:tc>
        <w:tc>
          <w:tcPr>
            <w:tcW w:w="616" w:type="dxa"/>
            <w:gridSpan w:val="3"/>
            <w:vMerge w:val="restart"/>
            <w:tcBorders>
              <w:top w:val="single" w:color="auto" w:sz="4" w:space="0"/>
              <w:left w:val="single" w:color="auto" w:sz="4" w:space="0"/>
              <w:right w:val="single" w:color="auto" w:sz="4" w:space="0"/>
            </w:tcBorders>
            <w:tcMar>
              <w:top w:w="15" w:type="dxa"/>
              <w:left w:w="15" w:type="dxa"/>
              <w:right w:w="15" w:type="dxa"/>
            </w:tcMar>
            <w:vAlign w:val="center"/>
          </w:tcPr>
          <w:p w14:paraId="5D86F34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行政确认</w:t>
            </w: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D93C1A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297E7F8">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040DC06D">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有下列行为之一，情节较重的，予以警告、记过或者记大过；情节严重的，予以降级或者撤职：</w:t>
            </w:r>
          </w:p>
          <w:p w14:paraId="525D0590">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（一）违反规定向管理服务对象收取、摊派财物的；</w:t>
            </w:r>
          </w:p>
          <w:p w14:paraId="1A0D4DE6">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（二）在管理服务活动中故意刁难、吃拿卡要的；</w:t>
            </w:r>
          </w:p>
          <w:p w14:paraId="16B82CE9">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（三）在管理服务活动中态度恶劣粗暴，造成不良后果或者影响的；</w:t>
            </w:r>
          </w:p>
          <w:p w14:paraId="40A9F5FB">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（四）不按照规定公开工作信息，侵犯管理服务对象知情权，造成不良后果或者影响的；</w:t>
            </w:r>
          </w:p>
          <w:p w14:paraId="4359FEB0">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（五）其他侵犯管理服务对象利益的行为，造成不良后果或者影响的。</w:t>
            </w:r>
          </w:p>
          <w:p w14:paraId="5CF0E593">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有前款第一项、第二项和第五项行为，情节特别严重的，予以开除。</w:t>
            </w: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67601E4B">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14:paraId="7EAFA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0" w:hRule="atLeast"/>
          <w:jc w:val="center"/>
        </w:trPr>
        <w:tc>
          <w:tcPr>
            <w:tcW w:w="678" w:type="dxa"/>
            <w:vMerge w:val="continue"/>
            <w:tcBorders>
              <w:left w:val="single" w:color="auto" w:sz="4" w:space="0"/>
              <w:right w:val="single" w:color="auto" w:sz="4" w:space="0"/>
            </w:tcBorders>
            <w:tcMar>
              <w:top w:w="15" w:type="dxa"/>
              <w:left w:w="15" w:type="dxa"/>
              <w:right w:w="15" w:type="dxa"/>
            </w:tcMar>
            <w:vAlign w:val="center"/>
          </w:tcPr>
          <w:p w14:paraId="4949485E">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1389" w:type="dxa"/>
            <w:gridSpan w:val="2"/>
            <w:vMerge w:val="continue"/>
            <w:tcBorders>
              <w:left w:val="single" w:color="auto" w:sz="4" w:space="0"/>
              <w:right w:val="single" w:color="auto" w:sz="4" w:space="0"/>
            </w:tcBorders>
            <w:tcMar>
              <w:top w:w="15" w:type="dxa"/>
              <w:left w:w="15" w:type="dxa"/>
              <w:right w:w="15" w:type="dxa"/>
            </w:tcMar>
            <w:vAlign w:val="center"/>
          </w:tcPr>
          <w:p w14:paraId="28B5B096">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3794" w:type="dxa"/>
            <w:vMerge w:val="continue"/>
            <w:tcBorders>
              <w:left w:val="single" w:color="auto" w:sz="4" w:space="0"/>
              <w:right w:val="single" w:color="auto" w:sz="4" w:space="0"/>
            </w:tcBorders>
            <w:tcMar>
              <w:top w:w="15" w:type="dxa"/>
              <w:left w:w="15" w:type="dxa"/>
              <w:right w:w="15" w:type="dxa"/>
            </w:tcMar>
            <w:vAlign w:val="center"/>
          </w:tcPr>
          <w:p w14:paraId="04035CB1">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616" w:type="dxa"/>
            <w:gridSpan w:val="3"/>
            <w:vMerge w:val="continue"/>
            <w:tcBorders>
              <w:left w:val="single" w:color="auto" w:sz="4" w:space="0"/>
              <w:right w:val="single" w:color="auto" w:sz="4" w:space="0"/>
            </w:tcBorders>
            <w:tcMar>
              <w:top w:w="15" w:type="dxa"/>
              <w:left w:w="15" w:type="dxa"/>
              <w:right w:w="15" w:type="dxa"/>
            </w:tcMar>
            <w:vAlign w:val="center"/>
          </w:tcPr>
          <w:p w14:paraId="6F591F4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A3F8B6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1D10177">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17" w:type="dxa"/>
            <w:gridSpan w:val="2"/>
            <w:vMerge w:val="continue"/>
            <w:tcBorders>
              <w:left w:val="single" w:color="auto" w:sz="4" w:space="0"/>
              <w:right w:val="single" w:color="auto" w:sz="4" w:space="0"/>
            </w:tcBorders>
            <w:tcMar>
              <w:top w:w="15" w:type="dxa"/>
              <w:left w:w="15" w:type="dxa"/>
              <w:right w:w="15" w:type="dxa"/>
            </w:tcMar>
            <w:vAlign w:val="center"/>
          </w:tcPr>
          <w:p w14:paraId="3302F8D2">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42" w:type="dxa"/>
            <w:vMerge w:val="continue"/>
            <w:tcBorders>
              <w:left w:val="single" w:color="auto" w:sz="4" w:space="0"/>
              <w:right w:val="single" w:color="auto" w:sz="4" w:space="0"/>
            </w:tcBorders>
            <w:tcMar>
              <w:top w:w="15" w:type="dxa"/>
              <w:left w:w="15" w:type="dxa"/>
              <w:right w:w="15" w:type="dxa"/>
            </w:tcMar>
            <w:vAlign w:val="center"/>
          </w:tcPr>
          <w:p w14:paraId="285B053C">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14:paraId="2FF02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6"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7E9F55B">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1389"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206C031">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3794"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1EE414E">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616"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82C53C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BC9B31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FD48F38">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1580822">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6AD6B76">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14:paraId="6244B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4C4B212">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0A610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0A61305">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16D4D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0"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3271CE02">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default" w:ascii="仿宋" w:hAnsi="仿宋" w:eastAsia="仿宋" w:cs="仿宋"/>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t>34</w:t>
            </w:r>
          </w:p>
        </w:tc>
        <w:tc>
          <w:tcPr>
            <w:tcW w:w="1389"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4DFE4A24">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b w:val="0"/>
                <w:bCs w:val="0"/>
                <w:color w:val="auto"/>
                <w:sz w:val="24"/>
                <w:szCs w:val="24"/>
              </w:rPr>
              <w:t>对在公共文化体育设施的建设、管理和保护工作中做出突出贡献的单位和个人给予奖励</w:t>
            </w:r>
          </w:p>
        </w:tc>
        <w:tc>
          <w:tcPr>
            <w:tcW w:w="3795"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2FF62B4B">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【行政法规】《公共文化体育设施条例》</w:t>
            </w:r>
            <w:r>
              <w:rPr>
                <w:rFonts w:hint="eastAsia" w:ascii="仿宋" w:hAnsi="仿宋" w:eastAsia="仿宋" w:cs="仿宋"/>
                <w:i w:val="0"/>
                <w:caps w:val="0"/>
                <w:color w:val="auto"/>
                <w:spacing w:val="0"/>
                <w:kern w:val="2"/>
                <w:sz w:val="24"/>
                <w:szCs w:val="24"/>
                <w:shd w:val="clear" w:color="070000"/>
                <w:lang w:val="en-US" w:eastAsia="zh-CN" w:bidi="ar-SA"/>
              </w:rPr>
              <w:t>(</w:t>
            </w:r>
            <w:r>
              <w:rPr>
                <w:rFonts w:hint="default" w:ascii="仿宋" w:hAnsi="仿宋" w:eastAsia="仿宋" w:cs="仿宋"/>
                <w:i w:val="0"/>
                <w:caps w:val="0"/>
                <w:color w:val="auto"/>
                <w:spacing w:val="0"/>
                <w:kern w:val="2"/>
                <w:sz w:val="24"/>
                <w:szCs w:val="24"/>
                <w:shd w:val="clear" w:color="070000"/>
                <w:lang w:val="en-US" w:eastAsia="zh-CN" w:bidi="ar-SA"/>
              </w:rPr>
              <w:t>2003</w:t>
            </w:r>
            <w:r>
              <w:rPr>
                <w:rFonts w:hint="eastAsia" w:ascii="仿宋" w:hAnsi="仿宋" w:eastAsia="仿宋" w:cs="仿宋"/>
                <w:i w:val="0"/>
                <w:caps w:val="0"/>
                <w:color w:val="auto"/>
                <w:spacing w:val="0"/>
                <w:kern w:val="2"/>
                <w:sz w:val="24"/>
                <w:szCs w:val="24"/>
                <w:shd w:val="clear" w:color="070000"/>
                <w:lang w:val="en-US" w:eastAsia="zh-CN" w:bidi="ar-SA"/>
              </w:rPr>
              <w:t>年</w:t>
            </w:r>
            <w:r>
              <w:rPr>
                <w:rFonts w:hint="default" w:ascii="仿宋" w:hAnsi="仿宋" w:eastAsia="仿宋" w:cs="仿宋"/>
                <w:i w:val="0"/>
                <w:caps w:val="0"/>
                <w:color w:val="auto"/>
                <w:spacing w:val="0"/>
                <w:kern w:val="2"/>
                <w:sz w:val="24"/>
                <w:szCs w:val="24"/>
                <w:shd w:val="clear" w:color="070000"/>
                <w:lang w:val="en-US" w:eastAsia="zh-CN" w:bidi="ar-SA"/>
              </w:rPr>
              <w:t>6</w:t>
            </w:r>
            <w:r>
              <w:rPr>
                <w:rFonts w:hint="eastAsia" w:ascii="仿宋" w:hAnsi="仿宋" w:eastAsia="仿宋" w:cs="仿宋"/>
                <w:i w:val="0"/>
                <w:caps w:val="0"/>
                <w:color w:val="auto"/>
                <w:spacing w:val="0"/>
                <w:kern w:val="2"/>
                <w:sz w:val="24"/>
                <w:szCs w:val="24"/>
                <w:shd w:val="clear" w:color="070000"/>
                <w:lang w:val="en-US" w:eastAsia="zh-CN" w:bidi="ar-SA"/>
              </w:rPr>
              <w:t>月</w:t>
            </w:r>
            <w:r>
              <w:rPr>
                <w:rFonts w:hint="default" w:ascii="仿宋" w:hAnsi="仿宋" w:eastAsia="仿宋" w:cs="仿宋"/>
                <w:i w:val="0"/>
                <w:caps w:val="0"/>
                <w:color w:val="auto"/>
                <w:spacing w:val="0"/>
                <w:kern w:val="2"/>
                <w:sz w:val="24"/>
                <w:szCs w:val="24"/>
                <w:shd w:val="clear" w:color="070000"/>
                <w:lang w:val="en-US" w:eastAsia="zh-CN" w:bidi="ar-SA"/>
              </w:rPr>
              <w:t>18</w:t>
            </w:r>
            <w:r>
              <w:rPr>
                <w:rFonts w:hint="eastAsia" w:ascii="仿宋" w:hAnsi="仿宋" w:eastAsia="仿宋" w:cs="仿宋"/>
                <w:i w:val="0"/>
                <w:caps w:val="0"/>
                <w:color w:val="auto"/>
                <w:spacing w:val="0"/>
                <w:kern w:val="2"/>
                <w:sz w:val="24"/>
                <w:szCs w:val="24"/>
                <w:shd w:val="clear" w:color="070000"/>
                <w:lang w:val="en-US" w:eastAsia="zh-CN" w:bidi="ar-SA"/>
              </w:rPr>
              <w:t>日国务院第</w:t>
            </w:r>
            <w:r>
              <w:rPr>
                <w:rFonts w:hint="default" w:ascii="仿宋" w:hAnsi="仿宋" w:eastAsia="仿宋" w:cs="仿宋"/>
                <w:i w:val="0"/>
                <w:caps w:val="0"/>
                <w:color w:val="auto"/>
                <w:spacing w:val="0"/>
                <w:kern w:val="2"/>
                <w:sz w:val="24"/>
                <w:szCs w:val="24"/>
                <w:shd w:val="clear" w:color="070000"/>
                <w:lang w:val="en-US" w:eastAsia="zh-CN" w:bidi="ar-SA"/>
              </w:rPr>
              <w:t>12</w:t>
            </w:r>
            <w:r>
              <w:rPr>
                <w:rFonts w:hint="eastAsia" w:ascii="仿宋" w:hAnsi="仿宋" w:eastAsia="仿宋" w:cs="仿宋"/>
                <w:i w:val="0"/>
                <w:caps w:val="0"/>
                <w:color w:val="auto"/>
                <w:spacing w:val="0"/>
                <w:kern w:val="2"/>
                <w:sz w:val="24"/>
                <w:szCs w:val="24"/>
                <w:shd w:val="clear" w:color="070000"/>
                <w:lang w:val="en-US" w:eastAsia="zh-CN" w:bidi="ar-SA"/>
              </w:rPr>
              <w:t>次常务会议通过</w:t>
            </w:r>
            <w:r>
              <w:rPr>
                <w:rFonts w:hint="default" w:ascii="仿宋" w:hAnsi="仿宋" w:eastAsia="仿宋" w:cs="仿宋"/>
                <w:i w:val="0"/>
                <w:caps w:val="0"/>
                <w:color w:val="auto"/>
                <w:spacing w:val="0"/>
                <w:kern w:val="2"/>
                <w:sz w:val="24"/>
                <w:szCs w:val="24"/>
                <w:shd w:val="clear" w:color="070000"/>
                <w:lang w:val="en-US" w:eastAsia="zh-CN" w:bidi="ar-SA"/>
              </w:rPr>
              <w:t>2003</w:t>
            </w:r>
            <w:r>
              <w:rPr>
                <w:rFonts w:hint="eastAsia" w:ascii="仿宋" w:hAnsi="仿宋" w:eastAsia="仿宋" w:cs="仿宋"/>
                <w:i w:val="0"/>
                <w:caps w:val="0"/>
                <w:color w:val="auto"/>
                <w:spacing w:val="0"/>
                <w:kern w:val="2"/>
                <w:sz w:val="24"/>
                <w:szCs w:val="24"/>
                <w:shd w:val="clear" w:color="070000"/>
                <w:lang w:val="en-US" w:eastAsia="zh-CN" w:bidi="ar-SA"/>
              </w:rPr>
              <w:t>年</w:t>
            </w:r>
            <w:r>
              <w:rPr>
                <w:rFonts w:hint="default" w:ascii="仿宋" w:hAnsi="仿宋" w:eastAsia="仿宋" w:cs="仿宋"/>
                <w:i w:val="0"/>
                <w:caps w:val="0"/>
                <w:color w:val="auto"/>
                <w:spacing w:val="0"/>
                <w:kern w:val="2"/>
                <w:sz w:val="24"/>
                <w:szCs w:val="24"/>
                <w:shd w:val="clear" w:color="070000"/>
                <w:lang w:val="en-US" w:eastAsia="zh-CN" w:bidi="ar-SA"/>
              </w:rPr>
              <w:t>6</w:t>
            </w:r>
            <w:r>
              <w:rPr>
                <w:rFonts w:hint="eastAsia" w:ascii="仿宋" w:hAnsi="仿宋" w:eastAsia="仿宋" w:cs="仿宋"/>
                <w:i w:val="0"/>
                <w:caps w:val="0"/>
                <w:color w:val="auto"/>
                <w:spacing w:val="0"/>
                <w:kern w:val="2"/>
                <w:sz w:val="24"/>
                <w:szCs w:val="24"/>
                <w:shd w:val="clear" w:color="070000"/>
                <w:lang w:val="en-US" w:eastAsia="zh-CN" w:bidi="ar-SA"/>
              </w:rPr>
              <w:t>月</w:t>
            </w:r>
            <w:r>
              <w:rPr>
                <w:rFonts w:hint="default" w:ascii="仿宋" w:hAnsi="仿宋" w:eastAsia="仿宋" w:cs="仿宋"/>
                <w:i w:val="0"/>
                <w:caps w:val="0"/>
                <w:color w:val="auto"/>
                <w:spacing w:val="0"/>
                <w:kern w:val="2"/>
                <w:sz w:val="24"/>
                <w:szCs w:val="24"/>
                <w:shd w:val="clear" w:color="070000"/>
                <w:lang w:val="en-US" w:eastAsia="zh-CN" w:bidi="ar-SA"/>
              </w:rPr>
              <w:t>26</w:t>
            </w:r>
            <w:r>
              <w:rPr>
                <w:rFonts w:hint="eastAsia" w:ascii="仿宋" w:hAnsi="仿宋" w:eastAsia="仿宋" w:cs="仿宋"/>
                <w:i w:val="0"/>
                <w:caps w:val="0"/>
                <w:color w:val="auto"/>
                <w:spacing w:val="0"/>
                <w:kern w:val="2"/>
                <w:sz w:val="24"/>
                <w:szCs w:val="24"/>
                <w:shd w:val="clear" w:color="070000"/>
                <w:lang w:val="en-US" w:eastAsia="zh-CN" w:bidi="ar-SA"/>
              </w:rPr>
              <w:t>日中华人民共和国国务院令第</w:t>
            </w:r>
            <w:r>
              <w:rPr>
                <w:rFonts w:hint="default" w:ascii="仿宋" w:hAnsi="仿宋" w:eastAsia="仿宋" w:cs="仿宋"/>
                <w:i w:val="0"/>
                <w:caps w:val="0"/>
                <w:color w:val="auto"/>
                <w:spacing w:val="0"/>
                <w:kern w:val="2"/>
                <w:sz w:val="24"/>
                <w:szCs w:val="24"/>
                <w:shd w:val="clear" w:color="070000"/>
                <w:lang w:val="en-US" w:eastAsia="zh-CN" w:bidi="ar-SA"/>
              </w:rPr>
              <w:t>382</w:t>
            </w:r>
            <w:r>
              <w:rPr>
                <w:rFonts w:hint="eastAsia" w:ascii="仿宋" w:hAnsi="仿宋" w:eastAsia="仿宋" w:cs="仿宋"/>
                <w:i w:val="0"/>
                <w:caps w:val="0"/>
                <w:color w:val="auto"/>
                <w:spacing w:val="0"/>
                <w:kern w:val="2"/>
                <w:sz w:val="24"/>
                <w:szCs w:val="24"/>
                <w:shd w:val="clear" w:color="070000"/>
                <w:lang w:val="en-US" w:eastAsia="zh-CN" w:bidi="ar-SA"/>
              </w:rPr>
              <w:t>号公布自</w:t>
            </w:r>
            <w:r>
              <w:rPr>
                <w:rFonts w:hint="default" w:ascii="仿宋" w:hAnsi="仿宋" w:eastAsia="仿宋" w:cs="仿宋"/>
                <w:i w:val="0"/>
                <w:caps w:val="0"/>
                <w:color w:val="auto"/>
                <w:spacing w:val="0"/>
                <w:kern w:val="2"/>
                <w:sz w:val="24"/>
                <w:szCs w:val="24"/>
                <w:shd w:val="clear" w:color="070000"/>
                <w:lang w:val="en-US" w:eastAsia="zh-CN" w:bidi="ar-SA"/>
              </w:rPr>
              <w:t>2003</w:t>
            </w:r>
            <w:r>
              <w:rPr>
                <w:rFonts w:hint="eastAsia" w:ascii="仿宋" w:hAnsi="仿宋" w:eastAsia="仿宋" w:cs="仿宋"/>
                <w:i w:val="0"/>
                <w:caps w:val="0"/>
                <w:color w:val="auto"/>
                <w:spacing w:val="0"/>
                <w:kern w:val="2"/>
                <w:sz w:val="24"/>
                <w:szCs w:val="24"/>
                <w:shd w:val="clear" w:color="070000"/>
                <w:lang w:val="en-US" w:eastAsia="zh-CN" w:bidi="ar-SA"/>
              </w:rPr>
              <w:t>年</w:t>
            </w:r>
            <w:r>
              <w:rPr>
                <w:rFonts w:hint="default" w:ascii="仿宋" w:hAnsi="仿宋" w:eastAsia="仿宋" w:cs="仿宋"/>
                <w:i w:val="0"/>
                <w:caps w:val="0"/>
                <w:color w:val="auto"/>
                <w:spacing w:val="0"/>
                <w:kern w:val="2"/>
                <w:sz w:val="24"/>
                <w:szCs w:val="24"/>
                <w:shd w:val="clear" w:color="070000"/>
                <w:lang w:val="en-US" w:eastAsia="zh-CN" w:bidi="ar-SA"/>
              </w:rPr>
              <w:t>8</w:t>
            </w:r>
            <w:r>
              <w:rPr>
                <w:rFonts w:hint="eastAsia" w:ascii="仿宋" w:hAnsi="仿宋" w:eastAsia="仿宋" w:cs="仿宋"/>
                <w:i w:val="0"/>
                <w:caps w:val="0"/>
                <w:color w:val="auto"/>
                <w:spacing w:val="0"/>
                <w:kern w:val="2"/>
                <w:sz w:val="24"/>
                <w:szCs w:val="24"/>
                <w:shd w:val="clear" w:color="070000"/>
                <w:lang w:val="en-US" w:eastAsia="zh-CN" w:bidi="ar-SA"/>
              </w:rPr>
              <w:t>月</w:t>
            </w:r>
            <w:r>
              <w:rPr>
                <w:rFonts w:hint="default" w:ascii="仿宋" w:hAnsi="仿宋" w:eastAsia="仿宋" w:cs="仿宋"/>
                <w:i w:val="0"/>
                <w:caps w:val="0"/>
                <w:color w:val="auto"/>
                <w:spacing w:val="0"/>
                <w:kern w:val="2"/>
                <w:sz w:val="24"/>
                <w:szCs w:val="24"/>
                <w:shd w:val="clear" w:color="070000"/>
                <w:lang w:val="en-US" w:eastAsia="zh-CN" w:bidi="ar-SA"/>
              </w:rPr>
              <w:t>1</w:t>
            </w:r>
            <w:r>
              <w:rPr>
                <w:rFonts w:hint="eastAsia" w:ascii="仿宋" w:hAnsi="仿宋" w:eastAsia="仿宋" w:cs="仿宋"/>
                <w:i w:val="0"/>
                <w:caps w:val="0"/>
                <w:color w:val="auto"/>
                <w:spacing w:val="0"/>
                <w:kern w:val="2"/>
                <w:sz w:val="24"/>
                <w:szCs w:val="24"/>
                <w:shd w:val="clear" w:color="070000"/>
                <w:lang w:val="en-US" w:eastAsia="zh-CN" w:bidi="ar-SA"/>
              </w:rPr>
              <w:t>日起施行</w:t>
            </w:r>
            <w:r>
              <w:rPr>
                <w:rFonts w:hint="default" w:ascii="仿宋" w:hAnsi="仿宋" w:eastAsia="仿宋" w:cs="仿宋"/>
                <w:i w:val="0"/>
                <w:caps w:val="0"/>
                <w:color w:val="auto"/>
                <w:spacing w:val="0"/>
                <w:kern w:val="2"/>
                <w:sz w:val="24"/>
                <w:szCs w:val="24"/>
                <w:shd w:val="clear" w:color="070000"/>
                <w:lang w:val="en-US" w:eastAsia="zh-CN" w:bidi="ar-SA"/>
              </w:rPr>
              <w:t>)</w:t>
            </w:r>
          </w:p>
          <w:p w14:paraId="564D29F5">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第八条对在公共文化体育设施的建设、管理和保护工作中做出突出贡献的单位和个人，由县级以上地方人民政府或者有关部门给予奖励。</w:t>
            </w:r>
          </w:p>
        </w:tc>
        <w:tc>
          <w:tcPr>
            <w:tcW w:w="615"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18E10E4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行政奖励</w:t>
            </w: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FCB614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0CA7339">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098120E3">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不履行或不正确履行职责，有下列情形的行政机关及相关工作人员应当承担相应的责任：</w:t>
            </w:r>
          </w:p>
          <w:p w14:paraId="3A4E4976">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滥用审批权限、不履行职责或者发现违法行为不予查处，造成严重后果的，依法给予行政处分，情节严重的，依法开除公职或者吊销其从业资格；构成犯罪的，依法追究刑事责任。</w:t>
            </w: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6C34A6BD">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公共服务股</w:t>
            </w:r>
          </w:p>
        </w:tc>
      </w:tr>
      <w:tr w14:paraId="03A52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5" w:hRule="atLeast"/>
          <w:jc w:val="center"/>
        </w:trPr>
        <w:tc>
          <w:tcPr>
            <w:tcW w:w="678" w:type="dxa"/>
            <w:vMerge w:val="continue"/>
            <w:tcBorders>
              <w:left w:val="single" w:color="auto" w:sz="4" w:space="0"/>
              <w:right w:val="single" w:color="auto" w:sz="4" w:space="0"/>
            </w:tcBorders>
            <w:tcMar>
              <w:top w:w="15" w:type="dxa"/>
              <w:left w:w="15" w:type="dxa"/>
              <w:right w:w="15" w:type="dxa"/>
            </w:tcMar>
            <w:vAlign w:val="center"/>
          </w:tcPr>
          <w:p w14:paraId="7E505F14">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1389" w:type="dxa"/>
            <w:gridSpan w:val="2"/>
            <w:vMerge w:val="continue"/>
            <w:tcBorders>
              <w:left w:val="single" w:color="auto" w:sz="4" w:space="0"/>
              <w:right w:val="single" w:color="auto" w:sz="4" w:space="0"/>
            </w:tcBorders>
            <w:tcMar>
              <w:top w:w="15" w:type="dxa"/>
              <w:left w:w="15" w:type="dxa"/>
              <w:right w:w="15" w:type="dxa"/>
            </w:tcMar>
            <w:vAlign w:val="center"/>
          </w:tcPr>
          <w:p w14:paraId="18BC864B">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3795" w:type="dxa"/>
            <w:gridSpan w:val="2"/>
            <w:vMerge w:val="continue"/>
            <w:tcBorders>
              <w:left w:val="single" w:color="auto" w:sz="4" w:space="0"/>
              <w:right w:val="single" w:color="auto" w:sz="4" w:space="0"/>
            </w:tcBorders>
            <w:tcMar>
              <w:top w:w="15" w:type="dxa"/>
              <w:left w:w="15" w:type="dxa"/>
              <w:right w:w="15" w:type="dxa"/>
            </w:tcMar>
            <w:vAlign w:val="center"/>
          </w:tcPr>
          <w:p w14:paraId="77F3FB80">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615" w:type="dxa"/>
            <w:gridSpan w:val="2"/>
            <w:vMerge w:val="continue"/>
            <w:tcBorders>
              <w:left w:val="single" w:color="auto" w:sz="4" w:space="0"/>
              <w:right w:val="single" w:color="auto" w:sz="4" w:space="0"/>
            </w:tcBorders>
            <w:tcMar>
              <w:top w:w="15" w:type="dxa"/>
              <w:left w:w="15" w:type="dxa"/>
              <w:right w:w="15" w:type="dxa"/>
            </w:tcMar>
            <w:vAlign w:val="center"/>
          </w:tcPr>
          <w:p w14:paraId="3CD386B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4B2B96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C4B8CFC">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17" w:type="dxa"/>
            <w:gridSpan w:val="2"/>
            <w:vMerge w:val="continue"/>
            <w:tcBorders>
              <w:left w:val="single" w:color="auto" w:sz="4" w:space="0"/>
              <w:right w:val="single" w:color="auto" w:sz="4" w:space="0"/>
            </w:tcBorders>
            <w:tcMar>
              <w:top w:w="15" w:type="dxa"/>
              <w:left w:w="15" w:type="dxa"/>
              <w:right w:w="15" w:type="dxa"/>
            </w:tcMar>
            <w:vAlign w:val="center"/>
          </w:tcPr>
          <w:p w14:paraId="555DBA35">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42" w:type="dxa"/>
            <w:vMerge w:val="continue"/>
            <w:tcBorders>
              <w:left w:val="single" w:color="auto" w:sz="4" w:space="0"/>
              <w:right w:val="single" w:color="auto" w:sz="4" w:space="0"/>
            </w:tcBorders>
            <w:tcMar>
              <w:top w:w="15" w:type="dxa"/>
              <w:left w:w="15" w:type="dxa"/>
              <w:right w:w="15" w:type="dxa"/>
            </w:tcMar>
            <w:vAlign w:val="center"/>
          </w:tcPr>
          <w:p w14:paraId="06B71811">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14:paraId="3A91C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10"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6EAC2DF">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1389"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734A0D4">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3795"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88D1277">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615"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4E76C2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D52EB5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7FA22B6">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D31F41F">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07BCC28">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14:paraId="5495C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FD0076F">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47461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B4E27A6">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42B5E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0"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7A097C7D">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default" w:ascii="仿宋" w:hAnsi="仿宋" w:eastAsia="仿宋" w:cs="仿宋"/>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t>35</w:t>
            </w:r>
          </w:p>
        </w:tc>
        <w:tc>
          <w:tcPr>
            <w:tcW w:w="1389"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45F3E588">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b w:val="0"/>
                <w:bCs w:val="0"/>
                <w:color w:val="auto"/>
                <w:sz w:val="24"/>
                <w:szCs w:val="24"/>
              </w:rPr>
              <w:t>对在艺术档案工作中做出显著成绩的单位和个人的表彰和奖励</w:t>
            </w:r>
          </w:p>
        </w:tc>
        <w:tc>
          <w:tcPr>
            <w:tcW w:w="3795"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7A41D7E7">
            <w:pPr>
              <w:widowControl w:val="0"/>
              <w:tabs>
                <w:tab w:val="left" w:pos="956"/>
              </w:tabs>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【规章】《艺术档案管理办法》</w:t>
            </w:r>
            <w:r>
              <w:rPr>
                <w:rFonts w:hint="eastAsia" w:ascii="仿宋" w:hAnsi="仿宋" w:eastAsia="仿宋" w:cs="仿宋"/>
                <w:i w:val="0"/>
                <w:caps w:val="0"/>
                <w:color w:val="auto"/>
                <w:spacing w:val="0"/>
                <w:kern w:val="2"/>
                <w:sz w:val="24"/>
                <w:szCs w:val="24"/>
                <w:shd w:val="clear" w:color="070000"/>
                <w:lang w:val="en-US" w:eastAsia="zh-CN" w:bidi="ar-SA"/>
              </w:rPr>
              <w:t xml:space="preserve">（中华人民共和国文化部令第21号发布《艺术档案管理办法》，自2002年2月1日起施行） </w:t>
            </w:r>
            <w:r>
              <w:rPr>
                <w:rFonts w:hint="eastAsia" w:ascii="仿宋" w:hAnsi="仿宋" w:eastAsia="仿宋" w:cs="仿宋"/>
                <w:i w:val="0"/>
                <w:caps w:val="0"/>
                <w:color w:val="auto"/>
                <w:spacing w:val="0"/>
                <w:kern w:val="2"/>
                <w:sz w:val="24"/>
                <w:szCs w:val="24"/>
                <w:shd w:val="clear" w:color="070000" w:fill="FFFFFF"/>
                <w:lang w:val="en-US" w:eastAsia="zh-CN" w:bidi="ar-SA"/>
              </w:rPr>
              <w:t>第六条 第一款 各级文化行政管理部门应当依据《档案法》的有关规定对在艺术档案工作中做出显著成绩的单位和个人，给予表彰和奖励。</w:t>
            </w:r>
          </w:p>
        </w:tc>
        <w:tc>
          <w:tcPr>
            <w:tcW w:w="615"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25BACB7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 xml:space="preserve">行政奖励 </w:t>
            </w: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15F761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863E3A2">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42FBFFAB">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不履行或不正确履行职责，有下列情形的行政机关及相关工作人员应当承担相应的责任：</w:t>
            </w:r>
          </w:p>
          <w:p w14:paraId="6D85560A">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滥用审批权限、不履行职责或者发现违法行为不予查处，造成严重后果的，依法给予行政处分，情节严重的，依法开除公职或者吊销其从业资格；构成犯罪的，依法追究刑事责任。</w:t>
            </w: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164C397D">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艺术股</w:t>
            </w:r>
          </w:p>
        </w:tc>
      </w:tr>
      <w:tr w14:paraId="260EE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05" w:hRule="atLeast"/>
          <w:jc w:val="center"/>
        </w:trPr>
        <w:tc>
          <w:tcPr>
            <w:tcW w:w="678" w:type="dxa"/>
            <w:vMerge w:val="continue"/>
            <w:tcBorders>
              <w:left w:val="single" w:color="auto" w:sz="4" w:space="0"/>
              <w:right w:val="single" w:color="auto" w:sz="4" w:space="0"/>
            </w:tcBorders>
            <w:tcMar>
              <w:top w:w="15" w:type="dxa"/>
              <w:left w:w="15" w:type="dxa"/>
              <w:right w:w="15" w:type="dxa"/>
            </w:tcMar>
            <w:vAlign w:val="center"/>
          </w:tcPr>
          <w:p w14:paraId="0CA074D1">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1389" w:type="dxa"/>
            <w:gridSpan w:val="2"/>
            <w:vMerge w:val="continue"/>
            <w:tcBorders>
              <w:left w:val="single" w:color="auto" w:sz="4" w:space="0"/>
              <w:right w:val="single" w:color="auto" w:sz="4" w:space="0"/>
            </w:tcBorders>
            <w:tcMar>
              <w:top w:w="15" w:type="dxa"/>
              <w:left w:w="15" w:type="dxa"/>
              <w:right w:w="15" w:type="dxa"/>
            </w:tcMar>
            <w:vAlign w:val="center"/>
          </w:tcPr>
          <w:p w14:paraId="5A474F9C">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3795" w:type="dxa"/>
            <w:gridSpan w:val="2"/>
            <w:vMerge w:val="continue"/>
            <w:tcBorders>
              <w:left w:val="single" w:color="auto" w:sz="4" w:space="0"/>
              <w:right w:val="single" w:color="auto" w:sz="4" w:space="0"/>
            </w:tcBorders>
            <w:tcMar>
              <w:top w:w="15" w:type="dxa"/>
              <w:left w:w="15" w:type="dxa"/>
              <w:right w:w="15" w:type="dxa"/>
            </w:tcMar>
            <w:vAlign w:val="center"/>
          </w:tcPr>
          <w:p w14:paraId="07E982CD">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615" w:type="dxa"/>
            <w:gridSpan w:val="2"/>
            <w:vMerge w:val="continue"/>
            <w:tcBorders>
              <w:left w:val="single" w:color="auto" w:sz="4" w:space="0"/>
              <w:right w:val="single" w:color="auto" w:sz="4" w:space="0"/>
            </w:tcBorders>
            <w:tcMar>
              <w:top w:w="15" w:type="dxa"/>
              <w:left w:w="15" w:type="dxa"/>
              <w:right w:w="15" w:type="dxa"/>
            </w:tcMar>
            <w:vAlign w:val="center"/>
          </w:tcPr>
          <w:p w14:paraId="0875B15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42DFE71">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E92431F">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17" w:type="dxa"/>
            <w:gridSpan w:val="2"/>
            <w:vMerge w:val="continue"/>
            <w:tcBorders>
              <w:left w:val="single" w:color="auto" w:sz="4" w:space="0"/>
              <w:right w:val="single" w:color="auto" w:sz="4" w:space="0"/>
            </w:tcBorders>
            <w:tcMar>
              <w:top w:w="15" w:type="dxa"/>
              <w:left w:w="15" w:type="dxa"/>
              <w:right w:w="15" w:type="dxa"/>
            </w:tcMar>
            <w:vAlign w:val="center"/>
          </w:tcPr>
          <w:p w14:paraId="207E8ED4">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42" w:type="dxa"/>
            <w:vMerge w:val="continue"/>
            <w:tcBorders>
              <w:left w:val="single" w:color="auto" w:sz="4" w:space="0"/>
              <w:right w:val="single" w:color="auto" w:sz="4" w:space="0"/>
            </w:tcBorders>
            <w:tcMar>
              <w:top w:w="15" w:type="dxa"/>
              <w:left w:w="15" w:type="dxa"/>
              <w:right w:w="15" w:type="dxa"/>
            </w:tcMar>
            <w:vAlign w:val="center"/>
          </w:tcPr>
          <w:p w14:paraId="6E551446">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14:paraId="4C759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5"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A0CC898">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1389"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FABF677">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3795"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03FF0FC">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615"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3DAB8A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8E2774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FBC3BB1">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DB74380">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9562E5B">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14:paraId="54220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5"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65F58FC">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5941B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D553587">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566DF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0"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00DF76AB">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default" w:ascii="仿宋" w:hAnsi="仿宋" w:eastAsia="仿宋" w:cs="仿宋"/>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t>36</w:t>
            </w:r>
          </w:p>
        </w:tc>
        <w:tc>
          <w:tcPr>
            <w:tcW w:w="1389"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6BAFF91E">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b w:val="0"/>
                <w:bCs w:val="0"/>
                <w:color w:val="auto"/>
                <w:sz w:val="24"/>
                <w:szCs w:val="24"/>
              </w:rPr>
              <w:t>对营业性演出举报人的奖励</w:t>
            </w:r>
          </w:p>
        </w:tc>
        <w:tc>
          <w:tcPr>
            <w:tcW w:w="3795"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52175EF9">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【行政法规】《营业性演出管理条例》(2</w:t>
            </w:r>
            <w:r>
              <w:rPr>
                <w:rFonts w:hint="default" w:ascii="仿宋" w:hAnsi="仿宋" w:eastAsia="仿宋" w:cs="仿宋"/>
                <w:i w:val="0"/>
                <w:caps w:val="0"/>
                <w:color w:val="auto"/>
                <w:spacing w:val="0"/>
                <w:kern w:val="2"/>
                <w:sz w:val="24"/>
                <w:szCs w:val="24"/>
                <w:shd w:val="clear" w:color="070000" w:fill="FFFFFF"/>
                <w:lang w:val="en-US" w:eastAsia="zh-CN" w:bidi="ar-SA"/>
              </w:rPr>
              <w:t>005</w:t>
            </w:r>
            <w:r>
              <w:rPr>
                <w:rFonts w:hint="eastAsia" w:ascii="仿宋" w:hAnsi="仿宋" w:eastAsia="仿宋" w:cs="仿宋"/>
                <w:i w:val="0"/>
                <w:caps w:val="0"/>
                <w:color w:val="auto"/>
                <w:spacing w:val="0"/>
                <w:kern w:val="2"/>
                <w:sz w:val="24"/>
                <w:szCs w:val="24"/>
                <w:shd w:val="clear" w:color="070000" w:fill="FFFFFF"/>
                <w:lang w:val="en-US" w:eastAsia="zh-CN" w:bidi="ar-SA"/>
              </w:rPr>
              <w:t>年</w:t>
            </w:r>
            <w:r>
              <w:rPr>
                <w:rFonts w:hint="default" w:ascii="仿宋" w:hAnsi="仿宋" w:eastAsia="仿宋" w:cs="仿宋"/>
                <w:i w:val="0"/>
                <w:caps w:val="0"/>
                <w:color w:val="auto"/>
                <w:spacing w:val="0"/>
                <w:kern w:val="2"/>
                <w:sz w:val="24"/>
                <w:szCs w:val="24"/>
                <w:shd w:val="clear" w:color="070000" w:fill="FFFFFF"/>
                <w:lang w:val="en-US" w:eastAsia="zh-CN" w:bidi="ar-SA"/>
              </w:rPr>
              <w:t>7</w:t>
            </w:r>
            <w:r>
              <w:rPr>
                <w:rFonts w:hint="eastAsia" w:ascii="仿宋" w:hAnsi="仿宋" w:eastAsia="仿宋" w:cs="仿宋"/>
                <w:i w:val="0"/>
                <w:caps w:val="0"/>
                <w:color w:val="auto"/>
                <w:spacing w:val="0"/>
                <w:kern w:val="2"/>
                <w:sz w:val="24"/>
                <w:szCs w:val="24"/>
                <w:shd w:val="clear" w:color="070000" w:fill="FFFFFF"/>
                <w:lang w:val="en-US" w:eastAsia="zh-CN" w:bidi="ar-SA"/>
              </w:rPr>
              <w:t>月</w:t>
            </w:r>
            <w:r>
              <w:rPr>
                <w:rFonts w:hint="default" w:ascii="仿宋" w:hAnsi="仿宋" w:eastAsia="仿宋" w:cs="仿宋"/>
                <w:i w:val="0"/>
                <w:caps w:val="0"/>
                <w:color w:val="auto"/>
                <w:spacing w:val="0"/>
                <w:kern w:val="2"/>
                <w:sz w:val="24"/>
                <w:szCs w:val="24"/>
                <w:shd w:val="clear" w:color="070000" w:fill="FFFFFF"/>
                <w:lang w:val="en-US" w:eastAsia="zh-CN" w:bidi="ar-SA"/>
              </w:rPr>
              <w:t>7</w:t>
            </w:r>
            <w:r>
              <w:rPr>
                <w:rFonts w:hint="eastAsia" w:ascii="仿宋" w:hAnsi="仿宋" w:eastAsia="仿宋" w:cs="仿宋"/>
                <w:i w:val="0"/>
                <w:caps w:val="0"/>
                <w:color w:val="auto"/>
                <w:spacing w:val="0"/>
                <w:kern w:val="2"/>
                <w:sz w:val="24"/>
                <w:szCs w:val="24"/>
                <w:shd w:val="clear" w:color="070000" w:fill="FFFFFF"/>
                <w:lang w:val="en-US" w:eastAsia="zh-CN" w:bidi="ar-SA"/>
              </w:rPr>
              <w:t>日中华人民共和国国务院令第</w:t>
            </w:r>
            <w:r>
              <w:rPr>
                <w:rFonts w:hint="default" w:ascii="仿宋" w:hAnsi="仿宋" w:eastAsia="仿宋" w:cs="仿宋"/>
                <w:i w:val="0"/>
                <w:caps w:val="0"/>
                <w:color w:val="auto"/>
                <w:spacing w:val="0"/>
                <w:kern w:val="2"/>
                <w:sz w:val="24"/>
                <w:szCs w:val="24"/>
                <w:shd w:val="clear" w:color="070000" w:fill="FFFFFF"/>
                <w:lang w:val="en-US" w:eastAsia="zh-CN" w:bidi="ar-SA"/>
              </w:rPr>
              <w:t>439</w:t>
            </w:r>
            <w:r>
              <w:rPr>
                <w:rFonts w:hint="eastAsia" w:ascii="仿宋" w:hAnsi="仿宋" w:eastAsia="仿宋" w:cs="仿宋"/>
                <w:i w:val="0"/>
                <w:caps w:val="0"/>
                <w:color w:val="auto"/>
                <w:spacing w:val="0"/>
                <w:kern w:val="2"/>
                <w:sz w:val="24"/>
                <w:szCs w:val="24"/>
                <w:shd w:val="clear" w:color="070000" w:fill="FFFFFF"/>
                <w:lang w:val="en-US" w:eastAsia="zh-CN" w:bidi="ar-SA"/>
              </w:rPr>
              <w:t>号公布根据</w:t>
            </w:r>
            <w:r>
              <w:rPr>
                <w:rFonts w:hint="default" w:ascii="仿宋" w:hAnsi="仿宋" w:eastAsia="仿宋" w:cs="仿宋"/>
                <w:i w:val="0"/>
                <w:caps w:val="0"/>
                <w:color w:val="auto"/>
                <w:spacing w:val="0"/>
                <w:kern w:val="2"/>
                <w:sz w:val="24"/>
                <w:szCs w:val="24"/>
                <w:shd w:val="clear" w:color="070000" w:fill="FFFFFF"/>
                <w:lang w:val="en-US" w:eastAsia="zh-CN" w:bidi="ar-SA"/>
              </w:rPr>
              <w:t>2008</w:t>
            </w:r>
            <w:r>
              <w:rPr>
                <w:rFonts w:hint="eastAsia" w:ascii="仿宋" w:hAnsi="仿宋" w:eastAsia="仿宋" w:cs="仿宋"/>
                <w:i w:val="0"/>
                <w:caps w:val="0"/>
                <w:color w:val="auto"/>
                <w:spacing w:val="0"/>
                <w:kern w:val="2"/>
                <w:sz w:val="24"/>
                <w:szCs w:val="24"/>
                <w:shd w:val="clear" w:color="070000" w:fill="FFFFFF"/>
                <w:lang w:val="en-US" w:eastAsia="zh-CN" w:bidi="ar-SA"/>
              </w:rPr>
              <w:t>年</w:t>
            </w:r>
            <w:r>
              <w:rPr>
                <w:rFonts w:hint="default" w:ascii="仿宋" w:hAnsi="仿宋" w:eastAsia="仿宋" w:cs="仿宋"/>
                <w:i w:val="0"/>
                <w:caps w:val="0"/>
                <w:color w:val="auto"/>
                <w:spacing w:val="0"/>
                <w:kern w:val="2"/>
                <w:sz w:val="24"/>
                <w:szCs w:val="24"/>
                <w:shd w:val="clear" w:color="070000" w:fill="FFFFFF"/>
                <w:lang w:val="en-US" w:eastAsia="zh-CN" w:bidi="ar-SA"/>
              </w:rPr>
              <w:t>7</w:t>
            </w:r>
            <w:r>
              <w:rPr>
                <w:rFonts w:hint="eastAsia" w:ascii="仿宋" w:hAnsi="仿宋" w:eastAsia="仿宋" w:cs="仿宋"/>
                <w:i w:val="0"/>
                <w:caps w:val="0"/>
                <w:color w:val="auto"/>
                <w:spacing w:val="0"/>
                <w:kern w:val="2"/>
                <w:sz w:val="24"/>
                <w:szCs w:val="24"/>
                <w:shd w:val="clear" w:color="070000" w:fill="FFFFFF"/>
                <w:lang w:val="en-US" w:eastAsia="zh-CN" w:bidi="ar-SA"/>
              </w:rPr>
              <w:t>月</w:t>
            </w:r>
            <w:r>
              <w:rPr>
                <w:rFonts w:hint="default" w:ascii="仿宋" w:hAnsi="仿宋" w:eastAsia="仿宋" w:cs="仿宋"/>
                <w:i w:val="0"/>
                <w:caps w:val="0"/>
                <w:color w:val="auto"/>
                <w:spacing w:val="0"/>
                <w:kern w:val="2"/>
                <w:sz w:val="24"/>
                <w:szCs w:val="24"/>
                <w:shd w:val="clear" w:color="070000" w:fill="FFFFFF"/>
                <w:lang w:val="en-US" w:eastAsia="zh-CN" w:bidi="ar-SA"/>
              </w:rPr>
              <w:t>22</w:t>
            </w:r>
            <w:r>
              <w:rPr>
                <w:rFonts w:hint="eastAsia" w:ascii="仿宋" w:hAnsi="仿宋" w:eastAsia="仿宋" w:cs="仿宋"/>
                <w:i w:val="0"/>
                <w:caps w:val="0"/>
                <w:color w:val="auto"/>
                <w:spacing w:val="0"/>
                <w:kern w:val="2"/>
                <w:sz w:val="24"/>
                <w:szCs w:val="24"/>
                <w:shd w:val="clear" w:color="070000" w:fill="FFFFFF"/>
                <w:lang w:val="en-US" w:eastAsia="zh-CN" w:bidi="ar-SA"/>
              </w:rPr>
              <w:t>日《国务院关于修改〈营业性演出管理条例〉的决定》第一次修订根据</w:t>
            </w:r>
            <w:r>
              <w:rPr>
                <w:rFonts w:hint="default" w:ascii="仿宋" w:hAnsi="仿宋" w:eastAsia="仿宋" w:cs="仿宋"/>
                <w:i w:val="0"/>
                <w:caps w:val="0"/>
                <w:color w:val="auto"/>
                <w:spacing w:val="0"/>
                <w:kern w:val="2"/>
                <w:sz w:val="24"/>
                <w:szCs w:val="24"/>
                <w:shd w:val="clear" w:color="070000" w:fill="FFFFFF"/>
                <w:lang w:val="en-US" w:eastAsia="zh-CN" w:bidi="ar-SA"/>
              </w:rPr>
              <w:t>2013</w:t>
            </w:r>
            <w:r>
              <w:rPr>
                <w:rFonts w:hint="eastAsia" w:ascii="仿宋" w:hAnsi="仿宋" w:eastAsia="仿宋" w:cs="仿宋"/>
                <w:i w:val="0"/>
                <w:caps w:val="0"/>
                <w:color w:val="auto"/>
                <w:spacing w:val="0"/>
                <w:kern w:val="2"/>
                <w:sz w:val="24"/>
                <w:szCs w:val="24"/>
                <w:shd w:val="clear" w:color="070000" w:fill="FFFFFF"/>
                <w:lang w:val="en-US" w:eastAsia="zh-CN" w:bidi="ar-SA"/>
              </w:rPr>
              <w:t>年</w:t>
            </w:r>
            <w:r>
              <w:rPr>
                <w:rFonts w:hint="default" w:ascii="仿宋" w:hAnsi="仿宋" w:eastAsia="仿宋" w:cs="仿宋"/>
                <w:i w:val="0"/>
                <w:caps w:val="0"/>
                <w:color w:val="auto"/>
                <w:spacing w:val="0"/>
                <w:kern w:val="2"/>
                <w:sz w:val="24"/>
                <w:szCs w:val="24"/>
                <w:shd w:val="clear" w:color="070000" w:fill="FFFFFF"/>
                <w:lang w:val="en-US" w:eastAsia="zh-CN" w:bidi="ar-SA"/>
              </w:rPr>
              <w:t>7</w:t>
            </w:r>
            <w:r>
              <w:rPr>
                <w:rFonts w:hint="eastAsia" w:ascii="仿宋" w:hAnsi="仿宋" w:eastAsia="仿宋" w:cs="仿宋"/>
                <w:i w:val="0"/>
                <w:caps w:val="0"/>
                <w:color w:val="auto"/>
                <w:spacing w:val="0"/>
                <w:kern w:val="2"/>
                <w:sz w:val="24"/>
                <w:szCs w:val="24"/>
                <w:shd w:val="clear" w:color="070000" w:fill="FFFFFF"/>
                <w:lang w:val="en-US" w:eastAsia="zh-CN" w:bidi="ar-SA"/>
              </w:rPr>
              <w:t>月</w:t>
            </w:r>
            <w:r>
              <w:rPr>
                <w:rFonts w:hint="default" w:ascii="仿宋" w:hAnsi="仿宋" w:eastAsia="仿宋" w:cs="仿宋"/>
                <w:i w:val="0"/>
                <w:caps w:val="0"/>
                <w:color w:val="auto"/>
                <w:spacing w:val="0"/>
                <w:kern w:val="2"/>
                <w:sz w:val="24"/>
                <w:szCs w:val="24"/>
                <w:shd w:val="clear" w:color="070000" w:fill="FFFFFF"/>
                <w:lang w:val="en-US" w:eastAsia="zh-CN" w:bidi="ar-SA"/>
              </w:rPr>
              <w:t>18</w:t>
            </w:r>
            <w:r>
              <w:rPr>
                <w:rFonts w:hint="eastAsia" w:ascii="仿宋" w:hAnsi="仿宋" w:eastAsia="仿宋" w:cs="仿宋"/>
                <w:i w:val="0"/>
                <w:caps w:val="0"/>
                <w:color w:val="auto"/>
                <w:spacing w:val="0"/>
                <w:kern w:val="2"/>
                <w:sz w:val="24"/>
                <w:szCs w:val="24"/>
                <w:shd w:val="clear" w:color="070000" w:fill="FFFFFF"/>
                <w:lang w:val="en-US" w:eastAsia="zh-CN" w:bidi="ar-SA"/>
              </w:rPr>
              <w:t>日《国务院关于废止和修改部分行政法规的决定》第二次修订根据</w:t>
            </w:r>
            <w:r>
              <w:rPr>
                <w:rFonts w:hint="default" w:ascii="仿宋" w:hAnsi="仿宋" w:eastAsia="仿宋" w:cs="仿宋"/>
                <w:i w:val="0"/>
                <w:caps w:val="0"/>
                <w:color w:val="auto"/>
                <w:spacing w:val="0"/>
                <w:kern w:val="2"/>
                <w:sz w:val="24"/>
                <w:szCs w:val="24"/>
                <w:shd w:val="clear" w:color="070000" w:fill="FFFFFF"/>
                <w:lang w:val="en-US" w:eastAsia="zh-CN" w:bidi="ar-SA"/>
              </w:rPr>
              <w:t>2016</w:t>
            </w:r>
            <w:r>
              <w:rPr>
                <w:rFonts w:hint="eastAsia" w:ascii="仿宋" w:hAnsi="仿宋" w:eastAsia="仿宋" w:cs="仿宋"/>
                <w:i w:val="0"/>
                <w:caps w:val="0"/>
                <w:color w:val="auto"/>
                <w:spacing w:val="0"/>
                <w:kern w:val="2"/>
                <w:sz w:val="24"/>
                <w:szCs w:val="24"/>
                <w:shd w:val="clear" w:color="070000" w:fill="FFFFFF"/>
                <w:lang w:val="en-US" w:eastAsia="zh-CN" w:bidi="ar-SA"/>
              </w:rPr>
              <w:t>年</w:t>
            </w:r>
            <w:r>
              <w:rPr>
                <w:rFonts w:hint="default" w:ascii="仿宋" w:hAnsi="仿宋" w:eastAsia="仿宋" w:cs="仿宋"/>
                <w:i w:val="0"/>
                <w:caps w:val="0"/>
                <w:color w:val="auto"/>
                <w:spacing w:val="0"/>
                <w:kern w:val="2"/>
                <w:sz w:val="24"/>
                <w:szCs w:val="24"/>
                <w:shd w:val="clear" w:color="070000" w:fill="FFFFFF"/>
                <w:lang w:val="en-US" w:eastAsia="zh-CN" w:bidi="ar-SA"/>
              </w:rPr>
              <w:t>2</w:t>
            </w:r>
            <w:r>
              <w:rPr>
                <w:rFonts w:hint="eastAsia" w:ascii="仿宋" w:hAnsi="仿宋" w:eastAsia="仿宋" w:cs="仿宋"/>
                <w:i w:val="0"/>
                <w:caps w:val="0"/>
                <w:color w:val="auto"/>
                <w:spacing w:val="0"/>
                <w:kern w:val="2"/>
                <w:sz w:val="24"/>
                <w:szCs w:val="24"/>
                <w:shd w:val="clear" w:color="070000" w:fill="FFFFFF"/>
                <w:lang w:val="en-US" w:eastAsia="zh-CN" w:bidi="ar-SA"/>
              </w:rPr>
              <w:t>月</w:t>
            </w:r>
            <w:r>
              <w:rPr>
                <w:rFonts w:hint="default" w:ascii="仿宋" w:hAnsi="仿宋" w:eastAsia="仿宋" w:cs="仿宋"/>
                <w:i w:val="0"/>
                <w:caps w:val="0"/>
                <w:color w:val="auto"/>
                <w:spacing w:val="0"/>
                <w:kern w:val="2"/>
                <w:sz w:val="24"/>
                <w:szCs w:val="24"/>
                <w:shd w:val="clear" w:color="070000" w:fill="FFFFFF"/>
                <w:lang w:val="en-US" w:eastAsia="zh-CN" w:bidi="ar-SA"/>
              </w:rPr>
              <w:t>6</w:t>
            </w:r>
            <w:r>
              <w:rPr>
                <w:rFonts w:hint="eastAsia" w:ascii="仿宋" w:hAnsi="仿宋" w:eastAsia="仿宋" w:cs="仿宋"/>
                <w:i w:val="0"/>
                <w:caps w:val="0"/>
                <w:color w:val="auto"/>
                <w:spacing w:val="0"/>
                <w:kern w:val="2"/>
                <w:sz w:val="24"/>
                <w:szCs w:val="24"/>
                <w:shd w:val="clear" w:color="070000" w:fill="FFFFFF"/>
                <w:lang w:val="en-US" w:eastAsia="zh-CN" w:bidi="ar-SA"/>
              </w:rPr>
              <w:t>日《国务院关于修改部分行政法规的决定》第三次修订根据</w:t>
            </w:r>
            <w:r>
              <w:rPr>
                <w:rFonts w:hint="default" w:ascii="仿宋" w:hAnsi="仿宋" w:eastAsia="仿宋" w:cs="仿宋"/>
                <w:i w:val="0"/>
                <w:caps w:val="0"/>
                <w:color w:val="auto"/>
                <w:spacing w:val="0"/>
                <w:kern w:val="2"/>
                <w:sz w:val="24"/>
                <w:szCs w:val="24"/>
                <w:shd w:val="clear" w:color="070000" w:fill="FFFFFF"/>
                <w:lang w:val="en-US" w:eastAsia="zh-CN" w:bidi="ar-SA"/>
              </w:rPr>
              <w:t>2020</w:t>
            </w:r>
            <w:r>
              <w:rPr>
                <w:rFonts w:hint="eastAsia" w:ascii="仿宋" w:hAnsi="仿宋" w:eastAsia="仿宋" w:cs="仿宋"/>
                <w:i w:val="0"/>
                <w:caps w:val="0"/>
                <w:color w:val="auto"/>
                <w:spacing w:val="0"/>
                <w:kern w:val="2"/>
                <w:sz w:val="24"/>
                <w:szCs w:val="24"/>
                <w:shd w:val="clear" w:color="070000" w:fill="FFFFFF"/>
                <w:lang w:val="en-US" w:eastAsia="zh-CN" w:bidi="ar-SA"/>
              </w:rPr>
              <w:t>年</w:t>
            </w:r>
            <w:r>
              <w:rPr>
                <w:rFonts w:hint="default" w:ascii="仿宋" w:hAnsi="仿宋" w:eastAsia="仿宋" w:cs="仿宋"/>
                <w:i w:val="0"/>
                <w:caps w:val="0"/>
                <w:color w:val="auto"/>
                <w:spacing w:val="0"/>
                <w:kern w:val="2"/>
                <w:sz w:val="24"/>
                <w:szCs w:val="24"/>
                <w:shd w:val="clear" w:color="070000" w:fill="FFFFFF"/>
                <w:lang w:val="en-US" w:eastAsia="zh-CN" w:bidi="ar-SA"/>
              </w:rPr>
              <w:t>11</w:t>
            </w:r>
            <w:r>
              <w:rPr>
                <w:rFonts w:hint="eastAsia" w:ascii="仿宋" w:hAnsi="仿宋" w:eastAsia="仿宋" w:cs="仿宋"/>
                <w:i w:val="0"/>
                <w:caps w:val="0"/>
                <w:color w:val="auto"/>
                <w:spacing w:val="0"/>
                <w:kern w:val="2"/>
                <w:sz w:val="24"/>
                <w:szCs w:val="24"/>
                <w:shd w:val="clear" w:color="070000" w:fill="FFFFFF"/>
                <w:lang w:val="en-US" w:eastAsia="zh-CN" w:bidi="ar-SA"/>
              </w:rPr>
              <w:t>月</w:t>
            </w:r>
            <w:r>
              <w:rPr>
                <w:rFonts w:hint="default" w:ascii="仿宋" w:hAnsi="仿宋" w:eastAsia="仿宋" w:cs="仿宋"/>
                <w:i w:val="0"/>
                <w:caps w:val="0"/>
                <w:color w:val="auto"/>
                <w:spacing w:val="0"/>
                <w:kern w:val="2"/>
                <w:sz w:val="24"/>
                <w:szCs w:val="24"/>
                <w:shd w:val="clear" w:color="070000" w:fill="FFFFFF"/>
                <w:lang w:val="en-US" w:eastAsia="zh-CN" w:bidi="ar-SA"/>
              </w:rPr>
              <w:t>29</w:t>
            </w:r>
            <w:r>
              <w:rPr>
                <w:rFonts w:hint="eastAsia" w:ascii="仿宋" w:hAnsi="仿宋" w:eastAsia="仿宋" w:cs="仿宋"/>
                <w:i w:val="0"/>
                <w:caps w:val="0"/>
                <w:color w:val="auto"/>
                <w:spacing w:val="0"/>
                <w:kern w:val="2"/>
                <w:sz w:val="24"/>
                <w:szCs w:val="24"/>
                <w:shd w:val="clear" w:color="070000" w:fill="FFFFFF"/>
                <w:lang w:val="en-US" w:eastAsia="zh-CN" w:bidi="ar-SA"/>
              </w:rPr>
              <w:t>日《国务院关于修改和废止部分行政法规的决定》第四次修订) 第三十四条第四款</w:t>
            </w:r>
          </w:p>
          <w:p w14:paraId="4F31B2EC">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县级以上地方人民政府文化主管部门对作出突出贡献的社会义务监督员应当给予表彰；公众举报经调查核实的，应当对举报人给予奖励。</w:t>
            </w:r>
          </w:p>
        </w:tc>
        <w:tc>
          <w:tcPr>
            <w:tcW w:w="615"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3B4AA5B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行政奖励</w:t>
            </w: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D83C52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BF038C6">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788B780F">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不履行或不正确履行职责，有下列情形的行政机关及相关工作人员应当承担相应的责任：</w:t>
            </w:r>
          </w:p>
          <w:p w14:paraId="68C12AFB">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滥用审批权限、不履行职责或者发现违法行为不予查处，造成严重后果的，依法给予行政处分，情节严重的，依法开除公职或者吊销其从业资格；构成犯罪的，依法追究刑事责任。</w:t>
            </w: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6F167139">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市场管理股</w:t>
            </w:r>
          </w:p>
        </w:tc>
      </w:tr>
      <w:tr w14:paraId="6A560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65" w:hRule="atLeast"/>
          <w:jc w:val="center"/>
        </w:trPr>
        <w:tc>
          <w:tcPr>
            <w:tcW w:w="678" w:type="dxa"/>
            <w:vMerge w:val="continue"/>
            <w:tcBorders>
              <w:left w:val="single" w:color="auto" w:sz="4" w:space="0"/>
              <w:right w:val="single" w:color="auto" w:sz="4" w:space="0"/>
            </w:tcBorders>
            <w:tcMar>
              <w:top w:w="15" w:type="dxa"/>
              <w:left w:w="15" w:type="dxa"/>
              <w:right w:w="15" w:type="dxa"/>
            </w:tcMar>
            <w:vAlign w:val="center"/>
          </w:tcPr>
          <w:p w14:paraId="7D7FA727">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1389" w:type="dxa"/>
            <w:gridSpan w:val="2"/>
            <w:vMerge w:val="continue"/>
            <w:tcBorders>
              <w:left w:val="single" w:color="auto" w:sz="4" w:space="0"/>
              <w:right w:val="single" w:color="auto" w:sz="4" w:space="0"/>
            </w:tcBorders>
            <w:tcMar>
              <w:top w:w="15" w:type="dxa"/>
              <w:left w:w="15" w:type="dxa"/>
              <w:right w:w="15" w:type="dxa"/>
            </w:tcMar>
            <w:vAlign w:val="center"/>
          </w:tcPr>
          <w:p w14:paraId="34F3AA47">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3795" w:type="dxa"/>
            <w:gridSpan w:val="2"/>
            <w:vMerge w:val="continue"/>
            <w:tcBorders>
              <w:left w:val="single" w:color="auto" w:sz="4" w:space="0"/>
              <w:right w:val="single" w:color="auto" w:sz="4" w:space="0"/>
            </w:tcBorders>
            <w:tcMar>
              <w:top w:w="15" w:type="dxa"/>
              <w:left w:w="15" w:type="dxa"/>
              <w:right w:w="15" w:type="dxa"/>
            </w:tcMar>
            <w:vAlign w:val="center"/>
          </w:tcPr>
          <w:p w14:paraId="17D0AC76">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615" w:type="dxa"/>
            <w:gridSpan w:val="2"/>
            <w:vMerge w:val="continue"/>
            <w:tcBorders>
              <w:left w:val="single" w:color="auto" w:sz="4" w:space="0"/>
              <w:right w:val="single" w:color="auto" w:sz="4" w:space="0"/>
            </w:tcBorders>
            <w:tcMar>
              <w:top w:w="15" w:type="dxa"/>
              <w:left w:w="15" w:type="dxa"/>
              <w:right w:w="15" w:type="dxa"/>
            </w:tcMar>
            <w:vAlign w:val="center"/>
          </w:tcPr>
          <w:p w14:paraId="66D92BA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45D617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60EA885">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17" w:type="dxa"/>
            <w:gridSpan w:val="2"/>
            <w:vMerge w:val="continue"/>
            <w:tcBorders>
              <w:left w:val="single" w:color="auto" w:sz="4" w:space="0"/>
              <w:right w:val="single" w:color="auto" w:sz="4" w:space="0"/>
            </w:tcBorders>
            <w:tcMar>
              <w:top w:w="15" w:type="dxa"/>
              <w:left w:w="15" w:type="dxa"/>
              <w:right w:w="15" w:type="dxa"/>
            </w:tcMar>
            <w:vAlign w:val="center"/>
          </w:tcPr>
          <w:p w14:paraId="597B6435">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42" w:type="dxa"/>
            <w:vMerge w:val="continue"/>
            <w:tcBorders>
              <w:left w:val="single" w:color="auto" w:sz="4" w:space="0"/>
              <w:right w:val="single" w:color="auto" w:sz="4" w:space="0"/>
            </w:tcBorders>
            <w:tcMar>
              <w:top w:w="15" w:type="dxa"/>
              <w:left w:w="15" w:type="dxa"/>
              <w:right w:w="15" w:type="dxa"/>
            </w:tcMar>
            <w:vAlign w:val="center"/>
          </w:tcPr>
          <w:p w14:paraId="51DE6692">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14:paraId="233F2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0"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B6A86EE">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1389"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88EE230">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3795"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366A6D6">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615"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BF57F1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197EDE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909C6D2">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FF551FD">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98BE41F">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14:paraId="0A3CE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EE31470">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22CB3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1A6432F">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70B75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5"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381957C0">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default" w:ascii="仿宋" w:hAnsi="仿宋" w:eastAsia="仿宋" w:cs="仿宋"/>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t>37</w:t>
            </w:r>
          </w:p>
        </w:tc>
        <w:tc>
          <w:tcPr>
            <w:tcW w:w="1389"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4F3B3145">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b w:val="0"/>
                <w:bCs w:val="0"/>
                <w:color w:val="auto"/>
                <w:sz w:val="24"/>
                <w:szCs w:val="24"/>
              </w:rPr>
              <w:t>对作出突出贡献的营业性演出社会义务监督员的表彰</w:t>
            </w:r>
          </w:p>
        </w:tc>
        <w:tc>
          <w:tcPr>
            <w:tcW w:w="3795"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1114A76A">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《营业性演出管理条例》</w:t>
            </w:r>
            <w:r>
              <w:rPr>
                <w:rFonts w:hint="eastAsia" w:ascii="仿宋" w:hAnsi="仿宋" w:eastAsia="仿宋" w:cs="仿宋"/>
                <w:i w:val="0"/>
                <w:caps w:val="0"/>
                <w:color w:val="auto"/>
                <w:spacing w:val="0"/>
                <w:kern w:val="2"/>
                <w:sz w:val="24"/>
                <w:szCs w:val="24"/>
                <w:shd w:val="clear" w:color="070000"/>
                <w:lang w:val="en-US" w:eastAsia="zh-CN" w:bidi="ar-SA"/>
              </w:rPr>
              <w:t>(2</w:t>
            </w:r>
            <w:r>
              <w:rPr>
                <w:rFonts w:hint="default" w:ascii="仿宋" w:hAnsi="仿宋" w:eastAsia="仿宋" w:cs="仿宋"/>
                <w:i w:val="0"/>
                <w:caps w:val="0"/>
                <w:color w:val="auto"/>
                <w:spacing w:val="0"/>
                <w:kern w:val="2"/>
                <w:sz w:val="24"/>
                <w:szCs w:val="24"/>
                <w:shd w:val="clear" w:color="070000"/>
                <w:lang w:val="en-US" w:eastAsia="zh-CN" w:bidi="ar-SA"/>
              </w:rPr>
              <w:t>005</w:t>
            </w:r>
            <w:r>
              <w:rPr>
                <w:rFonts w:hint="eastAsia" w:ascii="仿宋" w:hAnsi="仿宋" w:eastAsia="仿宋" w:cs="仿宋"/>
                <w:i w:val="0"/>
                <w:caps w:val="0"/>
                <w:color w:val="auto"/>
                <w:spacing w:val="0"/>
                <w:kern w:val="2"/>
                <w:sz w:val="24"/>
                <w:szCs w:val="24"/>
                <w:shd w:val="clear" w:color="070000"/>
                <w:lang w:val="en-US" w:eastAsia="zh-CN" w:bidi="ar-SA"/>
              </w:rPr>
              <w:t>年</w:t>
            </w:r>
            <w:r>
              <w:rPr>
                <w:rFonts w:hint="default" w:ascii="仿宋" w:hAnsi="仿宋" w:eastAsia="仿宋" w:cs="仿宋"/>
                <w:i w:val="0"/>
                <w:caps w:val="0"/>
                <w:color w:val="auto"/>
                <w:spacing w:val="0"/>
                <w:kern w:val="2"/>
                <w:sz w:val="24"/>
                <w:szCs w:val="24"/>
                <w:shd w:val="clear" w:color="070000"/>
                <w:lang w:val="en-US" w:eastAsia="zh-CN" w:bidi="ar-SA"/>
              </w:rPr>
              <w:t>7</w:t>
            </w:r>
            <w:r>
              <w:rPr>
                <w:rFonts w:hint="eastAsia" w:ascii="仿宋" w:hAnsi="仿宋" w:eastAsia="仿宋" w:cs="仿宋"/>
                <w:i w:val="0"/>
                <w:caps w:val="0"/>
                <w:color w:val="auto"/>
                <w:spacing w:val="0"/>
                <w:kern w:val="2"/>
                <w:sz w:val="24"/>
                <w:szCs w:val="24"/>
                <w:shd w:val="clear" w:color="070000"/>
                <w:lang w:val="en-US" w:eastAsia="zh-CN" w:bidi="ar-SA"/>
              </w:rPr>
              <w:t>月</w:t>
            </w:r>
            <w:r>
              <w:rPr>
                <w:rFonts w:hint="default" w:ascii="仿宋" w:hAnsi="仿宋" w:eastAsia="仿宋" w:cs="仿宋"/>
                <w:i w:val="0"/>
                <w:caps w:val="0"/>
                <w:color w:val="auto"/>
                <w:spacing w:val="0"/>
                <w:kern w:val="2"/>
                <w:sz w:val="24"/>
                <w:szCs w:val="24"/>
                <w:shd w:val="clear" w:color="070000"/>
                <w:lang w:val="en-US" w:eastAsia="zh-CN" w:bidi="ar-SA"/>
              </w:rPr>
              <w:t>7</w:t>
            </w:r>
            <w:r>
              <w:rPr>
                <w:rFonts w:hint="eastAsia" w:ascii="仿宋" w:hAnsi="仿宋" w:eastAsia="仿宋" w:cs="仿宋"/>
                <w:i w:val="0"/>
                <w:caps w:val="0"/>
                <w:color w:val="auto"/>
                <w:spacing w:val="0"/>
                <w:kern w:val="2"/>
                <w:sz w:val="24"/>
                <w:szCs w:val="24"/>
                <w:shd w:val="clear" w:color="070000"/>
                <w:lang w:val="en-US" w:eastAsia="zh-CN" w:bidi="ar-SA"/>
              </w:rPr>
              <w:t>日中华人民共和国国务院令第</w:t>
            </w:r>
            <w:r>
              <w:rPr>
                <w:rFonts w:hint="default" w:ascii="仿宋" w:hAnsi="仿宋" w:eastAsia="仿宋" w:cs="仿宋"/>
                <w:i w:val="0"/>
                <w:caps w:val="0"/>
                <w:color w:val="auto"/>
                <w:spacing w:val="0"/>
                <w:kern w:val="2"/>
                <w:sz w:val="24"/>
                <w:szCs w:val="24"/>
                <w:shd w:val="clear" w:color="070000"/>
                <w:lang w:val="en-US" w:eastAsia="zh-CN" w:bidi="ar-SA"/>
              </w:rPr>
              <w:t>439</w:t>
            </w:r>
            <w:r>
              <w:rPr>
                <w:rFonts w:hint="eastAsia" w:ascii="仿宋" w:hAnsi="仿宋" w:eastAsia="仿宋" w:cs="仿宋"/>
                <w:i w:val="0"/>
                <w:caps w:val="0"/>
                <w:color w:val="auto"/>
                <w:spacing w:val="0"/>
                <w:kern w:val="2"/>
                <w:sz w:val="24"/>
                <w:szCs w:val="24"/>
                <w:shd w:val="clear" w:color="070000"/>
                <w:lang w:val="en-US" w:eastAsia="zh-CN" w:bidi="ar-SA"/>
              </w:rPr>
              <w:t>号公布根据</w:t>
            </w:r>
            <w:r>
              <w:rPr>
                <w:rFonts w:hint="default" w:ascii="仿宋" w:hAnsi="仿宋" w:eastAsia="仿宋" w:cs="仿宋"/>
                <w:i w:val="0"/>
                <w:caps w:val="0"/>
                <w:color w:val="auto"/>
                <w:spacing w:val="0"/>
                <w:kern w:val="2"/>
                <w:sz w:val="24"/>
                <w:szCs w:val="24"/>
                <w:shd w:val="clear" w:color="070000"/>
                <w:lang w:val="en-US" w:eastAsia="zh-CN" w:bidi="ar-SA"/>
              </w:rPr>
              <w:t>2008</w:t>
            </w:r>
            <w:r>
              <w:rPr>
                <w:rFonts w:hint="eastAsia" w:ascii="仿宋" w:hAnsi="仿宋" w:eastAsia="仿宋" w:cs="仿宋"/>
                <w:i w:val="0"/>
                <w:caps w:val="0"/>
                <w:color w:val="auto"/>
                <w:spacing w:val="0"/>
                <w:kern w:val="2"/>
                <w:sz w:val="24"/>
                <w:szCs w:val="24"/>
                <w:shd w:val="clear" w:color="070000"/>
                <w:lang w:val="en-US" w:eastAsia="zh-CN" w:bidi="ar-SA"/>
              </w:rPr>
              <w:t>年</w:t>
            </w:r>
            <w:r>
              <w:rPr>
                <w:rFonts w:hint="default" w:ascii="仿宋" w:hAnsi="仿宋" w:eastAsia="仿宋" w:cs="仿宋"/>
                <w:i w:val="0"/>
                <w:caps w:val="0"/>
                <w:color w:val="auto"/>
                <w:spacing w:val="0"/>
                <w:kern w:val="2"/>
                <w:sz w:val="24"/>
                <w:szCs w:val="24"/>
                <w:shd w:val="clear" w:color="070000"/>
                <w:lang w:val="en-US" w:eastAsia="zh-CN" w:bidi="ar-SA"/>
              </w:rPr>
              <w:t>7</w:t>
            </w:r>
            <w:r>
              <w:rPr>
                <w:rFonts w:hint="eastAsia" w:ascii="仿宋" w:hAnsi="仿宋" w:eastAsia="仿宋" w:cs="仿宋"/>
                <w:i w:val="0"/>
                <w:caps w:val="0"/>
                <w:color w:val="auto"/>
                <w:spacing w:val="0"/>
                <w:kern w:val="2"/>
                <w:sz w:val="24"/>
                <w:szCs w:val="24"/>
                <w:shd w:val="clear" w:color="070000"/>
                <w:lang w:val="en-US" w:eastAsia="zh-CN" w:bidi="ar-SA"/>
              </w:rPr>
              <w:t>月</w:t>
            </w:r>
            <w:r>
              <w:rPr>
                <w:rFonts w:hint="default" w:ascii="仿宋" w:hAnsi="仿宋" w:eastAsia="仿宋" w:cs="仿宋"/>
                <w:i w:val="0"/>
                <w:caps w:val="0"/>
                <w:color w:val="auto"/>
                <w:spacing w:val="0"/>
                <w:kern w:val="2"/>
                <w:sz w:val="24"/>
                <w:szCs w:val="24"/>
                <w:shd w:val="clear" w:color="070000"/>
                <w:lang w:val="en-US" w:eastAsia="zh-CN" w:bidi="ar-SA"/>
              </w:rPr>
              <w:t>22</w:t>
            </w:r>
            <w:r>
              <w:rPr>
                <w:rFonts w:hint="eastAsia" w:ascii="仿宋" w:hAnsi="仿宋" w:eastAsia="仿宋" w:cs="仿宋"/>
                <w:i w:val="0"/>
                <w:caps w:val="0"/>
                <w:color w:val="auto"/>
                <w:spacing w:val="0"/>
                <w:kern w:val="2"/>
                <w:sz w:val="24"/>
                <w:szCs w:val="24"/>
                <w:shd w:val="clear" w:color="070000"/>
                <w:lang w:val="en-US" w:eastAsia="zh-CN" w:bidi="ar-SA"/>
              </w:rPr>
              <w:t>日《国务院关于修改〈营业性演出管理条例〉的决定》第一次修订根据</w:t>
            </w:r>
            <w:r>
              <w:rPr>
                <w:rFonts w:hint="default" w:ascii="仿宋" w:hAnsi="仿宋" w:eastAsia="仿宋" w:cs="仿宋"/>
                <w:i w:val="0"/>
                <w:caps w:val="0"/>
                <w:color w:val="auto"/>
                <w:spacing w:val="0"/>
                <w:kern w:val="2"/>
                <w:sz w:val="24"/>
                <w:szCs w:val="24"/>
                <w:shd w:val="clear" w:color="070000"/>
                <w:lang w:val="en-US" w:eastAsia="zh-CN" w:bidi="ar-SA"/>
              </w:rPr>
              <w:t>2013</w:t>
            </w:r>
            <w:r>
              <w:rPr>
                <w:rFonts w:hint="eastAsia" w:ascii="仿宋" w:hAnsi="仿宋" w:eastAsia="仿宋" w:cs="仿宋"/>
                <w:i w:val="0"/>
                <w:caps w:val="0"/>
                <w:color w:val="auto"/>
                <w:spacing w:val="0"/>
                <w:kern w:val="2"/>
                <w:sz w:val="24"/>
                <w:szCs w:val="24"/>
                <w:shd w:val="clear" w:color="070000"/>
                <w:lang w:val="en-US" w:eastAsia="zh-CN" w:bidi="ar-SA"/>
              </w:rPr>
              <w:t>年</w:t>
            </w:r>
            <w:r>
              <w:rPr>
                <w:rFonts w:hint="default" w:ascii="仿宋" w:hAnsi="仿宋" w:eastAsia="仿宋" w:cs="仿宋"/>
                <w:i w:val="0"/>
                <w:caps w:val="0"/>
                <w:color w:val="auto"/>
                <w:spacing w:val="0"/>
                <w:kern w:val="2"/>
                <w:sz w:val="24"/>
                <w:szCs w:val="24"/>
                <w:shd w:val="clear" w:color="070000"/>
                <w:lang w:val="en-US" w:eastAsia="zh-CN" w:bidi="ar-SA"/>
              </w:rPr>
              <w:t>7</w:t>
            </w:r>
            <w:r>
              <w:rPr>
                <w:rFonts w:hint="eastAsia" w:ascii="仿宋" w:hAnsi="仿宋" w:eastAsia="仿宋" w:cs="仿宋"/>
                <w:i w:val="0"/>
                <w:caps w:val="0"/>
                <w:color w:val="auto"/>
                <w:spacing w:val="0"/>
                <w:kern w:val="2"/>
                <w:sz w:val="24"/>
                <w:szCs w:val="24"/>
                <w:shd w:val="clear" w:color="070000"/>
                <w:lang w:val="en-US" w:eastAsia="zh-CN" w:bidi="ar-SA"/>
              </w:rPr>
              <w:t>月</w:t>
            </w:r>
            <w:r>
              <w:rPr>
                <w:rFonts w:hint="default" w:ascii="仿宋" w:hAnsi="仿宋" w:eastAsia="仿宋" w:cs="仿宋"/>
                <w:i w:val="0"/>
                <w:caps w:val="0"/>
                <w:color w:val="auto"/>
                <w:spacing w:val="0"/>
                <w:kern w:val="2"/>
                <w:sz w:val="24"/>
                <w:szCs w:val="24"/>
                <w:shd w:val="clear" w:color="070000"/>
                <w:lang w:val="en-US" w:eastAsia="zh-CN" w:bidi="ar-SA"/>
              </w:rPr>
              <w:t>18</w:t>
            </w:r>
            <w:r>
              <w:rPr>
                <w:rFonts w:hint="eastAsia" w:ascii="仿宋" w:hAnsi="仿宋" w:eastAsia="仿宋" w:cs="仿宋"/>
                <w:i w:val="0"/>
                <w:caps w:val="0"/>
                <w:color w:val="auto"/>
                <w:spacing w:val="0"/>
                <w:kern w:val="2"/>
                <w:sz w:val="24"/>
                <w:szCs w:val="24"/>
                <w:shd w:val="clear" w:color="070000"/>
                <w:lang w:val="en-US" w:eastAsia="zh-CN" w:bidi="ar-SA"/>
              </w:rPr>
              <w:t>日《国务院关于废止和修改部分行政法规的决定》第二次修订根据</w:t>
            </w:r>
            <w:r>
              <w:rPr>
                <w:rFonts w:hint="default" w:ascii="仿宋" w:hAnsi="仿宋" w:eastAsia="仿宋" w:cs="仿宋"/>
                <w:i w:val="0"/>
                <w:caps w:val="0"/>
                <w:color w:val="auto"/>
                <w:spacing w:val="0"/>
                <w:kern w:val="2"/>
                <w:sz w:val="24"/>
                <w:szCs w:val="24"/>
                <w:shd w:val="clear" w:color="070000"/>
                <w:lang w:val="en-US" w:eastAsia="zh-CN" w:bidi="ar-SA"/>
              </w:rPr>
              <w:t>2016</w:t>
            </w:r>
            <w:r>
              <w:rPr>
                <w:rFonts w:hint="eastAsia" w:ascii="仿宋" w:hAnsi="仿宋" w:eastAsia="仿宋" w:cs="仿宋"/>
                <w:i w:val="0"/>
                <w:caps w:val="0"/>
                <w:color w:val="auto"/>
                <w:spacing w:val="0"/>
                <w:kern w:val="2"/>
                <w:sz w:val="24"/>
                <w:szCs w:val="24"/>
                <w:shd w:val="clear" w:color="070000"/>
                <w:lang w:val="en-US" w:eastAsia="zh-CN" w:bidi="ar-SA"/>
              </w:rPr>
              <w:t>年</w:t>
            </w:r>
            <w:r>
              <w:rPr>
                <w:rFonts w:hint="default" w:ascii="仿宋" w:hAnsi="仿宋" w:eastAsia="仿宋" w:cs="仿宋"/>
                <w:i w:val="0"/>
                <w:caps w:val="0"/>
                <w:color w:val="auto"/>
                <w:spacing w:val="0"/>
                <w:kern w:val="2"/>
                <w:sz w:val="24"/>
                <w:szCs w:val="24"/>
                <w:shd w:val="clear" w:color="070000"/>
                <w:lang w:val="en-US" w:eastAsia="zh-CN" w:bidi="ar-SA"/>
              </w:rPr>
              <w:t>2</w:t>
            </w:r>
            <w:r>
              <w:rPr>
                <w:rFonts w:hint="eastAsia" w:ascii="仿宋" w:hAnsi="仿宋" w:eastAsia="仿宋" w:cs="仿宋"/>
                <w:i w:val="0"/>
                <w:caps w:val="0"/>
                <w:color w:val="auto"/>
                <w:spacing w:val="0"/>
                <w:kern w:val="2"/>
                <w:sz w:val="24"/>
                <w:szCs w:val="24"/>
                <w:shd w:val="clear" w:color="070000"/>
                <w:lang w:val="en-US" w:eastAsia="zh-CN" w:bidi="ar-SA"/>
              </w:rPr>
              <w:t>月</w:t>
            </w:r>
            <w:r>
              <w:rPr>
                <w:rFonts w:hint="default" w:ascii="仿宋" w:hAnsi="仿宋" w:eastAsia="仿宋" w:cs="仿宋"/>
                <w:i w:val="0"/>
                <w:caps w:val="0"/>
                <w:color w:val="auto"/>
                <w:spacing w:val="0"/>
                <w:kern w:val="2"/>
                <w:sz w:val="24"/>
                <w:szCs w:val="24"/>
                <w:shd w:val="clear" w:color="070000"/>
                <w:lang w:val="en-US" w:eastAsia="zh-CN" w:bidi="ar-SA"/>
              </w:rPr>
              <w:t>6</w:t>
            </w:r>
            <w:r>
              <w:rPr>
                <w:rFonts w:hint="eastAsia" w:ascii="仿宋" w:hAnsi="仿宋" w:eastAsia="仿宋" w:cs="仿宋"/>
                <w:i w:val="0"/>
                <w:caps w:val="0"/>
                <w:color w:val="auto"/>
                <w:spacing w:val="0"/>
                <w:kern w:val="2"/>
                <w:sz w:val="24"/>
                <w:szCs w:val="24"/>
                <w:shd w:val="clear" w:color="070000"/>
                <w:lang w:val="en-US" w:eastAsia="zh-CN" w:bidi="ar-SA"/>
              </w:rPr>
              <w:t>日《国务院关于修改部分行政法规的决定》第三次修订根据</w:t>
            </w:r>
            <w:r>
              <w:rPr>
                <w:rFonts w:hint="default" w:ascii="仿宋" w:hAnsi="仿宋" w:eastAsia="仿宋" w:cs="仿宋"/>
                <w:i w:val="0"/>
                <w:caps w:val="0"/>
                <w:color w:val="auto"/>
                <w:spacing w:val="0"/>
                <w:kern w:val="2"/>
                <w:sz w:val="24"/>
                <w:szCs w:val="24"/>
                <w:shd w:val="clear" w:color="070000"/>
                <w:lang w:val="en-US" w:eastAsia="zh-CN" w:bidi="ar-SA"/>
              </w:rPr>
              <w:t>2020</w:t>
            </w:r>
            <w:r>
              <w:rPr>
                <w:rFonts w:hint="eastAsia" w:ascii="仿宋" w:hAnsi="仿宋" w:eastAsia="仿宋" w:cs="仿宋"/>
                <w:i w:val="0"/>
                <w:caps w:val="0"/>
                <w:color w:val="auto"/>
                <w:spacing w:val="0"/>
                <w:kern w:val="2"/>
                <w:sz w:val="24"/>
                <w:szCs w:val="24"/>
                <w:shd w:val="clear" w:color="070000"/>
                <w:lang w:val="en-US" w:eastAsia="zh-CN" w:bidi="ar-SA"/>
              </w:rPr>
              <w:t>年</w:t>
            </w:r>
            <w:r>
              <w:rPr>
                <w:rFonts w:hint="default" w:ascii="仿宋" w:hAnsi="仿宋" w:eastAsia="仿宋" w:cs="仿宋"/>
                <w:i w:val="0"/>
                <w:caps w:val="0"/>
                <w:color w:val="auto"/>
                <w:spacing w:val="0"/>
                <w:kern w:val="2"/>
                <w:sz w:val="24"/>
                <w:szCs w:val="24"/>
                <w:shd w:val="clear" w:color="070000"/>
                <w:lang w:val="en-US" w:eastAsia="zh-CN" w:bidi="ar-SA"/>
              </w:rPr>
              <w:t>11</w:t>
            </w:r>
            <w:r>
              <w:rPr>
                <w:rFonts w:hint="eastAsia" w:ascii="仿宋" w:hAnsi="仿宋" w:eastAsia="仿宋" w:cs="仿宋"/>
                <w:i w:val="0"/>
                <w:caps w:val="0"/>
                <w:color w:val="auto"/>
                <w:spacing w:val="0"/>
                <w:kern w:val="2"/>
                <w:sz w:val="24"/>
                <w:szCs w:val="24"/>
                <w:shd w:val="clear" w:color="070000"/>
                <w:lang w:val="en-US" w:eastAsia="zh-CN" w:bidi="ar-SA"/>
              </w:rPr>
              <w:t>月</w:t>
            </w:r>
            <w:r>
              <w:rPr>
                <w:rFonts w:hint="default" w:ascii="仿宋" w:hAnsi="仿宋" w:eastAsia="仿宋" w:cs="仿宋"/>
                <w:i w:val="0"/>
                <w:caps w:val="0"/>
                <w:color w:val="auto"/>
                <w:spacing w:val="0"/>
                <w:kern w:val="2"/>
                <w:sz w:val="24"/>
                <w:szCs w:val="24"/>
                <w:shd w:val="clear" w:color="070000"/>
                <w:lang w:val="en-US" w:eastAsia="zh-CN" w:bidi="ar-SA"/>
              </w:rPr>
              <w:t>29</w:t>
            </w:r>
            <w:r>
              <w:rPr>
                <w:rFonts w:hint="eastAsia" w:ascii="仿宋" w:hAnsi="仿宋" w:eastAsia="仿宋" w:cs="仿宋"/>
                <w:i w:val="0"/>
                <w:caps w:val="0"/>
                <w:color w:val="auto"/>
                <w:spacing w:val="0"/>
                <w:kern w:val="2"/>
                <w:sz w:val="24"/>
                <w:szCs w:val="24"/>
                <w:shd w:val="clear" w:color="070000"/>
                <w:lang w:val="en-US" w:eastAsia="zh-CN" w:bidi="ar-SA"/>
              </w:rPr>
              <w:t>日《国务院关于修改和废止部分行政法规的决定》第四次修订)</w:t>
            </w:r>
            <w:r>
              <w:rPr>
                <w:rFonts w:hint="eastAsia" w:ascii="仿宋" w:hAnsi="仿宋" w:eastAsia="仿宋" w:cs="仿宋"/>
                <w:i w:val="0"/>
                <w:caps w:val="0"/>
                <w:color w:val="auto"/>
                <w:spacing w:val="0"/>
                <w:kern w:val="2"/>
                <w:sz w:val="24"/>
                <w:szCs w:val="24"/>
                <w:shd w:val="clear" w:color="070000" w:fill="FFFFFF"/>
                <w:lang w:val="en-US" w:eastAsia="zh-CN" w:bidi="ar-SA"/>
              </w:rPr>
              <w:t>第三十四条:县级以上地方人民政府文化主管部门对作出突出贡献的社会义务监督员应当给予表彰；公众举报经调查核实的，应当对举报人给予奖励。</w:t>
            </w:r>
          </w:p>
        </w:tc>
        <w:tc>
          <w:tcPr>
            <w:tcW w:w="615"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1088FDE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行政奖励</w:t>
            </w: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BEEB76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F7E54E8">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2740708E">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不履行或不正确履行职责，有下列情形的行政机关及相关工作人员应当承担相应的责任：</w:t>
            </w:r>
          </w:p>
          <w:p w14:paraId="3EA1EA25">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滥用审批权限、不履行职责或者发现违法行为不予查处，造成严重后果的，依法给予行政处分，情节严重的，依法开除公职或者吊销其从业资格；构成犯罪的，依法追究刑事责任。</w:t>
            </w: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1AFC4C6E">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市场管理股</w:t>
            </w:r>
          </w:p>
        </w:tc>
      </w:tr>
      <w:tr w14:paraId="015A7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85" w:hRule="atLeast"/>
          <w:jc w:val="center"/>
        </w:trPr>
        <w:tc>
          <w:tcPr>
            <w:tcW w:w="678" w:type="dxa"/>
            <w:vMerge w:val="continue"/>
            <w:tcBorders>
              <w:left w:val="single" w:color="auto" w:sz="4" w:space="0"/>
              <w:right w:val="single" w:color="auto" w:sz="4" w:space="0"/>
            </w:tcBorders>
            <w:tcMar>
              <w:top w:w="15" w:type="dxa"/>
              <w:left w:w="15" w:type="dxa"/>
              <w:right w:w="15" w:type="dxa"/>
            </w:tcMar>
            <w:vAlign w:val="center"/>
          </w:tcPr>
          <w:p w14:paraId="12349A9E">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1389" w:type="dxa"/>
            <w:gridSpan w:val="2"/>
            <w:vMerge w:val="continue"/>
            <w:tcBorders>
              <w:left w:val="single" w:color="auto" w:sz="4" w:space="0"/>
              <w:right w:val="single" w:color="auto" w:sz="4" w:space="0"/>
            </w:tcBorders>
            <w:tcMar>
              <w:top w:w="15" w:type="dxa"/>
              <w:left w:w="15" w:type="dxa"/>
              <w:right w:w="15" w:type="dxa"/>
            </w:tcMar>
            <w:vAlign w:val="center"/>
          </w:tcPr>
          <w:p w14:paraId="6F6E438A">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3795" w:type="dxa"/>
            <w:gridSpan w:val="2"/>
            <w:vMerge w:val="continue"/>
            <w:tcBorders>
              <w:left w:val="single" w:color="auto" w:sz="4" w:space="0"/>
              <w:right w:val="single" w:color="auto" w:sz="4" w:space="0"/>
            </w:tcBorders>
            <w:tcMar>
              <w:top w:w="15" w:type="dxa"/>
              <w:left w:w="15" w:type="dxa"/>
              <w:right w:w="15" w:type="dxa"/>
            </w:tcMar>
            <w:vAlign w:val="center"/>
          </w:tcPr>
          <w:p w14:paraId="3A3F0DE8">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615" w:type="dxa"/>
            <w:gridSpan w:val="2"/>
            <w:vMerge w:val="continue"/>
            <w:tcBorders>
              <w:left w:val="single" w:color="auto" w:sz="4" w:space="0"/>
              <w:right w:val="single" w:color="auto" w:sz="4" w:space="0"/>
            </w:tcBorders>
            <w:tcMar>
              <w:top w:w="15" w:type="dxa"/>
              <w:left w:w="15" w:type="dxa"/>
              <w:right w:w="15" w:type="dxa"/>
            </w:tcMar>
            <w:vAlign w:val="center"/>
          </w:tcPr>
          <w:p w14:paraId="4E37870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DE571E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BFB7C95">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17" w:type="dxa"/>
            <w:gridSpan w:val="2"/>
            <w:vMerge w:val="continue"/>
            <w:tcBorders>
              <w:left w:val="single" w:color="auto" w:sz="4" w:space="0"/>
              <w:right w:val="single" w:color="auto" w:sz="4" w:space="0"/>
            </w:tcBorders>
            <w:tcMar>
              <w:top w:w="15" w:type="dxa"/>
              <w:left w:w="15" w:type="dxa"/>
              <w:right w:w="15" w:type="dxa"/>
            </w:tcMar>
            <w:vAlign w:val="center"/>
          </w:tcPr>
          <w:p w14:paraId="595E9C9A">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42" w:type="dxa"/>
            <w:vMerge w:val="continue"/>
            <w:tcBorders>
              <w:left w:val="single" w:color="auto" w:sz="4" w:space="0"/>
              <w:right w:val="single" w:color="auto" w:sz="4" w:space="0"/>
            </w:tcBorders>
            <w:tcMar>
              <w:top w:w="15" w:type="dxa"/>
              <w:left w:w="15" w:type="dxa"/>
              <w:right w:w="15" w:type="dxa"/>
            </w:tcMar>
            <w:vAlign w:val="center"/>
          </w:tcPr>
          <w:p w14:paraId="3A312320">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14:paraId="7AA68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60"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357D6AD">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1389"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79F990A">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3795"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67C9961">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615"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2DD1F5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73F6FB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10C1BB5">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6A29651">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8B57D80">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14:paraId="4E1F0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434E122">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716F2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8EE3C7A">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6B70B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0"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066E82D7">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default" w:ascii="仿宋" w:hAnsi="仿宋" w:eastAsia="仿宋" w:cs="仿宋"/>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t>38</w:t>
            </w:r>
          </w:p>
        </w:tc>
        <w:tc>
          <w:tcPr>
            <w:tcW w:w="138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1FADB242">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b w:val="0"/>
                <w:bCs w:val="0"/>
                <w:color w:val="auto"/>
                <w:sz w:val="24"/>
                <w:szCs w:val="24"/>
              </w:rPr>
              <w:t>国有文物收藏单位之间借用馆藏文物备案</w:t>
            </w:r>
          </w:p>
        </w:tc>
        <w:tc>
          <w:tcPr>
            <w:tcW w:w="3802" w:type="dxa"/>
            <w:gridSpan w:val="3"/>
            <w:vMerge w:val="restart"/>
            <w:tcBorders>
              <w:top w:val="single" w:color="auto" w:sz="4" w:space="0"/>
              <w:left w:val="single" w:color="auto" w:sz="4" w:space="0"/>
              <w:right w:val="single" w:color="auto" w:sz="4" w:space="0"/>
            </w:tcBorders>
            <w:tcMar>
              <w:top w:w="15" w:type="dxa"/>
              <w:left w:w="15" w:type="dxa"/>
              <w:right w:w="15" w:type="dxa"/>
            </w:tcMar>
            <w:vAlign w:val="center"/>
          </w:tcPr>
          <w:p w14:paraId="6C9E4628">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《中华人民共和国文物保护法》（2017年修正）</w:t>
            </w:r>
          </w:p>
          <w:p w14:paraId="11CEAE9B">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第四十条：“国有文物收藏单位之间因举办展览、科学研究等需借用馆藏文物的，应当报主管的文物行政部门备案；借用馆藏一级文物的，应当同时报国务院文物行政部门备案。”</w:t>
            </w:r>
          </w:p>
        </w:tc>
        <w:tc>
          <w:tcPr>
            <w:tcW w:w="615"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3BB6292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其他职权</w:t>
            </w: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3DA167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D547A48">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2AB4A568">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不履行或不正确履行职责，有下列情形的行政机关及相关工作人员应当承担相应的责任：</w:t>
            </w:r>
          </w:p>
          <w:p w14:paraId="737E05F5">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滥用审批权限、不履行职责或者发现违法行为不予查处，造成严重后果的，依法给予行政处分，情节严重的，依法开除公职或者吊销其从业资格；构成犯罪的，依法追究刑事责任。</w:t>
            </w: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1D284314">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14:paraId="2E343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05" w:hRule="atLeast"/>
          <w:jc w:val="center"/>
        </w:trPr>
        <w:tc>
          <w:tcPr>
            <w:tcW w:w="678" w:type="dxa"/>
            <w:vMerge w:val="continue"/>
            <w:tcBorders>
              <w:left w:val="single" w:color="auto" w:sz="4" w:space="0"/>
              <w:right w:val="single" w:color="auto" w:sz="4" w:space="0"/>
            </w:tcBorders>
            <w:tcMar>
              <w:top w:w="15" w:type="dxa"/>
              <w:left w:w="15" w:type="dxa"/>
              <w:right w:w="15" w:type="dxa"/>
            </w:tcMar>
            <w:vAlign w:val="center"/>
          </w:tcPr>
          <w:p w14:paraId="55447BB4">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1382" w:type="dxa"/>
            <w:vMerge w:val="continue"/>
            <w:tcBorders>
              <w:left w:val="single" w:color="auto" w:sz="4" w:space="0"/>
              <w:right w:val="single" w:color="auto" w:sz="4" w:space="0"/>
            </w:tcBorders>
            <w:tcMar>
              <w:top w:w="15" w:type="dxa"/>
              <w:left w:w="15" w:type="dxa"/>
              <w:right w:w="15" w:type="dxa"/>
            </w:tcMar>
            <w:vAlign w:val="center"/>
          </w:tcPr>
          <w:p w14:paraId="3C9460E1">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3802" w:type="dxa"/>
            <w:gridSpan w:val="3"/>
            <w:vMerge w:val="continue"/>
            <w:tcBorders>
              <w:left w:val="single" w:color="auto" w:sz="4" w:space="0"/>
              <w:right w:val="single" w:color="auto" w:sz="4" w:space="0"/>
            </w:tcBorders>
            <w:tcMar>
              <w:top w:w="15" w:type="dxa"/>
              <w:left w:w="15" w:type="dxa"/>
              <w:right w:w="15" w:type="dxa"/>
            </w:tcMar>
            <w:vAlign w:val="center"/>
          </w:tcPr>
          <w:p w14:paraId="2737A7A4">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615" w:type="dxa"/>
            <w:gridSpan w:val="2"/>
            <w:vMerge w:val="continue"/>
            <w:tcBorders>
              <w:left w:val="single" w:color="auto" w:sz="4" w:space="0"/>
              <w:right w:val="single" w:color="auto" w:sz="4" w:space="0"/>
            </w:tcBorders>
            <w:tcMar>
              <w:top w:w="15" w:type="dxa"/>
              <w:left w:w="15" w:type="dxa"/>
              <w:right w:w="15" w:type="dxa"/>
            </w:tcMar>
            <w:vAlign w:val="center"/>
          </w:tcPr>
          <w:p w14:paraId="5051E5E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953B13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329FBA5">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17" w:type="dxa"/>
            <w:gridSpan w:val="2"/>
            <w:vMerge w:val="continue"/>
            <w:tcBorders>
              <w:left w:val="single" w:color="auto" w:sz="4" w:space="0"/>
              <w:right w:val="single" w:color="auto" w:sz="4" w:space="0"/>
            </w:tcBorders>
            <w:tcMar>
              <w:top w:w="15" w:type="dxa"/>
              <w:left w:w="15" w:type="dxa"/>
              <w:right w:w="15" w:type="dxa"/>
            </w:tcMar>
            <w:vAlign w:val="center"/>
          </w:tcPr>
          <w:p w14:paraId="4A9C41CC">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42" w:type="dxa"/>
            <w:vMerge w:val="continue"/>
            <w:tcBorders>
              <w:left w:val="single" w:color="auto" w:sz="4" w:space="0"/>
              <w:right w:val="single" w:color="auto" w:sz="4" w:space="0"/>
            </w:tcBorders>
            <w:tcMar>
              <w:top w:w="15" w:type="dxa"/>
              <w:left w:w="15" w:type="dxa"/>
              <w:right w:w="15" w:type="dxa"/>
            </w:tcMar>
            <w:vAlign w:val="center"/>
          </w:tcPr>
          <w:p w14:paraId="228F09EA">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14:paraId="2B6B7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60"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F2769A0">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8D8EDC4">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3802"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3F2E80F">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615"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187876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3EB24D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50A3195">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90DD8EE">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C445E3F">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14:paraId="1E7CC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EDB4EB9">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77A7D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4A74BB1">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6A61D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5"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0CF3AACF">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default" w:ascii="仿宋" w:hAnsi="仿宋" w:eastAsia="仿宋" w:cs="仿宋"/>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t>39</w:t>
            </w:r>
          </w:p>
        </w:tc>
        <w:tc>
          <w:tcPr>
            <w:tcW w:w="138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0FAAC731">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b w:val="0"/>
                <w:bCs w:val="0"/>
                <w:color w:val="auto"/>
                <w:sz w:val="24"/>
                <w:szCs w:val="24"/>
              </w:rPr>
              <w:t>非国有不可移动文物转让、抵押或改变用途备案</w:t>
            </w:r>
          </w:p>
        </w:tc>
        <w:tc>
          <w:tcPr>
            <w:tcW w:w="3802" w:type="dxa"/>
            <w:gridSpan w:val="3"/>
            <w:vMerge w:val="restart"/>
            <w:tcBorders>
              <w:top w:val="single" w:color="auto" w:sz="4" w:space="0"/>
              <w:left w:val="single" w:color="auto" w:sz="4" w:space="0"/>
              <w:right w:val="single" w:color="auto" w:sz="4" w:space="0"/>
            </w:tcBorders>
            <w:tcMar>
              <w:top w:w="15" w:type="dxa"/>
              <w:left w:w="15" w:type="dxa"/>
              <w:right w:w="15" w:type="dxa"/>
            </w:tcMar>
            <w:vAlign w:val="center"/>
          </w:tcPr>
          <w:p w14:paraId="65CD3947">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《中华人民共和国文物保护法》（2017年修正）</w:t>
            </w:r>
          </w:p>
          <w:p w14:paraId="00C4FCE9">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第二十五条第二款，非国有不可移动文物转让、抵押或者改变用途的，应当根据其级别报相应的文物行政部门备案。</w:t>
            </w:r>
          </w:p>
        </w:tc>
        <w:tc>
          <w:tcPr>
            <w:tcW w:w="615"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3E9F7C4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其他职权</w:t>
            </w: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389978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CD46FD6">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332D9E91">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不履行或不正确履行职责，有下列情形的行政机关及相关工作人员应当承担相应的责任：</w:t>
            </w:r>
          </w:p>
          <w:p w14:paraId="17E78F15">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滥用审批权限、不履行职责或者发现违法行为不予查处，造成严重后果的，依法给予行政处分，情节严重的，依法开除公职或者吊销其从业资格；构成犯罪的，依法追究刑事责任。</w:t>
            </w: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11F3E3A9">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14:paraId="5819E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75" w:hRule="atLeast"/>
          <w:jc w:val="center"/>
        </w:trPr>
        <w:tc>
          <w:tcPr>
            <w:tcW w:w="678" w:type="dxa"/>
            <w:vMerge w:val="continue"/>
            <w:tcBorders>
              <w:left w:val="single" w:color="auto" w:sz="4" w:space="0"/>
              <w:right w:val="single" w:color="auto" w:sz="4" w:space="0"/>
            </w:tcBorders>
            <w:tcMar>
              <w:top w:w="15" w:type="dxa"/>
              <w:left w:w="15" w:type="dxa"/>
              <w:right w:w="15" w:type="dxa"/>
            </w:tcMar>
            <w:vAlign w:val="center"/>
          </w:tcPr>
          <w:p w14:paraId="017A5E92">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1382" w:type="dxa"/>
            <w:vMerge w:val="continue"/>
            <w:tcBorders>
              <w:left w:val="single" w:color="auto" w:sz="4" w:space="0"/>
              <w:right w:val="single" w:color="auto" w:sz="4" w:space="0"/>
            </w:tcBorders>
            <w:tcMar>
              <w:top w:w="15" w:type="dxa"/>
              <w:left w:w="15" w:type="dxa"/>
              <w:right w:w="15" w:type="dxa"/>
            </w:tcMar>
            <w:vAlign w:val="center"/>
          </w:tcPr>
          <w:p w14:paraId="22BA1FC2">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3802" w:type="dxa"/>
            <w:gridSpan w:val="3"/>
            <w:vMerge w:val="continue"/>
            <w:tcBorders>
              <w:left w:val="single" w:color="auto" w:sz="4" w:space="0"/>
              <w:right w:val="single" w:color="auto" w:sz="4" w:space="0"/>
            </w:tcBorders>
            <w:tcMar>
              <w:top w:w="15" w:type="dxa"/>
              <w:left w:w="15" w:type="dxa"/>
              <w:right w:w="15" w:type="dxa"/>
            </w:tcMar>
            <w:vAlign w:val="center"/>
          </w:tcPr>
          <w:p w14:paraId="16C7F71E">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615" w:type="dxa"/>
            <w:gridSpan w:val="2"/>
            <w:vMerge w:val="continue"/>
            <w:tcBorders>
              <w:left w:val="single" w:color="auto" w:sz="4" w:space="0"/>
              <w:right w:val="single" w:color="auto" w:sz="4" w:space="0"/>
            </w:tcBorders>
            <w:tcMar>
              <w:top w:w="15" w:type="dxa"/>
              <w:left w:w="15" w:type="dxa"/>
              <w:right w:w="15" w:type="dxa"/>
            </w:tcMar>
            <w:vAlign w:val="center"/>
          </w:tcPr>
          <w:p w14:paraId="3C48AAB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487F38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8054F10">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17" w:type="dxa"/>
            <w:gridSpan w:val="2"/>
            <w:vMerge w:val="continue"/>
            <w:tcBorders>
              <w:left w:val="single" w:color="auto" w:sz="4" w:space="0"/>
              <w:right w:val="single" w:color="auto" w:sz="4" w:space="0"/>
            </w:tcBorders>
            <w:tcMar>
              <w:top w:w="15" w:type="dxa"/>
              <w:left w:w="15" w:type="dxa"/>
              <w:right w:w="15" w:type="dxa"/>
            </w:tcMar>
            <w:vAlign w:val="center"/>
          </w:tcPr>
          <w:p w14:paraId="48F05E78">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42" w:type="dxa"/>
            <w:vMerge w:val="continue"/>
            <w:tcBorders>
              <w:left w:val="single" w:color="auto" w:sz="4" w:space="0"/>
              <w:right w:val="single" w:color="auto" w:sz="4" w:space="0"/>
            </w:tcBorders>
            <w:tcMar>
              <w:top w:w="15" w:type="dxa"/>
              <w:left w:w="15" w:type="dxa"/>
              <w:right w:w="15" w:type="dxa"/>
            </w:tcMar>
            <w:vAlign w:val="center"/>
          </w:tcPr>
          <w:p w14:paraId="723A6E83">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14:paraId="7EB8E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55"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D4BD3BA">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C7D50E5">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3802"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7C39AED">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615"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E1606C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A9D6D8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5F6731C">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AF50F63">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66880E9">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14:paraId="6FF12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F93D2CD">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5D04F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E2BCAA1">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64B36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5"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4C0CDF0E">
            <w:pPr>
              <w:keepNext w:val="0"/>
              <w:keepLines w:val="0"/>
              <w:pageBreakBefore w:val="0"/>
              <w:kinsoku/>
              <w:wordWrap/>
              <w:overflowPunct/>
              <w:topLinePunct w:val="0"/>
              <w:autoSpaceDE/>
              <w:autoSpaceDN/>
              <w:bidi w:val="0"/>
              <w:adjustRightInd/>
              <w:spacing w:line="220" w:lineRule="exact"/>
              <w:ind w:firstLine="0" w:firstLineChars="0"/>
              <w:jc w:val="center"/>
              <w:rPr>
                <w:rFonts w:hint="default" w:ascii="仿宋" w:hAnsi="仿宋" w:eastAsia="仿宋" w:cs="仿宋"/>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40</w:t>
            </w:r>
          </w:p>
        </w:tc>
        <w:tc>
          <w:tcPr>
            <w:tcW w:w="138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49173810">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对外、对港澳台文化旅游交流项目（含引进和派出）申报</w:t>
            </w:r>
          </w:p>
        </w:tc>
        <w:tc>
          <w:tcPr>
            <w:tcW w:w="3802" w:type="dxa"/>
            <w:gridSpan w:val="3"/>
            <w:vMerge w:val="restart"/>
            <w:tcBorders>
              <w:top w:val="single" w:color="auto" w:sz="4" w:space="0"/>
              <w:left w:val="single" w:color="auto" w:sz="4" w:space="0"/>
              <w:right w:val="single" w:color="auto" w:sz="4" w:space="0"/>
            </w:tcBorders>
            <w:tcMar>
              <w:top w:w="15" w:type="dxa"/>
              <w:left w:w="15" w:type="dxa"/>
              <w:right w:w="15" w:type="dxa"/>
            </w:tcMar>
            <w:vAlign w:val="center"/>
          </w:tcPr>
          <w:p w14:paraId="655DCDE7">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1"/>
                <w:szCs w:val="21"/>
                <w:shd w:val="clear" w:color="070000" w:fill="FFFFFF"/>
                <w:lang w:val="en-US" w:eastAsia="zh-CN"/>
              </w:rPr>
            </w:pPr>
            <w:r>
              <w:rPr>
                <w:rFonts w:hint="eastAsia" w:ascii="仿宋" w:hAnsi="仿宋" w:eastAsia="仿宋" w:cs="仿宋"/>
                <w:i w:val="0"/>
                <w:caps w:val="0"/>
                <w:color w:val="auto"/>
                <w:spacing w:val="0"/>
                <w:sz w:val="21"/>
                <w:szCs w:val="21"/>
                <w:shd w:val="clear" w:color="070000" w:fill="FFFFFF"/>
                <w:lang w:val="en-US" w:eastAsia="zh-CN"/>
              </w:rPr>
              <w:t>《文化部涉外文化艺术表演及展览管理规定》</w:t>
            </w:r>
            <w:r>
              <w:rPr>
                <w:rFonts w:hint="eastAsia" w:ascii="仿宋" w:hAnsi="仿宋" w:eastAsia="仿宋" w:cs="仿宋"/>
                <w:i w:val="0"/>
                <w:caps w:val="0"/>
                <w:color w:val="auto"/>
                <w:spacing w:val="0"/>
                <w:sz w:val="21"/>
                <w:szCs w:val="21"/>
                <w:shd w:val="clear" w:color="070000"/>
                <w:lang w:val="en-US" w:eastAsia="zh-CN"/>
              </w:rPr>
              <w:t>（1997年6月27日文化部令第11号颁布，2004年7月1日文化部第32号修订）</w:t>
            </w:r>
            <w:r>
              <w:rPr>
                <w:rFonts w:hint="eastAsia" w:ascii="仿宋" w:hAnsi="仿宋" w:eastAsia="仿宋" w:cs="仿宋"/>
                <w:i w:val="0"/>
                <w:caps w:val="0"/>
                <w:color w:val="auto"/>
                <w:spacing w:val="0"/>
                <w:sz w:val="21"/>
                <w:szCs w:val="21"/>
                <w:shd w:val="clear" w:color="070000" w:fill="FFFFFF"/>
                <w:lang w:val="en-US" w:eastAsia="zh-CN"/>
              </w:rPr>
              <w:t>第四章 项目的审批程序</w:t>
            </w:r>
          </w:p>
          <w:p w14:paraId="45EE1578">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1"/>
                <w:szCs w:val="21"/>
                <w:shd w:val="clear" w:color="070000" w:fill="FFFFFF"/>
                <w:lang w:val="en-US" w:eastAsia="zh-CN"/>
              </w:rPr>
            </w:pPr>
            <w:r>
              <w:rPr>
                <w:rFonts w:hint="eastAsia" w:ascii="仿宋" w:hAnsi="仿宋" w:eastAsia="仿宋" w:cs="仿宋"/>
                <w:i w:val="0"/>
                <w:caps w:val="0"/>
                <w:color w:val="auto"/>
                <w:spacing w:val="0"/>
                <w:sz w:val="21"/>
                <w:szCs w:val="21"/>
                <w:shd w:val="clear" w:color="070000" w:fill="FFFFFF"/>
                <w:lang w:val="en-US" w:eastAsia="zh-CN"/>
              </w:rPr>
              <w:t>第二十一条 项目报批程序：</w:t>
            </w:r>
          </w:p>
          <w:p w14:paraId="201DED22">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1"/>
                <w:szCs w:val="21"/>
                <w:shd w:val="clear" w:color="070000" w:fill="FFFFFF"/>
                <w:lang w:val="en-US" w:eastAsia="zh-CN"/>
              </w:rPr>
            </w:pPr>
            <w:r>
              <w:rPr>
                <w:rFonts w:hint="eastAsia" w:ascii="仿宋" w:hAnsi="仿宋" w:eastAsia="仿宋" w:cs="仿宋"/>
                <w:i w:val="0"/>
                <w:caps w:val="0"/>
                <w:color w:val="auto"/>
                <w:spacing w:val="0"/>
                <w:sz w:val="21"/>
                <w:szCs w:val="21"/>
                <w:shd w:val="clear" w:color="070000" w:fill="FFFFFF"/>
                <w:lang w:val="en-US" w:eastAsia="zh-CN"/>
              </w:rPr>
              <w:t>（一）项目主办（承办）单位按照行政隶属关系，向其所在有对外文化交流任务的中央和国家机关部委、解放军系统和全国性人民团体、省、自治区、直辖市文化厅（局）等主管部门，提出立项申请，并附相关资料；</w:t>
            </w:r>
          </w:p>
          <w:p w14:paraId="6681B61A">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1"/>
                <w:szCs w:val="21"/>
                <w:shd w:val="clear" w:color="070000" w:fill="FFFFFF"/>
                <w:lang w:val="en-US" w:eastAsia="zh-CN"/>
              </w:rPr>
            </w:pPr>
            <w:r>
              <w:rPr>
                <w:rFonts w:hint="eastAsia" w:ascii="仿宋" w:hAnsi="仿宋" w:eastAsia="仿宋" w:cs="仿宋"/>
                <w:i w:val="0"/>
                <w:caps w:val="0"/>
                <w:color w:val="auto"/>
                <w:spacing w:val="0"/>
                <w:sz w:val="21"/>
                <w:szCs w:val="21"/>
                <w:shd w:val="clear" w:color="070000" w:fill="FFFFFF"/>
                <w:lang w:val="en-US" w:eastAsia="zh-CN"/>
              </w:rPr>
              <w:t>（二）上述主管部门对项目申请及相关资料进行审核，认为合格的，报文化部审批。</w:t>
            </w:r>
          </w:p>
          <w:p w14:paraId="0F9E22B3">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1"/>
                <w:szCs w:val="21"/>
                <w:shd w:val="clear" w:color="070000" w:fill="FFFFFF"/>
                <w:lang w:val="en-US" w:eastAsia="zh-CN"/>
              </w:rPr>
            </w:pPr>
            <w:r>
              <w:rPr>
                <w:rFonts w:hint="eastAsia" w:ascii="仿宋" w:hAnsi="仿宋" w:eastAsia="仿宋" w:cs="仿宋"/>
                <w:i w:val="0"/>
                <w:caps w:val="0"/>
                <w:color w:val="auto"/>
                <w:spacing w:val="0"/>
                <w:sz w:val="21"/>
                <w:szCs w:val="21"/>
                <w:shd w:val="clear" w:color="070000" w:fill="FFFFFF"/>
                <w:lang w:val="en-US" w:eastAsia="zh-CN"/>
              </w:rPr>
              <w:t>第二十二条 我国与外国政府间文化协定和合作文件确定的文化艺术表演及展览交流项目，由文化部下达任务通知，各地方、各单位应认真落实。</w:t>
            </w:r>
          </w:p>
          <w:p w14:paraId="5E6A147C">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1"/>
                <w:szCs w:val="21"/>
                <w:shd w:val="clear" w:color="070000" w:fill="FFFFFF"/>
                <w:lang w:val="en-US" w:eastAsia="zh-CN"/>
              </w:rPr>
            </w:pPr>
            <w:r>
              <w:rPr>
                <w:rFonts w:hint="eastAsia" w:ascii="仿宋" w:hAnsi="仿宋" w:eastAsia="仿宋" w:cs="仿宋"/>
                <w:i w:val="0"/>
                <w:caps w:val="0"/>
                <w:color w:val="auto"/>
                <w:spacing w:val="0"/>
                <w:sz w:val="21"/>
                <w:szCs w:val="21"/>
                <w:shd w:val="clear" w:color="070000" w:fill="FFFFFF"/>
                <w:lang w:val="en-US" w:eastAsia="zh-CN"/>
              </w:rPr>
              <w:t>第二十三条 我国与外国通过民间渠道开展的非商业性文化艺术表演及展览交流活动由文化部确定任务，通知有关部门或省、自治区、直辖市文化厅（局）具体实施；或由有对外文化交流资格的机构，通过规定程序，报文化部批准后实施。</w:t>
            </w:r>
          </w:p>
          <w:p w14:paraId="333077A0">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1"/>
                <w:szCs w:val="21"/>
                <w:shd w:val="clear" w:color="070000" w:fill="FFFFFF"/>
                <w:lang w:val="en-US" w:eastAsia="zh-CN"/>
              </w:rPr>
            </w:pPr>
            <w:r>
              <w:rPr>
                <w:rFonts w:hint="eastAsia" w:ascii="仿宋" w:hAnsi="仿宋" w:eastAsia="仿宋" w:cs="仿宋"/>
                <w:i w:val="0"/>
                <w:caps w:val="0"/>
                <w:color w:val="auto"/>
                <w:spacing w:val="0"/>
                <w:sz w:val="21"/>
                <w:szCs w:val="21"/>
                <w:shd w:val="clear" w:color="070000" w:fill="FFFFFF"/>
                <w:lang w:val="en-US" w:eastAsia="zh-CN"/>
              </w:rPr>
              <w:t>第二十四条 我国与外国进行的商业和有偿文化艺术表演及展览（展销）活动，必须由经文化行政部门认定的有对外经营商业和有偿文化艺术表演及展览（展销）资格的机构、场所或团体提出申请，通过其所在地文化厅（局）、有隶属关系的中央或国家机关部委、解放军系统和全国性人民团体，报文化部审批。</w:t>
            </w:r>
          </w:p>
          <w:p w14:paraId="383028D9">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1"/>
                <w:szCs w:val="21"/>
                <w:shd w:val="clear" w:color="070000" w:fill="FFFFFF"/>
                <w:lang w:val="en-US" w:eastAsia="zh-CN"/>
              </w:rPr>
              <w:t>项目经文化部批准后，方可与外方签订正式合同，并报文化部备案。</w:t>
            </w:r>
          </w:p>
        </w:tc>
        <w:tc>
          <w:tcPr>
            <w:tcW w:w="615"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5BF0F4B0">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其他职权</w:t>
            </w: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BB49EE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6EB93E9">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04C1D721">
            <w:pPr>
              <w:keepNext w:val="0"/>
              <w:keepLines w:val="0"/>
              <w:pageBreakBefore w:val="0"/>
              <w:widowControl w:val="0"/>
              <w:kinsoku/>
              <w:wordWrap/>
              <w:overflowPunct/>
              <w:topLinePunct w:val="0"/>
              <w:autoSpaceDE/>
              <w:autoSpaceDN/>
              <w:bidi w:val="0"/>
              <w:adjustRightInd/>
              <w:snapToGrid/>
              <w:spacing w:line="22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有下列行为之一，情节较重的，予以警告、记过或者记大过；情节严重的，予以降级或者撤职：</w:t>
            </w:r>
          </w:p>
          <w:p w14:paraId="4C42F3A4">
            <w:pPr>
              <w:keepNext w:val="0"/>
              <w:keepLines w:val="0"/>
              <w:pageBreakBefore w:val="0"/>
              <w:widowControl w:val="0"/>
              <w:kinsoku/>
              <w:wordWrap/>
              <w:overflowPunct/>
              <w:topLinePunct w:val="0"/>
              <w:autoSpaceDE/>
              <w:autoSpaceDN/>
              <w:bidi w:val="0"/>
              <w:adjustRightInd/>
              <w:snapToGrid/>
              <w:spacing w:line="22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（一）违反规定向管理服务对象收取、摊派财物的；</w:t>
            </w:r>
          </w:p>
          <w:p w14:paraId="435D9F9B">
            <w:pPr>
              <w:keepNext w:val="0"/>
              <w:keepLines w:val="0"/>
              <w:pageBreakBefore w:val="0"/>
              <w:widowControl w:val="0"/>
              <w:kinsoku/>
              <w:wordWrap/>
              <w:overflowPunct/>
              <w:topLinePunct w:val="0"/>
              <w:autoSpaceDE/>
              <w:autoSpaceDN/>
              <w:bidi w:val="0"/>
              <w:adjustRightInd/>
              <w:snapToGrid/>
              <w:spacing w:line="22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（二）在管理服务活动中故意刁难、吃拿卡要的；</w:t>
            </w:r>
          </w:p>
          <w:p w14:paraId="1FAA6C55">
            <w:pPr>
              <w:keepNext w:val="0"/>
              <w:keepLines w:val="0"/>
              <w:pageBreakBefore w:val="0"/>
              <w:widowControl w:val="0"/>
              <w:kinsoku/>
              <w:wordWrap/>
              <w:overflowPunct/>
              <w:topLinePunct w:val="0"/>
              <w:autoSpaceDE/>
              <w:autoSpaceDN/>
              <w:bidi w:val="0"/>
              <w:adjustRightInd/>
              <w:snapToGrid/>
              <w:spacing w:line="22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（三）在管理服务活动中态度恶劣粗暴，造成不良后果或者影响的；</w:t>
            </w:r>
          </w:p>
          <w:p w14:paraId="35EEA9A7">
            <w:pPr>
              <w:keepNext w:val="0"/>
              <w:keepLines w:val="0"/>
              <w:pageBreakBefore w:val="0"/>
              <w:widowControl w:val="0"/>
              <w:kinsoku/>
              <w:wordWrap/>
              <w:overflowPunct/>
              <w:topLinePunct w:val="0"/>
              <w:autoSpaceDE/>
              <w:autoSpaceDN/>
              <w:bidi w:val="0"/>
              <w:adjustRightInd/>
              <w:snapToGrid/>
              <w:spacing w:line="22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（四）不按照规定公开工作信息，侵犯管理服务对象知情权，造成不良后果或者影响的；</w:t>
            </w:r>
          </w:p>
          <w:p w14:paraId="35C1C59C">
            <w:pPr>
              <w:keepNext w:val="0"/>
              <w:keepLines w:val="0"/>
              <w:pageBreakBefore w:val="0"/>
              <w:widowControl w:val="0"/>
              <w:kinsoku/>
              <w:wordWrap/>
              <w:overflowPunct/>
              <w:topLinePunct w:val="0"/>
              <w:autoSpaceDE/>
              <w:autoSpaceDN/>
              <w:bidi w:val="0"/>
              <w:adjustRightInd/>
              <w:snapToGrid/>
              <w:spacing w:line="22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（五）其他侵犯管理服务对象利益的行为，造成不良后果或者影响的。</w:t>
            </w:r>
          </w:p>
          <w:p w14:paraId="67AB01AC">
            <w:pPr>
              <w:keepNext w:val="0"/>
              <w:keepLines w:val="0"/>
              <w:pageBreakBefore w:val="0"/>
              <w:widowControl w:val="0"/>
              <w:kinsoku/>
              <w:wordWrap/>
              <w:overflowPunct/>
              <w:topLinePunct w:val="0"/>
              <w:autoSpaceDE/>
              <w:autoSpaceDN/>
              <w:bidi w:val="0"/>
              <w:adjustRightInd/>
              <w:snapToGrid/>
              <w:spacing w:line="22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有前款第一项、第二项和第五项行为，情节特别严重的，予以开除。</w:t>
            </w:r>
          </w:p>
          <w:p w14:paraId="370BC592">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5B981DBC">
            <w:pPr>
              <w:keepNext w:val="0"/>
              <w:keepLines w:val="0"/>
              <w:pageBreakBefore w:val="0"/>
              <w:kinsoku/>
              <w:wordWrap/>
              <w:overflowPunct/>
              <w:topLinePunct w:val="0"/>
              <w:autoSpaceDE/>
              <w:autoSpaceDN/>
              <w:bidi w:val="0"/>
              <w:adjustRightInd/>
              <w:spacing w:line="220" w:lineRule="exact"/>
              <w:ind w:firstLine="0" w:firstLineChars="0"/>
              <w:jc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14:paraId="49B6C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5" w:hRule="atLeast"/>
          <w:jc w:val="center"/>
        </w:trPr>
        <w:tc>
          <w:tcPr>
            <w:tcW w:w="678" w:type="dxa"/>
            <w:vMerge w:val="continue"/>
            <w:tcBorders>
              <w:left w:val="single" w:color="auto" w:sz="4" w:space="0"/>
              <w:right w:val="single" w:color="auto" w:sz="4" w:space="0"/>
            </w:tcBorders>
            <w:tcMar>
              <w:top w:w="15" w:type="dxa"/>
              <w:left w:w="15" w:type="dxa"/>
              <w:right w:w="15" w:type="dxa"/>
            </w:tcMar>
            <w:vAlign w:val="center"/>
          </w:tcPr>
          <w:p w14:paraId="5A790D15">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c>
          <w:tcPr>
            <w:tcW w:w="1382" w:type="dxa"/>
            <w:vMerge w:val="continue"/>
            <w:tcBorders>
              <w:left w:val="single" w:color="auto" w:sz="4" w:space="0"/>
              <w:right w:val="single" w:color="auto" w:sz="4" w:space="0"/>
            </w:tcBorders>
            <w:tcMar>
              <w:top w:w="15" w:type="dxa"/>
              <w:left w:w="15" w:type="dxa"/>
              <w:right w:w="15" w:type="dxa"/>
            </w:tcMar>
            <w:vAlign w:val="center"/>
          </w:tcPr>
          <w:p w14:paraId="65A78F09">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c>
          <w:tcPr>
            <w:tcW w:w="3802" w:type="dxa"/>
            <w:gridSpan w:val="3"/>
            <w:vMerge w:val="continue"/>
            <w:tcBorders>
              <w:left w:val="single" w:color="auto" w:sz="4" w:space="0"/>
              <w:right w:val="single" w:color="auto" w:sz="4" w:space="0"/>
            </w:tcBorders>
            <w:tcMar>
              <w:top w:w="15" w:type="dxa"/>
              <w:left w:w="15" w:type="dxa"/>
              <w:right w:w="15" w:type="dxa"/>
            </w:tcMar>
            <w:vAlign w:val="center"/>
          </w:tcPr>
          <w:p w14:paraId="25CECA31">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c>
          <w:tcPr>
            <w:tcW w:w="615" w:type="dxa"/>
            <w:gridSpan w:val="2"/>
            <w:vMerge w:val="continue"/>
            <w:tcBorders>
              <w:left w:val="single" w:color="auto" w:sz="4" w:space="0"/>
              <w:right w:val="single" w:color="auto" w:sz="4" w:space="0"/>
            </w:tcBorders>
            <w:tcMar>
              <w:top w:w="15" w:type="dxa"/>
              <w:left w:w="15" w:type="dxa"/>
              <w:right w:w="15" w:type="dxa"/>
            </w:tcMar>
            <w:vAlign w:val="center"/>
          </w:tcPr>
          <w:p w14:paraId="08D01F9F">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431030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7068F78">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17" w:type="dxa"/>
            <w:gridSpan w:val="2"/>
            <w:vMerge w:val="continue"/>
            <w:tcBorders>
              <w:left w:val="single" w:color="auto" w:sz="4" w:space="0"/>
              <w:right w:val="single" w:color="auto" w:sz="4" w:space="0"/>
            </w:tcBorders>
            <w:tcMar>
              <w:top w:w="15" w:type="dxa"/>
              <w:left w:w="15" w:type="dxa"/>
              <w:right w:w="15" w:type="dxa"/>
            </w:tcMar>
            <w:vAlign w:val="center"/>
          </w:tcPr>
          <w:p w14:paraId="0168444B">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c>
          <w:tcPr>
            <w:tcW w:w="1042" w:type="dxa"/>
            <w:vMerge w:val="continue"/>
            <w:tcBorders>
              <w:left w:val="single" w:color="auto" w:sz="4" w:space="0"/>
              <w:right w:val="single" w:color="auto" w:sz="4" w:space="0"/>
            </w:tcBorders>
            <w:tcMar>
              <w:top w:w="15" w:type="dxa"/>
              <w:left w:w="15" w:type="dxa"/>
              <w:right w:w="15" w:type="dxa"/>
            </w:tcMar>
            <w:vAlign w:val="center"/>
          </w:tcPr>
          <w:p w14:paraId="76585F7B">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r>
      <w:tr w14:paraId="09C5D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72B123C">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9B4C29E">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c>
          <w:tcPr>
            <w:tcW w:w="3802"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9F4CD2A">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c>
          <w:tcPr>
            <w:tcW w:w="615"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2E1325F">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8F500D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776EA2F">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3743B11">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E8BD616">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r>
      <w:tr w14:paraId="37F2E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ED82949">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3756B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40E1239">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130ED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0"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3B7F40A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41</w:t>
            </w:r>
          </w:p>
        </w:tc>
        <w:tc>
          <w:tcPr>
            <w:tcW w:w="138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60C655F4">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旅行社统计调查、饭店统计调查</w:t>
            </w:r>
          </w:p>
        </w:tc>
        <w:tc>
          <w:tcPr>
            <w:tcW w:w="3802" w:type="dxa"/>
            <w:gridSpan w:val="3"/>
            <w:vMerge w:val="restart"/>
            <w:tcBorders>
              <w:top w:val="single" w:color="auto" w:sz="4" w:space="0"/>
              <w:left w:val="single" w:color="auto" w:sz="4" w:space="0"/>
              <w:right w:val="single" w:color="auto" w:sz="4" w:space="0"/>
            </w:tcBorders>
            <w:tcMar>
              <w:top w:w="15" w:type="dxa"/>
              <w:left w:w="15" w:type="dxa"/>
              <w:right w:w="15" w:type="dxa"/>
            </w:tcMar>
            <w:vAlign w:val="center"/>
          </w:tcPr>
          <w:p w14:paraId="0F1D4C24">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《旅行社条例》(</w:t>
            </w:r>
            <w:r>
              <w:rPr>
                <w:rFonts w:hint="default" w:ascii="仿宋" w:hAnsi="仿宋" w:eastAsia="仿宋" w:cs="仿宋"/>
                <w:i w:val="0"/>
                <w:caps w:val="0"/>
                <w:color w:val="auto"/>
                <w:spacing w:val="0"/>
                <w:sz w:val="24"/>
                <w:szCs w:val="24"/>
                <w:shd w:val="clear" w:color="070000" w:fill="FFFFFF"/>
                <w:lang w:val="en-US" w:eastAsia="zh-CN"/>
              </w:rPr>
              <w:t>2009年2月20日中华人民共和国国务院令第550号公布根据2016年2月6日《国务院关于修改部分行政法规的决定》第一次修订根据2017年3月1日《国务院关于修改和废止部分行政法规的决定》第二次修订根据</w:t>
            </w:r>
            <w:r>
              <w:rPr>
                <w:rFonts w:hint="eastAsia" w:ascii="仿宋" w:hAnsi="仿宋" w:eastAsia="仿宋" w:cs="仿宋"/>
                <w:i w:val="0"/>
                <w:caps w:val="0"/>
                <w:color w:val="auto"/>
                <w:spacing w:val="0"/>
                <w:sz w:val="24"/>
                <w:szCs w:val="24"/>
                <w:shd w:val="clear" w:color="070000" w:fill="FFFFFF"/>
                <w:lang w:val="en-US" w:eastAsia="zh-CN"/>
              </w:rPr>
              <w:t>2</w:t>
            </w:r>
            <w:r>
              <w:rPr>
                <w:rFonts w:hint="default" w:ascii="仿宋" w:hAnsi="仿宋" w:eastAsia="仿宋" w:cs="仿宋"/>
                <w:i w:val="0"/>
                <w:caps w:val="0"/>
                <w:color w:val="auto"/>
                <w:spacing w:val="0"/>
                <w:sz w:val="24"/>
                <w:szCs w:val="24"/>
                <w:shd w:val="clear" w:color="070000" w:fill="FFFFFF"/>
                <w:lang w:val="en-US" w:eastAsia="zh-CN"/>
              </w:rPr>
              <w:t>020年11月29日《国务院关于修改和废止部分行政法规的决定》第三次修订)</w:t>
            </w:r>
          </w:p>
        </w:tc>
        <w:tc>
          <w:tcPr>
            <w:tcW w:w="615"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46DAB996">
            <w:pPr>
              <w:keepNext w:val="0"/>
              <w:keepLines w:val="0"/>
              <w:pageBreakBefore w:val="0"/>
              <w:kinsoku/>
              <w:wordWrap/>
              <w:overflowPunct/>
              <w:topLinePunct w:val="0"/>
              <w:autoSpaceDE/>
              <w:autoSpaceDN/>
              <w:bidi w:val="0"/>
              <w:adjustRightInd/>
              <w:spacing w:line="220" w:lineRule="exact"/>
              <w:ind w:firstLine="0" w:firstLineChars="0"/>
              <w:jc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其他职权</w:t>
            </w: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0C49E3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21400F4">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1D5CE492">
            <w:pPr>
              <w:keepNext w:val="0"/>
              <w:keepLines w:val="0"/>
              <w:pageBreakBefore w:val="0"/>
              <w:widowControl w:val="0"/>
              <w:kinsoku/>
              <w:wordWrap/>
              <w:overflowPunct/>
              <w:topLinePunct w:val="0"/>
              <w:autoSpaceDE/>
              <w:autoSpaceDN/>
              <w:bidi w:val="0"/>
              <w:adjustRightInd/>
              <w:snapToGrid/>
              <w:spacing w:line="220" w:lineRule="exact"/>
              <w:ind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b w:val="0"/>
                <w:bCs/>
                <w:color w:val="000000"/>
                <w:spacing w:val="0"/>
                <w:w w:val="100"/>
                <w:sz w:val="21"/>
                <w:szCs w:val="21"/>
              </w:rPr>
              <w:t>不履行或不正确履行职责，有下列情形的行政机关及相关工作人员应承担相应的责任：</w:t>
            </w:r>
            <w:r>
              <w:rPr>
                <w:rFonts w:hint="eastAsia" w:ascii="仿宋" w:hAnsi="仿宋" w:eastAsia="仿宋" w:cs="仿宋"/>
                <w:b w:val="0"/>
                <w:bCs/>
                <w:color w:val="000000"/>
                <w:spacing w:val="0"/>
                <w:w w:val="100"/>
                <w:sz w:val="21"/>
                <w:szCs w:val="21"/>
              </w:rPr>
              <w:br w:type="textWrapping"/>
            </w:r>
            <w:r>
              <w:rPr>
                <w:rFonts w:hint="eastAsia" w:ascii="仿宋" w:hAnsi="仿宋" w:eastAsia="仿宋" w:cs="仿宋"/>
                <w:b w:val="0"/>
                <w:bCs/>
                <w:color w:val="000000"/>
                <w:spacing w:val="0"/>
                <w:w w:val="100"/>
                <w:sz w:val="21"/>
                <w:szCs w:val="21"/>
              </w:rPr>
              <w:t>旅游行政管理部门或者其他有关部门及其工作人员有下列情形之一的，对直接负责的主管人员和其他直接责任人员依法给予处分：</w:t>
            </w:r>
            <w:r>
              <w:rPr>
                <w:rFonts w:hint="eastAsia" w:ascii="仿宋" w:hAnsi="仿宋" w:eastAsia="仿宋" w:cs="仿宋"/>
                <w:b w:val="0"/>
                <w:bCs/>
                <w:color w:val="000000"/>
                <w:spacing w:val="0"/>
                <w:w w:val="100"/>
                <w:sz w:val="21"/>
                <w:szCs w:val="21"/>
              </w:rPr>
              <w:br w:type="textWrapping"/>
            </w:r>
            <w:r>
              <w:rPr>
                <w:rFonts w:hint="eastAsia" w:ascii="仿宋" w:hAnsi="仿宋" w:eastAsia="仿宋" w:cs="仿宋"/>
                <w:b w:val="0"/>
                <w:bCs/>
                <w:color w:val="000000"/>
                <w:spacing w:val="0"/>
                <w:w w:val="100"/>
                <w:sz w:val="21"/>
                <w:szCs w:val="21"/>
              </w:rPr>
              <w:t>1.发现违法行为不及时予以处理的；2.未及时公告对旅行社的监督检查情况的；3.未及时处理旅游者投诉并将调查处理的有关情况告知旅游者的；4.接受旅行社的馈赠的；5.参加由旅行社支付费用的购物活动或者游览项目的；6.通过旅行社为自己、亲友或者其他个人、组织牟取私利的。</w:t>
            </w: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48B62014">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14:paraId="11625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0" w:hRule="atLeast"/>
          <w:jc w:val="center"/>
        </w:trPr>
        <w:tc>
          <w:tcPr>
            <w:tcW w:w="678" w:type="dxa"/>
            <w:vMerge w:val="continue"/>
            <w:tcBorders>
              <w:left w:val="single" w:color="auto" w:sz="4" w:space="0"/>
              <w:right w:val="single" w:color="auto" w:sz="4" w:space="0"/>
            </w:tcBorders>
            <w:tcMar>
              <w:top w:w="15" w:type="dxa"/>
              <w:left w:w="15" w:type="dxa"/>
              <w:right w:w="15" w:type="dxa"/>
            </w:tcMar>
            <w:vAlign w:val="center"/>
          </w:tcPr>
          <w:p w14:paraId="3E137F1C">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c>
          <w:tcPr>
            <w:tcW w:w="1382" w:type="dxa"/>
            <w:vMerge w:val="continue"/>
            <w:tcBorders>
              <w:left w:val="single" w:color="auto" w:sz="4" w:space="0"/>
              <w:right w:val="single" w:color="auto" w:sz="4" w:space="0"/>
            </w:tcBorders>
            <w:tcMar>
              <w:top w:w="15" w:type="dxa"/>
              <w:left w:w="15" w:type="dxa"/>
              <w:right w:w="15" w:type="dxa"/>
            </w:tcMar>
            <w:vAlign w:val="center"/>
          </w:tcPr>
          <w:p w14:paraId="7A154C69">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c>
          <w:tcPr>
            <w:tcW w:w="3802" w:type="dxa"/>
            <w:gridSpan w:val="3"/>
            <w:vMerge w:val="continue"/>
            <w:tcBorders>
              <w:left w:val="single" w:color="auto" w:sz="4" w:space="0"/>
              <w:right w:val="single" w:color="auto" w:sz="4" w:space="0"/>
            </w:tcBorders>
            <w:tcMar>
              <w:top w:w="15" w:type="dxa"/>
              <w:left w:w="15" w:type="dxa"/>
              <w:right w:w="15" w:type="dxa"/>
            </w:tcMar>
            <w:vAlign w:val="center"/>
          </w:tcPr>
          <w:p w14:paraId="773A1130">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c>
          <w:tcPr>
            <w:tcW w:w="615" w:type="dxa"/>
            <w:gridSpan w:val="2"/>
            <w:vMerge w:val="continue"/>
            <w:tcBorders>
              <w:left w:val="single" w:color="auto" w:sz="4" w:space="0"/>
              <w:right w:val="single" w:color="auto" w:sz="4" w:space="0"/>
            </w:tcBorders>
            <w:tcMar>
              <w:top w:w="15" w:type="dxa"/>
              <w:left w:w="15" w:type="dxa"/>
              <w:right w:w="15" w:type="dxa"/>
            </w:tcMar>
            <w:vAlign w:val="center"/>
          </w:tcPr>
          <w:p w14:paraId="62AF6254">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AB4586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417229A">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17" w:type="dxa"/>
            <w:gridSpan w:val="2"/>
            <w:vMerge w:val="continue"/>
            <w:tcBorders>
              <w:left w:val="single" w:color="auto" w:sz="4" w:space="0"/>
              <w:right w:val="single" w:color="auto" w:sz="4" w:space="0"/>
            </w:tcBorders>
            <w:tcMar>
              <w:top w:w="15" w:type="dxa"/>
              <w:left w:w="15" w:type="dxa"/>
              <w:right w:w="15" w:type="dxa"/>
            </w:tcMar>
            <w:vAlign w:val="center"/>
          </w:tcPr>
          <w:p w14:paraId="0A8F9DD7">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c>
          <w:tcPr>
            <w:tcW w:w="1042" w:type="dxa"/>
            <w:vMerge w:val="continue"/>
            <w:tcBorders>
              <w:left w:val="single" w:color="auto" w:sz="4" w:space="0"/>
              <w:right w:val="single" w:color="auto" w:sz="4" w:space="0"/>
            </w:tcBorders>
            <w:tcMar>
              <w:top w:w="15" w:type="dxa"/>
              <w:left w:w="15" w:type="dxa"/>
              <w:right w:w="15" w:type="dxa"/>
            </w:tcMar>
            <w:vAlign w:val="center"/>
          </w:tcPr>
          <w:p w14:paraId="36908F4A">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r>
      <w:tr w14:paraId="5C606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0"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0EDBCDF">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5EB0A2D">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c>
          <w:tcPr>
            <w:tcW w:w="3802"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FA93A21">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c>
          <w:tcPr>
            <w:tcW w:w="615"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DD68CEB">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248EDF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4190772">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1D1E348">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401B865">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r>
      <w:tr w14:paraId="214AE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E769747">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3D403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CC2B9D0">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02A00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5"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00F2E11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42</w:t>
            </w:r>
          </w:p>
        </w:tc>
        <w:tc>
          <w:tcPr>
            <w:tcW w:w="138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23EBF0DA">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导游人员从业资格初审</w:t>
            </w:r>
          </w:p>
        </w:tc>
        <w:tc>
          <w:tcPr>
            <w:tcW w:w="3802" w:type="dxa"/>
            <w:gridSpan w:val="3"/>
            <w:vMerge w:val="restart"/>
            <w:tcBorders>
              <w:top w:val="single" w:color="auto" w:sz="4" w:space="0"/>
              <w:left w:val="single" w:color="auto" w:sz="4" w:space="0"/>
              <w:right w:val="single" w:color="auto" w:sz="4" w:space="0"/>
            </w:tcBorders>
            <w:tcMar>
              <w:top w:w="15" w:type="dxa"/>
              <w:left w:w="15" w:type="dxa"/>
              <w:right w:w="15" w:type="dxa"/>
            </w:tcMar>
            <w:vAlign w:val="center"/>
          </w:tcPr>
          <w:p w14:paraId="0D1CA80A">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《导游管理办法》</w:t>
            </w:r>
            <w:r>
              <w:rPr>
                <w:rFonts w:hint="eastAsia" w:ascii="仿宋" w:hAnsi="仿宋" w:eastAsia="仿宋" w:cs="仿宋"/>
                <w:i w:val="0"/>
                <w:caps w:val="0"/>
                <w:color w:val="auto"/>
                <w:spacing w:val="0"/>
                <w:sz w:val="24"/>
                <w:szCs w:val="24"/>
                <w:shd w:val="clear" w:color="070000"/>
                <w:lang w:val="en-US" w:eastAsia="zh-CN"/>
              </w:rPr>
              <w:t>（2017年10月16日国家旅游局第17次局长办公会议审议通过，自2018年1月1日起施行。）</w:t>
            </w:r>
            <w:r>
              <w:rPr>
                <w:rFonts w:hint="eastAsia" w:ascii="仿宋" w:hAnsi="仿宋" w:eastAsia="仿宋" w:cs="仿宋"/>
                <w:i w:val="0"/>
                <w:caps w:val="0"/>
                <w:color w:val="auto"/>
                <w:spacing w:val="0"/>
                <w:sz w:val="24"/>
                <w:szCs w:val="24"/>
                <w:shd w:val="clear" w:color="070000" w:fill="FFFFFF"/>
                <w:lang w:val="en-US" w:eastAsia="zh-CN"/>
              </w:rPr>
              <w:t>第六条 经导游人员资格考试合格的人员，方可取得导游人员资格证。</w:t>
            </w:r>
          </w:p>
          <w:p w14:paraId="390B8BF2">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国家旅游局负责制定全国导游资格考试政策、标准，组织导游资格统一考试，以及对地方各级旅游主管部门导游资格考试实施工作进行监督管理。</w:t>
            </w:r>
          </w:p>
          <w:p w14:paraId="4EBC8C43">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省、自治区、直辖市旅游主管部门负责组织、实施本行政区域内导游资格考试具体工作。</w:t>
            </w:r>
          </w:p>
          <w:p w14:paraId="7E939BD8">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全国导游资格考试管理的具体办法，由国家旅游局另行制定。</w:t>
            </w:r>
          </w:p>
          <w:p w14:paraId="0BC27E93">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第七条　取得导游人员资格证，并与旅行社订立劳动合同或者在旅游行业组织注册的人员，可以通过全国旅游监管服务信息系统向所在地旅游主管部门申请取得导游证。</w:t>
            </w:r>
          </w:p>
        </w:tc>
        <w:tc>
          <w:tcPr>
            <w:tcW w:w="615"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13ED2F77">
            <w:pPr>
              <w:keepNext w:val="0"/>
              <w:keepLines w:val="0"/>
              <w:pageBreakBefore w:val="0"/>
              <w:kinsoku/>
              <w:wordWrap/>
              <w:overflowPunct/>
              <w:topLinePunct w:val="0"/>
              <w:autoSpaceDE/>
              <w:autoSpaceDN/>
              <w:bidi w:val="0"/>
              <w:adjustRightInd/>
              <w:spacing w:line="220" w:lineRule="exact"/>
              <w:ind w:firstLine="0" w:firstLineChars="0"/>
              <w:jc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其他职权</w:t>
            </w: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057150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AD5B997">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3711D583">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不履行或不正确履行职责，有下列情形的行政机关及相关工作人员应当承担相应的责任：旅游主管部门和有关部门的工作人员在履行监督管理职责中，滥用职权、玩忽职守、徇私舞弊，尚不构成犯罪的，依法给予处分。</w:t>
            </w: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7323E978">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14:paraId="3A389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05" w:hRule="atLeast"/>
          <w:jc w:val="center"/>
        </w:trPr>
        <w:tc>
          <w:tcPr>
            <w:tcW w:w="678" w:type="dxa"/>
            <w:vMerge w:val="continue"/>
            <w:tcBorders>
              <w:left w:val="single" w:color="auto" w:sz="4" w:space="0"/>
              <w:right w:val="single" w:color="auto" w:sz="4" w:space="0"/>
            </w:tcBorders>
            <w:tcMar>
              <w:top w:w="15" w:type="dxa"/>
              <w:left w:w="15" w:type="dxa"/>
              <w:right w:w="15" w:type="dxa"/>
            </w:tcMar>
            <w:vAlign w:val="center"/>
          </w:tcPr>
          <w:p w14:paraId="75438AD0">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c>
          <w:tcPr>
            <w:tcW w:w="1382" w:type="dxa"/>
            <w:vMerge w:val="continue"/>
            <w:tcBorders>
              <w:left w:val="single" w:color="auto" w:sz="4" w:space="0"/>
              <w:right w:val="single" w:color="auto" w:sz="4" w:space="0"/>
            </w:tcBorders>
            <w:tcMar>
              <w:top w:w="15" w:type="dxa"/>
              <w:left w:w="15" w:type="dxa"/>
              <w:right w:w="15" w:type="dxa"/>
            </w:tcMar>
            <w:vAlign w:val="center"/>
          </w:tcPr>
          <w:p w14:paraId="06AF615F">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c>
          <w:tcPr>
            <w:tcW w:w="3802" w:type="dxa"/>
            <w:gridSpan w:val="3"/>
            <w:vMerge w:val="continue"/>
            <w:tcBorders>
              <w:left w:val="single" w:color="auto" w:sz="4" w:space="0"/>
              <w:right w:val="single" w:color="auto" w:sz="4" w:space="0"/>
            </w:tcBorders>
            <w:tcMar>
              <w:top w:w="15" w:type="dxa"/>
              <w:left w:w="15" w:type="dxa"/>
              <w:right w:w="15" w:type="dxa"/>
            </w:tcMar>
            <w:vAlign w:val="center"/>
          </w:tcPr>
          <w:p w14:paraId="2D8426DA">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c>
          <w:tcPr>
            <w:tcW w:w="615" w:type="dxa"/>
            <w:gridSpan w:val="2"/>
            <w:vMerge w:val="continue"/>
            <w:tcBorders>
              <w:left w:val="single" w:color="auto" w:sz="4" w:space="0"/>
              <w:right w:val="single" w:color="auto" w:sz="4" w:space="0"/>
            </w:tcBorders>
            <w:tcMar>
              <w:top w:w="15" w:type="dxa"/>
              <w:left w:w="15" w:type="dxa"/>
              <w:right w:w="15" w:type="dxa"/>
            </w:tcMar>
            <w:vAlign w:val="center"/>
          </w:tcPr>
          <w:p w14:paraId="1973F513">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A2468C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83FF6D8">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17" w:type="dxa"/>
            <w:gridSpan w:val="2"/>
            <w:vMerge w:val="continue"/>
            <w:tcBorders>
              <w:left w:val="single" w:color="auto" w:sz="4" w:space="0"/>
              <w:right w:val="single" w:color="auto" w:sz="4" w:space="0"/>
            </w:tcBorders>
            <w:tcMar>
              <w:top w:w="15" w:type="dxa"/>
              <w:left w:w="15" w:type="dxa"/>
              <w:right w:w="15" w:type="dxa"/>
            </w:tcMar>
            <w:vAlign w:val="center"/>
          </w:tcPr>
          <w:p w14:paraId="59866943">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c>
          <w:tcPr>
            <w:tcW w:w="1042" w:type="dxa"/>
            <w:vMerge w:val="continue"/>
            <w:tcBorders>
              <w:left w:val="single" w:color="auto" w:sz="4" w:space="0"/>
              <w:right w:val="single" w:color="auto" w:sz="4" w:space="0"/>
            </w:tcBorders>
            <w:tcMar>
              <w:top w:w="15" w:type="dxa"/>
              <w:left w:w="15" w:type="dxa"/>
              <w:right w:w="15" w:type="dxa"/>
            </w:tcMar>
            <w:vAlign w:val="center"/>
          </w:tcPr>
          <w:p w14:paraId="43650C87">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r>
      <w:tr w14:paraId="5021B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55"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9FA9F28">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C55D5BB">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c>
          <w:tcPr>
            <w:tcW w:w="3802"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EE6F25C">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c>
          <w:tcPr>
            <w:tcW w:w="615"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58AAF5C">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EE0CB51">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C6BCE07">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4D2E2F4">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6BE5F41">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r>
      <w:tr w14:paraId="6A794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2FB08D4">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7B3AE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1BC9F48">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5B6EC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5"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13273FF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仿宋" w:hAnsi="仿宋" w:eastAsia="仿宋" w:cs="仿宋"/>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43</w:t>
            </w:r>
          </w:p>
        </w:tc>
        <w:tc>
          <w:tcPr>
            <w:tcW w:w="138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5E18B745">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导游证、领队人员资格审核</w:t>
            </w:r>
          </w:p>
        </w:tc>
        <w:tc>
          <w:tcPr>
            <w:tcW w:w="3802" w:type="dxa"/>
            <w:gridSpan w:val="3"/>
            <w:vMerge w:val="restart"/>
            <w:tcBorders>
              <w:top w:val="single" w:color="auto" w:sz="4" w:space="0"/>
              <w:left w:val="single" w:color="auto" w:sz="4" w:space="0"/>
              <w:right w:val="single" w:color="auto" w:sz="4" w:space="0"/>
            </w:tcBorders>
            <w:tcMar>
              <w:top w:w="15" w:type="dxa"/>
              <w:left w:w="15" w:type="dxa"/>
              <w:right w:w="15" w:type="dxa"/>
            </w:tcMar>
            <w:vAlign w:val="center"/>
          </w:tcPr>
          <w:p w14:paraId="401FDB46">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《导游管理办法》</w:t>
            </w:r>
            <w:r>
              <w:rPr>
                <w:rFonts w:hint="eastAsia" w:ascii="仿宋" w:hAnsi="仿宋" w:eastAsia="仿宋" w:cs="仿宋"/>
                <w:i w:val="0"/>
                <w:caps w:val="0"/>
                <w:color w:val="auto"/>
                <w:spacing w:val="0"/>
                <w:sz w:val="24"/>
                <w:szCs w:val="24"/>
                <w:shd w:val="clear" w:color="070000"/>
                <w:lang w:val="en-US" w:eastAsia="zh-CN"/>
              </w:rPr>
              <w:t>（2017年10月16日国家旅游局第17次局长办公会议审议通过，自2018年1月1日起施行。）</w:t>
            </w:r>
            <w:r>
              <w:rPr>
                <w:rFonts w:hint="eastAsia" w:ascii="仿宋" w:hAnsi="仿宋" w:eastAsia="仿宋" w:cs="仿宋"/>
                <w:i w:val="0"/>
                <w:caps w:val="0"/>
                <w:color w:val="auto"/>
                <w:spacing w:val="0"/>
                <w:kern w:val="2"/>
                <w:sz w:val="24"/>
                <w:szCs w:val="24"/>
                <w:shd w:val="clear" w:color="070000" w:fill="FFFFFF"/>
                <w:lang w:val="en-US" w:eastAsia="zh-CN" w:bidi="ar-SA"/>
              </w:rPr>
              <w:t>第十一条所在地旅游主管部门对申请人提出的取得导游证的申请，应当依法出具受理或者不予受理的书面凭证。需补正相关材料的，应当自收到申请材料之日起5个工作日内一次性告知申请人需要补正的全部内容；逾期不告知的，收到材料之日起即为受理。</w:t>
            </w:r>
          </w:p>
          <w:p w14:paraId="6C67D665">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24"/>
                <w:szCs w:val="24"/>
                <w:shd w:val="clear" w:color="070000" w:fill="FFFFFF"/>
                <w:lang w:val="en-US" w:eastAsia="zh-CN" w:bidi="ar-SA"/>
              </w:rPr>
              <w:t>所在地旅游主管部门应当自受理申请之日起10个工作日内，作出准予核发或者不予核发导游证的决定。</w:t>
            </w:r>
          </w:p>
          <w:p w14:paraId="45A10401">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不予核发的，应当书面告知申请人理由。</w:t>
            </w:r>
          </w:p>
        </w:tc>
        <w:tc>
          <w:tcPr>
            <w:tcW w:w="615"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26B865BF">
            <w:pPr>
              <w:keepNext w:val="0"/>
              <w:keepLines w:val="0"/>
              <w:pageBreakBefore w:val="0"/>
              <w:kinsoku/>
              <w:wordWrap/>
              <w:overflowPunct/>
              <w:topLinePunct w:val="0"/>
              <w:autoSpaceDE/>
              <w:autoSpaceDN/>
              <w:bidi w:val="0"/>
              <w:adjustRightInd/>
              <w:spacing w:line="220" w:lineRule="exact"/>
              <w:ind w:firstLine="0" w:firstLineChars="0"/>
              <w:jc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其他职权</w:t>
            </w: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8989AD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04EE590">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526EEFFF">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不履行或不正确履行职责，有下列情形的行政机关及相关工作人员应当承担相应的责任：旅游主管部门和有关部门的工作人员在履行监督管理职责中，滥用职权、玩忽职守、徇私舞弊，尚不构成犯罪的，依法给予处分。</w:t>
            </w: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00BDACFC">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14:paraId="46AE6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0" w:hRule="atLeast"/>
          <w:jc w:val="center"/>
        </w:trPr>
        <w:tc>
          <w:tcPr>
            <w:tcW w:w="678" w:type="dxa"/>
            <w:vMerge w:val="continue"/>
            <w:tcBorders>
              <w:left w:val="single" w:color="auto" w:sz="4" w:space="0"/>
              <w:right w:val="single" w:color="auto" w:sz="4" w:space="0"/>
            </w:tcBorders>
            <w:tcMar>
              <w:top w:w="15" w:type="dxa"/>
              <w:left w:w="15" w:type="dxa"/>
              <w:right w:w="15" w:type="dxa"/>
            </w:tcMar>
            <w:vAlign w:val="center"/>
          </w:tcPr>
          <w:p w14:paraId="11E3D9DC">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c>
          <w:tcPr>
            <w:tcW w:w="1382" w:type="dxa"/>
            <w:vMerge w:val="continue"/>
            <w:tcBorders>
              <w:left w:val="single" w:color="auto" w:sz="4" w:space="0"/>
              <w:right w:val="single" w:color="auto" w:sz="4" w:space="0"/>
            </w:tcBorders>
            <w:tcMar>
              <w:top w:w="15" w:type="dxa"/>
              <w:left w:w="15" w:type="dxa"/>
              <w:right w:w="15" w:type="dxa"/>
            </w:tcMar>
            <w:vAlign w:val="center"/>
          </w:tcPr>
          <w:p w14:paraId="7086A42B">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c>
          <w:tcPr>
            <w:tcW w:w="3802" w:type="dxa"/>
            <w:gridSpan w:val="3"/>
            <w:vMerge w:val="continue"/>
            <w:tcBorders>
              <w:left w:val="single" w:color="auto" w:sz="4" w:space="0"/>
              <w:right w:val="single" w:color="auto" w:sz="4" w:space="0"/>
            </w:tcBorders>
            <w:tcMar>
              <w:top w:w="15" w:type="dxa"/>
              <w:left w:w="15" w:type="dxa"/>
              <w:right w:w="15" w:type="dxa"/>
            </w:tcMar>
            <w:vAlign w:val="center"/>
          </w:tcPr>
          <w:p w14:paraId="3D4E4F91">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c>
          <w:tcPr>
            <w:tcW w:w="615" w:type="dxa"/>
            <w:gridSpan w:val="2"/>
            <w:vMerge w:val="continue"/>
            <w:tcBorders>
              <w:left w:val="single" w:color="auto" w:sz="4" w:space="0"/>
              <w:right w:val="single" w:color="auto" w:sz="4" w:space="0"/>
            </w:tcBorders>
            <w:tcMar>
              <w:top w:w="15" w:type="dxa"/>
              <w:left w:w="15" w:type="dxa"/>
              <w:right w:w="15" w:type="dxa"/>
            </w:tcMar>
            <w:vAlign w:val="center"/>
          </w:tcPr>
          <w:p w14:paraId="48417D8C">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6FC884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521C75F">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17" w:type="dxa"/>
            <w:gridSpan w:val="2"/>
            <w:vMerge w:val="continue"/>
            <w:tcBorders>
              <w:left w:val="single" w:color="auto" w:sz="4" w:space="0"/>
              <w:right w:val="single" w:color="auto" w:sz="4" w:space="0"/>
            </w:tcBorders>
            <w:tcMar>
              <w:top w:w="15" w:type="dxa"/>
              <w:left w:w="15" w:type="dxa"/>
              <w:right w:w="15" w:type="dxa"/>
            </w:tcMar>
            <w:vAlign w:val="center"/>
          </w:tcPr>
          <w:p w14:paraId="578D92D6">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c>
          <w:tcPr>
            <w:tcW w:w="1042" w:type="dxa"/>
            <w:vMerge w:val="continue"/>
            <w:tcBorders>
              <w:left w:val="single" w:color="auto" w:sz="4" w:space="0"/>
              <w:right w:val="single" w:color="auto" w:sz="4" w:space="0"/>
            </w:tcBorders>
            <w:tcMar>
              <w:top w:w="15" w:type="dxa"/>
              <w:left w:w="15" w:type="dxa"/>
              <w:right w:w="15" w:type="dxa"/>
            </w:tcMar>
            <w:vAlign w:val="center"/>
          </w:tcPr>
          <w:p w14:paraId="10DDFF4D">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r>
      <w:tr w14:paraId="75AD5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80"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1654A91">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756DAA8">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c>
          <w:tcPr>
            <w:tcW w:w="3802"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7465F1E">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c>
          <w:tcPr>
            <w:tcW w:w="615"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3D52B49">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EF32D2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24AFE90">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ACD9939">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6DC5F2B">
            <w:pPr>
              <w:keepNext w:val="0"/>
              <w:keepLines w:val="0"/>
              <w:pageBreakBefore w:val="0"/>
              <w:kinsoku/>
              <w:wordWrap/>
              <w:overflowPunct/>
              <w:topLinePunct w:val="0"/>
              <w:autoSpaceDE/>
              <w:autoSpaceDN/>
              <w:bidi w:val="0"/>
              <w:adjustRightInd/>
              <w:spacing w:line="220" w:lineRule="exact"/>
              <w:ind w:firstLine="0" w:firstLineChars="0"/>
              <w:jc w:val="both"/>
              <w:rPr>
                <w:rFonts w:hint="eastAsia" w:ascii="仿宋" w:hAnsi="仿宋" w:eastAsia="仿宋" w:cs="仿宋"/>
                <w:i w:val="0"/>
                <w:caps w:val="0"/>
                <w:color w:val="auto"/>
                <w:spacing w:val="0"/>
                <w:sz w:val="24"/>
                <w:szCs w:val="24"/>
                <w:shd w:val="clear" w:color="070000" w:fill="FFFFFF"/>
                <w:lang w:val="en-US" w:eastAsia="zh-CN"/>
              </w:rPr>
            </w:pPr>
          </w:p>
        </w:tc>
      </w:tr>
      <w:tr w14:paraId="20572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FE51F87">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71277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585F07F">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04ABA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0"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29A0A162">
            <w:pPr>
              <w:keepNext w:val="0"/>
              <w:keepLines w:val="0"/>
              <w:pageBreakBefore w:val="0"/>
              <w:widowControl w:val="0"/>
              <w:kinsoku/>
              <w:wordWrap/>
              <w:overflowPunct/>
              <w:topLinePunct w:val="0"/>
              <w:autoSpaceDE/>
              <w:autoSpaceDN w:val="0"/>
              <w:bidi w:val="0"/>
              <w:adjustRightInd/>
              <w:snapToGrid w:val="0"/>
              <w:spacing w:line="360" w:lineRule="auto"/>
              <w:ind w:firstLine="0" w:firstLineChars="0"/>
              <w:jc w:val="center"/>
              <w:textAlignment w:val="center"/>
              <w:rPr>
                <w:rFonts w:hint="default" w:ascii="仿宋" w:hAnsi="仿宋" w:eastAsia="仿宋" w:cs="仿宋"/>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t>44</w:t>
            </w:r>
          </w:p>
        </w:tc>
        <w:tc>
          <w:tcPr>
            <w:tcW w:w="138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29BC0FC0">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b w:val="0"/>
                <w:bCs w:val="0"/>
                <w:color w:val="auto"/>
                <w:sz w:val="24"/>
                <w:szCs w:val="24"/>
              </w:rPr>
              <w:t>旅游景区质量等级的划分与评定</w:t>
            </w:r>
          </w:p>
        </w:tc>
        <w:tc>
          <w:tcPr>
            <w:tcW w:w="3802" w:type="dxa"/>
            <w:gridSpan w:val="3"/>
            <w:vMerge w:val="restart"/>
            <w:tcBorders>
              <w:top w:val="single" w:color="auto" w:sz="4" w:space="0"/>
              <w:left w:val="single" w:color="auto" w:sz="4" w:space="0"/>
              <w:right w:val="single" w:color="auto" w:sz="4" w:space="0"/>
            </w:tcBorders>
            <w:tcMar>
              <w:top w:w="15" w:type="dxa"/>
              <w:left w:w="15" w:type="dxa"/>
              <w:right w:w="15" w:type="dxa"/>
            </w:tcMar>
            <w:vAlign w:val="center"/>
          </w:tcPr>
          <w:p w14:paraId="7581D25B">
            <w:pPr>
              <w:keepNext w:val="0"/>
              <w:keepLines w:val="0"/>
              <w:pageBreakBefore w:val="0"/>
              <w:widowControl w:val="0"/>
              <w:kinsoku/>
              <w:wordWrap/>
              <w:overflowPunct/>
              <w:topLinePunct w:val="0"/>
              <w:autoSpaceDE/>
              <w:autoSpaceDN w:val="0"/>
              <w:bidi w:val="0"/>
              <w:adjustRightInd/>
              <w:snapToGrid w:val="0"/>
              <w:spacing w:line="200" w:lineRule="exact"/>
              <w:ind w:left="0" w:leftChars="0" w:firstLine="0" w:firstLineChars="0"/>
              <w:jc w:val="both"/>
              <w:textAlignment w:val="center"/>
              <w:rPr>
                <w:rFonts w:hint="eastAsia" w:ascii="仿宋" w:hAnsi="仿宋" w:eastAsia="仿宋" w:cs="仿宋"/>
                <w:i w:val="0"/>
                <w:caps w:val="0"/>
                <w:color w:val="auto"/>
                <w:spacing w:val="0"/>
                <w:kern w:val="2"/>
                <w:sz w:val="20"/>
                <w:szCs w:val="20"/>
                <w:shd w:val="clear" w:color="070000" w:fill="FFFFFF"/>
                <w:lang w:val="en-US" w:eastAsia="zh-CN" w:bidi="ar-SA"/>
              </w:rPr>
            </w:pPr>
            <w:r>
              <w:rPr>
                <w:rFonts w:hint="eastAsia" w:ascii="仿宋" w:hAnsi="仿宋" w:eastAsia="仿宋" w:cs="仿宋"/>
                <w:i w:val="0"/>
                <w:caps w:val="0"/>
                <w:color w:val="auto"/>
                <w:spacing w:val="0"/>
                <w:kern w:val="2"/>
                <w:sz w:val="20"/>
                <w:szCs w:val="20"/>
                <w:shd w:val="clear" w:color="070000" w:fill="FFFFFF"/>
                <w:lang w:val="en-US" w:eastAsia="zh-CN" w:bidi="ar-SA"/>
              </w:rPr>
              <w:t>《旅游景区质量等级的划分与评定》国家标准（GB/T17775-2003）及评定细则</w:t>
            </w:r>
            <w:r>
              <w:rPr>
                <w:rFonts w:hint="eastAsia" w:ascii="仿宋" w:hAnsi="仿宋" w:eastAsia="仿宋" w:cs="仿宋"/>
                <w:i w:val="0"/>
                <w:caps w:val="0"/>
                <w:color w:val="auto"/>
                <w:spacing w:val="0"/>
                <w:kern w:val="2"/>
                <w:sz w:val="20"/>
                <w:szCs w:val="20"/>
                <w:shd w:val="clear" w:color="070000"/>
                <w:lang w:val="en-US" w:eastAsia="zh-CN" w:bidi="ar-SA"/>
              </w:rPr>
              <w:t>（根据《旅游景区质量等级评定管理办法》（国家旅游局局令第 23 号）和《旅游景区质量等级的划分与评定》国家标准（GB/T17775-2003）的相关规定制定本细则）</w:t>
            </w:r>
            <w:r>
              <w:rPr>
                <w:rFonts w:hint="eastAsia" w:ascii="仿宋" w:hAnsi="仿宋" w:eastAsia="仿宋" w:cs="仿宋"/>
                <w:i w:val="0"/>
                <w:caps w:val="0"/>
                <w:color w:val="auto"/>
                <w:spacing w:val="0"/>
                <w:kern w:val="2"/>
                <w:sz w:val="20"/>
                <w:szCs w:val="20"/>
                <w:shd w:val="clear" w:color="070000" w:fill="FFFFFF"/>
                <w:lang w:val="en-US" w:eastAsia="zh-CN" w:bidi="ar-SA"/>
              </w:rPr>
              <w:t>，《旅游景区质量等级管理办法》（旅办发〔2012〕166号）《关于对旅游景区质量等级管理工作中若干问题的解释》（资源函[2020]27号）《河南省旅游景区质量等级管理办法》（豫文旅资源〔2021〕8 号）第二章 申报与评定</w:t>
            </w:r>
          </w:p>
          <w:p w14:paraId="0171F27F">
            <w:pPr>
              <w:keepNext w:val="0"/>
              <w:keepLines w:val="0"/>
              <w:pageBreakBefore w:val="0"/>
              <w:widowControl w:val="0"/>
              <w:kinsoku/>
              <w:wordWrap/>
              <w:overflowPunct/>
              <w:topLinePunct w:val="0"/>
              <w:autoSpaceDE/>
              <w:autoSpaceDN w:val="0"/>
              <w:bidi w:val="0"/>
              <w:adjustRightInd/>
              <w:snapToGrid w:val="0"/>
              <w:spacing w:line="200" w:lineRule="exact"/>
              <w:ind w:left="0" w:leftChars="0" w:firstLine="0" w:firstLineChars="0"/>
              <w:jc w:val="both"/>
              <w:textAlignment w:val="center"/>
              <w:rPr>
                <w:rFonts w:hint="eastAsia" w:ascii="仿宋" w:hAnsi="仿宋" w:eastAsia="仿宋" w:cs="仿宋"/>
                <w:i w:val="0"/>
                <w:caps w:val="0"/>
                <w:color w:val="auto"/>
                <w:spacing w:val="0"/>
                <w:kern w:val="2"/>
                <w:sz w:val="20"/>
                <w:szCs w:val="20"/>
                <w:shd w:val="clear" w:color="070000" w:fill="FFFFFF"/>
                <w:lang w:val="en-US" w:eastAsia="zh-CN" w:bidi="ar-SA"/>
              </w:rPr>
            </w:pPr>
            <w:r>
              <w:rPr>
                <w:rFonts w:hint="eastAsia" w:ascii="仿宋" w:hAnsi="仿宋" w:eastAsia="仿宋" w:cs="仿宋"/>
                <w:i w:val="0"/>
                <w:caps w:val="0"/>
                <w:color w:val="auto"/>
                <w:spacing w:val="0"/>
                <w:kern w:val="2"/>
                <w:sz w:val="20"/>
                <w:szCs w:val="20"/>
                <w:shd w:val="clear" w:color="070000" w:fill="FFFFFF"/>
                <w:lang w:val="en-US" w:eastAsia="zh-CN" w:bidi="ar-SA"/>
              </w:rPr>
              <w:t>第七条旅游景区申报质量等级，应当具备下列条件：</w:t>
            </w:r>
          </w:p>
          <w:p w14:paraId="7924ABC9">
            <w:pPr>
              <w:keepNext w:val="0"/>
              <w:keepLines w:val="0"/>
              <w:pageBreakBefore w:val="0"/>
              <w:widowControl w:val="0"/>
              <w:kinsoku/>
              <w:wordWrap/>
              <w:overflowPunct/>
              <w:topLinePunct w:val="0"/>
              <w:autoSpaceDE/>
              <w:autoSpaceDN w:val="0"/>
              <w:bidi w:val="0"/>
              <w:adjustRightInd/>
              <w:snapToGrid w:val="0"/>
              <w:spacing w:line="200" w:lineRule="exact"/>
              <w:ind w:left="0" w:leftChars="0" w:firstLine="0" w:firstLineChars="0"/>
              <w:jc w:val="both"/>
              <w:textAlignment w:val="center"/>
              <w:rPr>
                <w:rFonts w:hint="eastAsia" w:ascii="仿宋" w:hAnsi="仿宋" w:eastAsia="仿宋" w:cs="仿宋"/>
                <w:i w:val="0"/>
                <w:caps w:val="0"/>
                <w:color w:val="auto"/>
                <w:spacing w:val="0"/>
                <w:kern w:val="2"/>
                <w:sz w:val="20"/>
                <w:szCs w:val="20"/>
                <w:shd w:val="clear" w:color="070000" w:fill="FFFFFF"/>
                <w:lang w:val="en-US" w:eastAsia="zh-CN" w:bidi="ar-SA"/>
              </w:rPr>
            </w:pPr>
            <w:r>
              <w:rPr>
                <w:rFonts w:hint="eastAsia" w:ascii="仿宋" w:hAnsi="仿宋" w:eastAsia="仿宋" w:cs="仿宋"/>
                <w:i w:val="0"/>
                <w:caps w:val="0"/>
                <w:color w:val="auto"/>
                <w:spacing w:val="0"/>
                <w:kern w:val="2"/>
                <w:sz w:val="20"/>
                <w:szCs w:val="20"/>
                <w:shd w:val="clear" w:color="070000" w:fill="FFFFFF"/>
                <w:lang w:val="en-US" w:eastAsia="zh-CN" w:bidi="ar-SA"/>
              </w:rPr>
              <w:t>（一）依托自然、历史文化或者其他旅游资源，以提供游览服务为主要功能，有明确的空间边界，有必要的旅游服务设施，以弘扬传播社会主义核心价值观为主要导向；</w:t>
            </w:r>
          </w:p>
          <w:p w14:paraId="1CD18DFB">
            <w:pPr>
              <w:keepNext w:val="0"/>
              <w:keepLines w:val="0"/>
              <w:pageBreakBefore w:val="0"/>
              <w:widowControl w:val="0"/>
              <w:kinsoku/>
              <w:wordWrap/>
              <w:overflowPunct/>
              <w:topLinePunct w:val="0"/>
              <w:autoSpaceDE/>
              <w:autoSpaceDN w:val="0"/>
              <w:bidi w:val="0"/>
              <w:adjustRightInd/>
              <w:snapToGrid w:val="0"/>
              <w:spacing w:line="200" w:lineRule="exact"/>
              <w:ind w:left="0" w:leftChars="0" w:firstLine="0" w:firstLineChars="0"/>
              <w:jc w:val="both"/>
              <w:textAlignment w:val="center"/>
              <w:rPr>
                <w:rFonts w:hint="eastAsia" w:ascii="仿宋" w:hAnsi="仿宋" w:eastAsia="仿宋" w:cs="仿宋"/>
                <w:i w:val="0"/>
                <w:caps w:val="0"/>
                <w:color w:val="auto"/>
                <w:spacing w:val="0"/>
                <w:kern w:val="2"/>
                <w:sz w:val="20"/>
                <w:szCs w:val="20"/>
                <w:shd w:val="clear" w:color="070000" w:fill="FFFFFF"/>
                <w:lang w:val="en-US" w:eastAsia="zh-CN" w:bidi="ar-SA"/>
              </w:rPr>
            </w:pPr>
            <w:r>
              <w:rPr>
                <w:rFonts w:hint="eastAsia" w:ascii="仿宋" w:hAnsi="仿宋" w:eastAsia="仿宋" w:cs="仿宋"/>
                <w:i w:val="0"/>
                <w:caps w:val="0"/>
                <w:color w:val="auto"/>
                <w:spacing w:val="0"/>
                <w:kern w:val="2"/>
                <w:sz w:val="20"/>
                <w:szCs w:val="20"/>
                <w:shd w:val="clear" w:color="070000" w:fill="FFFFFF"/>
                <w:lang w:val="en-US" w:eastAsia="zh-CN" w:bidi="ar-SA"/>
              </w:rPr>
              <w:t>商贸场所、城市公共服务场所不以游览服务为主要功能的场所申报A级旅游景区的，原则上不予受理。</w:t>
            </w:r>
          </w:p>
          <w:p w14:paraId="01C7100A">
            <w:pPr>
              <w:keepNext w:val="0"/>
              <w:keepLines w:val="0"/>
              <w:pageBreakBefore w:val="0"/>
              <w:widowControl w:val="0"/>
              <w:kinsoku/>
              <w:wordWrap/>
              <w:overflowPunct/>
              <w:topLinePunct w:val="0"/>
              <w:autoSpaceDE/>
              <w:autoSpaceDN w:val="0"/>
              <w:bidi w:val="0"/>
              <w:adjustRightInd/>
              <w:snapToGrid w:val="0"/>
              <w:spacing w:line="200" w:lineRule="exact"/>
              <w:ind w:left="0" w:leftChars="0" w:firstLine="0" w:firstLineChars="0"/>
              <w:jc w:val="both"/>
              <w:textAlignment w:val="center"/>
              <w:rPr>
                <w:rFonts w:hint="eastAsia" w:ascii="仿宋" w:hAnsi="仿宋" w:eastAsia="仿宋" w:cs="仿宋"/>
                <w:i w:val="0"/>
                <w:caps w:val="0"/>
                <w:color w:val="auto"/>
                <w:spacing w:val="0"/>
                <w:kern w:val="2"/>
                <w:sz w:val="20"/>
                <w:szCs w:val="20"/>
                <w:shd w:val="clear" w:color="070000" w:fill="FFFFFF"/>
                <w:lang w:val="en-US" w:eastAsia="zh-CN" w:bidi="ar-SA"/>
              </w:rPr>
            </w:pPr>
            <w:r>
              <w:rPr>
                <w:rFonts w:hint="eastAsia" w:ascii="仿宋" w:hAnsi="仿宋" w:eastAsia="仿宋" w:cs="仿宋"/>
                <w:i w:val="0"/>
                <w:caps w:val="0"/>
                <w:color w:val="auto"/>
                <w:spacing w:val="0"/>
                <w:kern w:val="2"/>
                <w:sz w:val="20"/>
                <w:szCs w:val="20"/>
                <w:shd w:val="clear" w:color="070000" w:fill="FFFFFF"/>
                <w:lang w:val="en-US" w:eastAsia="zh-CN" w:bidi="ar-SA"/>
              </w:rPr>
              <w:t>（二）有统一的管理或者运营机构，且其无严重违法违规等行为记录；</w:t>
            </w:r>
          </w:p>
          <w:p w14:paraId="346B0D7A">
            <w:pPr>
              <w:keepNext w:val="0"/>
              <w:keepLines w:val="0"/>
              <w:pageBreakBefore w:val="0"/>
              <w:widowControl w:val="0"/>
              <w:kinsoku/>
              <w:wordWrap/>
              <w:overflowPunct/>
              <w:topLinePunct w:val="0"/>
              <w:autoSpaceDE/>
              <w:autoSpaceDN w:val="0"/>
              <w:bidi w:val="0"/>
              <w:adjustRightInd/>
              <w:snapToGrid w:val="0"/>
              <w:spacing w:line="200" w:lineRule="exact"/>
              <w:ind w:left="0" w:leftChars="0" w:firstLine="0" w:firstLineChars="0"/>
              <w:jc w:val="both"/>
              <w:textAlignment w:val="center"/>
              <w:rPr>
                <w:rFonts w:hint="eastAsia" w:ascii="仿宋" w:hAnsi="仿宋" w:eastAsia="仿宋" w:cs="仿宋"/>
                <w:i w:val="0"/>
                <w:caps w:val="0"/>
                <w:color w:val="auto"/>
                <w:spacing w:val="0"/>
                <w:kern w:val="2"/>
                <w:sz w:val="20"/>
                <w:szCs w:val="20"/>
                <w:shd w:val="clear" w:color="070000" w:fill="FFFFFF"/>
                <w:lang w:val="en-US" w:eastAsia="zh-CN" w:bidi="ar-SA"/>
              </w:rPr>
            </w:pPr>
            <w:r>
              <w:rPr>
                <w:rFonts w:hint="eastAsia" w:ascii="仿宋" w:hAnsi="仿宋" w:eastAsia="仿宋" w:cs="仿宋"/>
                <w:i w:val="0"/>
                <w:caps w:val="0"/>
                <w:color w:val="auto"/>
                <w:spacing w:val="0"/>
                <w:kern w:val="2"/>
                <w:sz w:val="20"/>
                <w:szCs w:val="20"/>
                <w:shd w:val="clear" w:color="070000" w:fill="FFFFFF"/>
                <w:lang w:val="en-US" w:eastAsia="zh-CN" w:bidi="ar-SA"/>
              </w:rPr>
              <w:t>（三）有必要的安全设施及制度，经过安全风险评估，满足安全条件；有必要的环境保护设施和生态保护措施；</w:t>
            </w:r>
          </w:p>
          <w:p w14:paraId="70197860">
            <w:pPr>
              <w:keepNext w:val="0"/>
              <w:keepLines w:val="0"/>
              <w:pageBreakBefore w:val="0"/>
              <w:widowControl w:val="0"/>
              <w:kinsoku/>
              <w:wordWrap/>
              <w:overflowPunct/>
              <w:topLinePunct w:val="0"/>
              <w:autoSpaceDE/>
              <w:autoSpaceDN w:val="0"/>
              <w:bidi w:val="0"/>
              <w:adjustRightInd/>
              <w:snapToGrid w:val="0"/>
              <w:spacing w:line="200" w:lineRule="exact"/>
              <w:ind w:left="0" w:leftChars="0" w:firstLine="0" w:firstLineChars="0"/>
              <w:jc w:val="both"/>
              <w:textAlignment w:val="center"/>
              <w:rPr>
                <w:rFonts w:hint="eastAsia" w:ascii="仿宋" w:hAnsi="仿宋" w:eastAsia="仿宋" w:cs="仿宋"/>
                <w:i w:val="0"/>
                <w:caps w:val="0"/>
                <w:color w:val="auto"/>
                <w:spacing w:val="0"/>
                <w:kern w:val="2"/>
                <w:sz w:val="20"/>
                <w:szCs w:val="20"/>
                <w:shd w:val="clear" w:color="070000" w:fill="FFFFFF"/>
                <w:lang w:val="en-US" w:eastAsia="zh-CN" w:bidi="ar-SA"/>
              </w:rPr>
            </w:pPr>
            <w:r>
              <w:rPr>
                <w:rFonts w:hint="eastAsia" w:ascii="仿宋" w:hAnsi="仿宋" w:eastAsia="仿宋" w:cs="仿宋"/>
                <w:i w:val="0"/>
                <w:caps w:val="0"/>
                <w:color w:val="auto"/>
                <w:spacing w:val="0"/>
                <w:kern w:val="2"/>
                <w:sz w:val="20"/>
                <w:szCs w:val="20"/>
                <w:shd w:val="clear" w:color="070000" w:fill="FFFFFF"/>
                <w:lang w:val="en-US" w:eastAsia="zh-CN" w:bidi="ar-SA"/>
              </w:rPr>
              <w:t>（四）正式开放运营1年以上。</w:t>
            </w:r>
          </w:p>
          <w:p w14:paraId="32FB9267">
            <w:pPr>
              <w:keepNext w:val="0"/>
              <w:keepLines w:val="0"/>
              <w:pageBreakBefore w:val="0"/>
              <w:widowControl w:val="0"/>
              <w:kinsoku/>
              <w:wordWrap/>
              <w:overflowPunct/>
              <w:topLinePunct w:val="0"/>
              <w:autoSpaceDE/>
              <w:autoSpaceDN w:val="0"/>
              <w:bidi w:val="0"/>
              <w:adjustRightInd/>
              <w:snapToGrid w:val="0"/>
              <w:spacing w:line="200" w:lineRule="exact"/>
              <w:ind w:left="0" w:leftChars="0" w:firstLine="0" w:firstLineChars="0"/>
              <w:jc w:val="both"/>
              <w:textAlignment w:val="center"/>
              <w:rPr>
                <w:rFonts w:hint="eastAsia" w:ascii="仿宋" w:hAnsi="仿宋" w:eastAsia="仿宋" w:cs="仿宋"/>
                <w:i w:val="0"/>
                <w:caps w:val="0"/>
                <w:color w:val="auto"/>
                <w:spacing w:val="0"/>
                <w:kern w:val="2"/>
                <w:sz w:val="20"/>
                <w:szCs w:val="20"/>
                <w:shd w:val="clear" w:color="070000" w:fill="FFFFFF"/>
                <w:lang w:val="en-US" w:eastAsia="zh-CN" w:bidi="ar-SA"/>
              </w:rPr>
            </w:pPr>
            <w:r>
              <w:rPr>
                <w:rFonts w:hint="eastAsia" w:ascii="仿宋" w:hAnsi="仿宋" w:eastAsia="仿宋" w:cs="仿宋"/>
                <w:i w:val="0"/>
                <w:caps w:val="0"/>
                <w:color w:val="auto"/>
                <w:spacing w:val="0"/>
                <w:kern w:val="2"/>
                <w:sz w:val="20"/>
                <w:szCs w:val="20"/>
                <w:shd w:val="clear" w:color="070000" w:fill="FFFFFF"/>
                <w:lang w:val="en-US" w:eastAsia="zh-CN" w:bidi="ar-SA"/>
              </w:rPr>
              <w:t>（五）景区智慧化建设达到相应钻级标准，有较完善的预约服务平台。</w:t>
            </w:r>
          </w:p>
          <w:p w14:paraId="7B74ACBC">
            <w:pPr>
              <w:keepNext w:val="0"/>
              <w:keepLines w:val="0"/>
              <w:pageBreakBefore w:val="0"/>
              <w:widowControl w:val="0"/>
              <w:kinsoku/>
              <w:wordWrap/>
              <w:overflowPunct/>
              <w:topLinePunct w:val="0"/>
              <w:autoSpaceDE/>
              <w:autoSpaceDN w:val="0"/>
              <w:bidi w:val="0"/>
              <w:adjustRightInd/>
              <w:snapToGrid w:val="0"/>
              <w:spacing w:line="200" w:lineRule="exact"/>
              <w:ind w:left="0" w:leftChars="0" w:firstLine="0" w:firstLineChars="0"/>
              <w:jc w:val="both"/>
              <w:textAlignment w:val="center"/>
              <w:rPr>
                <w:rFonts w:hint="eastAsia" w:ascii="仿宋" w:hAnsi="仿宋" w:eastAsia="仿宋" w:cs="仿宋"/>
                <w:i w:val="0"/>
                <w:caps w:val="0"/>
                <w:color w:val="auto"/>
                <w:spacing w:val="0"/>
                <w:kern w:val="2"/>
                <w:sz w:val="20"/>
                <w:szCs w:val="20"/>
                <w:shd w:val="clear" w:color="070000" w:fill="FFFFFF"/>
                <w:lang w:val="en-US" w:eastAsia="zh-CN" w:bidi="ar-SA"/>
              </w:rPr>
            </w:pPr>
            <w:r>
              <w:rPr>
                <w:rFonts w:hint="eastAsia" w:ascii="仿宋" w:hAnsi="仿宋" w:eastAsia="仿宋" w:cs="仿宋"/>
                <w:i w:val="0"/>
                <w:caps w:val="0"/>
                <w:color w:val="auto"/>
                <w:spacing w:val="0"/>
                <w:kern w:val="2"/>
                <w:sz w:val="20"/>
                <w:szCs w:val="20"/>
                <w:shd w:val="clear" w:color="070000" w:fill="FFFFFF"/>
                <w:lang w:val="en-US" w:eastAsia="zh-CN" w:bidi="ar-SA"/>
              </w:rPr>
              <w:t>（六）申报 5A级质量等级的，应当取得 4A级质量等级3年以上。</w:t>
            </w:r>
          </w:p>
          <w:p w14:paraId="5250CD62">
            <w:pPr>
              <w:keepNext w:val="0"/>
              <w:keepLines w:val="0"/>
              <w:pageBreakBefore w:val="0"/>
              <w:widowControl w:val="0"/>
              <w:kinsoku/>
              <w:wordWrap/>
              <w:overflowPunct/>
              <w:topLinePunct w:val="0"/>
              <w:autoSpaceDE/>
              <w:autoSpaceDN w:val="0"/>
              <w:bidi w:val="0"/>
              <w:adjustRightInd/>
              <w:snapToGrid w:val="0"/>
              <w:spacing w:line="200" w:lineRule="exact"/>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0"/>
                <w:szCs w:val="20"/>
                <w:shd w:val="clear" w:color="070000" w:fill="FFFFFF"/>
                <w:lang w:val="en-US" w:eastAsia="zh-CN" w:bidi="ar-SA"/>
              </w:rPr>
              <w:t>对2个以上的A级旅游景区联合申报新等级的，各景区均应当符合前款规定的要求，且相互之间关联紧密，交通连接方便快捷，经营管理机构、形象标识、服务标准统一。</w:t>
            </w:r>
          </w:p>
        </w:tc>
        <w:tc>
          <w:tcPr>
            <w:tcW w:w="615"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27CCCEA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b w:val="0"/>
                <w:bCs w:val="0"/>
                <w:color w:val="auto"/>
                <w:sz w:val="24"/>
                <w:szCs w:val="24"/>
                <w:lang w:val="en-US" w:eastAsia="zh-CN"/>
              </w:rPr>
              <w:t>其他职权</w:t>
            </w: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233723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BA4DB85">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7D21B85C">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有下列行为之一，情节较重的，予以警告、记过或者记大过；情节严重的，予以降级或者撤职：</w:t>
            </w:r>
          </w:p>
          <w:p w14:paraId="2BB4BA84">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（一）违反规定向管理服务对象收取、摊派财物的；</w:t>
            </w:r>
          </w:p>
          <w:p w14:paraId="3ADCD87E">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（二）在管理服务活动中故意刁难、吃拿卡要的；</w:t>
            </w:r>
          </w:p>
          <w:p w14:paraId="43C8EAB7">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（三）在管理服务活动中态度恶劣粗暴，造成不良后果或者影响的；</w:t>
            </w:r>
          </w:p>
          <w:p w14:paraId="269D180C">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（四）不按照规定公开工作信息，侵犯管理服务对象知情权，造成不良后果或者影响的；</w:t>
            </w:r>
          </w:p>
          <w:p w14:paraId="49426F8D">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（五）其他侵犯管理服务对象利益的行为，造成不良后果或者影响的。</w:t>
            </w:r>
          </w:p>
          <w:p w14:paraId="52196C12">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有前款第一项、第二项和第五项行为，情节特别严重的，予以开除。</w:t>
            </w: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12592688">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14:paraId="20FA7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0" w:hRule="atLeast"/>
          <w:jc w:val="center"/>
        </w:trPr>
        <w:tc>
          <w:tcPr>
            <w:tcW w:w="678" w:type="dxa"/>
            <w:vMerge w:val="continue"/>
            <w:tcBorders>
              <w:left w:val="single" w:color="auto" w:sz="4" w:space="0"/>
              <w:right w:val="single" w:color="auto" w:sz="4" w:space="0"/>
            </w:tcBorders>
            <w:tcMar>
              <w:top w:w="15" w:type="dxa"/>
              <w:left w:w="15" w:type="dxa"/>
              <w:right w:w="15" w:type="dxa"/>
            </w:tcMar>
            <w:vAlign w:val="center"/>
          </w:tcPr>
          <w:p w14:paraId="094A2A38">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1382" w:type="dxa"/>
            <w:vMerge w:val="continue"/>
            <w:tcBorders>
              <w:left w:val="single" w:color="auto" w:sz="4" w:space="0"/>
              <w:right w:val="single" w:color="auto" w:sz="4" w:space="0"/>
            </w:tcBorders>
            <w:tcMar>
              <w:top w:w="15" w:type="dxa"/>
              <w:left w:w="15" w:type="dxa"/>
              <w:right w:w="15" w:type="dxa"/>
            </w:tcMar>
            <w:vAlign w:val="center"/>
          </w:tcPr>
          <w:p w14:paraId="228C427A">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3802" w:type="dxa"/>
            <w:gridSpan w:val="3"/>
            <w:vMerge w:val="continue"/>
            <w:tcBorders>
              <w:left w:val="single" w:color="auto" w:sz="4" w:space="0"/>
              <w:right w:val="single" w:color="auto" w:sz="4" w:space="0"/>
            </w:tcBorders>
            <w:tcMar>
              <w:top w:w="15" w:type="dxa"/>
              <w:left w:w="15" w:type="dxa"/>
              <w:right w:w="15" w:type="dxa"/>
            </w:tcMar>
            <w:vAlign w:val="center"/>
          </w:tcPr>
          <w:p w14:paraId="611DA5EA">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615" w:type="dxa"/>
            <w:gridSpan w:val="2"/>
            <w:vMerge w:val="continue"/>
            <w:tcBorders>
              <w:left w:val="single" w:color="auto" w:sz="4" w:space="0"/>
              <w:right w:val="single" w:color="auto" w:sz="4" w:space="0"/>
            </w:tcBorders>
            <w:tcMar>
              <w:top w:w="15" w:type="dxa"/>
              <w:left w:w="15" w:type="dxa"/>
              <w:right w:w="15" w:type="dxa"/>
            </w:tcMar>
            <w:vAlign w:val="center"/>
          </w:tcPr>
          <w:p w14:paraId="622A053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B8AFF8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A691E86">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17" w:type="dxa"/>
            <w:gridSpan w:val="2"/>
            <w:vMerge w:val="continue"/>
            <w:tcBorders>
              <w:left w:val="single" w:color="auto" w:sz="4" w:space="0"/>
              <w:right w:val="single" w:color="auto" w:sz="4" w:space="0"/>
            </w:tcBorders>
            <w:tcMar>
              <w:top w:w="15" w:type="dxa"/>
              <w:left w:w="15" w:type="dxa"/>
              <w:right w:w="15" w:type="dxa"/>
            </w:tcMar>
            <w:vAlign w:val="center"/>
          </w:tcPr>
          <w:p w14:paraId="63B57470">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42" w:type="dxa"/>
            <w:vMerge w:val="continue"/>
            <w:tcBorders>
              <w:left w:val="single" w:color="auto" w:sz="4" w:space="0"/>
              <w:right w:val="single" w:color="auto" w:sz="4" w:space="0"/>
            </w:tcBorders>
            <w:tcMar>
              <w:top w:w="15" w:type="dxa"/>
              <w:left w:w="15" w:type="dxa"/>
              <w:right w:w="15" w:type="dxa"/>
            </w:tcMar>
            <w:vAlign w:val="center"/>
          </w:tcPr>
          <w:p w14:paraId="336C8227">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14:paraId="64F3B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5"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27FAE53">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317FE7D">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3802"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EE8C768">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615"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45DB82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70BD07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9FF8002">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C25A63F">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5D302A1">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14:paraId="67EB7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7F9230E">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363ED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449399A">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1F5A1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60"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6B9CA931">
            <w:pPr>
              <w:keepNext w:val="0"/>
              <w:keepLines w:val="0"/>
              <w:pageBreakBefore w:val="0"/>
              <w:widowControl w:val="0"/>
              <w:kinsoku/>
              <w:wordWrap/>
              <w:overflowPunct/>
              <w:topLinePunct w:val="0"/>
              <w:autoSpaceDE/>
              <w:autoSpaceDN w:val="0"/>
              <w:bidi w:val="0"/>
              <w:adjustRightInd/>
              <w:snapToGrid w:val="0"/>
              <w:spacing w:line="360" w:lineRule="auto"/>
              <w:ind w:firstLine="0" w:firstLineChars="0"/>
              <w:jc w:val="center"/>
              <w:textAlignment w:val="center"/>
              <w:rPr>
                <w:rFonts w:hint="default" w:ascii="仿宋" w:hAnsi="仿宋" w:eastAsia="仿宋" w:cs="仿宋"/>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t>45</w:t>
            </w:r>
          </w:p>
        </w:tc>
        <w:tc>
          <w:tcPr>
            <w:tcW w:w="1389"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7B6E49CC">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b w:val="0"/>
                <w:bCs w:val="0"/>
                <w:color w:val="auto"/>
                <w:sz w:val="24"/>
                <w:szCs w:val="24"/>
              </w:rPr>
              <w:t>旅游饭店星级的划分与评定</w:t>
            </w:r>
          </w:p>
        </w:tc>
        <w:tc>
          <w:tcPr>
            <w:tcW w:w="3795"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4F6DE1EB">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旅游饭店星级的划分与评定》（GB/T14308-2010）（2010年10月18日发布，2011年1月1日实施）附录A“必备项目检查表”。该表规定了各星级必须具备的硬件设施和服务项目。要求相应星级的每个项目都必须达标，缺一不可。附录B“设施设备评分表”（硬件表，共600分）。该表主要是对饭店硬件设施的档次进行评价打分。三、四、五星级规定最低得分线：三星220分、四星320分、五星420分，一、二星级不作要求。附录C“饭店运营质量评价表”（软件表，共600分）。该表主要是评价饭店的“软件”，包括对饭店各项服务的基本流程、设施维护保养和清洁卫生方面的评价。三、四、五星级规定最低得分率：三星70%、四星80%、五星85%，一、二星级不作要求。</w:t>
            </w:r>
          </w:p>
        </w:tc>
        <w:tc>
          <w:tcPr>
            <w:tcW w:w="615"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29BE971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b w:val="0"/>
                <w:bCs w:val="0"/>
                <w:color w:val="auto"/>
                <w:sz w:val="24"/>
                <w:szCs w:val="24"/>
                <w:lang w:val="en-US" w:eastAsia="zh-CN"/>
              </w:rPr>
              <w:t>其他职权</w:t>
            </w:r>
          </w:p>
        </w:tc>
        <w:tc>
          <w:tcPr>
            <w:tcW w:w="615"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73F7A8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0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2001550">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15"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275D9BDD">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有下列行为之一，情节较重的，予以警告、记过或者记大过；情节严重的，予以降级或者撤职：</w:t>
            </w:r>
          </w:p>
          <w:p w14:paraId="73706888">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（一）违反规定向管理服务对象收取、摊派财物的；</w:t>
            </w:r>
          </w:p>
          <w:p w14:paraId="7D230B9D">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（二）在管理服务活动中故意刁难、吃拿卡要的；</w:t>
            </w:r>
          </w:p>
          <w:p w14:paraId="52F6929E">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（三）在管理服务活动中态度恶劣粗暴，造成不良后果或者影响的；</w:t>
            </w:r>
          </w:p>
          <w:p w14:paraId="0771F972">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（四）不按照规定公开工作信息，侵犯管理服务对象知情权，造成不良后果或者影响的；</w:t>
            </w:r>
          </w:p>
          <w:p w14:paraId="1C83112C">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（五）其他侵犯管理服务对象利益的行为，造成不良后果或者影响的。</w:t>
            </w:r>
          </w:p>
          <w:p w14:paraId="5E7A13F5">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有前款第一项、第二项和第五项行为，情节特别严重的，予以开除。</w:t>
            </w:r>
          </w:p>
        </w:tc>
        <w:tc>
          <w:tcPr>
            <w:tcW w:w="1044"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22EB3281">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14:paraId="57342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40" w:hRule="atLeast"/>
          <w:jc w:val="center"/>
        </w:trPr>
        <w:tc>
          <w:tcPr>
            <w:tcW w:w="678" w:type="dxa"/>
            <w:vMerge w:val="continue"/>
            <w:tcBorders>
              <w:left w:val="single" w:color="auto" w:sz="4" w:space="0"/>
              <w:right w:val="single" w:color="auto" w:sz="4" w:space="0"/>
            </w:tcBorders>
            <w:tcMar>
              <w:top w:w="15" w:type="dxa"/>
              <w:left w:w="15" w:type="dxa"/>
              <w:right w:w="15" w:type="dxa"/>
            </w:tcMar>
            <w:vAlign w:val="center"/>
          </w:tcPr>
          <w:p w14:paraId="5CBFD525">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1389" w:type="dxa"/>
            <w:gridSpan w:val="2"/>
            <w:vMerge w:val="continue"/>
            <w:tcBorders>
              <w:left w:val="single" w:color="auto" w:sz="4" w:space="0"/>
              <w:right w:val="single" w:color="auto" w:sz="4" w:space="0"/>
            </w:tcBorders>
            <w:tcMar>
              <w:top w:w="15" w:type="dxa"/>
              <w:left w:w="15" w:type="dxa"/>
              <w:right w:w="15" w:type="dxa"/>
            </w:tcMar>
            <w:vAlign w:val="center"/>
          </w:tcPr>
          <w:p w14:paraId="5351D7C2">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3795" w:type="dxa"/>
            <w:gridSpan w:val="2"/>
            <w:vMerge w:val="continue"/>
            <w:tcBorders>
              <w:left w:val="single" w:color="auto" w:sz="4" w:space="0"/>
              <w:right w:val="single" w:color="auto" w:sz="4" w:space="0"/>
            </w:tcBorders>
            <w:tcMar>
              <w:top w:w="15" w:type="dxa"/>
              <w:left w:w="15" w:type="dxa"/>
              <w:right w:w="15" w:type="dxa"/>
            </w:tcMar>
            <w:vAlign w:val="center"/>
          </w:tcPr>
          <w:p w14:paraId="6F4F749D">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615" w:type="dxa"/>
            <w:gridSpan w:val="2"/>
            <w:vMerge w:val="continue"/>
            <w:tcBorders>
              <w:left w:val="single" w:color="auto" w:sz="4" w:space="0"/>
              <w:right w:val="single" w:color="auto" w:sz="4" w:space="0"/>
            </w:tcBorders>
            <w:tcMar>
              <w:top w:w="15" w:type="dxa"/>
              <w:left w:w="15" w:type="dxa"/>
              <w:right w:w="15" w:type="dxa"/>
            </w:tcMar>
            <w:vAlign w:val="center"/>
          </w:tcPr>
          <w:p w14:paraId="0049BA9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D9DDE0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0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900165C">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15" w:type="dxa"/>
            <w:vMerge w:val="continue"/>
            <w:tcBorders>
              <w:left w:val="single" w:color="auto" w:sz="4" w:space="0"/>
              <w:right w:val="single" w:color="auto" w:sz="4" w:space="0"/>
            </w:tcBorders>
            <w:tcMar>
              <w:top w:w="15" w:type="dxa"/>
              <w:left w:w="15" w:type="dxa"/>
              <w:right w:w="15" w:type="dxa"/>
            </w:tcMar>
            <w:vAlign w:val="center"/>
          </w:tcPr>
          <w:p w14:paraId="7BD8B168">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44" w:type="dxa"/>
            <w:gridSpan w:val="2"/>
            <w:vMerge w:val="continue"/>
            <w:tcBorders>
              <w:left w:val="single" w:color="auto" w:sz="4" w:space="0"/>
              <w:right w:val="single" w:color="auto" w:sz="4" w:space="0"/>
            </w:tcBorders>
            <w:tcMar>
              <w:top w:w="15" w:type="dxa"/>
              <w:left w:w="15" w:type="dxa"/>
              <w:right w:w="15" w:type="dxa"/>
            </w:tcMar>
            <w:vAlign w:val="center"/>
          </w:tcPr>
          <w:p w14:paraId="2AEB8A82">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14:paraId="47A87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5"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196ADF9">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1389"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FC3AC4F">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3795"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F8A878D">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615"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544871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15"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9F4D8F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0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81E14D1">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1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35F39EF">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44"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480CAB8">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14:paraId="5CD36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B33902C">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031B6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E8D52BA">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1EB22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5"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0AB76FE1">
            <w:pPr>
              <w:keepNext w:val="0"/>
              <w:keepLines w:val="0"/>
              <w:pageBreakBefore w:val="0"/>
              <w:widowControl w:val="0"/>
              <w:kinsoku/>
              <w:wordWrap/>
              <w:overflowPunct/>
              <w:topLinePunct w:val="0"/>
              <w:autoSpaceDE/>
              <w:autoSpaceDN w:val="0"/>
              <w:bidi w:val="0"/>
              <w:adjustRightInd/>
              <w:snapToGrid w:val="0"/>
              <w:spacing w:line="360" w:lineRule="auto"/>
              <w:ind w:firstLine="0" w:firstLineChars="0"/>
              <w:jc w:val="center"/>
              <w:textAlignment w:val="center"/>
              <w:rPr>
                <w:rFonts w:hint="default" w:ascii="仿宋" w:hAnsi="仿宋" w:eastAsia="仿宋" w:cs="仿宋"/>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t>46</w:t>
            </w:r>
          </w:p>
        </w:tc>
        <w:tc>
          <w:tcPr>
            <w:tcW w:w="138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37EB07B3">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b w:val="0"/>
                <w:bCs w:val="0"/>
                <w:color w:val="auto"/>
                <w:sz w:val="24"/>
                <w:szCs w:val="24"/>
                <w:lang w:val="en-US" w:eastAsia="zh-CN"/>
              </w:rPr>
              <w:t>文化志愿者备案</w:t>
            </w:r>
          </w:p>
        </w:tc>
        <w:tc>
          <w:tcPr>
            <w:tcW w:w="3802" w:type="dxa"/>
            <w:gridSpan w:val="3"/>
            <w:vMerge w:val="restart"/>
            <w:tcBorders>
              <w:top w:val="single" w:color="auto" w:sz="4" w:space="0"/>
              <w:left w:val="single" w:color="auto" w:sz="4" w:space="0"/>
              <w:right w:val="single" w:color="auto" w:sz="4" w:space="0"/>
            </w:tcBorders>
            <w:tcMar>
              <w:top w:w="15" w:type="dxa"/>
              <w:left w:w="15" w:type="dxa"/>
              <w:right w:w="15" w:type="dxa"/>
            </w:tcMar>
            <w:vAlign w:val="center"/>
          </w:tcPr>
          <w:p w14:paraId="72E8A986">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文化部《文化志愿服务管理办法》文公共发〔2016〕15号（2016年7月14日发布）</w:t>
            </w:r>
          </w:p>
        </w:tc>
        <w:tc>
          <w:tcPr>
            <w:tcW w:w="615"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3F7A065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其他职权</w:t>
            </w: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7CEB7E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0A0C26B">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3792A85C">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2"/>
                <w:szCs w:val="22"/>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因不履行或不正确履行行政职责，有下列情形的行政机关及相关工作人员应承担相应的责任：</w:t>
            </w:r>
          </w:p>
          <w:p w14:paraId="299B2BE1">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2"/>
                <w:szCs w:val="22"/>
                <w:shd w:val="clear" w:color="070000" w:fill="FFFFFF"/>
                <w:lang w:val="en-US" w:eastAsia="zh-CN"/>
              </w:rPr>
              <w:t>1. 对符合法定条件的项目申请不予受理、核准的；2. 对不符合法定条件的项目予以受理、核准的；3. 擅自增设、变更项目核准程序或核准条件的；4. 未在法定时限内作出审核决定的；5. 擅自变更、延续、撤销已审核项目的；6. 在项目监管中滥用职权、玩忽职守，造成较大损失的；7. 索取或者收受他人财物或者谋取其他利益的；8. 其他违反法律法规政策规定的行为。</w:t>
            </w: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3CDF5239">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14:paraId="7A083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0" w:hRule="atLeast"/>
          <w:jc w:val="center"/>
        </w:trPr>
        <w:tc>
          <w:tcPr>
            <w:tcW w:w="678" w:type="dxa"/>
            <w:vMerge w:val="continue"/>
            <w:tcBorders>
              <w:left w:val="single" w:color="auto" w:sz="4" w:space="0"/>
              <w:right w:val="single" w:color="auto" w:sz="4" w:space="0"/>
            </w:tcBorders>
            <w:tcMar>
              <w:top w:w="15" w:type="dxa"/>
              <w:left w:w="15" w:type="dxa"/>
              <w:right w:w="15" w:type="dxa"/>
            </w:tcMar>
            <w:vAlign w:val="center"/>
          </w:tcPr>
          <w:p w14:paraId="4FB67142">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1382" w:type="dxa"/>
            <w:vMerge w:val="continue"/>
            <w:tcBorders>
              <w:left w:val="single" w:color="auto" w:sz="4" w:space="0"/>
              <w:right w:val="single" w:color="auto" w:sz="4" w:space="0"/>
            </w:tcBorders>
            <w:tcMar>
              <w:top w:w="15" w:type="dxa"/>
              <w:left w:w="15" w:type="dxa"/>
              <w:right w:w="15" w:type="dxa"/>
            </w:tcMar>
            <w:vAlign w:val="center"/>
          </w:tcPr>
          <w:p w14:paraId="09FE3732">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3802" w:type="dxa"/>
            <w:gridSpan w:val="3"/>
            <w:vMerge w:val="continue"/>
            <w:tcBorders>
              <w:left w:val="single" w:color="auto" w:sz="4" w:space="0"/>
              <w:right w:val="single" w:color="auto" w:sz="4" w:space="0"/>
            </w:tcBorders>
            <w:tcMar>
              <w:top w:w="15" w:type="dxa"/>
              <w:left w:w="15" w:type="dxa"/>
              <w:right w:w="15" w:type="dxa"/>
            </w:tcMar>
            <w:vAlign w:val="center"/>
          </w:tcPr>
          <w:p w14:paraId="46218246">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615" w:type="dxa"/>
            <w:gridSpan w:val="2"/>
            <w:vMerge w:val="continue"/>
            <w:tcBorders>
              <w:left w:val="single" w:color="auto" w:sz="4" w:space="0"/>
              <w:right w:val="single" w:color="auto" w:sz="4" w:space="0"/>
            </w:tcBorders>
            <w:tcMar>
              <w:top w:w="15" w:type="dxa"/>
              <w:left w:w="15" w:type="dxa"/>
              <w:right w:w="15" w:type="dxa"/>
            </w:tcMar>
            <w:vAlign w:val="center"/>
          </w:tcPr>
          <w:p w14:paraId="52CC267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01171F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FE34B4F">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17" w:type="dxa"/>
            <w:gridSpan w:val="2"/>
            <w:vMerge w:val="continue"/>
            <w:tcBorders>
              <w:left w:val="single" w:color="auto" w:sz="4" w:space="0"/>
              <w:right w:val="single" w:color="auto" w:sz="4" w:space="0"/>
            </w:tcBorders>
            <w:tcMar>
              <w:top w:w="15" w:type="dxa"/>
              <w:left w:w="15" w:type="dxa"/>
              <w:right w:w="15" w:type="dxa"/>
            </w:tcMar>
            <w:vAlign w:val="center"/>
          </w:tcPr>
          <w:p w14:paraId="5D41F977">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42" w:type="dxa"/>
            <w:vMerge w:val="continue"/>
            <w:tcBorders>
              <w:left w:val="single" w:color="auto" w:sz="4" w:space="0"/>
              <w:right w:val="single" w:color="auto" w:sz="4" w:space="0"/>
            </w:tcBorders>
            <w:tcMar>
              <w:top w:w="15" w:type="dxa"/>
              <w:left w:w="15" w:type="dxa"/>
              <w:right w:w="15" w:type="dxa"/>
            </w:tcMar>
            <w:vAlign w:val="center"/>
          </w:tcPr>
          <w:p w14:paraId="287B5CF9">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14:paraId="49C2E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4C6930E">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4D29D36">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3802"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5BD3AE9">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615"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0B0D19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030638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13D5CA0">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FA7A471">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031957E">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14:paraId="28C4B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0FFF027">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59A47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ED3753F">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35C17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5"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3F7AA524">
            <w:pPr>
              <w:keepNext w:val="0"/>
              <w:keepLines w:val="0"/>
              <w:pageBreakBefore w:val="0"/>
              <w:widowControl w:val="0"/>
              <w:kinsoku/>
              <w:wordWrap/>
              <w:overflowPunct/>
              <w:topLinePunct w:val="0"/>
              <w:autoSpaceDE/>
              <w:autoSpaceDN w:val="0"/>
              <w:bidi w:val="0"/>
              <w:adjustRightInd/>
              <w:snapToGrid w:val="0"/>
              <w:spacing w:line="360" w:lineRule="auto"/>
              <w:ind w:firstLine="0" w:firstLineChars="0"/>
              <w:jc w:val="center"/>
              <w:textAlignment w:val="center"/>
              <w:rPr>
                <w:rFonts w:hint="default" w:ascii="仿宋" w:hAnsi="仿宋" w:eastAsia="仿宋" w:cs="仿宋"/>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t>47</w:t>
            </w:r>
          </w:p>
        </w:tc>
        <w:tc>
          <w:tcPr>
            <w:tcW w:w="138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2F4BF8F1">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b w:val="0"/>
                <w:bCs w:val="0"/>
                <w:color w:val="auto"/>
                <w:sz w:val="24"/>
                <w:szCs w:val="24"/>
                <w:lang w:val="en-US" w:eastAsia="zh-CN"/>
              </w:rPr>
              <w:t>艺术品经营单位备案</w:t>
            </w:r>
          </w:p>
        </w:tc>
        <w:tc>
          <w:tcPr>
            <w:tcW w:w="3802" w:type="dxa"/>
            <w:gridSpan w:val="3"/>
            <w:vMerge w:val="restart"/>
            <w:tcBorders>
              <w:top w:val="single" w:color="auto" w:sz="4" w:space="0"/>
              <w:left w:val="single" w:color="auto" w:sz="4" w:space="0"/>
              <w:right w:val="single" w:color="auto" w:sz="4" w:space="0"/>
            </w:tcBorders>
            <w:tcMar>
              <w:top w:w="15" w:type="dxa"/>
              <w:left w:w="15" w:type="dxa"/>
              <w:right w:w="15" w:type="dxa"/>
            </w:tcMar>
            <w:vAlign w:val="center"/>
          </w:tcPr>
          <w:p w14:paraId="27E767FA">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文化部《艺术品经营管理办法》</w:t>
            </w:r>
            <w:r>
              <w:rPr>
                <w:rFonts w:hint="eastAsia" w:ascii="仿宋" w:hAnsi="仿宋" w:eastAsia="仿宋" w:cs="仿宋"/>
                <w:i w:val="0"/>
                <w:color w:val="auto"/>
                <w:kern w:val="0"/>
                <w:sz w:val="22"/>
                <w:szCs w:val="22"/>
                <w:u w:val="none"/>
                <w:shd w:val="clear"/>
                <w:lang w:val="en-US" w:eastAsia="zh-CN" w:bidi="ar"/>
              </w:rPr>
              <w:t>（2015年12月17日</w:t>
            </w:r>
            <w:r>
              <w:rPr>
                <w:rFonts w:hint="eastAsia" w:ascii="宋体" w:hAnsi="宋体" w:eastAsia="宋体" w:cs="宋体"/>
                <w:i w:val="0"/>
                <w:iCs w:val="0"/>
                <w:caps w:val="0"/>
                <w:color w:val="auto"/>
                <w:spacing w:val="0"/>
                <w:sz w:val="24"/>
                <w:szCs w:val="24"/>
                <w:shd w:val="clear"/>
                <w:lang w:val="en-US" w:eastAsia="zh-CN"/>
              </w:rPr>
              <w:t xml:space="preserve"> </w:t>
            </w:r>
            <w:r>
              <w:rPr>
                <w:rFonts w:hint="eastAsia" w:ascii="仿宋" w:hAnsi="仿宋" w:eastAsia="仿宋" w:cs="仿宋"/>
                <w:i w:val="0"/>
                <w:color w:val="auto"/>
                <w:kern w:val="0"/>
                <w:sz w:val="22"/>
                <w:szCs w:val="22"/>
                <w:u w:val="none"/>
                <w:shd w:val="clear"/>
                <w:lang w:val="en-US" w:eastAsia="zh-CN" w:bidi="ar"/>
              </w:rPr>
              <w:t>文化部令第56号）</w:t>
            </w:r>
            <w:r>
              <w:rPr>
                <w:rFonts w:hint="eastAsia" w:ascii="仿宋" w:hAnsi="仿宋" w:eastAsia="仿宋" w:cs="仿宋"/>
                <w:i w:val="0"/>
                <w:caps w:val="0"/>
                <w:color w:val="auto"/>
                <w:spacing w:val="0"/>
                <w:kern w:val="2"/>
                <w:sz w:val="24"/>
                <w:szCs w:val="24"/>
                <w:shd w:val="clear" w:color="070000" w:fill="FFFFFF"/>
                <w:lang w:val="en-US" w:eastAsia="zh-CN" w:bidi="ar-SA"/>
              </w:rPr>
              <w:t>第五条 设立从事艺术品经营活动的经营单位，应当到其住所地县级以上人民政府工商行政管理部门申领营业执照，并在领取营业执照之日起15日内，到其住所地县级以上人民政府文化行政部门备案。</w:t>
            </w:r>
          </w:p>
        </w:tc>
        <w:tc>
          <w:tcPr>
            <w:tcW w:w="615"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77EE733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其他职权</w:t>
            </w: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3A72A7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8CBE509">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2DFAD7A0">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不履行或不正确履行职责，有下列情形的行政机关及相关工作人员应当承担相应的责任：</w:t>
            </w:r>
          </w:p>
          <w:p w14:paraId="35AAF6A1">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滥用审批权限、不履行职责或者发现违法行为不予查处，造成严重后果的，依法给予行政处分，情节严重的，依法开除公职或者吊销其从业资格；构成犯罪的，依法追究刑事责任。</w:t>
            </w: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346EFC9C">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14:paraId="223BF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0" w:hRule="atLeast"/>
          <w:jc w:val="center"/>
        </w:trPr>
        <w:tc>
          <w:tcPr>
            <w:tcW w:w="678" w:type="dxa"/>
            <w:vMerge w:val="continue"/>
            <w:tcBorders>
              <w:left w:val="single" w:color="auto" w:sz="4" w:space="0"/>
              <w:right w:val="single" w:color="auto" w:sz="4" w:space="0"/>
            </w:tcBorders>
            <w:tcMar>
              <w:top w:w="15" w:type="dxa"/>
              <w:left w:w="15" w:type="dxa"/>
              <w:right w:w="15" w:type="dxa"/>
            </w:tcMar>
            <w:vAlign w:val="center"/>
          </w:tcPr>
          <w:p w14:paraId="720DA559">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1382" w:type="dxa"/>
            <w:vMerge w:val="continue"/>
            <w:tcBorders>
              <w:left w:val="single" w:color="auto" w:sz="4" w:space="0"/>
              <w:right w:val="single" w:color="auto" w:sz="4" w:space="0"/>
            </w:tcBorders>
            <w:tcMar>
              <w:top w:w="15" w:type="dxa"/>
              <w:left w:w="15" w:type="dxa"/>
              <w:right w:w="15" w:type="dxa"/>
            </w:tcMar>
            <w:vAlign w:val="center"/>
          </w:tcPr>
          <w:p w14:paraId="5A757B61">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3802" w:type="dxa"/>
            <w:gridSpan w:val="3"/>
            <w:vMerge w:val="continue"/>
            <w:tcBorders>
              <w:left w:val="single" w:color="auto" w:sz="4" w:space="0"/>
              <w:right w:val="single" w:color="auto" w:sz="4" w:space="0"/>
            </w:tcBorders>
            <w:tcMar>
              <w:top w:w="15" w:type="dxa"/>
              <w:left w:w="15" w:type="dxa"/>
              <w:right w:w="15" w:type="dxa"/>
            </w:tcMar>
            <w:vAlign w:val="center"/>
          </w:tcPr>
          <w:p w14:paraId="722A1FAD">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615" w:type="dxa"/>
            <w:gridSpan w:val="2"/>
            <w:vMerge w:val="continue"/>
            <w:tcBorders>
              <w:left w:val="single" w:color="auto" w:sz="4" w:space="0"/>
              <w:right w:val="single" w:color="auto" w:sz="4" w:space="0"/>
            </w:tcBorders>
            <w:tcMar>
              <w:top w:w="15" w:type="dxa"/>
              <w:left w:w="15" w:type="dxa"/>
              <w:right w:w="15" w:type="dxa"/>
            </w:tcMar>
            <w:vAlign w:val="center"/>
          </w:tcPr>
          <w:p w14:paraId="33645F8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C70785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867A1D9">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17" w:type="dxa"/>
            <w:gridSpan w:val="2"/>
            <w:vMerge w:val="continue"/>
            <w:tcBorders>
              <w:left w:val="single" w:color="auto" w:sz="4" w:space="0"/>
              <w:right w:val="single" w:color="auto" w:sz="4" w:space="0"/>
            </w:tcBorders>
            <w:tcMar>
              <w:top w:w="15" w:type="dxa"/>
              <w:left w:w="15" w:type="dxa"/>
              <w:right w:w="15" w:type="dxa"/>
            </w:tcMar>
            <w:vAlign w:val="center"/>
          </w:tcPr>
          <w:p w14:paraId="197ECCB3">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42" w:type="dxa"/>
            <w:vMerge w:val="continue"/>
            <w:tcBorders>
              <w:left w:val="single" w:color="auto" w:sz="4" w:space="0"/>
              <w:right w:val="single" w:color="auto" w:sz="4" w:space="0"/>
            </w:tcBorders>
            <w:tcMar>
              <w:top w:w="15" w:type="dxa"/>
              <w:left w:w="15" w:type="dxa"/>
              <w:right w:w="15" w:type="dxa"/>
            </w:tcMar>
            <w:vAlign w:val="center"/>
          </w:tcPr>
          <w:p w14:paraId="0BAD3D2F">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14:paraId="1E74F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00"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EB5CADD">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EE0AE49">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3802"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30E6D1A">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615"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0E45D5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217154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DF51BC7">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8BB69CC">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05F82DD">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14:paraId="443F4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E42E83D">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56539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39F07F2">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09532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70"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6DCFD310">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default" w:ascii="仿宋" w:hAnsi="仿宋" w:eastAsia="仿宋" w:cs="仿宋"/>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t>48</w:t>
            </w:r>
          </w:p>
        </w:tc>
        <w:tc>
          <w:tcPr>
            <w:tcW w:w="138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5358ADAC">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b w:val="0"/>
                <w:bCs w:val="0"/>
                <w:color w:val="auto"/>
                <w:sz w:val="24"/>
                <w:szCs w:val="24"/>
                <w:lang w:val="en-US" w:eastAsia="zh-CN"/>
              </w:rPr>
              <w:t>演出场所经营单位备案</w:t>
            </w:r>
          </w:p>
        </w:tc>
        <w:tc>
          <w:tcPr>
            <w:tcW w:w="3802" w:type="dxa"/>
            <w:gridSpan w:val="3"/>
            <w:vMerge w:val="restart"/>
            <w:tcBorders>
              <w:top w:val="single" w:color="auto" w:sz="4" w:space="0"/>
              <w:left w:val="single" w:color="auto" w:sz="4" w:space="0"/>
              <w:right w:val="single" w:color="auto" w:sz="4" w:space="0"/>
            </w:tcBorders>
            <w:tcMar>
              <w:top w:w="15" w:type="dxa"/>
              <w:left w:w="15" w:type="dxa"/>
              <w:right w:w="15" w:type="dxa"/>
            </w:tcMar>
            <w:vAlign w:val="center"/>
          </w:tcPr>
          <w:p w14:paraId="4002569D">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《营业性演出管理条例》</w:t>
            </w:r>
            <w:r>
              <w:rPr>
                <w:rFonts w:hint="eastAsia" w:ascii="仿宋" w:hAnsi="仿宋" w:eastAsia="仿宋" w:cs="仿宋"/>
                <w:i w:val="0"/>
                <w:caps w:val="0"/>
                <w:color w:val="auto"/>
                <w:spacing w:val="0"/>
                <w:kern w:val="2"/>
                <w:sz w:val="24"/>
                <w:szCs w:val="24"/>
                <w:shd w:val="clear" w:color="070000"/>
                <w:lang w:val="en-US" w:eastAsia="zh-CN" w:bidi="ar-SA"/>
              </w:rPr>
              <w:t>(2</w:t>
            </w:r>
            <w:r>
              <w:rPr>
                <w:rFonts w:hint="default" w:ascii="仿宋" w:hAnsi="仿宋" w:eastAsia="仿宋" w:cs="仿宋"/>
                <w:i w:val="0"/>
                <w:caps w:val="0"/>
                <w:color w:val="auto"/>
                <w:spacing w:val="0"/>
                <w:kern w:val="2"/>
                <w:sz w:val="24"/>
                <w:szCs w:val="24"/>
                <w:shd w:val="clear" w:color="070000"/>
                <w:lang w:val="en-US" w:eastAsia="zh-CN" w:bidi="ar-SA"/>
              </w:rPr>
              <w:t>005</w:t>
            </w:r>
            <w:r>
              <w:rPr>
                <w:rFonts w:hint="eastAsia" w:ascii="仿宋" w:hAnsi="仿宋" w:eastAsia="仿宋" w:cs="仿宋"/>
                <w:i w:val="0"/>
                <w:caps w:val="0"/>
                <w:color w:val="auto"/>
                <w:spacing w:val="0"/>
                <w:kern w:val="2"/>
                <w:sz w:val="24"/>
                <w:szCs w:val="24"/>
                <w:shd w:val="clear" w:color="070000"/>
                <w:lang w:val="en-US" w:eastAsia="zh-CN" w:bidi="ar-SA"/>
              </w:rPr>
              <w:t>年</w:t>
            </w:r>
            <w:r>
              <w:rPr>
                <w:rFonts w:hint="default" w:ascii="仿宋" w:hAnsi="仿宋" w:eastAsia="仿宋" w:cs="仿宋"/>
                <w:i w:val="0"/>
                <w:caps w:val="0"/>
                <w:color w:val="auto"/>
                <w:spacing w:val="0"/>
                <w:kern w:val="2"/>
                <w:sz w:val="24"/>
                <w:szCs w:val="24"/>
                <w:shd w:val="clear" w:color="070000"/>
                <w:lang w:val="en-US" w:eastAsia="zh-CN" w:bidi="ar-SA"/>
              </w:rPr>
              <w:t>7</w:t>
            </w:r>
            <w:r>
              <w:rPr>
                <w:rFonts w:hint="eastAsia" w:ascii="仿宋" w:hAnsi="仿宋" w:eastAsia="仿宋" w:cs="仿宋"/>
                <w:i w:val="0"/>
                <w:caps w:val="0"/>
                <w:color w:val="auto"/>
                <w:spacing w:val="0"/>
                <w:kern w:val="2"/>
                <w:sz w:val="24"/>
                <w:szCs w:val="24"/>
                <w:shd w:val="clear" w:color="070000"/>
                <w:lang w:val="en-US" w:eastAsia="zh-CN" w:bidi="ar-SA"/>
              </w:rPr>
              <w:t>月</w:t>
            </w:r>
            <w:r>
              <w:rPr>
                <w:rFonts w:hint="default" w:ascii="仿宋" w:hAnsi="仿宋" w:eastAsia="仿宋" w:cs="仿宋"/>
                <w:i w:val="0"/>
                <w:caps w:val="0"/>
                <w:color w:val="auto"/>
                <w:spacing w:val="0"/>
                <w:kern w:val="2"/>
                <w:sz w:val="24"/>
                <w:szCs w:val="24"/>
                <w:shd w:val="clear" w:color="070000"/>
                <w:lang w:val="en-US" w:eastAsia="zh-CN" w:bidi="ar-SA"/>
              </w:rPr>
              <w:t>7</w:t>
            </w:r>
            <w:r>
              <w:rPr>
                <w:rFonts w:hint="eastAsia" w:ascii="仿宋" w:hAnsi="仿宋" w:eastAsia="仿宋" w:cs="仿宋"/>
                <w:i w:val="0"/>
                <w:caps w:val="0"/>
                <w:color w:val="auto"/>
                <w:spacing w:val="0"/>
                <w:kern w:val="2"/>
                <w:sz w:val="24"/>
                <w:szCs w:val="24"/>
                <w:shd w:val="clear" w:color="070000"/>
                <w:lang w:val="en-US" w:eastAsia="zh-CN" w:bidi="ar-SA"/>
              </w:rPr>
              <w:t>日中华人民共和国国务院令第</w:t>
            </w:r>
            <w:r>
              <w:rPr>
                <w:rFonts w:hint="default" w:ascii="仿宋" w:hAnsi="仿宋" w:eastAsia="仿宋" w:cs="仿宋"/>
                <w:i w:val="0"/>
                <w:caps w:val="0"/>
                <w:color w:val="auto"/>
                <w:spacing w:val="0"/>
                <w:kern w:val="2"/>
                <w:sz w:val="24"/>
                <w:szCs w:val="24"/>
                <w:shd w:val="clear" w:color="070000"/>
                <w:lang w:val="en-US" w:eastAsia="zh-CN" w:bidi="ar-SA"/>
              </w:rPr>
              <w:t>439</w:t>
            </w:r>
            <w:r>
              <w:rPr>
                <w:rFonts w:hint="eastAsia" w:ascii="仿宋" w:hAnsi="仿宋" w:eastAsia="仿宋" w:cs="仿宋"/>
                <w:i w:val="0"/>
                <w:caps w:val="0"/>
                <w:color w:val="auto"/>
                <w:spacing w:val="0"/>
                <w:kern w:val="2"/>
                <w:sz w:val="24"/>
                <w:szCs w:val="24"/>
                <w:shd w:val="clear" w:color="070000"/>
                <w:lang w:val="en-US" w:eastAsia="zh-CN" w:bidi="ar-SA"/>
              </w:rPr>
              <w:t>号公布根据</w:t>
            </w:r>
            <w:r>
              <w:rPr>
                <w:rFonts w:hint="default" w:ascii="仿宋" w:hAnsi="仿宋" w:eastAsia="仿宋" w:cs="仿宋"/>
                <w:i w:val="0"/>
                <w:caps w:val="0"/>
                <w:color w:val="auto"/>
                <w:spacing w:val="0"/>
                <w:kern w:val="2"/>
                <w:sz w:val="24"/>
                <w:szCs w:val="24"/>
                <w:shd w:val="clear" w:color="070000"/>
                <w:lang w:val="en-US" w:eastAsia="zh-CN" w:bidi="ar-SA"/>
              </w:rPr>
              <w:t>2008</w:t>
            </w:r>
            <w:r>
              <w:rPr>
                <w:rFonts w:hint="eastAsia" w:ascii="仿宋" w:hAnsi="仿宋" w:eastAsia="仿宋" w:cs="仿宋"/>
                <w:i w:val="0"/>
                <w:caps w:val="0"/>
                <w:color w:val="auto"/>
                <w:spacing w:val="0"/>
                <w:kern w:val="2"/>
                <w:sz w:val="24"/>
                <w:szCs w:val="24"/>
                <w:shd w:val="clear" w:color="070000"/>
                <w:lang w:val="en-US" w:eastAsia="zh-CN" w:bidi="ar-SA"/>
              </w:rPr>
              <w:t>年</w:t>
            </w:r>
            <w:r>
              <w:rPr>
                <w:rFonts w:hint="default" w:ascii="仿宋" w:hAnsi="仿宋" w:eastAsia="仿宋" w:cs="仿宋"/>
                <w:i w:val="0"/>
                <w:caps w:val="0"/>
                <w:color w:val="auto"/>
                <w:spacing w:val="0"/>
                <w:kern w:val="2"/>
                <w:sz w:val="24"/>
                <w:szCs w:val="24"/>
                <w:shd w:val="clear" w:color="070000"/>
                <w:lang w:val="en-US" w:eastAsia="zh-CN" w:bidi="ar-SA"/>
              </w:rPr>
              <w:t>7</w:t>
            </w:r>
            <w:r>
              <w:rPr>
                <w:rFonts w:hint="eastAsia" w:ascii="仿宋" w:hAnsi="仿宋" w:eastAsia="仿宋" w:cs="仿宋"/>
                <w:i w:val="0"/>
                <w:caps w:val="0"/>
                <w:color w:val="auto"/>
                <w:spacing w:val="0"/>
                <w:kern w:val="2"/>
                <w:sz w:val="24"/>
                <w:szCs w:val="24"/>
                <w:shd w:val="clear" w:color="070000"/>
                <w:lang w:val="en-US" w:eastAsia="zh-CN" w:bidi="ar-SA"/>
              </w:rPr>
              <w:t>月</w:t>
            </w:r>
            <w:r>
              <w:rPr>
                <w:rFonts w:hint="default" w:ascii="仿宋" w:hAnsi="仿宋" w:eastAsia="仿宋" w:cs="仿宋"/>
                <w:i w:val="0"/>
                <w:caps w:val="0"/>
                <w:color w:val="auto"/>
                <w:spacing w:val="0"/>
                <w:kern w:val="2"/>
                <w:sz w:val="24"/>
                <w:szCs w:val="24"/>
                <w:shd w:val="clear" w:color="070000"/>
                <w:lang w:val="en-US" w:eastAsia="zh-CN" w:bidi="ar-SA"/>
              </w:rPr>
              <w:t>22</w:t>
            </w:r>
            <w:r>
              <w:rPr>
                <w:rFonts w:hint="eastAsia" w:ascii="仿宋" w:hAnsi="仿宋" w:eastAsia="仿宋" w:cs="仿宋"/>
                <w:i w:val="0"/>
                <w:caps w:val="0"/>
                <w:color w:val="auto"/>
                <w:spacing w:val="0"/>
                <w:kern w:val="2"/>
                <w:sz w:val="24"/>
                <w:szCs w:val="24"/>
                <w:shd w:val="clear" w:color="070000"/>
                <w:lang w:val="en-US" w:eastAsia="zh-CN" w:bidi="ar-SA"/>
              </w:rPr>
              <w:t>日《国务院关于修改〈营业性演出管理条例〉的决定》第一次修订根据</w:t>
            </w:r>
            <w:r>
              <w:rPr>
                <w:rFonts w:hint="default" w:ascii="仿宋" w:hAnsi="仿宋" w:eastAsia="仿宋" w:cs="仿宋"/>
                <w:i w:val="0"/>
                <w:caps w:val="0"/>
                <w:color w:val="auto"/>
                <w:spacing w:val="0"/>
                <w:kern w:val="2"/>
                <w:sz w:val="24"/>
                <w:szCs w:val="24"/>
                <w:shd w:val="clear" w:color="070000"/>
                <w:lang w:val="en-US" w:eastAsia="zh-CN" w:bidi="ar-SA"/>
              </w:rPr>
              <w:t>2013</w:t>
            </w:r>
            <w:r>
              <w:rPr>
                <w:rFonts w:hint="eastAsia" w:ascii="仿宋" w:hAnsi="仿宋" w:eastAsia="仿宋" w:cs="仿宋"/>
                <w:i w:val="0"/>
                <w:caps w:val="0"/>
                <w:color w:val="auto"/>
                <w:spacing w:val="0"/>
                <w:kern w:val="2"/>
                <w:sz w:val="24"/>
                <w:szCs w:val="24"/>
                <w:shd w:val="clear" w:color="070000"/>
                <w:lang w:val="en-US" w:eastAsia="zh-CN" w:bidi="ar-SA"/>
              </w:rPr>
              <w:t>年</w:t>
            </w:r>
            <w:r>
              <w:rPr>
                <w:rFonts w:hint="default" w:ascii="仿宋" w:hAnsi="仿宋" w:eastAsia="仿宋" w:cs="仿宋"/>
                <w:i w:val="0"/>
                <w:caps w:val="0"/>
                <w:color w:val="auto"/>
                <w:spacing w:val="0"/>
                <w:kern w:val="2"/>
                <w:sz w:val="24"/>
                <w:szCs w:val="24"/>
                <w:shd w:val="clear" w:color="070000"/>
                <w:lang w:val="en-US" w:eastAsia="zh-CN" w:bidi="ar-SA"/>
              </w:rPr>
              <w:t>7</w:t>
            </w:r>
            <w:r>
              <w:rPr>
                <w:rFonts w:hint="eastAsia" w:ascii="仿宋" w:hAnsi="仿宋" w:eastAsia="仿宋" w:cs="仿宋"/>
                <w:i w:val="0"/>
                <w:caps w:val="0"/>
                <w:color w:val="auto"/>
                <w:spacing w:val="0"/>
                <w:kern w:val="2"/>
                <w:sz w:val="24"/>
                <w:szCs w:val="24"/>
                <w:shd w:val="clear" w:color="070000"/>
                <w:lang w:val="en-US" w:eastAsia="zh-CN" w:bidi="ar-SA"/>
              </w:rPr>
              <w:t>月</w:t>
            </w:r>
            <w:r>
              <w:rPr>
                <w:rFonts w:hint="default" w:ascii="仿宋" w:hAnsi="仿宋" w:eastAsia="仿宋" w:cs="仿宋"/>
                <w:i w:val="0"/>
                <w:caps w:val="0"/>
                <w:color w:val="auto"/>
                <w:spacing w:val="0"/>
                <w:kern w:val="2"/>
                <w:sz w:val="24"/>
                <w:szCs w:val="24"/>
                <w:shd w:val="clear" w:color="070000"/>
                <w:lang w:val="en-US" w:eastAsia="zh-CN" w:bidi="ar-SA"/>
              </w:rPr>
              <w:t>18</w:t>
            </w:r>
            <w:r>
              <w:rPr>
                <w:rFonts w:hint="eastAsia" w:ascii="仿宋" w:hAnsi="仿宋" w:eastAsia="仿宋" w:cs="仿宋"/>
                <w:i w:val="0"/>
                <w:caps w:val="0"/>
                <w:color w:val="auto"/>
                <w:spacing w:val="0"/>
                <w:kern w:val="2"/>
                <w:sz w:val="24"/>
                <w:szCs w:val="24"/>
                <w:shd w:val="clear" w:color="070000"/>
                <w:lang w:val="en-US" w:eastAsia="zh-CN" w:bidi="ar-SA"/>
              </w:rPr>
              <w:t>日《国务院关于废止和修改部分行政法规的决定》第二次修订根据</w:t>
            </w:r>
            <w:r>
              <w:rPr>
                <w:rFonts w:hint="default" w:ascii="仿宋" w:hAnsi="仿宋" w:eastAsia="仿宋" w:cs="仿宋"/>
                <w:i w:val="0"/>
                <w:caps w:val="0"/>
                <w:color w:val="auto"/>
                <w:spacing w:val="0"/>
                <w:kern w:val="2"/>
                <w:sz w:val="24"/>
                <w:szCs w:val="24"/>
                <w:shd w:val="clear" w:color="070000"/>
                <w:lang w:val="en-US" w:eastAsia="zh-CN" w:bidi="ar-SA"/>
              </w:rPr>
              <w:t>2016</w:t>
            </w:r>
            <w:r>
              <w:rPr>
                <w:rFonts w:hint="eastAsia" w:ascii="仿宋" w:hAnsi="仿宋" w:eastAsia="仿宋" w:cs="仿宋"/>
                <w:i w:val="0"/>
                <w:caps w:val="0"/>
                <w:color w:val="auto"/>
                <w:spacing w:val="0"/>
                <w:kern w:val="2"/>
                <w:sz w:val="24"/>
                <w:szCs w:val="24"/>
                <w:shd w:val="clear" w:color="070000"/>
                <w:lang w:val="en-US" w:eastAsia="zh-CN" w:bidi="ar-SA"/>
              </w:rPr>
              <w:t>年</w:t>
            </w:r>
            <w:r>
              <w:rPr>
                <w:rFonts w:hint="default" w:ascii="仿宋" w:hAnsi="仿宋" w:eastAsia="仿宋" w:cs="仿宋"/>
                <w:i w:val="0"/>
                <w:caps w:val="0"/>
                <w:color w:val="auto"/>
                <w:spacing w:val="0"/>
                <w:kern w:val="2"/>
                <w:sz w:val="24"/>
                <w:szCs w:val="24"/>
                <w:shd w:val="clear" w:color="070000"/>
                <w:lang w:val="en-US" w:eastAsia="zh-CN" w:bidi="ar-SA"/>
              </w:rPr>
              <w:t>2</w:t>
            </w:r>
            <w:r>
              <w:rPr>
                <w:rFonts w:hint="eastAsia" w:ascii="仿宋" w:hAnsi="仿宋" w:eastAsia="仿宋" w:cs="仿宋"/>
                <w:i w:val="0"/>
                <w:caps w:val="0"/>
                <w:color w:val="auto"/>
                <w:spacing w:val="0"/>
                <w:kern w:val="2"/>
                <w:sz w:val="24"/>
                <w:szCs w:val="24"/>
                <w:shd w:val="clear" w:color="070000"/>
                <w:lang w:val="en-US" w:eastAsia="zh-CN" w:bidi="ar-SA"/>
              </w:rPr>
              <w:t>月</w:t>
            </w:r>
            <w:r>
              <w:rPr>
                <w:rFonts w:hint="default" w:ascii="仿宋" w:hAnsi="仿宋" w:eastAsia="仿宋" w:cs="仿宋"/>
                <w:i w:val="0"/>
                <w:caps w:val="0"/>
                <w:color w:val="auto"/>
                <w:spacing w:val="0"/>
                <w:kern w:val="2"/>
                <w:sz w:val="24"/>
                <w:szCs w:val="24"/>
                <w:shd w:val="clear" w:color="070000"/>
                <w:lang w:val="en-US" w:eastAsia="zh-CN" w:bidi="ar-SA"/>
              </w:rPr>
              <w:t>6</w:t>
            </w:r>
            <w:r>
              <w:rPr>
                <w:rFonts w:hint="eastAsia" w:ascii="仿宋" w:hAnsi="仿宋" w:eastAsia="仿宋" w:cs="仿宋"/>
                <w:i w:val="0"/>
                <w:caps w:val="0"/>
                <w:color w:val="auto"/>
                <w:spacing w:val="0"/>
                <w:kern w:val="2"/>
                <w:sz w:val="24"/>
                <w:szCs w:val="24"/>
                <w:shd w:val="clear" w:color="070000"/>
                <w:lang w:val="en-US" w:eastAsia="zh-CN" w:bidi="ar-SA"/>
              </w:rPr>
              <w:t>日《国务院关于修改部分行政法规的决定》第三次修订根据</w:t>
            </w:r>
            <w:r>
              <w:rPr>
                <w:rFonts w:hint="default" w:ascii="仿宋" w:hAnsi="仿宋" w:eastAsia="仿宋" w:cs="仿宋"/>
                <w:i w:val="0"/>
                <w:caps w:val="0"/>
                <w:color w:val="auto"/>
                <w:spacing w:val="0"/>
                <w:kern w:val="2"/>
                <w:sz w:val="24"/>
                <w:szCs w:val="24"/>
                <w:shd w:val="clear" w:color="070000"/>
                <w:lang w:val="en-US" w:eastAsia="zh-CN" w:bidi="ar-SA"/>
              </w:rPr>
              <w:t>2020</w:t>
            </w:r>
            <w:r>
              <w:rPr>
                <w:rFonts w:hint="eastAsia" w:ascii="仿宋" w:hAnsi="仿宋" w:eastAsia="仿宋" w:cs="仿宋"/>
                <w:i w:val="0"/>
                <w:caps w:val="0"/>
                <w:color w:val="auto"/>
                <w:spacing w:val="0"/>
                <w:kern w:val="2"/>
                <w:sz w:val="24"/>
                <w:szCs w:val="24"/>
                <w:shd w:val="clear" w:color="070000"/>
                <w:lang w:val="en-US" w:eastAsia="zh-CN" w:bidi="ar-SA"/>
              </w:rPr>
              <w:t>年</w:t>
            </w:r>
            <w:r>
              <w:rPr>
                <w:rFonts w:hint="default" w:ascii="仿宋" w:hAnsi="仿宋" w:eastAsia="仿宋" w:cs="仿宋"/>
                <w:i w:val="0"/>
                <w:caps w:val="0"/>
                <w:color w:val="auto"/>
                <w:spacing w:val="0"/>
                <w:kern w:val="2"/>
                <w:sz w:val="24"/>
                <w:szCs w:val="24"/>
                <w:shd w:val="clear" w:color="070000"/>
                <w:lang w:val="en-US" w:eastAsia="zh-CN" w:bidi="ar-SA"/>
              </w:rPr>
              <w:t>11</w:t>
            </w:r>
            <w:r>
              <w:rPr>
                <w:rFonts w:hint="eastAsia" w:ascii="仿宋" w:hAnsi="仿宋" w:eastAsia="仿宋" w:cs="仿宋"/>
                <w:i w:val="0"/>
                <w:caps w:val="0"/>
                <w:color w:val="auto"/>
                <w:spacing w:val="0"/>
                <w:kern w:val="2"/>
                <w:sz w:val="24"/>
                <w:szCs w:val="24"/>
                <w:shd w:val="clear" w:color="070000"/>
                <w:lang w:val="en-US" w:eastAsia="zh-CN" w:bidi="ar-SA"/>
              </w:rPr>
              <w:t>月</w:t>
            </w:r>
            <w:r>
              <w:rPr>
                <w:rFonts w:hint="default" w:ascii="仿宋" w:hAnsi="仿宋" w:eastAsia="仿宋" w:cs="仿宋"/>
                <w:i w:val="0"/>
                <w:caps w:val="0"/>
                <w:color w:val="auto"/>
                <w:spacing w:val="0"/>
                <w:kern w:val="2"/>
                <w:sz w:val="24"/>
                <w:szCs w:val="24"/>
                <w:shd w:val="clear" w:color="070000"/>
                <w:lang w:val="en-US" w:eastAsia="zh-CN" w:bidi="ar-SA"/>
              </w:rPr>
              <w:t>29</w:t>
            </w:r>
            <w:r>
              <w:rPr>
                <w:rFonts w:hint="eastAsia" w:ascii="仿宋" w:hAnsi="仿宋" w:eastAsia="仿宋" w:cs="仿宋"/>
                <w:i w:val="0"/>
                <w:caps w:val="0"/>
                <w:color w:val="auto"/>
                <w:spacing w:val="0"/>
                <w:kern w:val="2"/>
                <w:sz w:val="24"/>
                <w:szCs w:val="24"/>
                <w:shd w:val="clear" w:color="070000"/>
                <w:lang w:val="en-US" w:eastAsia="zh-CN" w:bidi="ar-SA"/>
              </w:rPr>
              <w:t>日《国务院关于修改和废止部分行政法规的决定》第四次修订)</w:t>
            </w:r>
            <w:r>
              <w:rPr>
                <w:rFonts w:hint="eastAsia" w:ascii="仿宋" w:hAnsi="仿宋" w:eastAsia="仿宋" w:cs="仿宋"/>
                <w:i w:val="0"/>
                <w:caps w:val="0"/>
                <w:color w:val="auto"/>
                <w:spacing w:val="0"/>
                <w:kern w:val="2"/>
                <w:sz w:val="24"/>
                <w:szCs w:val="24"/>
                <w:shd w:val="clear" w:color="070000" w:fill="FFFFFF"/>
                <w:lang w:val="en-US" w:eastAsia="zh-CN" w:bidi="ar-SA"/>
              </w:rPr>
              <w:t>第七条 设立演出场所经营单位，应当依法到工商行政管理部门办理注册登记，领取营业执照，并依照有关消防、卫生管理等法律、行政法规的规定办理审批手续。演出场所经营单位应当自领取营业执照之日起20日内向所在地县级人民政府文化主管部门备案。</w:t>
            </w:r>
          </w:p>
        </w:tc>
        <w:tc>
          <w:tcPr>
            <w:tcW w:w="615"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0129A60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其他职权</w:t>
            </w: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1F0522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45C7187">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729E4A00">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不履行或不正确履行职责，有下列情形的行政机关及相关工作人员应当承担相应的责任：</w:t>
            </w:r>
          </w:p>
          <w:p w14:paraId="7C8D3BFC">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文化主管部门、公安部门、工商行政管理部门的工作人员滥用职权、玩忽职守、徇私舞弊或者未依照本条例规定履行职责的，依法给予行政处分；构成犯罪的，依法追究刑事责任。</w:t>
            </w: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3C4DC7D6">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14:paraId="661A9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0" w:hRule="atLeast"/>
          <w:jc w:val="center"/>
        </w:trPr>
        <w:tc>
          <w:tcPr>
            <w:tcW w:w="678" w:type="dxa"/>
            <w:vMerge w:val="continue"/>
            <w:tcBorders>
              <w:left w:val="single" w:color="auto" w:sz="4" w:space="0"/>
              <w:right w:val="single" w:color="auto" w:sz="4" w:space="0"/>
            </w:tcBorders>
            <w:tcMar>
              <w:top w:w="15" w:type="dxa"/>
              <w:left w:w="15" w:type="dxa"/>
              <w:right w:w="15" w:type="dxa"/>
            </w:tcMar>
            <w:vAlign w:val="center"/>
          </w:tcPr>
          <w:p w14:paraId="47753FE9">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1382" w:type="dxa"/>
            <w:vMerge w:val="continue"/>
            <w:tcBorders>
              <w:left w:val="single" w:color="auto" w:sz="4" w:space="0"/>
              <w:right w:val="single" w:color="auto" w:sz="4" w:space="0"/>
            </w:tcBorders>
            <w:tcMar>
              <w:top w:w="15" w:type="dxa"/>
              <w:left w:w="15" w:type="dxa"/>
              <w:right w:w="15" w:type="dxa"/>
            </w:tcMar>
            <w:vAlign w:val="center"/>
          </w:tcPr>
          <w:p w14:paraId="32FE8DBB">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3802" w:type="dxa"/>
            <w:gridSpan w:val="3"/>
            <w:vMerge w:val="continue"/>
            <w:tcBorders>
              <w:left w:val="single" w:color="auto" w:sz="4" w:space="0"/>
              <w:right w:val="single" w:color="auto" w:sz="4" w:space="0"/>
            </w:tcBorders>
            <w:tcMar>
              <w:top w:w="15" w:type="dxa"/>
              <w:left w:w="15" w:type="dxa"/>
              <w:right w:w="15" w:type="dxa"/>
            </w:tcMar>
            <w:vAlign w:val="center"/>
          </w:tcPr>
          <w:p w14:paraId="4C4AF6E7">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615" w:type="dxa"/>
            <w:gridSpan w:val="2"/>
            <w:vMerge w:val="continue"/>
            <w:tcBorders>
              <w:left w:val="single" w:color="auto" w:sz="4" w:space="0"/>
              <w:right w:val="single" w:color="auto" w:sz="4" w:space="0"/>
            </w:tcBorders>
            <w:tcMar>
              <w:top w:w="15" w:type="dxa"/>
              <w:left w:w="15" w:type="dxa"/>
              <w:right w:w="15" w:type="dxa"/>
            </w:tcMar>
            <w:vAlign w:val="center"/>
          </w:tcPr>
          <w:p w14:paraId="5FE3EAF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9B3CD5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BDF08E4">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17" w:type="dxa"/>
            <w:gridSpan w:val="2"/>
            <w:vMerge w:val="continue"/>
            <w:tcBorders>
              <w:left w:val="single" w:color="auto" w:sz="4" w:space="0"/>
              <w:right w:val="single" w:color="auto" w:sz="4" w:space="0"/>
            </w:tcBorders>
            <w:tcMar>
              <w:top w:w="15" w:type="dxa"/>
              <w:left w:w="15" w:type="dxa"/>
              <w:right w:w="15" w:type="dxa"/>
            </w:tcMar>
            <w:vAlign w:val="center"/>
          </w:tcPr>
          <w:p w14:paraId="5EAE9478">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42" w:type="dxa"/>
            <w:vMerge w:val="continue"/>
            <w:tcBorders>
              <w:left w:val="single" w:color="auto" w:sz="4" w:space="0"/>
              <w:right w:val="single" w:color="auto" w:sz="4" w:space="0"/>
            </w:tcBorders>
            <w:tcMar>
              <w:top w:w="15" w:type="dxa"/>
              <w:left w:w="15" w:type="dxa"/>
              <w:right w:w="15" w:type="dxa"/>
            </w:tcMar>
            <w:vAlign w:val="center"/>
          </w:tcPr>
          <w:p w14:paraId="08AE5ADC">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14:paraId="55590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60"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CD97AAC">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5DC0EAE">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3802"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9D63DE9">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615"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ACFB62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B78036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261D8D1">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5FA2DA2">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46F5A3C">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14:paraId="0D799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28B23F2">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7E28C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9C717F7">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38E82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0"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2274448A">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default" w:ascii="仿宋" w:hAnsi="仿宋" w:eastAsia="仿宋" w:cs="仿宋"/>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t>49</w:t>
            </w:r>
          </w:p>
        </w:tc>
        <w:tc>
          <w:tcPr>
            <w:tcW w:w="138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424DBE5C">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b w:val="0"/>
                <w:bCs w:val="0"/>
                <w:color w:val="auto"/>
                <w:sz w:val="24"/>
                <w:szCs w:val="24"/>
                <w:lang w:val="en-US" w:eastAsia="zh-CN"/>
              </w:rPr>
              <w:t>个体演员备案</w:t>
            </w:r>
          </w:p>
        </w:tc>
        <w:tc>
          <w:tcPr>
            <w:tcW w:w="3802" w:type="dxa"/>
            <w:gridSpan w:val="3"/>
            <w:vMerge w:val="restart"/>
            <w:tcBorders>
              <w:top w:val="single" w:color="auto" w:sz="4" w:space="0"/>
              <w:left w:val="single" w:color="auto" w:sz="4" w:space="0"/>
              <w:right w:val="single" w:color="auto" w:sz="4" w:space="0"/>
            </w:tcBorders>
            <w:tcMar>
              <w:top w:w="15" w:type="dxa"/>
              <w:left w:w="15" w:type="dxa"/>
              <w:right w:w="15" w:type="dxa"/>
            </w:tcMar>
            <w:vAlign w:val="center"/>
          </w:tcPr>
          <w:p w14:paraId="2A1236B3">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《营业性演出条例》</w:t>
            </w:r>
            <w:r>
              <w:rPr>
                <w:rFonts w:hint="eastAsia" w:ascii="仿宋" w:hAnsi="仿宋" w:eastAsia="仿宋" w:cs="仿宋"/>
                <w:i w:val="0"/>
                <w:caps w:val="0"/>
                <w:color w:val="auto"/>
                <w:spacing w:val="0"/>
                <w:kern w:val="2"/>
                <w:sz w:val="24"/>
                <w:szCs w:val="24"/>
                <w:shd w:val="clear" w:color="070000"/>
                <w:lang w:val="en-US" w:eastAsia="zh-CN" w:bidi="ar-SA"/>
              </w:rPr>
              <w:t>(2</w:t>
            </w:r>
            <w:r>
              <w:rPr>
                <w:rFonts w:hint="default" w:ascii="仿宋" w:hAnsi="仿宋" w:eastAsia="仿宋" w:cs="仿宋"/>
                <w:i w:val="0"/>
                <w:caps w:val="0"/>
                <w:color w:val="auto"/>
                <w:spacing w:val="0"/>
                <w:kern w:val="2"/>
                <w:sz w:val="24"/>
                <w:szCs w:val="24"/>
                <w:shd w:val="clear" w:color="070000"/>
                <w:lang w:val="en-US" w:eastAsia="zh-CN" w:bidi="ar-SA"/>
              </w:rPr>
              <w:t>005</w:t>
            </w:r>
            <w:r>
              <w:rPr>
                <w:rFonts w:hint="eastAsia" w:ascii="仿宋" w:hAnsi="仿宋" w:eastAsia="仿宋" w:cs="仿宋"/>
                <w:i w:val="0"/>
                <w:caps w:val="0"/>
                <w:color w:val="auto"/>
                <w:spacing w:val="0"/>
                <w:kern w:val="2"/>
                <w:sz w:val="24"/>
                <w:szCs w:val="24"/>
                <w:shd w:val="clear" w:color="070000"/>
                <w:lang w:val="en-US" w:eastAsia="zh-CN" w:bidi="ar-SA"/>
              </w:rPr>
              <w:t>年</w:t>
            </w:r>
            <w:r>
              <w:rPr>
                <w:rFonts w:hint="default" w:ascii="仿宋" w:hAnsi="仿宋" w:eastAsia="仿宋" w:cs="仿宋"/>
                <w:i w:val="0"/>
                <w:caps w:val="0"/>
                <w:color w:val="auto"/>
                <w:spacing w:val="0"/>
                <w:kern w:val="2"/>
                <w:sz w:val="24"/>
                <w:szCs w:val="24"/>
                <w:shd w:val="clear" w:color="070000"/>
                <w:lang w:val="en-US" w:eastAsia="zh-CN" w:bidi="ar-SA"/>
              </w:rPr>
              <w:t>7</w:t>
            </w:r>
            <w:r>
              <w:rPr>
                <w:rFonts w:hint="eastAsia" w:ascii="仿宋" w:hAnsi="仿宋" w:eastAsia="仿宋" w:cs="仿宋"/>
                <w:i w:val="0"/>
                <w:caps w:val="0"/>
                <w:color w:val="auto"/>
                <w:spacing w:val="0"/>
                <w:kern w:val="2"/>
                <w:sz w:val="24"/>
                <w:szCs w:val="24"/>
                <w:shd w:val="clear" w:color="070000"/>
                <w:lang w:val="en-US" w:eastAsia="zh-CN" w:bidi="ar-SA"/>
              </w:rPr>
              <w:t>月</w:t>
            </w:r>
            <w:r>
              <w:rPr>
                <w:rFonts w:hint="default" w:ascii="仿宋" w:hAnsi="仿宋" w:eastAsia="仿宋" w:cs="仿宋"/>
                <w:i w:val="0"/>
                <w:caps w:val="0"/>
                <w:color w:val="auto"/>
                <w:spacing w:val="0"/>
                <w:kern w:val="2"/>
                <w:sz w:val="24"/>
                <w:szCs w:val="24"/>
                <w:shd w:val="clear" w:color="070000"/>
                <w:lang w:val="en-US" w:eastAsia="zh-CN" w:bidi="ar-SA"/>
              </w:rPr>
              <w:t>7</w:t>
            </w:r>
            <w:r>
              <w:rPr>
                <w:rFonts w:hint="eastAsia" w:ascii="仿宋" w:hAnsi="仿宋" w:eastAsia="仿宋" w:cs="仿宋"/>
                <w:i w:val="0"/>
                <w:caps w:val="0"/>
                <w:color w:val="auto"/>
                <w:spacing w:val="0"/>
                <w:kern w:val="2"/>
                <w:sz w:val="24"/>
                <w:szCs w:val="24"/>
                <w:shd w:val="clear" w:color="070000"/>
                <w:lang w:val="en-US" w:eastAsia="zh-CN" w:bidi="ar-SA"/>
              </w:rPr>
              <w:t>日中华人民共和国国务院令第</w:t>
            </w:r>
            <w:r>
              <w:rPr>
                <w:rFonts w:hint="default" w:ascii="仿宋" w:hAnsi="仿宋" w:eastAsia="仿宋" w:cs="仿宋"/>
                <w:i w:val="0"/>
                <w:caps w:val="0"/>
                <w:color w:val="auto"/>
                <w:spacing w:val="0"/>
                <w:kern w:val="2"/>
                <w:sz w:val="24"/>
                <w:szCs w:val="24"/>
                <w:shd w:val="clear" w:color="070000"/>
                <w:lang w:val="en-US" w:eastAsia="zh-CN" w:bidi="ar-SA"/>
              </w:rPr>
              <w:t>439</w:t>
            </w:r>
            <w:r>
              <w:rPr>
                <w:rFonts w:hint="eastAsia" w:ascii="仿宋" w:hAnsi="仿宋" w:eastAsia="仿宋" w:cs="仿宋"/>
                <w:i w:val="0"/>
                <w:caps w:val="0"/>
                <w:color w:val="auto"/>
                <w:spacing w:val="0"/>
                <w:kern w:val="2"/>
                <w:sz w:val="24"/>
                <w:szCs w:val="24"/>
                <w:shd w:val="clear" w:color="070000"/>
                <w:lang w:val="en-US" w:eastAsia="zh-CN" w:bidi="ar-SA"/>
              </w:rPr>
              <w:t>号公布根据</w:t>
            </w:r>
            <w:r>
              <w:rPr>
                <w:rFonts w:hint="default" w:ascii="仿宋" w:hAnsi="仿宋" w:eastAsia="仿宋" w:cs="仿宋"/>
                <w:i w:val="0"/>
                <w:caps w:val="0"/>
                <w:color w:val="auto"/>
                <w:spacing w:val="0"/>
                <w:kern w:val="2"/>
                <w:sz w:val="24"/>
                <w:szCs w:val="24"/>
                <w:shd w:val="clear" w:color="070000"/>
                <w:lang w:val="en-US" w:eastAsia="zh-CN" w:bidi="ar-SA"/>
              </w:rPr>
              <w:t>2008</w:t>
            </w:r>
            <w:r>
              <w:rPr>
                <w:rFonts w:hint="eastAsia" w:ascii="仿宋" w:hAnsi="仿宋" w:eastAsia="仿宋" w:cs="仿宋"/>
                <w:i w:val="0"/>
                <w:caps w:val="0"/>
                <w:color w:val="auto"/>
                <w:spacing w:val="0"/>
                <w:kern w:val="2"/>
                <w:sz w:val="24"/>
                <w:szCs w:val="24"/>
                <w:shd w:val="clear" w:color="070000"/>
                <w:lang w:val="en-US" w:eastAsia="zh-CN" w:bidi="ar-SA"/>
              </w:rPr>
              <w:t>年</w:t>
            </w:r>
            <w:r>
              <w:rPr>
                <w:rFonts w:hint="default" w:ascii="仿宋" w:hAnsi="仿宋" w:eastAsia="仿宋" w:cs="仿宋"/>
                <w:i w:val="0"/>
                <w:caps w:val="0"/>
                <w:color w:val="auto"/>
                <w:spacing w:val="0"/>
                <w:kern w:val="2"/>
                <w:sz w:val="24"/>
                <w:szCs w:val="24"/>
                <w:shd w:val="clear" w:color="070000"/>
                <w:lang w:val="en-US" w:eastAsia="zh-CN" w:bidi="ar-SA"/>
              </w:rPr>
              <w:t>7</w:t>
            </w:r>
            <w:r>
              <w:rPr>
                <w:rFonts w:hint="eastAsia" w:ascii="仿宋" w:hAnsi="仿宋" w:eastAsia="仿宋" w:cs="仿宋"/>
                <w:i w:val="0"/>
                <w:caps w:val="0"/>
                <w:color w:val="auto"/>
                <w:spacing w:val="0"/>
                <w:kern w:val="2"/>
                <w:sz w:val="24"/>
                <w:szCs w:val="24"/>
                <w:shd w:val="clear" w:color="070000"/>
                <w:lang w:val="en-US" w:eastAsia="zh-CN" w:bidi="ar-SA"/>
              </w:rPr>
              <w:t>月</w:t>
            </w:r>
            <w:r>
              <w:rPr>
                <w:rFonts w:hint="default" w:ascii="仿宋" w:hAnsi="仿宋" w:eastAsia="仿宋" w:cs="仿宋"/>
                <w:i w:val="0"/>
                <w:caps w:val="0"/>
                <w:color w:val="auto"/>
                <w:spacing w:val="0"/>
                <w:kern w:val="2"/>
                <w:sz w:val="24"/>
                <w:szCs w:val="24"/>
                <w:shd w:val="clear" w:color="070000"/>
                <w:lang w:val="en-US" w:eastAsia="zh-CN" w:bidi="ar-SA"/>
              </w:rPr>
              <w:t>22</w:t>
            </w:r>
            <w:r>
              <w:rPr>
                <w:rFonts w:hint="eastAsia" w:ascii="仿宋" w:hAnsi="仿宋" w:eastAsia="仿宋" w:cs="仿宋"/>
                <w:i w:val="0"/>
                <w:caps w:val="0"/>
                <w:color w:val="auto"/>
                <w:spacing w:val="0"/>
                <w:kern w:val="2"/>
                <w:sz w:val="24"/>
                <w:szCs w:val="24"/>
                <w:shd w:val="clear" w:color="070000"/>
                <w:lang w:val="en-US" w:eastAsia="zh-CN" w:bidi="ar-SA"/>
              </w:rPr>
              <w:t>日《国务院关于修改〈营业性演出管理条例〉的决定》第一次修订根据</w:t>
            </w:r>
            <w:r>
              <w:rPr>
                <w:rFonts w:hint="default" w:ascii="仿宋" w:hAnsi="仿宋" w:eastAsia="仿宋" w:cs="仿宋"/>
                <w:i w:val="0"/>
                <w:caps w:val="0"/>
                <w:color w:val="auto"/>
                <w:spacing w:val="0"/>
                <w:kern w:val="2"/>
                <w:sz w:val="24"/>
                <w:szCs w:val="24"/>
                <w:shd w:val="clear" w:color="070000"/>
                <w:lang w:val="en-US" w:eastAsia="zh-CN" w:bidi="ar-SA"/>
              </w:rPr>
              <w:t>2013</w:t>
            </w:r>
            <w:r>
              <w:rPr>
                <w:rFonts w:hint="eastAsia" w:ascii="仿宋" w:hAnsi="仿宋" w:eastAsia="仿宋" w:cs="仿宋"/>
                <w:i w:val="0"/>
                <w:caps w:val="0"/>
                <w:color w:val="auto"/>
                <w:spacing w:val="0"/>
                <w:kern w:val="2"/>
                <w:sz w:val="24"/>
                <w:szCs w:val="24"/>
                <w:shd w:val="clear" w:color="070000"/>
                <w:lang w:val="en-US" w:eastAsia="zh-CN" w:bidi="ar-SA"/>
              </w:rPr>
              <w:t>年</w:t>
            </w:r>
            <w:r>
              <w:rPr>
                <w:rFonts w:hint="default" w:ascii="仿宋" w:hAnsi="仿宋" w:eastAsia="仿宋" w:cs="仿宋"/>
                <w:i w:val="0"/>
                <w:caps w:val="0"/>
                <w:color w:val="auto"/>
                <w:spacing w:val="0"/>
                <w:kern w:val="2"/>
                <w:sz w:val="24"/>
                <w:szCs w:val="24"/>
                <w:shd w:val="clear" w:color="070000"/>
                <w:lang w:val="en-US" w:eastAsia="zh-CN" w:bidi="ar-SA"/>
              </w:rPr>
              <w:t>7</w:t>
            </w:r>
            <w:r>
              <w:rPr>
                <w:rFonts w:hint="eastAsia" w:ascii="仿宋" w:hAnsi="仿宋" w:eastAsia="仿宋" w:cs="仿宋"/>
                <w:i w:val="0"/>
                <w:caps w:val="0"/>
                <w:color w:val="auto"/>
                <w:spacing w:val="0"/>
                <w:kern w:val="2"/>
                <w:sz w:val="24"/>
                <w:szCs w:val="24"/>
                <w:shd w:val="clear" w:color="070000"/>
                <w:lang w:val="en-US" w:eastAsia="zh-CN" w:bidi="ar-SA"/>
              </w:rPr>
              <w:t>月</w:t>
            </w:r>
            <w:r>
              <w:rPr>
                <w:rFonts w:hint="default" w:ascii="仿宋" w:hAnsi="仿宋" w:eastAsia="仿宋" w:cs="仿宋"/>
                <w:i w:val="0"/>
                <w:caps w:val="0"/>
                <w:color w:val="auto"/>
                <w:spacing w:val="0"/>
                <w:kern w:val="2"/>
                <w:sz w:val="24"/>
                <w:szCs w:val="24"/>
                <w:shd w:val="clear" w:color="070000"/>
                <w:lang w:val="en-US" w:eastAsia="zh-CN" w:bidi="ar-SA"/>
              </w:rPr>
              <w:t>18</w:t>
            </w:r>
            <w:r>
              <w:rPr>
                <w:rFonts w:hint="eastAsia" w:ascii="仿宋" w:hAnsi="仿宋" w:eastAsia="仿宋" w:cs="仿宋"/>
                <w:i w:val="0"/>
                <w:caps w:val="0"/>
                <w:color w:val="auto"/>
                <w:spacing w:val="0"/>
                <w:kern w:val="2"/>
                <w:sz w:val="24"/>
                <w:szCs w:val="24"/>
                <w:shd w:val="clear" w:color="070000"/>
                <w:lang w:val="en-US" w:eastAsia="zh-CN" w:bidi="ar-SA"/>
              </w:rPr>
              <w:t>日《国务院关于废止和修改部分行政法规的决定》第二次修订根据</w:t>
            </w:r>
            <w:r>
              <w:rPr>
                <w:rFonts w:hint="default" w:ascii="仿宋" w:hAnsi="仿宋" w:eastAsia="仿宋" w:cs="仿宋"/>
                <w:i w:val="0"/>
                <w:caps w:val="0"/>
                <w:color w:val="auto"/>
                <w:spacing w:val="0"/>
                <w:kern w:val="2"/>
                <w:sz w:val="24"/>
                <w:szCs w:val="24"/>
                <w:shd w:val="clear" w:color="070000"/>
                <w:lang w:val="en-US" w:eastAsia="zh-CN" w:bidi="ar-SA"/>
              </w:rPr>
              <w:t>2016</w:t>
            </w:r>
            <w:r>
              <w:rPr>
                <w:rFonts w:hint="eastAsia" w:ascii="仿宋" w:hAnsi="仿宋" w:eastAsia="仿宋" w:cs="仿宋"/>
                <w:i w:val="0"/>
                <w:caps w:val="0"/>
                <w:color w:val="auto"/>
                <w:spacing w:val="0"/>
                <w:kern w:val="2"/>
                <w:sz w:val="24"/>
                <w:szCs w:val="24"/>
                <w:shd w:val="clear" w:color="070000"/>
                <w:lang w:val="en-US" w:eastAsia="zh-CN" w:bidi="ar-SA"/>
              </w:rPr>
              <w:t>年</w:t>
            </w:r>
            <w:r>
              <w:rPr>
                <w:rFonts w:hint="default" w:ascii="仿宋" w:hAnsi="仿宋" w:eastAsia="仿宋" w:cs="仿宋"/>
                <w:i w:val="0"/>
                <w:caps w:val="0"/>
                <w:color w:val="auto"/>
                <w:spacing w:val="0"/>
                <w:kern w:val="2"/>
                <w:sz w:val="24"/>
                <w:szCs w:val="24"/>
                <w:shd w:val="clear" w:color="070000"/>
                <w:lang w:val="en-US" w:eastAsia="zh-CN" w:bidi="ar-SA"/>
              </w:rPr>
              <w:t>2</w:t>
            </w:r>
            <w:r>
              <w:rPr>
                <w:rFonts w:hint="eastAsia" w:ascii="仿宋" w:hAnsi="仿宋" w:eastAsia="仿宋" w:cs="仿宋"/>
                <w:i w:val="0"/>
                <w:caps w:val="0"/>
                <w:color w:val="auto"/>
                <w:spacing w:val="0"/>
                <w:kern w:val="2"/>
                <w:sz w:val="24"/>
                <w:szCs w:val="24"/>
                <w:shd w:val="clear" w:color="070000"/>
                <w:lang w:val="en-US" w:eastAsia="zh-CN" w:bidi="ar-SA"/>
              </w:rPr>
              <w:t>月</w:t>
            </w:r>
            <w:r>
              <w:rPr>
                <w:rFonts w:hint="default" w:ascii="仿宋" w:hAnsi="仿宋" w:eastAsia="仿宋" w:cs="仿宋"/>
                <w:i w:val="0"/>
                <w:caps w:val="0"/>
                <w:color w:val="auto"/>
                <w:spacing w:val="0"/>
                <w:kern w:val="2"/>
                <w:sz w:val="24"/>
                <w:szCs w:val="24"/>
                <w:shd w:val="clear" w:color="070000"/>
                <w:lang w:val="en-US" w:eastAsia="zh-CN" w:bidi="ar-SA"/>
              </w:rPr>
              <w:t>6</w:t>
            </w:r>
            <w:r>
              <w:rPr>
                <w:rFonts w:hint="eastAsia" w:ascii="仿宋" w:hAnsi="仿宋" w:eastAsia="仿宋" w:cs="仿宋"/>
                <w:i w:val="0"/>
                <w:caps w:val="0"/>
                <w:color w:val="auto"/>
                <w:spacing w:val="0"/>
                <w:kern w:val="2"/>
                <w:sz w:val="24"/>
                <w:szCs w:val="24"/>
                <w:shd w:val="clear" w:color="070000"/>
                <w:lang w:val="en-US" w:eastAsia="zh-CN" w:bidi="ar-SA"/>
              </w:rPr>
              <w:t>日《国务院关于修改部分行政法规的决定》第三次修订根据</w:t>
            </w:r>
            <w:r>
              <w:rPr>
                <w:rFonts w:hint="default" w:ascii="仿宋" w:hAnsi="仿宋" w:eastAsia="仿宋" w:cs="仿宋"/>
                <w:i w:val="0"/>
                <w:caps w:val="0"/>
                <w:color w:val="auto"/>
                <w:spacing w:val="0"/>
                <w:kern w:val="2"/>
                <w:sz w:val="24"/>
                <w:szCs w:val="24"/>
                <w:shd w:val="clear" w:color="070000"/>
                <w:lang w:val="en-US" w:eastAsia="zh-CN" w:bidi="ar-SA"/>
              </w:rPr>
              <w:t>2020</w:t>
            </w:r>
            <w:r>
              <w:rPr>
                <w:rFonts w:hint="eastAsia" w:ascii="仿宋" w:hAnsi="仿宋" w:eastAsia="仿宋" w:cs="仿宋"/>
                <w:i w:val="0"/>
                <w:caps w:val="0"/>
                <w:color w:val="auto"/>
                <w:spacing w:val="0"/>
                <w:kern w:val="2"/>
                <w:sz w:val="24"/>
                <w:szCs w:val="24"/>
                <w:shd w:val="clear" w:color="070000"/>
                <w:lang w:val="en-US" w:eastAsia="zh-CN" w:bidi="ar-SA"/>
              </w:rPr>
              <w:t>年</w:t>
            </w:r>
            <w:r>
              <w:rPr>
                <w:rFonts w:hint="default" w:ascii="仿宋" w:hAnsi="仿宋" w:eastAsia="仿宋" w:cs="仿宋"/>
                <w:i w:val="0"/>
                <w:caps w:val="0"/>
                <w:color w:val="auto"/>
                <w:spacing w:val="0"/>
                <w:kern w:val="2"/>
                <w:sz w:val="24"/>
                <w:szCs w:val="24"/>
                <w:shd w:val="clear" w:color="070000"/>
                <w:lang w:val="en-US" w:eastAsia="zh-CN" w:bidi="ar-SA"/>
              </w:rPr>
              <w:t>11</w:t>
            </w:r>
            <w:r>
              <w:rPr>
                <w:rFonts w:hint="eastAsia" w:ascii="仿宋" w:hAnsi="仿宋" w:eastAsia="仿宋" w:cs="仿宋"/>
                <w:i w:val="0"/>
                <w:caps w:val="0"/>
                <w:color w:val="auto"/>
                <w:spacing w:val="0"/>
                <w:kern w:val="2"/>
                <w:sz w:val="24"/>
                <w:szCs w:val="24"/>
                <w:shd w:val="clear" w:color="070000"/>
                <w:lang w:val="en-US" w:eastAsia="zh-CN" w:bidi="ar-SA"/>
              </w:rPr>
              <w:t>月</w:t>
            </w:r>
            <w:r>
              <w:rPr>
                <w:rFonts w:hint="default" w:ascii="仿宋" w:hAnsi="仿宋" w:eastAsia="仿宋" w:cs="仿宋"/>
                <w:i w:val="0"/>
                <w:caps w:val="0"/>
                <w:color w:val="auto"/>
                <w:spacing w:val="0"/>
                <w:kern w:val="2"/>
                <w:sz w:val="24"/>
                <w:szCs w:val="24"/>
                <w:shd w:val="clear" w:color="070000"/>
                <w:lang w:val="en-US" w:eastAsia="zh-CN" w:bidi="ar-SA"/>
              </w:rPr>
              <w:t>29</w:t>
            </w:r>
            <w:r>
              <w:rPr>
                <w:rFonts w:hint="eastAsia" w:ascii="仿宋" w:hAnsi="仿宋" w:eastAsia="仿宋" w:cs="仿宋"/>
                <w:i w:val="0"/>
                <w:caps w:val="0"/>
                <w:color w:val="auto"/>
                <w:spacing w:val="0"/>
                <w:kern w:val="2"/>
                <w:sz w:val="24"/>
                <w:szCs w:val="24"/>
                <w:shd w:val="clear" w:color="070000"/>
                <w:lang w:val="en-US" w:eastAsia="zh-CN" w:bidi="ar-SA"/>
              </w:rPr>
              <w:t>日《国务院关于修改和废止部分行政法规的决定》第四次修订)</w:t>
            </w:r>
            <w:r>
              <w:rPr>
                <w:rFonts w:hint="eastAsia" w:ascii="仿宋" w:hAnsi="仿宋" w:eastAsia="仿宋" w:cs="仿宋"/>
                <w:i w:val="0"/>
                <w:caps w:val="0"/>
                <w:color w:val="auto"/>
                <w:spacing w:val="0"/>
                <w:kern w:val="2"/>
                <w:sz w:val="24"/>
                <w:szCs w:val="24"/>
                <w:shd w:val="clear" w:color="070000" w:fill="FFFFFF"/>
                <w:lang w:val="en-US" w:eastAsia="zh-CN" w:bidi="ar-SA"/>
              </w:rPr>
              <w:t>第九条，以从事营业性演出为职业的个体演员（以下简称个体演员）和以从事营业性演出的居间、代理活动为职业的个体演出经纪人（以下简称个体演出经纪人），应当依法到工商行政管理部门办理注册登记，领取营业执照。 个体演员、个体演出经纪人应当自领取营业执照之日起20日内向所在地县级人民政府文化主管部门备案。</w:t>
            </w:r>
          </w:p>
        </w:tc>
        <w:tc>
          <w:tcPr>
            <w:tcW w:w="615"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41EC87D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其他职权</w:t>
            </w: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BF1D58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EF15DA2">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5DED65DC">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不履行或不正确履行职责，有下列情形的行政机关及相关工作人员应当承担相应的责任：</w:t>
            </w:r>
          </w:p>
          <w:p w14:paraId="5634040E">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文化主管部门、公安部门、工商行政管理部门的工作人员滥用职权、玩忽职守、徇私舞弊或者未依照本条例规定履行职责的，依法给予行政处分；构成犯罪的，依法追究刑事责任。</w:t>
            </w: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7F034860">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14:paraId="4EE51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5" w:hRule="atLeast"/>
          <w:jc w:val="center"/>
        </w:trPr>
        <w:tc>
          <w:tcPr>
            <w:tcW w:w="678" w:type="dxa"/>
            <w:vMerge w:val="continue"/>
            <w:tcBorders>
              <w:left w:val="single" w:color="auto" w:sz="4" w:space="0"/>
              <w:right w:val="single" w:color="auto" w:sz="4" w:space="0"/>
            </w:tcBorders>
            <w:tcMar>
              <w:top w:w="15" w:type="dxa"/>
              <w:left w:w="15" w:type="dxa"/>
              <w:right w:w="15" w:type="dxa"/>
            </w:tcMar>
            <w:vAlign w:val="center"/>
          </w:tcPr>
          <w:p w14:paraId="32AB7521">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1382" w:type="dxa"/>
            <w:vMerge w:val="continue"/>
            <w:tcBorders>
              <w:left w:val="single" w:color="auto" w:sz="4" w:space="0"/>
              <w:right w:val="single" w:color="auto" w:sz="4" w:space="0"/>
            </w:tcBorders>
            <w:tcMar>
              <w:top w:w="15" w:type="dxa"/>
              <w:left w:w="15" w:type="dxa"/>
              <w:right w:w="15" w:type="dxa"/>
            </w:tcMar>
            <w:vAlign w:val="center"/>
          </w:tcPr>
          <w:p w14:paraId="5F7207EA">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3802" w:type="dxa"/>
            <w:gridSpan w:val="3"/>
            <w:vMerge w:val="continue"/>
            <w:tcBorders>
              <w:left w:val="single" w:color="auto" w:sz="4" w:space="0"/>
              <w:right w:val="single" w:color="auto" w:sz="4" w:space="0"/>
            </w:tcBorders>
            <w:tcMar>
              <w:top w:w="15" w:type="dxa"/>
              <w:left w:w="15" w:type="dxa"/>
              <w:right w:w="15" w:type="dxa"/>
            </w:tcMar>
            <w:vAlign w:val="center"/>
          </w:tcPr>
          <w:p w14:paraId="32C6360F">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615" w:type="dxa"/>
            <w:gridSpan w:val="2"/>
            <w:vMerge w:val="continue"/>
            <w:tcBorders>
              <w:left w:val="single" w:color="auto" w:sz="4" w:space="0"/>
              <w:right w:val="single" w:color="auto" w:sz="4" w:space="0"/>
            </w:tcBorders>
            <w:tcMar>
              <w:top w:w="15" w:type="dxa"/>
              <w:left w:w="15" w:type="dxa"/>
              <w:right w:w="15" w:type="dxa"/>
            </w:tcMar>
            <w:vAlign w:val="center"/>
          </w:tcPr>
          <w:p w14:paraId="12881D6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E00D29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F7B7D19">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17" w:type="dxa"/>
            <w:gridSpan w:val="2"/>
            <w:vMerge w:val="continue"/>
            <w:tcBorders>
              <w:left w:val="single" w:color="auto" w:sz="4" w:space="0"/>
              <w:right w:val="single" w:color="auto" w:sz="4" w:space="0"/>
            </w:tcBorders>
            <w:tcMar>
              <w:top w:w="15" w:type="dxa"/>
              <w:left w:w="15" w:type="dxa"/>
              <w:right w:w="15" w:type="dxa"/>
            </w:tcMar>
            <w:vAlign w:val="center"/>
          </w:tcPr>
          <w:p w14:paraId="6244ECEF">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42" w:type="dxa"/>
            <w:vMerge w:val="continue"/>
            <w:tcBorders>
              <w:left w:val="single" w:color="auto" w:sz="4" w:space="0"/>
              <w:right w:val="single" w:color="auto" w:sz="4" w:space="0"/>
            </w:tcBorders>
            <w:tcMar>
              <w:top w:w="15" w:type="dxa"/>
              <w:left w:w="15" w:type="dxa"/>
              <w:right w:w="15" w:type="dxa"/>
            </w:tcMar>
            <w:vAlign w:val="center"/>
          </w:tcPr>
          <w:p w14:paraId="4CB29786">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14:paraId="5D760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5"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30DC80E">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DE59E7B">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3802"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FB5365F">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615"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4BA5F5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E7AAE0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4E0B0E3">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AFE2757">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B817E1B">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14:paraId="41CA7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FCD012C">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414F0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8B357D2">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r w14:paraId="48CCB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0" w:hRule="atLeast"/>
          <w:jc w:val="center"/>
        </w:trPr>
        <w:tc>
          <w:tcPr>
            <w:tcW w:w="6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138A1418">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default" w:ascii="仿宋" w:hAnsi="仿宋" w:eastAsia="仿宋" w:cs="仿宋"/>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t>50</w:t>
            </w:r>
          </w:p>
        </w:tc>
        <w:tc>
          <w:tcPr>
            <w:tcW w:w="138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69162210">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b w:val="0"/>
                <w:bCs w:val="0"/>
                <w:color w:val="auto"/>
                <w:sz w:val="24"/>
                <w:szCs w:val="24"/>
                <w:lang w:val="en-US" w:eastAsia="zh-CN"/>
              </w:rPr>
              <w:t>个体演出经纪人备案</w:t>
            </w:r>
          </w:p>
        </w:tc>
        <w:tc>
          <w:tcPr>
            <w:tcW w:w="3802" w:type="dxa"/>
            <w:gridSpan w:val="3"/>
            <w:vMerge w:val="restart"/>
            <w:tcBorders>
              <w:top w:val="single" w:color="auto" w:sz="4" w:space="0"/>
              <w:left w:val="single" w:color="auto" w:sz="4" w:space="0"/>
              <w:right w:val="single" w:color="auto" w:sz="4" w:space="0"/>
            </w:tcBorders>
            <w:tcMar>
              <w:top w:w="15" w:type="dxa"/>
              <w:left w:w="15" w:type="dxa"/>
              <w:right w:w="15" w:type="dxa"/>
            </w:tcMar>
            <w:vAlign w:val="center"/>
          </w:tcPr>
          <w:p w14:paraId="0BE7BA64">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《营业性演出条例》</w:t>
            </w:r>
            <w:r>
              <w:rPr>
                <w:rFonts w:hint="eastAsia" w:ascii="仿宋" w:hAnsi="仿宋" w:eastAsia="仿宋" w:cs="仿宋"/>
                <w:i w:val="0"/>
                <w:caps w:val="0"/>
                <w:color w:val="auto"/>
                <w:spacing w:val="0"/>
                <w:kern w:val="2"/>
                <w:sz w:val="24"/>
                <w:szCs w:val="24"/>
                <w:shd w:val="clear" w:color="070000"/>
                <w:lang w:val="en-US" w:eastAsia="zh-CN" w:bidi="ar-SA"/>
              </w:rPr>
              <w:t>(2</w:t>
            </w:r>
            <w:r>
              <w:rPr>
                <w:rFonts w:hint="default" w:ascii="仿宋" w:hAnsi="仿宋" w:eastAsia="仿宋" w:cs="仿宋"/>
                <w:i w:val="0"/>
                <w:caps w:val="0"/>
                <w:color w:val="auto"/>
                <w:spacing w:val="0"/>
                <w:kern w:val="2"/>
                <w:sz w:val="24"/>
                <w:szCs w:val="24"/>
                <w:shd w:val="clear" w:color="070000"/>
                <w:lang w:val="en-US" w:eastAsia="zh-CN" w:bidi="ar-SA"/>
              </w:rPr>
              <w:t>005</w:t>
            </w:r>
            <w:r>
              <w:rPr>
                <w:rFonts w:hint="eastAsia" w:ascii="仿宋" w:hAnsi="仿宋" w:eastAsia="仿宋" w:cs="仿宋"/>
                <w:i w:val="0"/>
                <w:caps w:val="0"/>
                <w:color w:val="auto"/>
                <w:spacing w:val="0"/>
                <w:kern w:val="2"/>
                <w:sz w:val="24"/>
                <w:szCs w:val="24"/>
                <w:shd w:val="clear" w:color="070000"/>
                <w:lang w:val="en-US" w:eastAsia="zh-CN" w:bidi="ar-SA"/>
              </w:rPr>
              <w:t>年</w:t>
            </w:r>
            <w:r>
              <w:rPr>
                <w:rFonts w:hint="default" w:ascii="仿宋" w:hAnsi="仿宋" w:eastAsia="仿宋" w:cs="仿宋"/>
                <w:i w:val="0"/>
                <w:caps w:val="0"/>
                <w:color w:val="auto"/>
                <w:spacing w:val="0"/>
                <w:kern w:val="2"/>
                <w:sz w:val="24"/>
                <w:szCs w:val="24"/>
                <w:shd w:val="clear" w:color="070000"/>
                <w:lang w:val="en-US" w:eastAsia="zh-CN" w:bidi="ar-SA"/>
              </w:rPr>
              <w:t>7</w:t>
            </w:r>
            <w:r>
              <w:rPr>
                <w:rFonts w:hint="eastAsia" w:ascii="仿宋" w:hAnsi="仿宋" w:eastAsia="仿宋" w:cs="仿宋"/>
                <w:i w:val="0"/>
                <w:caps w:val="0"/>
                <w:color w:val="auto"/>
                <w:spacing w:val="0"/>
                <w:kern w:val="2"/>
                <w:sz w:val="24"/>
                <w:szCs w:val="24"/>
                <w:shd w:val="clear" w:color="070000"/>
                <w:lang w:val="en-US" w:eastAsia="zh-CN" w:bidi="ar-SA"/>
              </w:rPr>
              <w:t>月</w:t>
            </w:r>
            <w:r>
              <w:rPr>
                <w:rFonts w:hint="default" w:ascii="仿宋" w:hAnsi="仿宋" w:eastAsia="仿宋" w:cs="仿宋"/>
                <w:i w:val="0"/>
                <w:caps w:val="0"/>
                <w:color w:val="auto"/>
                <w:spacing w:val="0"/>
                <w:kern w:val="2"/>
                <w:sz w:val="24"/>
                <w:szCs w:val="24"/>
                <w:shd w:val="clear" w:color="070000"/>
                <w:lang w:val="en-US" w:eastAsia="zh-CN" w:bidi="ar-SA"/>
              </w:rPr>
              <w:t>7</w:t>
            </w:r>
            <w:r>
              <w:rPr>
                <w:rFonts w:hint="eastAsia" w:ascii="仿宋" w:hAnsi="仿宋" w:eastAsia="仿宋" w:cs="仿宋"/>
                <w:i w:val="0"/>
                <w:caps w:val="0"/>
                <w:color w:val="auto"/>
                <w:spacing w:val="0"/>
                <w:kern w:val="2"/>
                <w:sz w:val="24"/>
                <w:szCs w:val="24"/>
                <w:shd w:val="clear" w:color="070000"/>
                <w:lang w:val="en-US" w:eastAsia="zh-CN" w:bidi="ar-SA"/>
              </w:rPr>
              <w:t>日中华人民共和国国务院令第</w:t>
            </w:r>
            <w:r>
              <w:rPr>
                <w:rFonts w:hint="default" w:ascii="仿宋" w:hAnsi="仿宋" w:eastAsia="仿宋" w:cs="仿宋"/>
                <w:i w:val="0"/>
                <w:caps w:val="0"/>
                <w:color w:val="auto"/>
                <w:spacing w:val="0"/>
                <w:kern w:val="2"/>
                <w:sz w:val="24"/>
                <w:szCs w:val="24"/>
                <w:shd w:val="clear" w:color="070000"/>
                <w:lang w:val="en-US" w:eastAsia="zh-CN" w:bidi="ar-SA"/>
              </w:rPr>
              <w:t>439</w:t>
            </w:r>
            <w:r>
              <w:rPr>
                <w:rFonts w:hint="eastAsia" w:ascii="仿宋" w:hAnsi="仿宋" w:eastAsia="仿宋" w:cs="仿宋"/>
                <w:i w:val="0"/>
                <w:caps w:val="0"/>
                <w:color w:val="auto"/>
                <w:spacing w:val="0"/>
                <w:kern w:val="2"/>
                <w:sz w:val="24"/>
                <w:szCs w:val="24"/>
                <w:shd w:val="clear" w:color="070000"/>
                <w:lang w:val="en-US" w:eastAsia="zh-CN" w:bidi="ar-SA"/>
              </w:rPr>
              <w:t>号公布根据</w:t>
            </w:r>
            <w:r>
              <w:rPr>
                <w:rFonts w:hint="default" w:ascii="仿宋" w:hAnsi="仿宋" w:eastAsia="仿宋" w:cs="仿宋"/>
                <w:i w:val="0"/>
                <w:caps w:val="0"/>
                <w:color w:val="auto"/>
                <w:spacing w:val="0"/>
                <w:kern w:val="2"/>
                <w:sz w:val="24"/>
                <w:szCs w:val="24"/>
                <w:shd w:val="clear" w:color="070000"/>
                <w:lang w:val="en-US" w:eastAsia="zh-CN" w:bidi="ar-SA"/>
              </w:rPr>
              <w:t>2008</w:t>
            </w:r>
            <w:r>
              <w:rPr>
                <w:rFonts w:hint="eastAsia" w:ascii="仿宋" w:hAnsi="仿宋" w:eastAsia="仿宋" w:cs="仿宋"/>
                <w:i w:val="0"/>
                <w:caps w:val="0"/>
                <w:color w:val="auto"/>
                <w:spacing w:val="0"/>
                <w:kern w:val="2"/>
                <w:sz w:val="24"/>
                <w:szCs w:val="24"/>
                <w:shd w:val="clear" w:color="070000"/>
                <w:lang w:val="en-US" w:eastAsia="zh-CN" w:bidi="ar-SA"/>
              </w:rPr>
              <w:t>年</w:t>
            </w:r>
            <w:r>
              <w:rPr>
                <w:rFonts w:hint="default" w:ascii="仿宋" w:hAnsi="仿宋" w:eastAsia="仿宋" w:cs="仿宋"/>
                <w:i w:val="0"/>
                <w:caps w:val="0"/>
                <w:color w:val="auto"/>
                <w:spacing w:val="0"/>
                <w:kern w:val="2"/>
                <w:sz w:val="24"/>
                <w:szCs w:val="24"/>
                <w:shd w:val="clear" w:color="070000"/>
                <w:lang w:val="en-US" w:eastAsia="zh-CN" w:bidi="ar-SA"/>
              </w:rPr>
              <w:t>7</w:t>
            </w:r>
            <w:r>
              <w:rPr>
                <w:rFonts w:hint="eastAsia" w:ascii="仿宋" w:hAnsi="仿宋" w:eastAsia="仿宋" w:cs="仿宋"/>
                <w:i w:val="0"/>
                <w:caps w:val="0"/>
                <w:color w:val="auto"/>
                <w:spacing w:val="0"/>
                <w:kern w:val="2"/>
                <w:sz w:val="24"/>
                <w:szCs w:val="24"/>
                <w:shd w:val="clear" w:color="070000"/>
                <w:lang w:val="en-US" w:eastAsia="zh-CN" w:bidi="ar-SA"/>
              </w:rPr>
              <w:t>月</w:t>
            </w:r>
            <w:r>
              <w:rPr>
                <w:rFonts w:hint="default" w:ascii="仿宋" w:hAnsi="仿宋" w:eastAsia="仿宋" w:cs="仿宋"/>
                <w:i w:val="0"/>
                <w:caps w:val="0"/>
                <w:color w:val="auto"/>
                <w:spacing w:val="0"/>
                <w:kern w:val="2"/>
                <w:sz w:val="24"/>
                <w:szCs w:val="24"/>
                <w:shd w:val="clear" w:color="070000"/>
                <w:lang w:val="en-US" w:eastAsia="zh-CN" w:bidi="ar-SA"/>
              </w:rPr>
              <w:t>22</w:t>
            </w:r>
            <w:r>
              <w:rPr>
                <w:rFonts w:hint="eastAsia" w:ascii="仿宋" w:hAnsi="仿宋" w:eastAsia="仿宋" w:cs="仿宋"/>
                <w:i w:val="0"/>
                <w:caps w:val="0"/>
                <w:color w:val="auto"/>
                <w:spacing w:val="0"/>
                <w:kern w:val="2"/>
                <w:sz w:val="24"/>
                <w:szCs w:val="24"/>
                <w:shd w:val="clear" w:color="070000"/>
                <w:lang w:val="en-US" w:eastAsia="zh-CN" w:bidi="ar-SA"/>
              </w:rPr>
              <w:t>日《国务院关于修改〈营业性演出管理条例〉的决定》第一次修订根据</w:t>
            </w:r>
            <w:r>
              <w:rPr>
                <w:rFonts w:hint="default" w:ascii="仿宋" w:hAnsi="仿宋" w:eastAsia="仿宋" w:cs="仿宋"/>
                <w:i w:val="0"/>
                <w:caps w:val="0"/>
                <w:color w:val="auto"/>
                <w:spacing w:val="0"/>
                <w:kern w:val="2"/>
                <w:sz w:val="24"/>
                <w:szCs w:val="24"/>
                <w:shd w:val="clear" w:color="070000"/>
                <w:lang w:val="en-US" w:eastAsia="zh-CN" w:bidi="ar-SA"/>
              </w:rPr>
              <w:t>2013</w:t>
            </w:r>
            <w:r>
              <w:rPr>
                <w:rFonts w:hint="eastAsia" w:ascii="仿宋" w:hAnsi="仿宋" w:eastAsia="仿宋" w:cs="仿宋"/>
                <w:i w:val="0"/>
                <w:caps w:val="0"/>
                <w:color w:val="auto"/>
                <w:spacing w:val="0"/>
                <w:kern w:val="2"/>
                <w:sz w:val="24"/>
                <w:szCs w:val="24"/>
                <w:shd w:val="clear" w:color="070000"/>
                <w:lang w:val="en-US" w:eastAsia="zh-CN" w:bidi="ar-SA"/>
              </w:rPr>
              <w:t>年</w:t>
            </w:r>
            <w:r>
              <w:rPr>
                <w:rFonts w:hint="default" w:ascii="仿宋" w:hAnsi="仿宋" w:eastAsia="仿宋" w:cs="仿宋"/>
                <w:i w:val="0"/>
                <w:caps w:val="0"/>
                <w:color w:val="auto"/>
                <w:spacing w:val="0"/>
                <w:kern w:val="2"/>
                <w:sz w:val="24"/>
                <w:szCs w:val="24"/>
                <w:shd w:val="clear" w:color="070000"/>
                <w:lang w:val="en-US" w:eastAsia="zh-CN" w:bidi="ar-SA"/>
              </w:rPr>
              <w:t>7</w:t>
            </w:r>
            <w:r>
              <w:rPr>
                <w:rFonts w:hint="eastAsia" w:ascii="仿宋" w:hAnsi="仿宋" w:eastAsia="仿宋" w:cs="仿宋"/>
                <w:i w:val="0"/>
                <w:caps w:val="0"/>
                <w:color w:val="auto"/>
                <w:spacing w:val="0"/>
                <w:kern w:val="2"/>
                <w:sz w:val="24"/>
                <w:szCs w:val="24"/>
                <w:shd w:val="clear" w:color="070000"/>
                <w:lang w:val="en-US" w:eastAsia="zh-CN" w:bidi="ar-SA"/>
              </w:rPr>
              <w:t>月</w:t>
            </w:r>
            <w:r>
              <w:rPr>
                <w:rFonts w:hint="default" w:ascii="仿宋" w:hAnsi="仿宋" w:eastAsia="仿宋" w:cs="仿宋"/>
                <w:i w:val="0"/>
                <w:caps w:val="0"/>
                <w:color w:val="auto"/>
                <w:spacing w:val="0"/>
                <w:kern w:val="2"/>
                <w:sz w:val="24"/>
                <w:szCs w:val="24"/>
                <w:shd w:val="clear" w:color="070000"/>
                <w:lang w:val="en-US" w:eastAsia="zh-CN" w:bidi="ar-SA"/>
              </w:rPr>
              <w:t>18</w:t>
            </w:r>
            <w:r>
              <w:rPr>
                <w:rFonts w:hint="eastAsia" w:ascii="仿宋" w:hAnsi="仿宋" w:eastAsia="仿宋" w:cs="仿宋"/>
                <w:i w:val="0"/>
                <w:caps w:val="0"/>
                <w:color w:val="auto"/>
                <w:spacing w:val="0"/>
                <w:kern w:val="2"/>
                <w:sz w:val="24"/>
                <w:szCs w:val="24"/>
                <w:shd w:val="clear" w:color="070000"/>
                <w:lang w:val="en-US" w:eastAsia="zh-CN" w:bidi="ar-SA"/>
              </w:rPr>
              <w:t>日《国务院关于废止和修改部分行政法规的决定》第二次修订根据</w:t>
            </w:r>
            <w:r>
              <w:rPr>
                <w:rFonts w:hint="default" w:ascii="仿宋" w:hAnsi="仿宋" w:eastAsia="仿宋" w:cs="仿宋"/>
                <w:i w:val="0"/>
                <w:caps w:val="0"/>
                <w:color w:val="auto"/>
                <w:spacing w:val="0"/>
                <w:kern w:val="2"/>
                <w:sz w:val="24"/>
                <w:szCs w:val="24"/>
                <w:shd w:val="clear" w:color="070000"/>
                <w:lang w:val="en-US" w:eastAsia="zh-CN" w:bidi="ar-SA"/>
              </w:rPr>
              <w:t>2016</w:t>
            </w:r>
            <w:r>
              <w:rPr>
                <w:rFonts w:hint="eastAsia" w:ascii="仿宋" w:hAnsi="仿宋" w:eastAsia="仿宋" w:cs="仿宋"/>
                <w:i w:val="0"/>
                <w:caps w:val="0"/>
                <w:color w:val="auto"/>
                <w:spacing w:val="0"/>
                <w:kern w:val="2"/>
                <w:sz w:val="24"/>
                <w:szCs w:val="24"/>
                <w:shd w:val="clear" w:color="070000"/>
                <w:lang w:val="en-US" w:eastAsia="zh-CN" w:bidi="ar-SA"/>
              </w:rPr>
              <w:t>年</w:t>
            </w:r>
            <w:r>
              <w:rPr>
                <w:rFonts w:hint="default" w:ascii="仿宋" w:hAnsi="仿宋" w:eastAsia="仿宋" w:cs="仿宋"/>
                <w:i w:val="0"/>
                <w:caps w:val="0"/>
                <w:color w:val="auto"/>
                <w:spacing w:val="0"/>
                <w:kern w:val="2"/>
                <w:sz w:val="24"/>
                <w:szCs w:val="24"/>
                <w:shd w:val="clear" w:color="070000"/>
                <w:lang w:val="en-US" w:eastAsia="zh-CN" w:bidi="ar-SA"/>
              </w:rPr>
              <w:t>2</w:t>
            </w:r>
            <w:r>
              <w:rPr>
                <w:rFonts w:hint="eastAsia" w:ascii="仿宋" w:hAnsi="仿宋" w:eastAsia="仿宋" w:cs="仿宋"/>
                <w:i w:val="0"/>
                <w:caps w:val="0"/>
                <w:color w:val="auto"/>
                <w:spacing w:val="0"/>
                <w:kern w:val="2"/>
                <w:sz w:val="24"/>
                <w:szCs w:val="24"/>
                <w:shd w:val="clear" w:color="070000"/>
                <w:lang w:val="en-US" w:eastAsia="zh-CN" w:bidi="ar-SA"/>
              </w:rPr>
              <w:t>月</w:t>
            </w:r>
            <w:r>
              <w:rPr>
                <w:rFonts w:hint="default" w:ascii="仿宋" w:hAnsi="仿宋" w:eastAsia="仿宋" w:cs="仿宋"/>
                <w:i w:val="0"/>
                <w:caps w:val="0"/>
                <w:color w:val="auto"/>
                <w:spacing w:val="0"/>
                <w:kern w:val="2"/>
                <w:sz w:val="24"/>
                <w:szCs w:val="24"/>
                <w:shd w:val="clear" w:color="070000"/>
                <w:lang w:val="en-US" w:eastAsia="zh-CN" w:bidi="ar-SA"/>
              </w:rPr>
              <w:t>6</w:t>
            </w:r>
            <w:r>
              <w:rPr>
                <w:rFonts w:hint="eastAsia" w:ascii="仿宋" w:hAnsi="仿宋" w:eastAsia="仿宋" w:cs="仿宋"/>
                <w:i w:val="0"/>
                <w:caps w:val="0"/>
                <w:color w:val="auto"/>
                <w:spacing w:val="0"/>
                <w:kern w:val="2"/>
                <w:sz w:val="24"/>
                <w:szCs w:val="24"/>
                <w:shd w:val="clear" w:color="070000"/>
                <w:lang w:val="en-US" w:eastAsia="zh-CN" w:bidi="ar-SA"/>
              </w:rPr>
              <w:t>日《国务院关于修改部分行政法规的决定》第三次修订根据</w:t>
            </w:r>
            <w:r>
              <w:rPr>
                <w:rFonts w:hint="default" w:ascii="仿宋" w:hAnsi="仿宋" w:eastAsia="仿宋" w:cs="仿宋"/>
                <w:i w:val="0"/>
                <w:caps w:val="0"/>
                <w:color w:val="auto"/>
                <w:spacing w:val="0"/>
                <w:kern w:val="2"/>
                <w:sz w:val="24"/>
                <w:szCs w:val="24"/>
                <w:shd w:val="clear" w:color="070000"/>
                <w:lang w:val="en-US" w:eastAsia="zh-CN" w:bidi="ar-SA"/>
              </w:rPr>
              <w:t>2020</w:t>
            </w:r>
            <w:r>
              <w:rPr>
                <w:rFonts w:hint="eastAsia" w:ascii="仿宋" w:hAnsi="仿宋" w:eastAsia="仿宋" w:cs="仿宋"/>
                <w:i w:val="0"/>
                <w:caps w:val="0"/>
                <w:color w:val="auto"/>
                <w:spacing w:val="0"/>
                <w:kern w:val="2"/>
                <w:sz w:val="24"/>
                <w:szCs w:val="24"/>
                <w:shd w:val="clear" w:color="070000"/>
                <w:lang w:val="en-US" w:eastAsia="zh-CN" w:bidi="ar-SA"/>
              </w:rPr>
              <w:t>年</w:t>
            </w:r>
            <w:r>
              <w:rPr>
                <w:rFonts w:hint="default" w:ascii="仿宋" w:hAnsi="仿宋" w:eastAsia="仿宋" w:cs="仿宋"/>
                <w:i w:val="0"/>
                <w:caps w:val="0"/>
                <w:color w:val="auto"/>
                <w:spacing w:val="0"/>
                <w:kern w:val="2"/>
                <w:sz w:val="24"/>
                <w:szCs w:val="24"/>
                <w:shd w:val="clear" w:color="070000"/>
                <w:lang w:val="en-US" w:eastAsia="zh-CN" w:bidi="ar-SA"/>
              </w:rPr>
              <w:t>11</w:t>
            </w:r>
            <w:r>
              <w:rPr>
                <w:rFonts w:hint="eastAsia" w:ascii="仿宋" w:hAnsi="仿宋" w:eastAsia="仿宋" w:cs="仿宋"/>
                <w:i w:val="0"/>
                <w:caps w:val="0"/>
                <w:color w:val="auto"/>
                <w:spacing w:val="0"/>
                <w:kern w:val="2"/>
                <w:sz w:val="24"/>
                <w:szCs w:val="24"/>
                <w:shd w:val="clear" w:color="070000"/>
                <w:lang w:val="en-US" w:eastAsia="zh-CN" w:bidi="ar-SA"/>
              </w:rPr>
              <w:t>月</w:t>
            </w:r>
            <w:r>
              <w:rPr>
                <w:rFonts w:hint="default" w:ascii="仿宋" w:hAnsi="仿宋" w:eastAsia="仿宋" w:cs="仿宋"/>
                <w:i w:val="0"/>
                <w:caps w:val="0"/>
                <w:color w:val="auto"/>
                <w:spacing w:val="0"/>
                <w:kern w:val="2"/>
                <w:sz w:val="24"/>
                <w:szCs w:val="24"/>
                <w:shd w:val="clear" w:color="070000"/>
                <w:lang w:val="en-US" w:eastAsia="zh-CN" w:bidi="ar-SA"/>
              </w:rPr>
              <w:t>29</w:t>
            </w:r>
            <w:r>
              <w:rPr>
                <w:rFonts w:hint="eastAsia" w:ascii="仿宋" w:hAnsi="仿宋" w:eastAsia="仿宋" w:cs="仿宋"/>
                <w:i w:val="0"/>
                <w:caps w:val="0"/>
                <w:color w:val="auto"/>
                <w:spacing w:val="0"/>
                <w:kern w:val="2"/>
                <w:sz w:val="24"/>
                <w:szCs w:val="24"/>
                <w:shd w:val="clear" w:color="070000"/>
                <w:lang w:val="en-US" w:eastAsia="zh-CN" w:bidi="ar-SA"/>
              </w:rPr>
              <w:t>日《国务院关于修改和废止部分行政法规的决定》第四次修订)</w:t>
            </w:r>
            <w:r>
              <w:rPr>
                <w:rFonts w:hint="eastAsia" w:ascii="仿宋" w:hAnsi="仿宋" w:eastAsia="仿宋" w:cs="仿宋"/>
                <w:i w:val="0"/>
                <w:caps w:val="0"/>
                <w:color w:val="auto"/>
                <w:spacing w:val="0"/>
                <w:kern w:val="2"/>
                <w:sz w:val="24"/>
                <w:szCs w:val="24"/>
                <w:shd w:val="clear" w:color="070000" w:fill="FFFFFF"/>
                <w:lang w:val="en-US" w:eastAsia="zh-CN" w:bidi="ar-SA"/>
              </w:rPr>
              <w:t>第九条，以从事营业性演出为职业的个体演员（以下简称个体演员）和以从事营业性演出的居间、代理活动为职业的个体演出经纪人（以下简称个体演出经纪人），应当依法到工商行政管理部门办理注册登记，领取营业执照。 个体演员、个体演出经纪人应当自领取营业执照之日起20日内向所在地县级人民政府文化主管部门备案。</w:t>
            </w:r>
          </w:p>
        </w:tc>
        <w:tc>
          <w:tcPr>
            <w:tcW w:w="615"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48CB700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其他职权</w:t>
            </w: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5BB7A71">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受理</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C8C7B33">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1、核对申请人是否符合申请条件；2、依据办事指南中材料清单逐一核对是否齐全；3、核对每个材料是否涵盖材料要求中涉及的内容和要素。能当场受理或通过当场补正达到受理条件的，直接进受理步骤；根据一次性告知通知书内容进行补正后达到受理条件的，出具决定受理通知书；收件之日起未收到一次性告知通知书的从收件之日起即为受理。</w:t>
            </w:r>
          </w:p>
        </w:tc>
        <w:tc>
          <w:tcPr>
            <w:tcW w:w="1717"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004A0950">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不履行或不正确履行职责，有下列情形的行政机关及相关工作人员应当承担相应的责任：</w:t>
            </w:r>
          </w:p>
          <w:p w14:paraId="33F3C40A">
            <w:pPr>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文化主管部门、公安部门、工商行政管理部门的工作人员滥用职权、玩忽职守、徇私舞弊或者未依照本条例规定履行职责的，依法给予行政处分；构成犯罪的，依法追究刑事责任。</w:t>
            </w:r>
          </w:p>
        </w:tc>
        <w:tc>
          <w:tcPr>
            <w:tcW w:w="104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39C02BBB">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行政审批股</w:t>
            </w:r>
          </w:p>
        </w:tc>
      </w:tr>
      <w:tr w14:paraId="68FCF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0" w:hRule="atLeast"/>
          <w:jc w:val="center"/>
        </w:trPr>
        <w:tc>
          <w:tcPr>
            <w:tcW w:w="678" w:type="dxa"/>
            <w:vMerge w:val="continue"/>
            <w:tcBorders>
              <w:left w:val="single" w:color="auto" w:sz="4" w:space="0"/>
              <w:right w:val="single" w:color="auto" w:sz="4" w:space="0"/>
            </w:tcBorders>
            <w:tcMar>
              <w:top w:w="15" w:type="dxa"/>
              <w:left w:w="15" w:type="dxa"/>
              <w:right w:w="15" w:type="dxa"/>
            </w:tcMar>
            <w:vAlign w:val="center"/>
          </w:tcPr>
          <w:p w14:paraId="52FCF342">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1382" w:type="dxa"/>
            <w:vMerge w:val="continue"/>
            <w:tcBorders>
              <w:left w:val="single" w:color="auto" w:sz="4" w:space="0"/>
              <w:right w:val="single" w:color="auto" w:sz="4" w:space="0"/>
            </w:tcBorders>
            <w:tcMar>
              <w:top w:w="15" w:type="dxa"/>
              <w:left w:w="15" w:type="dxa"/>
              <w:right w:w="15" w:type="dxa"/>
            </w:tcMar>
            <w:vAlign w:val="center"/>
          </w:tcPr>
          <w:p w14:paraId="713EC490">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3802" w:type="dxa"/>
            <w:gridSpan w:val="3"/>
            <w:vMerge w:val="continue"/>
            <w:tcBorders>
              <w:left w:val="single" w:color="auto" w:sz="4" w:space="0"/>
              <w:right w:val="single" w:color="auto" w:sz="4" w:space="0"/>
            </w:tcBorders>
            <w:tcMar>
              <w:top w:w="15" w:type="dxa"/>
              <w:left w:w="15" w:type="dxa"/>
              <w:right w:w="15" w:type="dxa"/>
            </w:tcMar>
            <w:vAlign w:val="center"/>
          </w:tcPr>
          <w:p w14:paraId="252902E2">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615" w:type="dxa"/>
            <w:gridSpan w:val="2"/>
            <w:vMerge w:val="continue"/>
            <w:tcBorders>
              <w:left w:val="single" w:color="auto" w:sz="4" w:space="0"/>
              <w:right w:val="single" w:color="auto" w:sz="4" w:space="0"/>
            </w:tcBorders>
            <w:tcMar>
              <w:top w:w="15" w:type="dxa"/>
              <w:left w:w="15" w:type="dxa"/>
              <w:right w:w="15" w:type="dxa"/>
            </w:tcMar>
            <w:vAlign w:val="center"/>
          </w:tcPr>
          <w:p w14:paraId="43824C4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FC4AEE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审核</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87CB7D0">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经办股室组织对申请人提交的文件、资料进行审查（需专家审查则组织专家进行审查）。1、是否符合流程；2、材料是否齐全；3、是否符合真实有效。并提出初步意见，转入决定步骤。</w:t>
            </w:r>
          </w:p>
        </w:tc>
        <w:tc>
          <w:tcPr>
            <w:tcW w:w="1717" w:type="dxa"/>
            <w:gridSpan w:val="2"/>
            <w:vMerge w:val="continue"/>
            <w:tcBorders>
              <w:left w:val="single" w:color="auto" w:sz="4" w:space="0"/>
              <w:right w:val="single" w:color="auto" w:sz="4" w:space="0"/>
            </w:tcBorders>
            <w:tcMar>
              <w:top w:w="15" w:type="dxa"/>
              <w:left w:w="15" w:type="dxa"/>
              <w:right w:w="15" w:type="dxa"/>
            </w:tcMar>
            <w:vAlign w:val="center"/>
          </w:tcPr>
          <w:p w14:paraId="541222C6">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42" w:type="dxa"/>
            <w:vMerge w:val="continue"/>
            <w:tcBorders>
              <w:left w:val="single" w:color="auto" w:sz="4" w:space="0"/>
              <w:right w:val="single" w:color="auto" w:sz="4" w:space="0"/>
            </w:tcBorders>
            <w:tcMar>
              <w:top w:w="15" w:type="dxa"/>
              <w:left w:w="15" w:type="dxa"/>
              <w:right w:w="15" w:type="dxa"/>
            </w:tcMar>
            <w:vAlign w:val="center"/>
          </w:tcPr>
          <w:p w14:paraId="4B22ECCD">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14:paraId="02697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5" w:hRule="atLeast"/>
          <w:jc w:val="center"/>
        </w:trPr>
        <w:tc>
          <w:tcPr>
            <w:tcW w:w="6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ECC797F">
            <w:pPr>
              <w:keepNext w:val="0"/>
              <w:keepLines w:val="0"/>
              <w:pageBreakBefore w:val="0"/>
              <w:widowControl w:val="0"/>
              <w:kinsoku/>
              <w:wordWrap/>
              <w:overflowPunct/>
              <w:topLinePunct w:val="0"/>
              <w:autoSpaceDE/>
              <w:autoSpaceDN w:val="0"/>
              <w:bidi w:val="0"/>
              <w:adjustRightInd/>
              <w:snapToGrid w:val="0"/>
              <w:spacing w:line="240" w:lineRule="auto"/>
              <w:ind w:firstLine="0" w:firstLineChars="0"/>
              <w:jc w:val="center"/>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13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8AFC052">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3802" w:type="dxa"/>
            <w:gridSpan w:val="3"/>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A99809F">
            <w:pPr>
              <w:widowControl w:val="0"/>
              <w:wordWrap/>
              <w:autoSpaceDN w:val="0"/>
              <w:adjustRightInd/>
              <w:snapToGrid w:val="0"/>
              <w:spacing w:line="240" w:lineRule="auto"/>
              <w:ind w:left="0" w:leftChars="0" w:firstLine="0" w:firstLineChars="0"/>
              <w:jc w:val="both"/>
              <w:textAlignment w:val="center"/>
              <w:rPr>
                <w:rFonts w:hint="eastAsia" w:ascii="仿宋" w:hAnsi="仿宋" w:eastAsia="仿宋" w:cs="仿宋"/>
                <w:i w:val="0"/>
                <w:caps w:val="0"/>
                <w:color w:val="auto"/>
                <w:spacing w:val="0"/>
                <w:sz w:val="24"/>
                <w:szCs w:val="24"/>
                <w:shd w:val="clear" w:color="070000" w:fill="FFFFFF"/>
                <w:lang w:val="en-US" w:eastAsia="zh-CN"/>
              </w:rPr>
            </w:pPr>
          </w:p>
        </w:tc>
        <w:tc>
          <w:tcPr>
            <w:tcW w:w="615"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9A4522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6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3162A7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决定</w:t>
            </w:r>
          </w:p>
        </w:tc>
        <w:tc>
          <w:tcPr>
            <w:tcW w:w="51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F5FAC43">
            <w:pPr>
              <w:keepNext w:val="0"/>
              <w:keepLines w:val="0"/>
              <w:pageBreakBefore w:val="0"/>
              <w:widowControl w:val="0"/>
              <w:kinsoku/>
              <w:wordWrap/>
              <w:overflowPunct/>
              <w:topLinePunct w:val="0"/>
              <w:autoSpaceDE/>
              <w:autoSpaceDN/>
              <w:bidi w:val="0"/>
              <w:adjustRightInd/>
              <w:snapToGrid w:val="0"/>
              <w:spacing w:line="260" w:lineRule="exact"/>
              <w:ind w:left="0" w:leftChars="0" w:firstLine="0" w:firstLineChars="0"/>
              <w:jc w:val="both"/>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24"/>
                <w:szCs w:val="24"/>
                <w:shd w:val="clear" w:color="070000" w:fill="FFFFFF"/>
                <w:lang w:val="en-US" w:eastAsia="zh-CN" w:bidi="ar-SA"/>
              </w:rPr>
              <w:t>在办理股室审查完成后，实施部门应在承诺时限内作出是否同意申请政务服务事项的决定。申请符合规定的，准予审批通过；申请不符合规定的，不予审批通过。</w:t>
            </w:r>
          </w:p>
        </w:tc>
        <w:tc>
          <w:tcPr>
            <w:tcW w:w="1717"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94EFBD4">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c>
          <w:tcPr>
            <w:tcW w:w="104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40A9745">
            <w:pPr>
              <w:keepNext w:val="0"/>
              <w:keepLines w:val="0"/>
              <w:pageBreakBefore w:val="0"/>
              <w:kinsoku/>
              <w:wordWrap/>
              <w:overflowPunct/>
              <w:topLinePunct w:val="0"/>
              <w:autoSpaceDE/>
              <w:autoSpaceDN/>
              <w:bidi w:val="0"/>
              <w:adjustRightInd/>
              <w:spacing w:line="300" w:lineRule="exact"/>
              <w:ind w:firstLine="0" w:firstLineChars="0"/>
              <w:jc w:val="center"/>
              <w:textAlignment w:val="auto"/>
              <w:rPr>
                <w:rFonts w:hint="eastAsia" w:ascii="仿宋" w:hAnsi="仿宋" w:eastAsia="仿宋" w:cs="仿宋"/>
                <w:i w:val="0"/>
                <w:caps w:val="0"/>
                <w:color w:val="auto"/>
                <w:spacing w:val="0"/>
                <w:sz w:val="24"/>
                <w:szCs w:val="24"/>
                <w:shd w:val="clear" w:color="070000" w:fill="FFFFFF"/>
                <w:lang w:val="en-US" w:eastAsia="zh-CN"/>
              </w:rPr>
            </w:pPr>
          </w:p>
        </w:tc>
      </w:tr>
      <w:tr w14:paraId="73E73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1249FA7">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 xml:space="preserve">服务电话：0377-61171235      投诉机构:宛城区纪委监委驻宣教组纪检监察组     投诉电话：   </w:t>
            </w:r>
          </w:p>
        </w:tc>
      </w:tr>
      <w:tr w14:paraId="28F53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946"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46F1226">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受理地点：宛城区文广旅局行政审批与市场管理股</w:t>
            </w:r>
          </w:p>
        </w:tc>
      </w:tr>
    </w:tbl>
    <w:p w14:paraId="03E93551">
      <w:pPr>
        <w:pStyle w:val="2"/>
        <w:rPr>
          <w:rFonts w:hint="eastAsia"/>
          <w:lang w:val="en-US" w:eastAsia="zh-CN"/>
        </w:rPr>
      </w:pPr>
    </w:p>
    <w:sectPr>
      <w:footerReference r:id="rId3" w:type="default"/>
      <w:pgSz w:w="16838" w:h="11906" w:orient="landscape"/>
      <w:pgMar w:top="1587" w:right="1531" w:bottom="1474" w:left="1531" w:header="851" w:footer="992" w:gutter="0"/>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8E440C-BC9F-4C40-B23B-C60DBE7F73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D4056B3-765B-4BD4-AC28-54437CA991A4}"/>
  </w:font>
  <w:font w:name="方正小标宋_GBK">
    <w:panose1 w:val="03000509000000000000"/>
    <w:charset w:val="86"/>
    <w:family w:val="auto"/>
    <w:pitch w:val="default"/>
    <w:sig w:usb0="00000001" w:usb1="080E0000" w:usb2="00000000" w:usb3="00000000" w:csb0="00040000" w:csb1="00000000"/>
    <w:embedRegular r:id="rId3" w:fontKey="{5AEC6AC0-E8B5-456B-BD4B-E95A31D27D25}"/>
  </w:font>
  <w:font w:name="仿宋_GB2312">
    <w:panose1 w:val="02010609030101010101"/>
    <w:charset w:val="86"/>
    <w:family w:val="auto"/>
    <w:pitch w:val="default"/>
    <w:sig w:usb0="00000001" w:usb1="080E0000" w:usb2="00000000" w:usb3="00000000" w:csb0="00040000" w:csb1="00000000"/>
    <w:embedRegular r:id="rId4" w:fontKey="{391DF548-4EB7-45DC-8FE0-8028FC2497C3}"/>
  </w:font>
  <w:font w:name="仿宋">
    <w:panose1 w:val="02010609060101010101"/>
    <w:charset w:val="86"/>
    <w:family w:val="auto"/>
    <w:pitch w:val="default"/>
    <w:sig w:usb0="800002BF" w:usb1="38CF7CFA" w:usb2="00000016" w:usb3="00000000" w:csb0="00040001" w:csb1="00000000"/>
    <w:embedRegular r:id="rId5" w:fontKey="{15AC1EE8-EA39-4EAE-A935-E9AB6CB25374}"/>
  </w:font>
  <w:font w:name="微软雅黑">
    <w:panose1 w:val="020B0503020204020204"/>
    <w:charset w:val="86"/>
    <w:family w:val="auto"/>
    <w:pitch w:val="default"/>
    <w:sig w:usb0="80000287" w:usb1="2ACF3C50" w:usb2="00000016" w:usb3="00000000" w:csb0="0004001F" w:csb1="00000000"/>
    <w:embedRegular r:id="rId6" w:fontKey="{0867F46F-2323-4A6D-B5B5-516A57744818}"/>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DB015">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EF66C">
                          <w:pPr>
                            <w:pStyle w:val="8"/>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- 9 -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2DEF66C">
                    <w:pPr>
                      <w:pStyle w:val="8"/>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- 9 -</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5YWU2M2MyNjc0ZjQwNWZmOTE5OTRkMDI1MmJlYzYifQ=="/>
  </w:docVars>
  <w:rsids>
    <w:rsidRoot w:val="00000000"/>
    <w:rsid w:val="00186BF0"/>
    <w:rsid w:val="01053214"/>
    <w:rsid w:val="012C0060"/>
    <w:rsid w:val="012D2227"/>
    <w:rsid w:val="017240FA"/>
    <w:rsid w:val="01763A79"/>
    <w:rsid w:val="01AA42AD"/>
    <w:rsid w:val="02101FA0"/>
    <w:rsid w:val="02267D47"/>
    <w:rsid w:val="02AF383B"/>
    <w:rsid w:val="033E3401"/>
    <w:rsid w:val="042F4508"/>
    <w:rsid w:val="04B844FD"/>
    <w:rsid w:val="05576180"/>
    <w:rsid w:val="05DF7A57"/>
    <w:rsid w:val="062D1DDB"/>
    <w:rsid w:val="06730425"/>
    <w:rsid w:val="068078CD"/>
    <w:rsid w:val="06A74124"/>
    <w:rsid w:val="070A232D"/>
    <w:rsid w:val="075B5D40"/>
    <w:rsid w:val="079C68AE"/>
    <w:rsid w:val="0902763F"/>
    <w:rsid w:val="097A188E"/>
    <w:rsid w:val="0B4E7969"/>
    <w:rsid w:val="0B810B78"/>
    <w:rsid w:val="0BFC307B"/>
    <w:rsid w:val="0D8C21D9"/>
    <w:rsid w:val="0DFB1512"/>
    <w:rsid w:val="0E245572"/>
    <w:rsid w:val="0ECE2F16"/>
    <w:rsid w:val="0EDA0733"/>
    <w:rsid w:val="0EE329DD"/>
    <w:rsid w:val="0F5E1E4A"/>
    <w:rsid w:val="106D43EE"/>
    <w:rsid w:val="10CA5B13"/>
    <w:rsid w:val="10D0497D"/>
    <w:rsid w:val="10DF2A48"/>
    <w:rsid w:val="1199660C"/>
    <w:rsid w:val="11C02EB5"/>
    <w:rsid w:val="1218482D"/>
    <w:rsid w:val="127A6389"/>
    <w:rsid w:val="13C6525C"/>
    <w:rsid w:val="13D60D2B"/>
    <w:rsid w:val="14157FD5"/>
    <w:rsid w:val="141A2ADF"/>
    <w:rsid w:val="147B4924"/>
    <w:rsid w:val="14C57350"/>
    <w:rsid w:val="14D373EB"/>
    <w:rsid w:val="14F66EDC"/>
    <w:rsid w:val="15393531"/>
    <w:rsid w:val="16D76015"/>
    <w:rsid w:val="1874391E"/>
    <w:rsid w:val="189C1D14"/>
    <w:rsid w:val="19031D93"/>
    <w:rsid w:val="195350B4"/>
    <w:rsid w:val="196765C3"/>
    <w:rsid w:val="19701222"/>
    <w:rsid w:val="1992626B"/>
    <w:rsid w:val="1A1336F1"/>
    <w:rsid w:val="1A555D6C"/>
    <w:rsid w:val="1AC154A6"/>
    <w:rsid w:val="1AFFD0E0"/>
    <w:rsid w:val="1BD25CF1"/>
    <w:rsid w:val="1BDBD668"/>
    <w:rsid w:val="1C15558B"/>
    <w:rsid w:val="1CEB14BC"/>
    <w:rsid w:val="1CF73304"/>
    <w:rsid w:val="1D1726B0"/>
    <w:rsid w:val="1DA8115B"/>
    <w:rsid w:val="1ECE4DD3"/>
    <w:rsid w:val="1ED50026"/>
    <w:rsid w:val="1F2111C5"/>
    <w:rsid w:val="1F382194"/>
    <w:rsid w:val="1F6115C2"/>
    <w:rsid w:val="1F686D54"/>
    <w:rsid w:val="20124FB2"/>
    <w:rsid w:val="2155686A"/>
    <w:rsid w:val="21791840"/>
    <w:rsid w:val="21991BAE"/>
    <w:rsid w:val="22710E72"/>
    <w:rsid w:val="22813CBE"/>
    <w:rsid w:val="23290736"/>
    <w:rsid w:val="24794B83"/>
    <w:rsid w:val="25643BE9"/>
    <w:rsid w:val="25F708B7"/>
    <w:rsid w:val="26AE5A96"/>
    <w:rsid w:val="273E1AE0"/>
    <w:rsid w:val="27830B77"/>
    <w:rsid w:val="288051AE"/>
    <w:rsid w:val="294A690D"/>
    <w:rsid w:val="29A25A23"/>
    <w:rsid w:val="29B538B0"/>
    <w:rsid w:val="29EC3253"/>
    <w:rsid w:val="2A1C2C4B"/>
    <w:rsid w:val="2A5266D7"/>
    <w:rsid w:val="2AC450FA"/>
    <w:rsid w:val="2ADE7F6A"/>
    <w:rsid w:val="2B8E5448"/>
    <w:rsid w:val="2C9D0350"/>
    <w:rsid w:val="2D744BB6"/>
    <w:rsid w:val="2D906D4C"/>
    <w:rsid w:val="2DB06539"/>
    <w:rsid w:val="2DF80DCD"/>
    <w:rsid w:val="2E211E8C"/>
    <w:rsid w:val="2E4C5B33"/>
    <w:rsid w:val="2E8C7009"/>
    <w:rsid w:val="2FEB7893"/>
    <w:rsid w:val="310556E9"/>
    <w:rsid w:val="31276EB5"/>
    <w:rsid w:val="3166515D"/>
    <w:rsid w:val="31796492"/>
    <w:rsid w:val="31B501DD"/>
    <w:rsid w:val="324E3C27"/>
    <w:rsid w:val="325F4F01"/>
    <w:rsid w:val="333948D8"/>
    <w:rsid w:val="3343678B"/>
    <w:rsid w:val="33E4285C"/>
    <w:rsid w:val="34781FC7"/>
    <w:rsid w:val="34866689"/>
    <w:rsid w:val="352F7398"/>
    <w:rsid w:val="3541551D"/>
    <w:rsid w:val="355F614C"/>
    <w:rsid w:val="357339A5"/>
    <w:rsid w:val="35BC534C"/>
    <w:rsid w:val="36A74474"/>
    <w:rsid w:val="36EB413B"/>
    <w:rsid w:val="370A450F"/>
    <w:rsid w:val="370E2CE4"/>
    <w:rsid w:val="37243C1E"/>
    <w:rsid w:val="372569D8"/>
    <w:rsid w:val="375951A1"/>
    <w:rsid w:val="375A2977"/>
    <w:rsid w:val="376A66AD"/>
    <w:rsid w:val="376D0FF4"/>
    <w:rsid w:val="378A1D19"/>
    <w:rsid w:val="386D4BD6"/>
    <w:rsid w:val="38AF66A9"/>
    <w:rsid w:val="39794558"/>
    <w:rsid w:val="39C96289"/>
    <w:rsid w:val="39DD468C"/>
    <w:rsid w:val="3A7E7074"/>
    <w:rsid w:val="3B1547E0"/>
    <w:rsid w:val="3CD92C87"/>
    <w:rsid w:val="3CEA279F"/>
    <w:rsid w:val="3DE51C4B"/>
    <w:rsid w:val="3E542B3A"/>
    <w:rsid w:val="3E772758"/>
    <w:rsid w:val="3E86735F"/>
    <w:rsid w:val="3EFC5E8E"/>
    <w:rsid w:val="3F21712E"/>
    <w:rsid w:val="3F4979C4"/>
    <w:rsid w:val="3F7EE8BC"/>
    <w:rsid w:val="40151D9F"/>
    <w:rsid w:val="410E7B26"/>
    <w:rsid w:val="413F3FFA"/>
    <w:rsid w:val="415117AA"/>
    <w:rsid w:val="41603881"/>
    <w:rsid w:val="420F14F3"/>
    <w:rsid w:val="422449A5"/>
    <w:rsid w:val="42611C36"/>
    <w:rsid w:val="42B12D94"/>
    <w:rsid w:val="43296C90"/>
    <w:rsid w:val="439B4C68"/>
    <w:rsid w:val="43DF474F"/>
    <w:rsid w:val="445A5081"/>
    <w:rsid w:val="4476700E"/>
    <w:rsid w:val="449F6D0A"/>
    <w:rsid w:val="44A54780"/>
    <w:rsid w:val="450969D8"/>
    <w:rsid w:val="45576F25"/>
    <w:rsid w:val="45B85B30"/>
    <w:rsid w:val="45F51F24"/>
    <w:rsid w:val="46441F88"/>
    <w:rsid w:val="46BA1434"/>
    <w:rsid w:val="46FC1A4C"/>
    <w:rsid w:val="475C698F"/>
    <w:rsid w:val="476A0CE9"/>
    <w:rsid w:val="479B51D9"/>
    <w:rsid w:val="48234DCE"/>
    <w:rsid w:val="48A75ACB"/>
    <w:rsid w:val="48C52312"/>
    <w:rsid w:val="499A379E"/>
    <w:rsid w:val="49CB703F"/>
    <w:rsid w:val="4A5C36D8"/>
    <w:rsid w:val="4A642911"/>
    <w:rsid w:val="4B267B7E"/>
    <w:rsid w:val="4BDE5BC4"/>
    <w:rsid w:val="4C4F5500"/>
    <w:rsid w:val="4DBF37D4"/>
    <w:rsid w:val="4E247034"/>
    <w:rsid w:val="4F121797"/>
    <w:rsid w:val="4F33720F"/>
    <w:rsid w:val="4F3D74FF"/>
    <w:rsid w:val="4FDF2068"/>
    <w:rsid w:val="505E4942"/>
    <w:rsid w:val="50E0654A"/>
    <w:rsid w:val="50E579F5"/>
    <w:rsid w:val="51560D3C"/>
    <w:rsid w:val="51AF51A9"/>
    <w:rsid w:val="51DD35C0"/>
    <w:rsid w:val="51EC1E30"/>
    <w:rsid w:val="52211316"/>
    <w:rsid w:val="52D31F27"/>
    <w:rsid w:val="53346B5B"/>
    <w:rsid w:val="535D7D17"/>
    <w:rsid w:val="53817D35"/>
    <w:rsid w:val="5459000C"/>
    <w:rsid w:val="54AA0D3A"/>
    <w:rsid w:val="54F112FC"/>
    <w:rsid w:val="56780B29"/>
    <w:rsid w:val="56F444EE"/>
    <w:rsid w:val="5705494D"/>
    <w:rsid w:val="57223B77"/>
    <w:rsid w:val="57C245EC"/>
    <w:rsid w:val="57CE11E3"/>
    <w:rsid w:val="588B44CC"/>
    <w:rsid w:val="588E2720"/>
    <w:rsid w:val="593855B7"/>
    <w:rsid w:val="596B463E"/>
    <w:rsid w:val="5A8371F0"/>
    <w:rsid w:val="5A84202D"/>
    <w:rsid w:val="5B716F5E"/>
    <w:rsid w:val="5C202B6C"/>
    <w:rsid w:val="5C967DF5"/>
    <w:rsid w:val="5CD04FD2"/>
    <w:rsid w:val="5D1E1751"/>
    <w:rsid w:val="5D414205"/>
    <w:rsid w:val="5D960D3D"/>
    <w:rsid w:val="5E086AD1"/>
    <w:rsid w:val="5E3EF8AF"/>
    <w:rsid w:val="5E420F3A"/>
    <w:rsid w:val="5E451E42"/>
    <w:rsid w:val="5E6F43D6"/>
    <w:rsid w:val="5F965244"/>
    <w:rsid w:val="5F9728E0"/>
    <w:rsid w:val="60032F94"/>
    <w:rsid w:val="605D3104"/>
    <w:rsid w:val="60715517"/>
    <w:rsid w:val="607B7A2E"/>
    <w:rsid w:val="60F15814"/>
    <w:rsid w:val="6138147B"/>
    <w:rsid w:val="616D55C9"/>
    <w:rsid w:val="617C6B58"/>
    <w:rsid w:val="61CF683F"/>
    <w:rsid w:val="62CE2870"/>
    <w:rsid w:val="631A352E"/>
    <w:rsid w:val="6362692B"/>
    <w:rsid w:val="63985664"/>
    <w:rsid w:val="639A093F"/>
    <w:rsid w:val="63CB7AE8"/>
    <w:rsid w:val="63DBB358"/>
    <w:rsid w:val="640C2A76"/>
    <w:rsid w:val="6423128F"/>
    <w:rsid w:val="64302EED"/>
    <w:rsid w:val="648A7C6E"/>
    <w:rsid w:val="649410BE"/>
    <w:rsid w:val="652F2AE2"/>
    <w:rsid w:val="655B4BDA"/>
    <w:rsid w:val="65BF0A8D"/>
    <w:rsid w:val="66CB3F8E"/>
    <w:rsid w:val="66DB2D0C"/>
    <w:rsid w:val="66FE5A4A"/>
    <w:rsid w:val="670F2C7E"/>
    <w:rsid w:val="67E660D5"/>
    <w:rsid w:val="68EC771B"/>
    <w:rsid w:val="69922E90"/>
    <w:rsid w:val="69BD3DB5"/>
    <w:rsid w:val="6A6C06FE"/>
    <w:rsid w:val="6AB3063D"/>
    <w:rsid w:val="6B2A62D8"/>
    <w:rsid w:val="6B9C3AE5"/>
    <w:rsid w:val="6C766632"/>
    <w:rsid w:val="6CF87800"/>
    <w:rsid w:val="6D905618"/>
    <w:rsid w:val="6DA59786"/>
    <w:rsid w:val="6F8F7052"/>
    <w:rsid w:val="6FA72719"/>
    <w:rsid w:val="713E68F1"/>
    <w:rsid w:val="718909FD"/>
    <w:rsid w:val="71AA1AA5"/>
    <w:rsid w:val="71B62185"/>
    <w:rsid w:val="71F65166"/>
    <w:rsid w:val="72107262"/>
    <w:rsid w:val="72401DE3"/>
    <w:rsid w:val="725956F5"/>
    <w:rsid w:val="726C367A"/>
    <w:rsid w:val="726E2F4F"/>
    <w:rsid w:val="727D5888"/>
    <w:rsid w:val="72AF11DE"/>
    <w:rsid w:val="72E6342D"/>
    <w:rsid w:val="72FC49FE"/>
    <w:rsid w:val="73362986"/>
    <w:rsid w:val="737079B3"/>
    <w:rsid w:val="73B40A23"/>
    <w:rsid w:val="73EF6F5D"/>
    <w:rsid w:val="744A0732"/>
    <w:rsid w:val="74566390"/>
    <w:rsid w:val="74DD43BC"/>
    <w:rsid w:val="75C612F4"/>
    <w:rsid w:val="75D354AB"/>
    <w:rsid w:val="75E11C8A"/>
    <w:rsid w:val="76B455F0"/>
    <w:rsid w:val="76C577FD"/>
    <w:rsid w:val="76FB090E"/>
    <w:rsid w:val="775D3E86"/>
    <w:rsid w:val="77654E6C"/>
    <w:rsid w:val="7767094A"/>
    <w:rsid w:val="776F0C76"/>
    <w:rsid w:val="785F4B68"/>
    <w:rsid w:val="790A1A19"/>
    <w:rsid w:val="79D26C6C"/>
    <w:rsid w:val="7A747570"/>
    <w:rsid w:val="7B2A5541"/>
    <w:rsid w:val="7BF009D1"/>
    <w:rsid w:val="7D1F693B"/>
    <w:rsid w:val="7DA31C77"/>
    <w:rsid w:val="7DCA1594"/>
    <w:rsid w:val="7DFFFDBF"/>
    <w:rsid w:val="7E0E4133"/>
    <w:rsid w:val="7E162536"/>
    <w:rsid w:val="7E2A2DE9"/>
    <w:rsid w:val="7E3B7178"/>
    <w:rsid w:val="7E936BF6"/>
    <w:rsid w:val="7ECB3CB1"/>
    <w:rsid w:val="7ECC708F"/>
    <w:rsid w:val="7EDE01BA"/>
    <w:rsid w:val="7F190287"/>
    <w:rsid w:val="7F6701B2"/>
    <w:rsid w:val="7F9635B9"/>
    <w:rsid w:val="7FC82B82"/>
    <w:rsid w:val="7FEB4B6E"/>
    <w:rsid w:val="8CCE1BBA"/>
    <w:rsid w:val="A725414C"/>
    <w:rsid w:val="BEB7D08B"/>
    <w:rsid w:val="BFAF9385"/>
    <w:rsid w:val="DFF8DDDC"/>
    <w:rsid w:val="EDBB8C82"/>
    <w:rsid w:val="EEDC5FE0"/>
    <w:rsid w:val="EF4ED5AF"/>
    <w:rsid w:val="F5FE59E1"/>
    <w:rsid w:val="FB7D0581"/>
    <w:rsid w:val="FEF62843"/>
    <w:rsid w:val="FFEF5A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paragraph" w:styleId="4">
    <w:name w:val="heading 2"/>
    <w:basedOn w:val="1"/>
    <w:next w:val="1"/>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paragraph" w:styleId="5">
    <w:name w:val="heading 4"/>
    <w:basedOn w:val="1"/>
    <w:next w:val="1"/>
    <w:qFormat/>
    <w:uiPriority w:val="0"/>
    <w:pPr>
      <w:spacing w:before="0" w:beforeAutospacing="1" w:after="0" w:afterAutospacing="1"/>
      <w:jc w:val="left"/>
    </w:pPr>
    <w:rPr>
      <w:rFonts w:hint="eastAsia" w:ascii="宋体" w:hAnsi="宋体" w:eastAsia="宋体" w:cs="宋体"/>
      <w:b/>
      <w:kern w:val="0"/>
      <w:sz w:val="24"/>
      <w:szCs w:val="24"/>
      <w:lang w:val="en-US" w:eastAsia="zh-CN"/>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Autospacing="0"/>
    </w:pPr>
  </w:style>
  <w:style w:type="paragraph" w:styleId="6">
    <w:name w:val="annotation text"/>
    <w:basedOn w:val="1"/>
    <w:qFormat/>
    <w:uiPriority w:val="0"/>
    <w:pPr>
      <w:jc w:val="left"/>
    </w:pPr>
  </w:style>
  <w:style w:type="paragraph" w:styleId="7">
    <w:name w:val="Plain Text"/>
    <w:basedOn w:val="1"/>
    <w:unhideWhenUsed/>
    <w:qFormat/>
    <w:uiPriority w:val="99"/>
    <w:rPr>
      <w:rFonts w:ascii="宋体" w:hAnsi="Courier New" w:cs="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FollowedHyperlink"/>
    <w:basedOn w:val="12"/>
    <w:qFormat/>
    <w:uiPriority w:val="0"/>
    <w:rPr>
      <w:color w:val="800080"/>
      <w:u w:val="none"/>
    </w:rPr>
  </w:style>
  <w:style w:type="character" w:styleId="15">
    <w:name w:val="Emphasis"/>
    <w:basedOn w:val="12"/>
    <w:autoRedefine/>
    <w:qFormat/>
    <w:uiPriority w:val="0"/>
    <w:rPr>
      <w:i/>
    </w:rPr>
  </w:style>
  <w:style w:type="character" w:styleId="16">
    <w:name w:val="Hyperlink"/>
    <w:basedOn w:val="12"/>
    <w:autoRedefine/>
    <w:qFormat/>
    <w:uiPriority w:val="0"/>
    <w:rPr>
      <w:color w:val="0000FF"/>
      <w:u w:val="single"/>
    </w:rPr>
  </w:style>
  <w:style w:type="paragraph" w:customStyle="1" w:styleId="17">
    <w:name w:val="Normal (Web)"/>
    <w:basedOn w:val="1"/>
    <w:autoRedefine/>
    <w:qFormat/>
    <w:uiPriority w:val="0"/>
    <w:pPr>
      <w:spacing w:before="0" w:beforeAutospacing="1" w:after="0" w:afterAutospacing="1"/>
      <w:ind w:left="0" w:right="0"/>
      <w:jc w:val="left"/>
    </w:pPr>
    <w:rPr>
      <w:kern w:val="0"/>
      <w:sz w:val="24"/>
      <w:lang w:val="en-US" w:eastAsia="zh-CN"/>
    </w:rPr>
  </w:style>
  <w:style w:type="character" w:customStyle="1" w:styleId="18">
    <w:name w:val="page number"/>
    <w:basedOn w:val="12"/>
    <w:autoRedefine/>
    <w:qFormat/>
    <w:uiPriority w:val="0"/>
  </w:style>
  <w:style w:type="character" w:customStyle="1" w:styleId="19">
    <w:name w:val="tz_input"/>
    <w:basedOn w:val="12"/>
    <w:autoRedefine/>
    <w:qFormat/>
    <w:uiPriority w:val="0"/>
    <w:rPr>
      <w:color w:val="A01211"/>
      <w:sz w:val="16"/>
      <w:szCs w:val="16"/>
    </w:rPr>
  </w:style>
  <w:style w:type="paragraph" w:customStyle="1" w:styleId="20">
    <w:name w:val="Plain Text"/>
    <w:basedOn w:val="1"/>
    <w:autoRedefine/>
    <w:qFormat/>
    <w:uiPriority w:val="0"/>
    <w:pPr>
      <w:snapToGrid/>
      <w:spacing w:line="240" w:lineRule="auto"/>
      <w:ind w:firstLine="0"/>
    </w:pPr>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19564</Words>
  <Characters>20211</Characters>
  <Lines>0</Lines>
  <Paragraphs>0</Paragraphs>
  <TotalTime>88</TotalTime>
  <ScaleCrop>false</ScaleCrop>
  <LinksUpToDate>false</LinksUpToDate>
  <CharactersWithSpaces>20484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2014-11-04T20:08:00Z</dcterms:created>
  <dc:creator>Administrator</dc:creator>
  <cp:lastModifiedBy>dell</cp:lastModifiedBy>
  <cp:lastPrinted>2023-12-20T07:35:00Z</cp:lastPrinted>
  <dcterms:modified xsi:type="dcterms:W3CDTF">2024-12-27T05:12:37Z</dcterms:modified>
  <dc:title>我姓趙，全場消費我买单的趙xoxo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05525E7391AE489AB9E641CAA7FCF7F1_13</vt:lpwstr>
  </property>
</Properties>
</file>