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175EB">
      <w:pPr>
        <w:widowControl w:val="0"/>
        <w:kinsoku/>
        <w:autoSpaceDE/>
        <w:autoSpaceDN/>
        <w:adjustRightInd/>
        <w:snapToGrid/>
        <w:spacing w:line="640" w:lineRule="exact"/>
        <w:jc w:val="center"/>
        <w:textAlignment w:val="auto"/>
        <w:rPr>
          <w:rFonts w:hint="eastAsia" w:ascii="方正小标宋简体" w:hAnsi="Times New Roman" w:eastAsia="方正小标宋简体" w:cs="Times New Roman"/>
          <w:snapToGrid/>
          <w:kern w:val="2"/>
          <w:sz w:val="44"/>
          <w:szCs w:val="44"/>
          <w:lang w:eastAsia="zh-CN"/>
        </w:rPr>
      </w:pPr>
      <w:r>
        <w:rPr>
          <w:rFonts w:hint="eastAsia" w:ascii="方正小标宋简体" w:hAnsi="Times New Roman" w:eastAsia="方正小标宋简体" w:cs="Times New Roman"/>
          <w:snapToGrid/>
          <w:kern w:val="2"/>
          <w:sz w:val="44"/>
          <w:szCs w:val="44"/>
          <w:lang w:eastAsia="zh-CN"/>
        </w:rPr>
        <w:t>打通消防“生命通道”行动推进工作方案</w:t>
      </w:r>
      <w:r>
        <w:rPr>
          <w:rFonts w:hint="eastAsia" w:ascii="方正小标宋简体" w:hAnsi="方正小标宋简体" w:eastAsia="方正小标宋简体" w:cs="方正小标宋简体"/>
          <w:snapToGrid/>
          <w:kern w:val="2"/>
          <w:sz w:val="44"/>
          <w:szCs w:val="44"/>
          <w:vertAlign w:val="baseline"/>
          <w:lang w:val="en-US" w:eastAsia="zh-CN"/>
        </w:rPr>
        <w:t>（征求意见稿）</w:t>
      </w:r>
    </w:p>
    <w:p w14:paraId="62BD9FDD">
      <w:pPr>
        <w:widowControl w:val="0"/>
        <w:kinsoku/>
        <w:autoSpaceDE/>
        <w:autoSpaceDN/>
        <w:adjustRightInd/>
        <w:snapToGrid/>
        <w:spacing w:line="240" w:lineRule="auto"/>
        <w:ind w:firstLine="654" w:firstLineChars="200"/>
        <w:jc w:val="both"/>
        <w:textAlignment w:val="auto"/>
        <w:rPr>
          <w:rFonts w:hint="eastAsia" w:ascii="Times New Roman" w:hAnsi="Times New Roman" w:eastAsia="仿宋_GB2312" w:cs="Times New Roman"/>
          <w:snapToGrid/>
          <w:kern w:val="2"/>
          <w:sz w:val="32"/>
          <w:szCs w:val="20"/>
          <w:lang w:eastAsia="zh-CN"/>
        </w:rPr>
      </w:pPr>
    </w:p>
    <w:p w14:paraId="530C2756">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近年来，消防“生命通道”被占用、堵塞的现象屡禁不止，影响疏散逃生造成人员伤亡的情况时有发生。为深刻吸取近年来火灾事故教训，坚决整治占用、堵塞、封闭疏散通道、安全出口和消防车通道，以及人员密集场所的门窗设置影响逃生和灭火救援的障碍物等突出问题，在已部署开展消防安全集中除患攻坚大整治行动、印发《关于拆除人员密集场所门窗设置影响逃生和灭火救援的障碍物的通告》等工作基础上，根据消防安全治本攻坚三年行动工作部署，制定打通消防“生命通道”行动推进工作方案如下：</w:t>
      </w:r>
    </w:p>
    <w:p w14:paraId="6CB31C90">
      <w:pPr>
        <w:widowControl w:val="0"/>
        <w:kinsoku/>
        <w:autoSpaceDE/>
        <w:autoSpaceDN/>
        <w:adjustRightInd/>
        <w:snapToGrid/>
        <w:spacing w:line="240" w:lineRule="auto"/>
        <w:ind w:firstLine="654" w:firstLineChars="200"/>
        <w:jc w:val="both"/>
        <w:textAlignment w:val="auto"/>
        <w:rPr>
          <w:rFonts w:hint="eastAsia" w:ascii="黑体" w:hAnsi="黑体" w:eastAsia="黑体" w:cs="黑体"/>
          <w:snapToGrid/>
          <w:kern w:val="2"/>
          <w:sz w:val="32"/>
          <w:szCs w:val="20"/>
          <w:lang w:eastAsia="zh-CN"/>
        </w:rPr>
      </w:pPr>
      <w:r>
        <w:rPr>
          <w:rFonts w:hint="eastAsia" w:ascii="黑体" w:hAnsi="黑体" w:eastAsia="黑体" w:cs="黑体"/>
          <w:snapToGrid/>
          <w:kern w:val="2"/>
          <w:sz w:val="32"/>
          <w:szCs w:val="20"/>
          <w:lang w:eastAsia="zh-CN"/>
        </w:rPr>
        <w:t>一、总体目标</w:t>
      </w:r>
    </w:p>
    <w:p w14:paraId="005DD064">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认真贯彻习近平总书记关于安全生产重要论述，深入落实全国安全生产电视电话会议部署和治本攻坚三年行动方案安排，坚持人民至上、生命至上，坚持问题导向、底线思维，结合消防安全集中除患攻坚大整治行动，多措并举、综合施策，利用两年时间，坚决整治占用、堵塞、封闭疏散通道、安全出口的问题隐患，坚决拆除人员密集场所门窗设置影响逃生和灭火救援的铁栅栏、铁丝网等障碍物，坚决清理妨碍消防车通行的障碍物，进一步建立健全从根本上消除事故隐患、从根本上解决问题的制度机制、责任链条和防控体系，有效防范遏制群死群伤火灾事故发生。</w:t>
      </w:r>
    </w:p>
    <w:p w14:paraId="341AE400">
      <w:pPr>
        <w:widowControl w:val="0"/>
        <w:kinsoku/>
        <w:autoSpaceDE/>
        <w:autoSpaceDN/>
        <w:adjustRightInd/>
        <w:snapToGrid/>
        <w:spacing w:line="240" w:lineRule="auto"/>
        <w:ind w:firstLine="654" w:firstLineChars="200"/>
        <w:jc w:val="both"/>
        <w:textAlignment w:val="auto"/>
        <w:rPr>
          <w:rFonts w:hint="eastAsia" w:ascii="黑体" w:hAnsi="黑体" w:eastAsia="黑体" w:cs="黑体"/>
          <w:snapToGrid/>
          <w:kern w:val="2"/>
          <w:sz w:val="32"/>
          <w:szCs w:val="20"/>
          <w:lang w:eastAsia="zh-CN"/>
        </w:rPr>
      </w:pPr>
      <w:r>
        <w:rPr>
          <w:rFonts w:hint="eastAsia" w:ascii="黑体" w:hAnsi="黑体" w:eastAsia="黑体" w:cs="黑体"/>
          <w:snapToGrid/>
          <w:kern w:val="2"/>
          <w:sz w:val="32"/>
          <w:szCs w:val="20"/>
          <w:lang w:eastAsia="zh-CN"/>
        </w:rPr>
        <w:t>二、任务措施</w:t>
      </w:r>
    </w:p>
    <w:p w14:paraId="4F51531B">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聚焦占用、堵塞、封闭疏散通道、安全出口、消防车通道，人员密集场所门窗设置影响逃生和灭火救援的障碍物等突出问题隐患，重点采取以下工作措施：</w:t>
      </w:r>
    </w:p>
    <w:p w14:paraId="59B2ECBC">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楷体_GB2312" w:hAnsi="楷体_GB2312" w:eastAsia="楷体_GB2312" w:cs="楷体_GB2312"/>
          <w:b/>
          <w:bCs/>
          <w:snapToGrid/>
          <w:kern w:val="2"/>
          <w:sz w:val="32"/>
          <w:szCs w:val="20"/>
          <w:lang w:eastAsia="zh-CN"/>
        </w:rPr>
        <w:t>（一）组织全面排查。</w:t>
      </w:r>
      <w:r>
        <w:rPr>
          <w:rFonts w:hint="eastAsia" w:ascii="Times New Roman" w:hAnsi="Times New Roman" w:eastAsia="仿宋_GB2312" w:cs="Times New Roman"/>
          <w:snapToGrid/>
          <w:kern w:val="2"/>
          <w:sz w:val="32"/>
          <w:szCs w:val="20"/>
          <w:lang w:eastAsia="zh-CN"/>
        </w:rPr>
        <w:t>在党委政府统一领导下，协调相关部门、发动基层组织、督促社会单位，合力推进消防安全排查检查。全面发动单位场所紧盯风险隐患，认真开展自查自改，畅通安全出口、疏散通道和消防车通道，主动拆除人员密集场所门窗设置影响逃生和灭火救援的障碍物，彻底清理竖向管井、敞开式外连廊堆放的可燃杂物，并纳入单位防火检查重点内容。教体、民政、公安、商务、文旅、卫健、宗教、住建等相关部门，要充分发挥条线监管作用，组织本行业、本系统集中开展排查。各乡镇街道牵头，发动消防“一队一中心”、公安派出所等基层力量组织开展防火安全检查，对于能当场改正的，及时进行制止、劝阻；对于问题严重的，建立隐患清单，加强动态跟踪，逐项督促整改。</w:t>
      </w:r>
    </w:p>
    <w:p w14:paraId="1CAC4CFA">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楷体_GB2312" w:hAnsi="楷体_GB2312" w:eastAsia="楷体_GB2312" w:cs="楷体_GB2312"/>
          <w:b/>
          <w:bCs/>
          <w:snapToGrid/>
          <w:kern w:val="2"/>
          <w:sz w:val="32"/>
          <w:szCs w:val="20"/>
          <w:lang w:eastAsia="zh-CN"/>
        </w:rPr>
        <w:t>（二）严格执法整治。</w:t>
      </w:r>
      <w:r>
        <w:rPr>
          <w:rFonts w:hint="eastAsia" w:ascii="Times New Roman" w:hAnsi="Times New Roman" w:eastAsia="仿宋_GB2312" w:cs="Times New Roman"/>
          <w:snapToGrid/>
          <w:kern w:val="2"/>
          <w:sz w:val="32"/>
          <w:szCs w:val="20"/>
          <w:lang w:eastAsia="zh-CN"/>
        </w:rPr>
        <w:t>要采取集中检查、交叉互查、专家会诊和挂牌督办等形式，综合运用法律、行政、经济、技术、舆论等方式，督促坚决整改到位。结合基层综合行政执法体制改革，乡镇（街道）要充分发挥消防行政执法职能，推动整合基层执法资源，联合相关职能部门深入开展联合整治，有力有序推进打通消防“生命通道”工作。对占用、堵塞、封闭疏散通道、安全出口和消防车通道，特别是违规停放电动自行车，以及违规设置铁栅栏、铁丝网的，要依法实施警告、罚款处罚；对经责令改正拒不改正的，要态度坚决，依法依规组织强制清除或者拆除相关障碍物、妨碍物，所需费用由违法行为人承担。对多次违法停车占用、堵塞消防车通道，反复违规设置铁栅栏、铁丝网造成严重影响的单位和个人，要依法纳入消防安全失信行为，实施联合惩戒；构成犯罪的，依法移送有关部门追究刑事责任。</w:t>
      </w:r>
    </w:p>
    <w:p w14:paraId="205D6173">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楷体_GB2312" w:hAnsi="楷体_GB2312" w:eastAsia="楷体_GB2312" w:cs="楷体_GB2312"/>
          <w:b/>
          <w:bCs/>
          <w:snapToGrid/>
          <w:kern w:val="2"/>
          <w:sz w:val="32"/>
          <w:szCs w:val="20"/>
          <w:lang w:eastAsia="zh-CN"/>
        </w:rPr>
        <w:t>（三）强化警示教育。</w:t>
      </w:r>
      <w:r>
        <w:rPr>
          <w:rFonts w:hint="eastAsia" w:ascii="Times New Roman" w:hAnsi="Times New Roman" w:eastAsia="仿宋_GB2312" w:cs="Times New Roman"/>
          <w:snapToGrid/>
          <w:kern w:val="2"/>
          <w:sz w:val="32"/>
          <w:szCs w:val="20"/>
          <w:lang w:eastAsia="zh-CN"/>
        </w:rPr>
        <w:t>各地各部门要通过广播、电视、报纸、网站等传统媒体和各类新媒体平台，广泛宣传打通消防“生命通道”的重要意义，普及消防“生命通道”安全管理常识，引导广大群众共同维护消防“生命通道”安全畅通。要制作播放火灾典型案例专题片，上门做好群众工作，讲清利害关系和法律责任，开展代入式、情景式警示教育，推动以案示警、以案为戒、以案促改。要积极协调主流媒体、新媒体平台参与明查暗访，集中曝光突出问题隐患和严重违法行为，讲清违法情节、讲清违法成本、汲取违法教训。对隐患特别突出、违法行为特别严重的，要召开隐患整改现场警示会、约谈会，督促落实整治责任措施，形成强大整治声势。要广泛发动居民群众举报身边涉及消防“生命通道”的隐患问题和违法行为，拓宽举报投诉渠道，完善核查奖励制度，形成全民参与的浓厚氛围。</w:t>
      </w:r>
    </w:p>
    <w:p w14:paraId="4BF757A4">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楷体_GB2312" w:hAnsi="楷体_GB2312" w:eastAsia="楷体_GB2312" w:cs="楷体_GB2312"/>
          <w:b/>
          <w:bCs/>
          <w:snapToGrid/>
          <w:kern w:val="2"/>
          <w:sz w:val="32"/>
          <w:szCs w:val="20"/>
          <w:lang w:eastAsia="zh-CN"/>
        </w:rPr>
        <w:t>（四）深化防消联勤。</w:t>
      </w:r>
      <w:r>
        <w:rPr>
          <w:rFonts w:hint="eastAsia" w:ascii="Times New Roman" w:hAnsi="Times New Roman" w:eastAsia="仿宋_GB2312" w:cs="Times New Roman"/>
          <w:snapToGrid/>
          <w:kern w:val="2"/>
          <w:sz w:val="32"/>
          <w:szCs w:val="20"/>
          <w:lang w:eastAsia="zh-CN"/>
        </w:rPr>
        <w:t>全区各消防救援站点和各乡镇专职消防队要加强消防监督检查与灭火救援准备工作互联互通、资源共享和联勤联动。要建立完善相关工作制度，组织消防救援队站定期会商研判，及时通报打通消防“生命通道”工作情况以及检查发现的突出问题隐患，协调社会单位配合消防救援站做好熟悉演练。消防救援队站要结合日常熟悉演练同步开展消防安全检查，重点测试室内消火栓和消防车通道、登高操作场地，对占用、堵塞、封闭疏散通道、安全出口，人员密集场所门窗设置影响逃生和灭火救援障碍物的突出隐患问题，及时向区消防救援大队报告移交。</w:t>
      </w:r>
    </w:p>
    <w:p w14:paraId="4316B4AC">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楷体_GB2312" w:hAnsi="楷体_GB2312" w:eastAsia="楷体_GB2312" w:cs="楷体_GB2312"/>
          <w:b/>
          <w:bCs/>
          <w:snapToGrid/>
          <w:kern w:val="2"/>
          <w:sz w:val="32"/>
          <w:szCs w:val="20"/>
          <w:lang w:eastAsia="zh-CN"/>
        </w:rPr>
        <w:t>（五）实施综合治理。</w:t>
      </w:r>
      <w:r>
        <w:rPr>
          <w:rFonts w:hint="eastAsia" w:ascii="Times New Roman" w:hAnsi="Times New Roman" w:eastAsia="仿宋_GB2312" w:cs="Times New Roman"/>
          <w:snapToGrid/>
          <w:kern w:val="2"/>
          <w:sz w:val="32"/>
          <w:szCs w:val="20"/>
          <w:lang w:eastAsia="zh-CN"/>
        </w:rPr>
        <w:t>在全面排查、严格整改的同时，公安、住建、城管、文旅、教体、民政、商务、宗教等负有监管责任的部门和乡镇（街道）对整改完毕的单位场所开展“回头看”，纳入日常安全检查重要内容，严防问题隐患反弹。针对人员密集场所门窗设置影响逃生和灭火救援的铁栅栏、铁丝网等障碍物，以及占用、堵塞消防车通道等问题，明确相关部门责任分工，加强全链条、全过程管控，落实标识化、规范化管理。推动将打通消防“生命通道”工作纳入全国文明城市测评、国家安全发展示范城市创建的重点内容，明确评价指标要求，纳入各地测评体系，发挥治理效能。</w:t>
      </w:r>
    </w:p>
    <w:p w14:paraId="6E529B83">
      <w:pPr>
        <w:widowControl w:val="0"/>
        <w:kinsoku/>
        <w:autoSpaceDE/>
        <w:autoSpaceDN/>
        <w:adjustRightInd/>
        <w:snapToGrid/>
        <w:spacing w:line="240" w:lineRule="auto"/>
        <w:ind w:firstLine="654" w:firstLineChars="200"/>
        <w:jc w:val="both"/>
        <w:textAlignment w:val="auto"/>
        <w:rPr>
          <w:rFonts w:hint="eastAsia" w:ascii="黑体" w:hAnsi="黑体" w:eastAsia="黑体" w:cs="黑体"/>
          <w:snapToGrid/>
          <w:kern w:val="2"/>
          <w:sz w:val="32"/>
          <w:szCs w:val="20"/>
          <w:lang w:eastAsia="zh-CN"/>
        </w:rPr>
      </w:pPr>
      <w:r>
        <w:rPr>
          <w:rFonts w:hint="eastAsia" w:ascii="黑体" w:hAnsi="黑体" w:eastAsia="黑体" w:cs="黑体"/>
          <w:snapToGrid/>
          <w:kern w:val="2"/>
          <w:sz w:val="32"/>
          <w:szCs w:val="20"/>
          <w:lang w:eastAsia="zh-CN"/>
        </w:rPr>
        <w:t>三、时间安排</w:t>
      </w:r>
    </w:p>
    <w:p w14:paraId="6EA5FF33">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一）部署推进阶段（2024年4月15日前）。各地各部门要争取单位主要领导重视支持，结合治本攻坚三年行动和消防安全集中除患攻坚大整治行动，高规格调度推进工作落实，要结合实际制定实施方案，明确职责分工，细化任务措施。</w:t>
      </w:r>
    </w:p>
    <w:p w14:paraId="2D94A418">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二）排查整治阶段（2025年12月中旬前）。以乡镇（街道）为单元，开展全面排查，按照整改难易程度，分类制定年度计划，科学确定整治目标，逐年推进整治攻坚。要充分发动公安派出所、综合执法队伍、网格员等各方力量，分类分批开展业务培训，讲清检查重点和工作方法，推动提高发现问题和解决问题能力，努力消除一大批涉及消防“生命通道”的隐患问题。</w:t>
      </w:r>
    </w:p>
    <w:p w14:paraId="1655F347">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（三）巩固提升阶段（2025年12月底前）。坚持边整治、边调研、边总结，对存在的普遍性、系统性问题进行梳理研究，健全完善确保消防“生命通道”畅通的检查指南和长效机制。</w:t>
      </w:r>
    </w:p>
    <w:p w14:paraId="11BCFE23">
      <w:pPr>
        <w:widowControl w:val="0"/>
        <w:kinsoku/>
        <w:autoSpaceDE/>
        <w:autoSpaceDN/>
        <w:adjustRightInd/>
        <w:snapToGrid/>
        <w:spacing w:line="240" w:lineRule="auto"/>
        <w:ind w:firstLine="654" w:firstLineChars="200"/>
        <w:jc w:val="both"/>
        <w:textAlignment w:val="auto"/>
        <w:rPr>
          <w:rFonts w:hint="eastAsia" w:ascii="黑体" w:hAnsi="黑体" w:eastAsia="黑体" w:cs="黑体"/>
          <w:snapToGrid/>
          <w:kern w:val="2"/>
          <w:sz w:val="32"/>
          <w:szCs w:val="20"/>
          <w:lang w:eastAsia="zh-CN"/>
        </w:rPr>
      </w:pPr>
      <w:r>
        <w:rPr>
          <w:rFonts w:hint="eastAsia" w:ascii="黑体" w:hAnsi="黑体" w:eastAsia="黑体" w:cs="黑体"/>
          <w:snapToGrid/>
          <w:kern w:val="2"/>
          <w:sz w:val="32"/>
          <w:szCs w:val="20"/>
          <w:lang w:eastAsia="zh-CN"/>
        </w:rPr>
        <w:t>四、工作要求</w:t>
      </w:r>
    </w:p>
    <w:p w14:paraId="44B1A8D6">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楷体_GB2312" w:hAnsi="楷体_GB2312" w:eastAsia="楷体_GB2312" w:cs="楷体_GB2312"/>
          <w:b/>
          <w:bCs/>
          <w:snapToGrid/>
          <w:kern w:val="2"/>
          <w:sz w:val="32"/>
          <w:szCs w:val="20"/>
          <w:lang w:eastAsia="zh-CN"/>
        </w:rPr>
        <w:t>（一）加强组织领导。</w:t>
      </w:r>
      <w:r>
        <w:rPr>
          <w:rFonts w:hint="eastAsia" w:ascii="Times New Roman" w:hAnsi="Times New Roman" w:eastAsia="仿宋_GB2312" w:cs="Times New Roman"/>
          <w:snapToGrid/>
          <w:kern w:val="2"/>
          <w:sz w:val="32"/>
          <w:szCs w:val="20"/>
          <w:lang w:eastAsia="zh-CN"/>
        </w:rPr>
        <w:t>提高政治站位，把推进打通消防“生命通道”工作作为深入贯彻落实习近平总书记重要指示精神和党中央、国务院重大决策部署的具体举措，落实“两个至上”、强化“两个根本”，着力解决突出问题，把确保人民生命安全放在第一位落到实处。要全面落实地方党委政府和行业部门监管责任，充分发动基层力量，督促社会单位压紧压实消防安全防范责任措施，推动各项任务目标落地见效。</w:t>
      </w:r>
    </w:p>
    <w:p w14:paraId="4DABC13D">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楷体_GB2312" w:hAnsi="楷体_GB2312" w:eastAsia="楷体_GB2312" w:cs="楷体_GB2312"/>
          <w:b/>
          <w:bCs/>
          <w:snapToGrid/>
          <w:kern w:val="2"/>
          <w:sz w:val="32"/>
          <w:szCs w:val="20"/>
          <w:lang w:eastAsia="zh-CN"/>
        </w:rPr>
        <w:t>（二）坚持统筹推进。</w:t>
      </w:r>
      <w:r>
        <w:rPr>
          <w:rFonts w:hint="eastAsia" w:ascii="Times New Roman" w:hAnsi="Times New Roman" w:eastAsia="仿宋_GB2312" w:cs="Times New Roman"/>
          <w:snapToGrid/>
          <w:kern w:val="2"/>
          <w:sz w:val="32"/>
          <w:szCs w:val="20"/>
          <w:lang w:eastAsia="zh-CN"/>
        </w:rPr>
        <w:t>要将打通消防“生命通道”工作与消防安全集中除患攻坚大整治行动、治本攻坚三年行动等重点任务统筹结合、同步推进。强化系统治理、综合治理、源头治理、依法治理，推动解决影响消防“生命通道”的深层次突出问题。综合运用执法查处、媒体曝光、舆论监督、</w:t>
      </w:r>
      <w:bookmarkStart w:id="0" w:name="_GoBack"/>
      <w:bookmarkEnd w:id="0"/>
      <w:r>
        <w:rPr>
          <w:rFonts w:hint="eastAsia" w:ascii="Times New Roman" w:hAnsi="Times New Roman" w:eastAsia="仿宋_GB2312" w:cs="Times New Roman"/>
          <w:snapToGrid/>
          <w:kern w:val="2"/>
          <w:sz w:val="32"/>
          <w:szCs w:val="20"/>
          <w:lang w:eastAsia="zh-CN"/>
        </w:rPr>
        <w:t>信用监管等措施，坚持宣传教育与隐患整治、监管执法一体化推进，实现整治效果和社会效果相统一。</w:t>
      </w:r>
    </w:p>
    <w:p w14:paraId="7F1994E3">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楷体_GB2312" w:hAnsi="楷体_GB2312" w:eastAsia="楷体_GB2312" w:cs="楷体_GB2312"/>
          <w:b/>
          <w:bCs/>
          <w:snapToGrid/>
          <w:kern w:val="2"/>
          <w:sz w:val="32"/>
          <w:szCs w:val="20"/>
          <w:lang w:eastAsia="zh-CN"/>
        </w:rPr>
        <w:t>（三）严格督导问效。</w:t>
      </w:r>
      <w:r>
        <w:rPr>
          <w:rFonts w:hint="eastAsia" w:ascii="Times New Roman" w:hAnsi="Times New Roman" w:eastAsia="仿宋_GB2312" w:cs="Times New Roman"/>
          <w:snapToGrid/>
          <w:kern w:val="2"/>
          <w:sz w:val="32"/>
          <w:szCs w:val="20"/>
          <w:lang w:eastAsia="zh-CN"/>
        </w:rPr>
        <w:t>区政府将打通消防“生命通道”工作列入政府安全生产和消防工作考核巡查重要内容，加强日常督导检查和明查暗访。对行动迟缓、工作敷衍的，坚决予以通报批评、约谈警示。各地各部门对于推进打通消防“生命通道”工作不力导致发生较大及以上亡人火灾事故的，按程序启动责任倒查机制，依法依规严肃追责问责。</w:t>
      </w:r>
    </w:p>
    <w:p w14:paraId="2C740543">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各地各部门要将行动统计表于4月份起每月20日前报送。</w:t>
      </w:r>
    </w:p>
    <w:p w14:paraId="39902671">
      <w:pPr>
        <w:widowControl w:val="0"/>
        <w:kinsoku/>
        <w:autoSpaceDE/>
        <w:autoSpaceDN/>
        <w:adjustRightInd/>
        <w:snapToGrid/>
        <w:spacing w:line="240" w:lineRule="auto"/>
        <w:ind w:firstLine="654" w:firstLineChars="200"/>
        <w:jc w:val="both"/>
        <w:textAlignment w:val="auto"/>
        <w:rPr>
          <w:rFonts w:hint="eastAsia"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电子邮箱：</w:t>
      </w:r>
      <w:r>
        <w:rPr>
          <w:rFonts w:ascii="Times New Roman" w:hAnsi="Times New Roman" w:eastAsia="仿宋_GB2312" w:cs="Times New Roman"/>
          <w:snapToGrid/>
          <w:kern w:val="2"/>
          <w:sz w:val="32"/>
          <w:szCs w:val="20"/>
          <w:lang w:eastAsia="zh-CN"/>
        </w:rPr>
        <w:fldChar w:fldCharType="begin"/>
      </w:r>
      <w:r>
        <w:rPr>
          <w:rFonts w:ascii="Times New Roman" w:hAnsi="Times New Roman" w:eastAsia="仿宋_GB2312" w:cs="Times New Roman"/>
          <w:snapToGrid/>
          <w:kern w:val="2"/>
          <w:sz w:val="32"/>
          <w:szCs w:val="20"/>
          <w:lang w:eastAsia="zh-CN"/>
        </w:rPr>
        <w:instrText xml:space="preserve"> HYPERLINK "mailto:wcxfdd@163.com" </w:instrText>
      </w:r>
      <w:r>
        <w:rPr>
          <w:rFonts w:ascii="Times New Roman" w:hAnsi="Times New Roman" w:eastAsia="仿宋_GB2312" w:cs="Times New Roman"/>
          <w:snapToGrid/>
          <w:kern w:val="2"/>
          <w:sz w:val="32"/>
          <w:szCs w:val="20"/>
          <w:lang w:eastAsia="zh-CN"/>
        </w:rPr>
        <w:fldChar w:fldCharType="separate"/>
      </w:r>
      <w:r>
        <w:rPr>
          <w:rFonts w:hint="eastAsia" w:ascii="Times New Roman" w:hAnsi="Times New Roman" w:eastAsia="仿宋_GB2312" w:cs="Times New Roman"/>
          <w:snapToGrid/>
          <w:kern w:val="2"/>
          <w:sz w:val="32"/>
          <w:szCs w:val="20"/>
          <w:lang w:eastAsia="zh-CN"/>
        </w:rPr>
        <w:t>wcxfdd@163.com</w:t>
      </w:r>
      <w:r>
        <w:rPr>
          <w:rFonts w:hint="eastAsia" w:ascii="Times New Roman" w:hAnsi="Times New Roman" w:eastAsia="仿宋_GB2312" w:cs="Times New Roman"/>
          <w:snapToGrid/>
          <w:kern w:val="2"/>
          <w:sz w:val="32"/>
          <w:szCs w:val="20"/>
          <w:lang w:eastAsia="zh-CN"/>
        </w:rPr>
        <w:fldChar w:fldCharType="end"/>
      </w:r>
    </w:p>
    <w:p w14:paraId="3FD8A039">
      <w:pPr>
        <w:widowControl w:val="0"/>
        <w:kinsoku/>
        <w:autoSpaceDE/>
        <w:autoSpaceDN/>
        <w:adjustRightInd/>
        <w:snapToGrid/>
        <w:spacing w:line="240" w:lineRule="auto"/>
        <w:ind w:firstLine="654" w:firstLineChars="200"/>
        <w:jc w:val="both"/>
        <w:textAlignment w:val="auto"/>
        <w:rPr>
          <w:rFonts w:hint="eastAsia"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联 系 人：昝荣   联系电话：67070119</w:t>
      </w:r>
    </w:p>
    <w:p w14:paraId="604DE500">
      <w:pPr>
        <w:widowControl w:val="0"/>
        <w:kinsoku/>
        <w:autoSpaceDE/>
        <w:autoSpaceDN/>
        <w:adjustRightInd/>
        <w:snapToGrid/>
        <w:spacing w:line="240" w:lineRule="auto"/>
        <w:ind w:firstLine="654" w:firstLineChars="200"/>
        <w:jc w:val="both"/>
        <w:textAlignment w:val="auto"/>
        <w:rPr>
          <w:rFonts w:hint="eastAsia" w:ascii="Times New Roman" w:hAnsi="Times New Roman" w:eastAsia="仿宋_GB2312" w:cs="Times New Roman"/>
          <w:snapToGrid/>
          <w:kern w:val="2"/>
          <w:sz w:val="32"/>
          <w:szCs w:val="20"/>
          <w:lang w:eastAsia="zh-CN"/>
        </w:rPr>
      </w:pPr>
    </w:p>
    <w:p w14:paraId="684B58FF">
      <w:pPr>
        <w:widowControl w:val="0"/>
        <w:kinsoku/>
        <w:autoSpaceDE/>
        <w:autoSpaceDN/>
        <w:adjustRightInd/>
        <w:snapToGrid/>
        <w:spacing w:line="240" w:lineRule="auto"/>
        <w:ind w:firstLine="654" w:firstLineChars="200"/>
        <w:jc w:val="both"/>
        <w:textAlignment w:val="auto"/>
        <w:rPr>
          <w:rFonts w:ascii="Times New Roman" w:hAnsi="Times New Roman" w:eastAsia="仿宋_GB2312"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附件：全区打通消防“生命通道”行动推进统计表</w:t>
      </w:r>
    </w:p>
    <w:p w14:paraId="18C7A898">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20"/>
          <w:lang w:eastAsia="zh-CN"/>
        </w:rPr>
      </w:pPr>
    </w:p>
    <w:p w14:paraId="6F3D5880">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20"/>
          <w:lang w:eastAsia="zh-CN"/>
        </w:rPr>
      </w:pPr>
    </w:p>
    <w:p w14:paraId="1FA714EE">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20"/>
          <w:lang w:eastAsia="zh-CN"/>
        </w:rPr>
      </w:pPr>
    </w:p>
    <w:p w14:paraId="0D718A3F">
      <w:pPr>
        <w:sectPr>
          <w:footerReference r:id="rId5" w:type="default"/>
          <w:footerReference r:id="rId6" w:type="even"/>
          <w:pgSz w:w="11907" w:h="16840"/>
          <w:pgMar w:top="2098" w:right="1474" w:bottom="1985" w:left="1588" w:header="851" w:footer="1531" w:gutter="0"/>
          <w:cols w:space="720" w:num="1"/>
          <w:docGrid w:type="linesAndChars" w:linePitch="579" w:charSpace="1554"/>
        </w:sectPr>
      </w:pPr>
    </w:p>
    <w:tbl>
      <w:tblPr>
        <w:tblStyle w:val="5"/>
        <w:tblW w:w="12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8"/>
        <w:gridCol w:w="1011"/>
        <w:gridCol w:w="1066"/>
        <w:gridCol w:w="1017"/>
        <w:gridCol w:w="900"/>
        <w:gridCol w:w="1033"/>
        <w:gridCol w:w="1350"/>
        <w:gridCol w:w="1384"/>
        <w:gridCol w:w="1150"/>
        <w:gridCol w:w="1033"/>
        <w:gridCol w:w="1383"/>
      </w:tblGrid>
      <w:tr w14:paraId="078C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725" w:type="dxa"/>
            <w:gridSpan w:val="11"/>
            <w:tcBorders>
              <w:top w:val="nil"/>
              <w:left w:val="nil"/>
              <w:bottom w:val="nil"/>
              <w:right w:val="nil"/>
            </w:tcBorders>
            <w:noWrap w:val="0"/>
            <w:vAlign w:val="top"/>
          </w:tcPr>
          <w:p w14:paraId="22678DA2">
            <w:pPr>
              <w:keepNext w:val="0"/>
              <w:keepLines w:val="0"/>
              <w:widowControl/>
              <w:suppressLineNumbers w:val="0"/>
              <w:kinsoku/>
              <w:autoSpaceDE/>
              <w:autoSpaceDN/>
              <w:adjustRightInd/>
              <w:snapToGrid/>
              <w:spacing w:line="240" w:lineRule="auto"/>
              <w:jc w:val="left"/>
              <w:textAlignment w:val="top"/>
              <w:rPr>
                <w:rFonts w:ascii="黑体" w:hAnsi="宋体" w:eastAsia="黑体" w:cs="黑体"/>
                <w:b/>
                <w:bCs/>
                <w:i w:val="0"/>
                <w:iCs w:val="0"/>
                <w:snapToGrid/>
                <w:color w:val="000000"/>
                <w:kern w:val="2"/>
                <w:sz w:val="20"/>
                <w:szCs w:val="20"/>
                <w:u w:val="none"/>
                <w:lang w:eastAsia="zh-CN"/>
              </w:rPr>
            </w:pPr>
            <w:r>
              <w:rPr>
                <w:rStyle w:val="9"/>
                <w:snapToGrid/>
                <w:kern w:val="2"/>
                <w:lang w:val="en-US" w:eastAsia="zh-CN" w:bidi="ar"/>
              </w:rPr>
              <w:t>附</w:t>
            </w:r>
            <w:r>
              <w:rPr>
                <w:rStyle w:val="10"/>
                <w:snapToGrid/>
                <w:kern w:val="2"/>
                <w:lang w:val="en-US" w:eastAsia="zh-CN" w:bidi="ar"/>
              </w:rPr>
              <w:t xml:space="preserve"> </w:t>
            </w:r>
            <w:r>
              <w:rPr>
                <w:rStyle w:val="9"/>
                <w:snapToGrid/>
                <w:kern w:val="2"/>
                <w:lang w:val="en-US" w:eastAsia="zh-CN" w:bidi="ar"/>
              </w:rPr>
              <w:t>件</w:t>
            </w:r>
          </w:p>
        </w:tc>
      </w:tr>
      <w:tr w14:paraId="50EB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409" w:type="dxa"/>
            <w:gridSpan w:val="2"/>
            <w:tcBorders>
              <w:top w:val="nil"/>
              <w:left w:val="nil"/>
              <w:bottom w:val="nil"/>
              <w:right w:val="nil"/>
            </w:tcBorders>
            <w:noWrap/>
            <w:vAlign w:val="bottom"/>
          </w:tcPr>
          <w:p w14:paraId="2250CDD3">
            <w:pPr>
              <w:widowControl w:val="0"/>
              <w:kinsoku/>
              <w:autoSpaceDE/>
              <w:autoSpaceDN/>
              <w:adjustRightInd/>
              <w:snapToGrid/>
              <w:spacing w:line="240" w:lineRule="auto"/>
              <w:jc w:val="both"/>
              <w:textAlignment w:val="auto"/>
              <w:rPr>
                <w:rFonts w:hint="eastAsia" w:ascii="Arial" w:hAnsi="Arial" w:eastAsia="仿宋_GB2312" w:cs="Arial"/>
                <w:i w:val="0"/>
                <w:iCs w:val="0"/>
                <w:snapToGrid/>
                <w:color w:val="000000"/>
                <w:kern w:val="2"/>
                <w:sz w:val="22"/>
                <w:szCs w:val="22"/>
                <w:u w:val="none"/>
                <w:lang w:eastAsia="zh-CN"/>
              </w:rPr>
            </w:pPr>
          </w:p>
        </w:tc>
        <w:tc>
          <w:tcPr>
            <w:tcW w:w="10316" w:type="dxa"/>
            <w:gridSpan w:val="9"/>
            <w:tcBorders>
              <w:top w:val="nil"/>
              <w:left w:val="nil"/>
              <w:bottom w:val="nil"/>
              <w:right w:val="nil"/>
            </w:tcBorders>
            <w:noWrap w:val="0"/>
            <w:vAlign w:val="top"/>
          </w:tcPr>
          <w:p w14:paraId="618CE463">
            <w:pPr>
              <w:keepNext w:val="0"/>
              <w:keepLines w:val="0"/>
              <w:widowControl/>
              <w:suppressLineNumbers w:val="0"/>
              <w:kinsoku/>
              <w:autoSpaceDE/>
              <w:autoSpaceDN/>
              <w:adjustRightInd/>
              <w:snapToGrid/>
              <w:spacing w:line="240" w:lineRule="auto"/>
              <w:jc w:val="left"/>
              <w:textAlignment w:val="top"/>
              <w:rPr>
                <w:rFonts w:ascii="宋体" w:hAnsi="宋体" w:eastAsia="宋体" w:cs="宋体"/>
                <w:b/>
                <w:bCs/>
                <w:i w:val="0"/>
                <w:iCs w:val="0"/>
                <w:snapToGrid/>
                <w:color w:val="000000"/>
                <w:kern w:val="2"/>
                <w:sz w:val="26"/>
                <w:szCs w:val="26"/>
                <w:u w:val="none"/>
                <w:lang w:eastAsia="zh-CN"/>
              </w:rPr>
            </w:pPr>
            <w:r>
              <w:rPr>
                <w:rStyle w:val="11"/>
                <w:rFonts w:hint="eastAsia" w:ascii="方正公文小标宋" w:hAnsi="方正公文小标宋" w:eastAsia="方正公文小标宋" w:cs="方正公文小标宋"/>
                <w:snapToGrid/>
                <w:kern w:val="2"/>
                <w:sz w:val="44"/>
                <w:szCs w:val="44"/>
                <w:lang w:val="en-US" w:eastAsia="zh-CN" w:bidi="ar"/>
              </w:rPr>
              <w:t>全区打通消防“生命通道”行动推进统计表</w:t>
            </w:r>
          </w:p>
        </w:tc>
      </w:tr>
      <w:tr w14:paraId="6BED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2725" w:type="dxa"/>
            <w:gridSpan w:val="11"/>
            <w:tcBorders>
              <w:top w:val="nil"/>
              <w:left w:val="nil"/>
              <w:bottom w:val="nil"/>
              <w:right w:val="nil"/>
            </w:tcBorders>
            <w:noWrap w:val="0"/>
            <w:vAlign w:val="center"/>
          </w:tcPr>
          <w:p w14:paraId="00981E44">
            <w:pPr>
              <w:keepNext w:val="0"/>
              <w:keepLines w:val="0"/>
              <w:widowControl/>
              <w:suppressLineNumbers w:val="0"/>
              <w:kinsoku/>
              <w:autoSpaceDE/>
              <w:autoSpaceDN/>
              <w:adjustRightInd/>
              <w:snapToGrid/>
              <w:spacing w:line="240" w:lineRule="auto"/>
              <w:jc w:val="left"/>
              <w:textAlignment w:val="center"/>
              <w:rPr>
                <w:rFonts w:ascii="宋体" w:hAnsi="宋体" w:eastAsia="宋体" w:cs="宋体"/>
                <w:i w:val="0"/>
                <w:iCs w:val="0"/>
                <w:snapToGrid/>
                <w:color w:val="000000"/>
                <w:kern w:val="2"/>
                <w:sz w:val="12"/>
                <w:szCs w:val="12"/>
                <w:u w:val="none"/>
                <w:lang w:eastAsia="zh-CN"/>
              </w:rPr>
            </w:pPr>
            <w:r>
              <w:rPr>
                <w:rStyle w:val="12"/>
                <w:rFonts w:hint="eastAsia" w:ascii="仿宋" w:hAnsi="仿宋" w:eastAsia="仿宋" w:cs="仿宋"/>
                <w:snapToGrid/>
                <w:kern w:val="2"/>
                <w:sz w:val="32"/>
                <w:szCs w:val="32"/>
                <w:lang w:val="en-US" w:eastAsia="zh-CN" w:bidi="ar"/>
              </w:rPr>
              <w:t>报送单位：</w:t>
            </w:r>
            <w:r>
              <w:rPr>
                <w:rStyle w:val="13"/>
                <w:rFonts w:hint="eastAsia" w:ascii="仿宋" w:hAnsi="仿宋" w:eastAsia="仿宋" w:cs="仿宋"/>
                <w:snapToGrid/>
                <w:kern w:val="2"/>
                <w:sz w:val="32"/>
                <w:szCs w:val="32"/>
                <w:lang w:val="en-US" w:eastAsia="zh-CN" w:bidi="ar"/>
              </w:rPr>
              <w:t xml:space="preserve">                                      报送时间：</w:t>
            </w:r>
          </w:p>
        </w:tc>
      </w:tr>
      <w:tr w14:paraId="08BE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8CABF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4"/>
                <w:rFonts w:hint="eastAsia" w:ascii="仿宋" w:hAnsi="仿宋" w:eastAsia="仿宋" w:cs="仿宋"/>
                <w:snapToGrid/>
                <w:kern w:val="2"/>
                <w:sz w:val="21"/>
                <w:szCs w:val="21"/>
                <w:lang w:val="en-US" w:eastAsia="zh-CN" w:bidi="ar"/>
              </w:rPr>
              <w:t>排查单位场所</w:t>
            </w:r>
            <w:r>
              <w:rPr>
                <w:rStyle w:val="14"/>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(家)</w:t>
            </w: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491204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安全疏散</w:t>
            </w:r>
            <w:r>
              <w:rPr>
                <w:rStyle w:val="15"/>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条件不足</w:t>
            </w:r>
          </w:p>
        </w:tc>
        <w:tc>
          <w:tcPr>
            <w:tcW w:w="2950" w:type="dxa"/>
            <w:gridSpan w:val="3"/>
            <w:tcBorders>
              <w:top w:val="single" w:color="000000" w:sz="4" w:space="0"/>
              <w:left w:val="single" w:color="000000" w:sz="4" w:space="0"/>
              <w:bottom w:val="single" w:color="000000" w:sz="4" w:space="0"/>
              <w:right w:val="single" w:color="000000" w:sz="4" w:space="0"/>
            </w:tcBorders>
            <w:noWrap w:val="0"/>
            <w:vAlign w:val="center"/>
          </w:tcPr>
          <w:p w14:paraId="30FE6E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人员密集场所违规设置铁栅栏、防盗网、广告牌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B9929B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消防车通道禁停标线</w:t>
            </w:r>
          </w:p>
        </w:tc>
        <w:tc>
          <w:tcPr>
            <w:tcW w:w="2534" w:type="dxa"/>
            <w:gridSpan w:val="2"/>
            <w:tcBorders>
              <w:top w:val="single" w:color="000000" w:sz="4" w:space="0"/>
              <w:left w:val="single" w:color="000000" w:sz="4" w:space="0"/>
              <w:bottom w:val="single" w:color="000000" w:sz="4" w:space="0"/>
              <w:right w:val="single" w:color="000000" w:sz="4" w:space="0"/>
            </w:tcBorders>
            <w:noWrap w:val="0"/>
            <w:vAlign w:val="center"/>
          </w:tcPr>
          <w:p w14:paraId="0253C72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4"/>
                <w:rFonts w:hint="eastAsia" w:ascii="仿宋" w:hAnsi="仿宋" w:eastAsia="仿宋" w:cs="仿宋"/>
                <w:snapToGrid/>
                <w:kern w:val="2"/>
                <w:sz w:val="21"/>
                <w:szCs w:val="21"/>
                <w:lang w:val="en-US" w:eastAsia="zh-CN" w:bidi="ar"/>
              </w:rPr>
              <w:t>占用、堵塞消防车</w:t>
            </w:r>
            <w:r>
              <w:rPr>
                <w:rStyle w:val="15"/>
                <w:rFonts w:hint="eastAsia" w:ascii="仿宋" w:hAnsi="仿宋" w:eastAsia="仿宋" w:cs="仿宋"/>
                <w:snapToGrid/>
                <w:kern w:val="2"/>
                <w:sz w:val="21"/>
                <w:szCs w:val="21"/>
                <w:lang w:val="en-US" w:eastAsia="zh-CN" w:bidi="ar"/>
              </w:rPr>
              <w:t>通道障碍物</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8D86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1"/>
                <w:szCs w:val="21"/>
                <w:u w:val="none"/>
                <w:lang w:eastAsia="zh-CN"/>
              </w:rPr>
            </w:pPr>
            <w:r>
              <w:rPr>
                <w:rStyle w:val="14"/>
                <w:rFonts w:hint="eastAsia" w:ascii="仿宋" w:hAnsi="仿宋" w:eastAsia="仿宋" w:cs="仿宋"/>
                <w:snapToGrid/>
                <w:kern w:val="2"/>
                <w:sz w:val="21"/>
                <w:szCs w:val="21"/>
                <w:lang w:val="en-US" w:eastAsia="zh-CN" w:bidi="ar"/>
              </w:rPr>
              <w:t>开展消</w:t>
            </w:r>
            <w:r>
              <w:rPr>
                <w:rStyle w:val="14"/>
                <w:rFonts w:hint="eastAsia" w:ascii="仿宋" w:hAnsi="仿宋" w:eastAsia="仿宋" w:cs="仿宋"/>
                <w:snapToGrid/>
                <w:kern w:val="2"/>
                <w:sz w:val="21"/>
                <w:szCs w:val="21"/>
                <w:lang w:val="en-US" w:eastAsia="zh-CN" w:bidi="ar"/>
              </w:rPr>
              <w:br w:type="textWrapping"/>
            </w:r>
            <w:r>
              <w:rPr>
                <w:rStyle w:val="14"/>
                <w:rFonts w:hint="eastAsia" w:ascii="仿宋" w:hAnsi="仿宋" w:eastAsia="仿宋" w:cs="仿宋"/>
                <w:snapToGrid/>
                <w:kern w:val="2"/>
                <w:sz w:val="21"/>
                <w:szCs w:val="21"/>
                <w:lang w:val="en-US" w:eastAsia="zh-CN" w:bidi="ar"/>
              </w:rPr>
              <w:t>防演练</w:t>
            </w:r>
            <w:r>
              <w:rPr>
                <w:rStyle w:val="14"/>
                <w:rFonts w:hint="eastAsia" w:ascii="仿宋" w:hAnsi="仿宋" w:eastAsia="仿宋" w:cs="仿宋"/>
                <w:snapToGrid/>
                <w:kern w:val="2"/>
                <w:sz w:val="21"/>
                <w:szCs w:val="21"/>
                <w:lang w:val="en-US" w:eastAsia="zh-CN" w:bidi="ar"/>
              </w:rPr>
              <w:br w:type="textWrapping"/>
            </w:r>
            <w:r>
              <w:rPr>
                <w:rStyle w:val="14"/>
                <w:rFonts w:hint="eastAsia" w:ascii="仿宋" w:hAnsi="仿宋" w:eastAsia="仿宋" w:cs="仿宋"/>
                <w:snapToGrid/>
                <w:kern w:val="2"/>
                <w:sz w:val="21"/>
                <w:szCs w:val="21"/>
                <w:lang w:val="en-US" w:eastAsia="zh-CN" w:bidi="ar"/>
              </w:rPr>
              <w:t>情况</w:t>
            </w:r>
            <w:r>
              <w:rPr>
                <w:rStyle w:val="14"/>
                <w:rFonts w:hint="eastAsia" w:ascii="仿宋" w:hAnsi="仿宋" w:eastAsia="仿宋" w:cs="仿宋"/>
                <w:snapToGrid/>
                <w:kern w:val="2"/>
                <w:sz w:val="21"/>
                <w:szCs w:val="21"/>
                <w:lang w:val="en-US" w:eastAsia="zh-CN" w:bidi="ar"/>
              </w:rPr>
              <w:br w:type="textWrapping"/>
            </w:r>
            <w:r>
              <w:rPr>
                <w:rStyle w:val="14"/>
                <w:rFonts w:hint="eastAsia" w:ascii="仿宋" w:hAnsi="仿宋" w:eastAsia="仿宋" w:cs="仿宋"/>
                <w:snapToGrid/>
                <w:kern w:val="2"/>
                <w:sz w:val="21"/>
                <w:szCs w:val="21"/>
                <w:lang w:val="en-US" w:eastAsia="zh-CN" w:bidi="ar"/>
              </w:rPr>
              <w:t>(家)</w:t>
            </w:r>
          </w:p>
        </w:tc>
        <w:tc>
          <w:tcPr>
            <w:tcW w:w="1383" w:type="dxa"/>
            <w:vMerge w:val="restart"/>
            <w:tcBorders>
              <w:top w:val="single" w:color="000000" w:sz="4" w:space="0"/>
              <w:left w:val="single" w:color="000000" w:sz="4" w:space="0"/>
              <w:bottom w:val="single" w:color="000000" w:sz="4" w:space="0"/>
              <w:right w:val="single" w:color="000000" w:sz="4" w:space="0"/>
            </w:tcBorders>
            <w:noWrap w:val="0"/>
            <w:vAlign w:val="center"/>
          </w:tcPr>
          <w:p w14:paraId="36756C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1"/>
                <w:szCs w:val="21"/>
                <w:u w:val="none"/>
                <w:lang w:eastAsia="zh-CN"/>
              </w:rPr>
            </w:pPr>
            <w:r>
              <w:rPr>
                <w:rStyle w:val="14"/>
                <w:rFonts w:hint="eastAsia" w:ascii="仿宋" w:hAnsi="仿宋" w:eastAsia="仿宋" w:cs="仿宋"/>
                <w:snapToGrid/>
                <w:kern w:val="2"/>
                <w:sz w:val="21"/>
                <w:szCs w:val="21"/>
                <w:lang w:val="en-US" w:eastAsia="zh-CN" w:bidi="ar"/>
              </w:rPr>
              <w:t>开展消</w:t>
            </w:r>
            <w:r>
              <w:rPr>
                <w:rStyle w:val="14"/>
                <w:rFonts w:hint="eastAsia" w:ascii="仿宋" w:hAnsi="仿宋" w:eastAsia="仿宋" w:cs="仿宋"/>
                <w:snapToGrid/>
                <w:kern w:val="2"/>
                <w:sz w:val="21"/>
                <w:szCs w:val="21"/>
                <w:lang w:val="en-US" w:eastAsia="zh-CN" w:bidi="ar"/>
              </w:rPr>
              <w:br w:type="textWrapping"/>
            </w:r>
            <w:r>
              <w:rPr>
                <w:rStyle w:val="14"/>
                <w:rFonts w:hint="eastAsia" w:ascii="仿宋" w:hAnsi="仿宋" w:eastAsia="仿宋" w:cs="仿宋"/>
                <w:snapToGrid/>
                <w:kern w:val="2"/>
                <w:sz w:val="21"/>
                <w:szCs w:val="21"/>
                <w:lang w:val="en-US" w:eastAsia="zh-CN" w:bidi="ar"/>
              </w:rPr>
              <w:t>防培训</w:t>
            </w:r>
            <w:r>
              <w:rPr>
                <w:rStyle w:val="14"/>
                <w:rFonts w:hint="eastAsia" w:ascii="仿宋" w:hAnsi="仿宋" w:eastAsia="仿宋" w:cs="仿宋"/>
                <w:snapToGrid/>
                <w:kern w:val="2"/>
                <w:sz w:val="21"/>
                <w:szCs w:val="21"/>
                <w:lang w:val="en-US" w:eastAsia="zh-CN" w:bidi="ar"/>
              </w:rPr>
              <w:br w:type="textWrapping"/>
            </w:r>
            <w:r>
              <w:rPr>
                <w:rStyle w:val="14"/>
                <w:rFonts w:hint="eastAsia" w:ascii="仿宋" w:hAnsi="仿宋" w:eastAsia="仿宋" w:cs="仿宋"/>
                <w:snapToGrid/>
                <w:kern w:val="2"/>
                <w:sz w:val="21"/>
                <w:szCs w:val="21"/>
                <w:lang w:val="en-US" w:eastAsia="zh-CN" w:bidi="ar"/>
              </w:rPr>
              <w:t>情况</w:t>
            </w:r>
            <w:r>
              <w:rPr>
                <w:rStyle w:val="14"/>
                <w:rFonts w:hint="eastAsia" w:ascii="仿宋" w:hAnsi="仿宋" w:eastAsia="仿宋" w:cs="仿宋"/>
                <w:snapToGrid/>
                <w:kern w:val="2"/>
                <w:sz w:val="21"/>
                <w:szCs w:val="21"/>
                <w:lang w:val="en-US" w:eastAsia="zh-CN" w:bidi="ar"/>
              </w:rPr>
              <w:br w:type="textWrapping"/>
            </w:r>
            <w:r>
              <w:rPr>
                <w:rStyle w:val="14"/>
                <w:rFonts w:hint="eastAsia" w:ascii="仿宋" w:hAnsi="仿宋" w:eastAsia="仿宋" w:cs="仿宋"/>
                <w:snapToGrid/>
                <w:kern w:val="2"/>
                <w:sz w:val="21"/>
                <w:szCs w:val="21"/>
                <w:lang w:val="en-US" w:eastAsia="zh-CN" w:bidi="ar"/>
              </w:rPr>
              <w:t>(家)</w:t>
            </w:r>
          </w:p>
        </w:tc>
      </w:tr>
      <w:tr w14:paraId="5F1B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4C521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u w:val="none"/>
                <w:lang w:eastAsia="zh-CN"/>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14:paraId="56F3581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发现</w:t>
            </w:r>
            <w:r>
              <w:rPr>
                <w:rStyle w:val="15"/>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(处)</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170F5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整改</w:t>
            </w:r>
            <w:r>
              <w:rPr>
                <w:rStyle w:val="15"/>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(处)</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18DAB73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发现</w:t>
            </w:r>
            <w:r>
              <w:rPr>
                <w:rStyle w:val="15"/>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550EDD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拆除</w:t>
            </w:r>
            <w:r>
              <w:rPr>
                <w:rStyle w:val="15"/>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(处)</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1CF6D9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合计(平</w:t>
            </w:r>
            <w:r>
              <w:rPr>
                <w:rStyle w:val="15"/>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方米)</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9C2564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划线</w:t>
            </w:r>
            <w:r>
              <w:rPr>
                <w:rStyle w:val="15"/>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(处)</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DF26A8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5"/>
                <w:rFonts w:hint="eastAsia" w:ascii="仿宋" w:hAnsi="仿宋" w:eastAsia="仿宋" w:cs="仿宋"/>
                <w:snapToGrid/>
                <w:kern w:val="2"/>
                <w:sz w:val="21"/>
                <w:szCs w:val="21"/>
                <w:lang w:val="en-US" w:eastAsia="zh-CN" w:bidi="ar"/>
              </w:rPr>
              <w:t>发现</w:t>
            </w:r>
            <w:r>
              <w:rPr>
                <w:rStyle w:val="15"/>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(处)</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CE6DC0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u w:val="none"/>
                <w:lang w:eastAsia="zh-CN"/>
              </w:rPr>
            </w:pPr>
            <w:r>
              <w:rPr>
                <w:rStyle w:val="14"/>
                <w:rFonts w:hint="eastAsia" w:ascii="仿宋" w:hAnsi="仿宋" w:eastAsia="仿宋" w:cs="仿宋"/>
                <w:snapToGrid/>
                <w:kern w:val="2"/>
                <w:sz w:val="21"/>
                <w:szCs w:val="21"/>
                <w:lang w:val="en-US" w:eastAsia="zh-CN" w:bidi="ar"/>
              </w:rPr>
              <w:t>清理</w:t>
            </w:r>
            <w:r>
              <w:rPr>
                <w:rStyle w:val="14"/>
                <w:rFonts w:hint="eastAsia" w:ascii="仿宋" w:hAnsi="仿宋" w:eastAsia="仿宋" w:cs="仿宋"/>
                <w:snapToGrid/>
                <w:kern w:val="2"/>
                <w:sz w:val="21"/>
                <w:szCs w:val="21"/>
                <w:lang w:val="en-US" w:eastAsia="zh-CN" w:bidi="ar"/>
              </w:rPr>
              <w:br w:type="textWrapping"/>
            </w:r>
            <w:r>
              <w:rPr>
                <w:rStyle w:val="15"/>
                <w:rFonts w:hint="eastAsia" w:ascii="仿宋" w:hAnsi="仿宋" w:eastAsia="仿宋" w:cs="仿宋"/>
                <w:snapToGrid/>
                <w:kern w:val="2"/>
                <w:sz w:val="21"/>
                <w:szCs w:val="21"/>
                <w:lang w:val="en-US" w:eastAsia="zh-CN" w:bidi="ar"/>
              </w:rPr>
              <w:t>(处)</w:t>
            </w: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B103E">
            <w:pPr>
              <w:widowControl w:val="0"/>
              <w:kinsoku/>
              <w:autoSpaceDE/>
              <w:autoSpaceDN/>
              <w:adjustRightInd/>
              <w:snapToGrid/>
              <w:spacing w:line="240" w:lineRule="auto"/>
              <w:jc w:val="center"/>
              <w:textAlignment w:val="auto"/>
              <w:rPr>
                <w:rFonts w:hint="eastAsia" w:ascii="仿宋" w:hAnsi="仿宋" w:eastAsia="仿宋" w:cs="仿宋"/>
                <w:b/>
                <w:bCs/>
                <w:i w:val="0"/>
                <w:iCs w:val="0"/>
                <w:snapToGrid/>
                <w:color w:val="000000"/>
                <w:kern w:val="2"/>
                <w:sz w:val="21"/>
                <w:szCs w:val="21"/>
                <w:u w:val="none"/>
                <w:lang w:eastAsia="zh-CN"/>
              </w:rPr>
            </w:pPr>
          </w:p>
        </w:tc>
        <w:tc>
          <w:tcPr>
            <w:tcW w:w="1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B2327">
            <w:pPr>
              <w:widowControl w:val="0"/>
              <w:kinsoku/>
              <w:autoSpaceDE/>
              <w:autoSpaceDN/>
              <w:adjustRightInd/>
              <w:snapToGrid/>
              <w:spacing w:line="240" w:lineRule="auto"/>
              <w:jc w:val="center"/>
              <w:textAlignment w:val="auto"/>
              <w:rPr>
                <w:rFonts w:hint="eastAsia" w:ascii="仿宋" w:hAnsi="仿宋" w:eastAsia="仿宋" w:cs="仿宋"/>
                <w:b/>
                <w:bCs/>
                <w:i w:val="0"/>
                <w:iCs w:val="0"/>
                <w:snapToGrid/>
                <w:color w:val="000000"/>
                <w:kern w:val="2"/>
                <w:sz w:val="21"/>
                <w:szCs w:val="21"/>
                <w:u w:val="none"/>
                <w:lang w:eastAsia="zh-CN"/>
              </w:rPr>
            </w:pPr>
          </w:p>
        </w:tc>
      </w:tr>
      <w:tr w14:paraId="400C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98" w:type="dxa"/>
            <w:tcBorders>
              <w:top w:val="single" w:color="000000" w:sz="4" w:space="0"/>
              <w:left w:val="single" w:color="000000" w:sz="4" w:space="0"/>
              <w:bottom w:val="single" w:color="000000" w:sz="4" w:space="0"/>
              <w:right w:val="single" w:color="000000" w:sz="4" w:space="0"/>
            </w:tcBorders>
            <w:noWrap w:val="0"/>
            <w:vAlign w:val="top"/>
          </w:tcPr>
          <w:p w14:paraId="4DD8F4E5">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14:paraId="09076F9A">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66" w:type="dxa"/>
            <w:tcBorders>
              <w:top w:val="single" w:color="000000" w:sz="4" w:space="0"/>
              <w:left w:val="single" w:color="000000" w:sz="4" w:space="0"/>
              <w:bottom w:val="single" w:color="000000" w:sz="4" w:space="0"/>
              <w:right w:val="single" w:color="000000" w:sz="4" w:space="0"/>
            </w:tcBorders>
            <w:noWrap w:val="0"/>
            <w:vAlign w:val="top"/>
          </w:tcPr>
          <w:p w14:paraId="21EFCED2">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17" w:type="dxa"/>
            <w:tcBorders>
              <w:top w:val="single" w:color="000000" w:sz="4" w:space="0"/>
              <w:left w:val="single" w:color="000000" w:sz="4" w:space="0"/>
              <w:bottom w:val="single" w:color="000000" w:sz="4" w:space="0"/>
              <w:right w:val="single" w:color="000000" w:sz="4" w:space="0"/>
            </w:tcBorders>
            <w:noWrap w:val="0"/>
            <w:vAlign w:val="top"/>
          </w:tcPr>
          <w:p w14:paraId="26A84CF3">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AC606FE">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top"/>
          </w:tcPr>
          <w:p w14:paraId="13E9D05E">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049F9A86">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384" w:type="dxa"/>
            <w:tcBorders>
              <w:top w:val="single" w:color="000000" w:sz="4" w:space="0"/>
              <w:left w:val="single" w:color="000000" w:sz="4" w:space="0"/>
              <w:bottom w:val="single" w:color="000000" w:sz="4" w:space="0"/>
              <w:right w:val="single" w:color="000000" w:sz="4" w:space="0"/>
            </w:tcBorders>
            <w:noWrap w:val="0"/>
            <w:vAlign w:val="top"/>
          </w:tcPr>
          <w:p w14:paraId="23B7514E">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14:paraId="11C9750C">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top"/>
          </w:tcPr>
          <w:p w14:paraId="1833D6CB">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383" w:type="dxa"/>
            <w:tcBorders>
              <w:top w:val="single" w:color="000000" w:sz="4" w:space="0"/>
              <w:left w:val="single" w:color="000000" w:sz="4" w:space="0"/>
              <w:bottom w:val="single" w:color="000000" w:sz="4" w:space="0"/>
              <w:right w:val="single" w:color="000000" w:sz="4" w:space="0"/>
            </w:tcBorders>
            <w:noWrap w:val="0"/>
            <w:vAlign w:val="top"/>
          </w:tcPr>
          <w:p w14:paraId="4D3A63CB">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r>
      <w:tr w14:paraId="0763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noWrap w:val="0"/>
            <w:vAlign w:val="top"/>
          </w:tcPr>
          <w:p w14:paraId="17700FE0">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14:paraId="039470FD">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66" w:type="dxa"/>
            <w:tcBorders>
              <w:top w:val="single" w:color="000000" w:sz="4" w:space="0"/>
              <w:left w:val="single" w:color="000000" w:sz="4" w:space="0"/>
              <w:bottom w:val="single" w:color="000000" w:sz="4" w:space="0"/>
              <w:right w:val="single" w:color="000000" w:sz="4" w:space="0"/>
            </w:tcBorders>
            <w:noWrap w:val="0"/>
            <w:vAlign w:val="top"/>
          </w:tcPr>
          <w:p w14:paraId="42298402">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17" w:type="dxa"/>
            <w:tcBorders>
              <w:top w:val="single" w:color="000000" w:sz="4" w:space="0"/>
              <w:left w:val="single" w:color="000000" w:sz="4" w:space="0"/>
              <w:bottom w:val="single" w:color="000000" w:sz="4" w:space="0"/>
              <w:right w:val="single" w:color="000000" w:sz="4" w:space="0"/>
            </w:tcBorders>
            <w:noWrap w:val="0"/>
            <w:vAlign w:val="top"/>
          </w:tcPr>
          <w:p w14:paraId="17379C4E">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77F3731">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top"/>
          </w:tcPr>
          <w:p w14:paraId="74136DDD">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52C4FDD1">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384" w:type="dxa"/>
            <w:tcBorders>
              <w:top w:val="single" w:color="000000" w:sz="4" w:space="0"/>
              <w:left w:val="single" w:color="000000" w:sz="4" w:space="0"/>
              <w:bottom w:val="single" w:color="000000" w:sz="4" w:space="0"/>
              <w:right w:val="single" w:color="000000" w:sz="4" w:space="0"/>
            </w:tcBorders>
            <w:noWrap w:val="0"/>
            <w:vAlign w:val="top"/>
          </w:tcPr>
          <w:p w14:paraId="0E8F75A6">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14:paraId="686C187A">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top"/>
          </w:tcPr>
          <w:p w14:paraId="54860FD2">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383" w:type="dxa"/>
            <w:tcBorders>
              <w:top w:val="single" w:color="000000" w:sz="4" w:space="0"/>
              <w:left w:val="single" w:color="000000" w:sz="4" w:space="0"/>
              <w:bottom w:val="single" w:color="000000" w:sz="4" w:space="0"/>
              <w:right w:val="single" w:color="000000" w:sz="4" w:space="0"/>
            </w:tcBorders>
            <w:noWrap w:val="0"/>
            <w:vAlign w:val="top"/>
          </w:tcPr>
          <w:p w14:paraId="065C4D36">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r>
      <w:tr w14:paraId="1C7B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98" w:type="dxa"/>
            <w:tcBorders>
              <w:top w:val="single" w:color="000000" w:sz="4" w:space="0"/>
              <w:left w:val="single" w:color="000000" w:sz="4" w:space="0"/>
              <w:bottom w:val="single" w:color="000000" w:sz="4" w:space="0"/>
              <w:right w:val="single" w:color="000000" w:sz="4" w:space="0"/>
            </w:tcBorders>
            <w:noWrap w:val="0"/>
            <w:vAlign w:val="top"/>
          </w:tcPr>
          <w:p w14:paraId="3898A694">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14:paraId="03D6D08C">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66" w:type="dxa"/>
            <w:tcBorders>
              <w:top w:val="single" w:color="000000" w:sz="4" w:space="0"/>
              <w:left w:val="single" w:color="000000" w:sz="4" w:space="0"/>
              <w:bottom w:val="single" w:color="000000" w:sz="4" w:space="0"/>
              <w:right w:val="single" w:color="000000" w:sz="4" w:space="0"/>
            </w:tcBorders>
            <w:noWrap w:val="0"/>
            <w:vAlign w:val="top"/>
          </w:tcPr>
          <w:p w14:paraId="3D1EECCD">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17" w:type="dxa"/>
            <w:tcBorders>
              <w:top w:val="single" w:color="000000" w:sz="4" w:space="0"/>
              <w:left w:val="single" w:color="000000" w:sz="4" w:space="0"/>
              <w:bottom w:val="single" w:color="000000" w:sz="4" w:space="0"/>
              <w:right w:val="single" w:color="000000" w:sz="4" w:space="0"/>
            </w:tcBorders>
            <w:noWrap w:val="0"/>
            <w:vAlign w:val="top"/>
          </w:tcPr>
          <w:p w14:paraId="2CC6EE4D">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13E9EB3E">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top"/>
          </w:tcPr>
          <w:p w14:paraId="254DED62">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72BE5A91">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384" w:type="dxa"/>
            <w:tcBorders>
              <w:top w:val="single" w:color="000000" w:sz="4" w:space="0"/>
              <w:left w:val="single" w:color="000000" w:sz="4" w:space="0"/>
              <w:bottom w:val="single" w:color="000000" w:sz="4" w:space="0"/>
              <w:right w:val="single" w:color="000000" w:sz="4" w:space="0"/>
            </w:tcBorders>
            <w:noWrap w:val="0"/>
            <w:vAlign w:val="top"/>
          </w:tcPr>
          <w:p w14:paraId="52F8725B">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14:paraId="216FA2F0">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033" w:type="dxa"/>
            <w:tcBorders>
              <w:top w:val="single" w:color="000000" w:sz="4" w:space="0"/>
              <w:left w:val="single" w:color="000000" w:sz="4" w:space="0"/>
              <w:bottom w:val="single" w:color="000000" w:sz="4" w:space="0"/>
              <w:right w:val="single" w:color="000000" w:sz="4" w:space="0"/>
            </w:tcBorders>
            <w:noWrap w:val="0"/>
            <w:vAlign w:val="top"/>
          </w:tcPr>
          <w:p w14:paraId="614CEF70">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c>
          <w:tcPr>
            <w:tcW w:w="1383" w:type="dxa"/>
            <w:tcBorders>
              <w:top w:val="single" w:color="000000" w:sz="4" w:space="0"/>
              <w:left w:val="single" w:color="000000" w:sz="4" w:space="0"/>
              <w:bottom w:val="single" w:color="000000" w:sz="4" w:space="0"/>
              <w:right w:val="single" w:color="000000" w:sz="4" w:space="0"/>
            </w:tcBorders>
            <w:noWrap w:val="0"/>
            <w:vAlign w:val="top"/>
          </w:tcPr>
          <w:p w14:paraId="4AEA8AD5">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1"/>
                <w:szCs w:val="21"/>
                <w:u w:val="none"/>
                <w:lang w:eastAsia="zh-CN"/>
              </w:rPr>
            </w:pPr>
          </w:p>
        </w:tc>
      </w:tr>
      <w:tr w14:paraId="0DB6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725" w:type="dxa"/>
            <w:gridSpan w:val="11"/>
            <w:tcBorders>
              <w:top w:val="nil"/>
              <w:left w:val="nil"/>
              <w:bottom w:val="nil"/>
              <w:right w:val="nil"/>
            </w:tcBorders>
            <w:noWrap w:val="0"/>
            <w:vAlign w:val="center"/>
          </w:tcPr>
          <w:p w14:paraId="509B96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snapToGrid/>
                <w:color w:val="000000"/>
                <w:kern w:val="2"/>
                <w:sz w:val="21"/>
                <w:szCs w:val="21"/>
                <w:u w:val="none"/>
                <w:lang w:eastAsia="zh-CN"/>
              </w:rPr>
            </w:pPr>
            <w:r>
              <w:rPr>
                <w:rStyle w:val="13"/>
                <w:rFonts w:hint="eastAsia" w:ascii="仿宋" w:hAnsi="仿宋" w:eastAsia="仿宋" w:cs="仿宋"/>
                <w:snapToGrid/>
                <w:kern w:val="2"/>
                <w:sz w:val="21"/>
                <w:szCs w:val="21"/>
                <w:lang w:val="en-US" w:eastAsia="zh-CN" w:bidi="ar"/>
              </w:rPr>
              <w:t>备注：人员密集场所包括公众聚集场所，医院门诊楼、病房楼、学校教学楼、图书馆、食堂和集体宿舍，养老院、福利院，托儿所，幼儿园，公共图书</w:t>
            </w:r>
            <w:r>
              <w:rPr>
                <w:rStyle w:val="16"/>
                <w:rFonts w:hint="eastAsia" w:ascii="仿宋" w:hAnsi="仿宋" w:eastAsia="仿宋" w:cs="仿宋"/>
                <w:snapToGrid/>
                <w:kern w:val="2"/>
                <w:sz w:val="21"/>
                <w:szCs w:val="21"/>
                <w:lang w:val="en-US" w:eastAsia="zh-CN" w:bidi="ar"/>
              </w:rPr>
              <w:t>馆的阅览室，公共展览馆、博物馆、劳动密集型企业的生产加工车间和员工集体宿舍、旅游、宗教活动场所等。</w:t>
            </w:r>
          </w:p>
        </w:tc>
      </w:tr>
      <w:tr w14:paraId="299F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725" w:type="dxa"/>
            <w:gridSpan w:val="11"/>
            <w:tcBorders>
              <w:top w:val="nil"/>
              <w:left w:val="nil"/>
              <w:bottom w:val="nil"/>
              <w:right w:val="nil"/>
            </w:tcBorders>
            <w:noWrap w:val="0"/>
            <w:vAlign w:val="top"/>
          </w:tcPr>
          <w:p w14:paraId="39BBB5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snapToGrid/>
                <w:color w:val="000000"/>
                <w:kern w:val="2"/>
                <w:sz w:val="21"/>
                <w:szCs w:val="21"/>
                <w:u w:val="none"/>
                <w:lang w:eastAsia="zh-CN"/>
              </w:rPr>
            </w:pPr>
            <w:r>
              <w:rPr>
                <w:rStyle w:val="16"/>
                <w:rFonts w:hint="eastAsia" w:ascii="仿宋" w:hAnsi="仿宋" w:eastAsia="仿宋" w:cs="仿宋"/>
                <w:snapToGrid/>
                <w:kern w:val="2"/>
                <w:sz w:val="21"/>
                <w:szCs w:val="21"/>
                <w:lang w:val="en-US" w:eastAsia="zh-CN" w:bidi="ar"/>
              </w:rPr>
              <w:t>公众聚集场所包括宾馆、饭店、商场、集贸市场、客运车站侯车室、客运码头候船厅、民用机场航站楼、体育场所、会堂以及公共娱乐场所等。</w:t>
            </w:r>
          </w:p>
        </w:tc>
      </w:tr>
    </w:tbl>
    <w:p w14:paraId="046FFE93">
      <w:pPr>
        <w:sectPr>
          <w:pgSz w:w="16840" w:h="11907" w:orient="landscape"/>
          <w:pgMar w:top="1588" w:right="2098" w:bottom="1474" w:left="1985" w:header="851" w:footer="1531" w:gutter="0"/>
          <w:cols w:space="720" w:num="1"/>
          <w:docGrid w:type="linesAndChars" w:linePitch="579" w:charSpace="1554"/>
        </w:sectPr>
      </w:pPr>
    </w:p>
    <w:p w14:paraId="2A4C6013">
      <w:pPr>
        <w:spacing w:before="98" w:line="219" w:lineRule="auto"/>
        <w:rPr>
          <w:rFonts w:ascii="宋体" w:hAnsi="宋体" w:eastAsia="宋体" w:cs="宋体"/>
          <w:sz w:val="30"/>
          <w:szCs w:val="30"/>
        </w:rPr>
      </w:pPr>
    </w:p>
    <w:sectPr>
      <w:footerReference r:id="rId7" w:type="default"/>
      <w:pgSz w:w="12100" w:h="16960"/>
      <w:pgMar w:top="1441" w:right="1690" w:bottom="1769" w:left="1470" w:header="0" w:footer="15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61DAD8C-0B00-4FAC-A25C-8BDE4F4160B7}"/>
  </w:font>
  <w:font w:name="黑体">
    <w:panose1 w:val="02010609060101010101"/>
    <w:charset w:val="86"/>
    <w:family w:val="auto"/>
    <w:pitch w:val="default"/>
    <w:sig w:usb0="800002BF" w:usb1="38CF7CFA" w:usb2="00000016" w:usb3="00000000" w:csb0="00040001" w:csb1="00000000"/>
    <w:embedRegular r:id="rId2" w:fontKey="{EA01A10A-98CA-417C-8C24-41D0A7AB7F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1CCC9FEE-E2BB-44A8-80CE-7E5B5FA3B13E}"/>
  </w:font>
  <w:font w:name="仿宋">
    <w:panose1 w:val="02010609060101010101"/>
    <w:charset w:val="86"/>
    <w:family w:val="auto"/>
    <w:pitch w:val="default"/>
    <w:sig w:usb0="800002BF" w:usb1="38CF7CFA" w:usb2="00000016" w:usb3="00000000" w:csb0="00040001" w:csb1="00000000"/>
    <w:embedRegular r:id="rId4" w:fontKey="{DC894829-7C99-46B6-8783-B6A139579CC3}"/>
  </w:font>
  <w:font w:name="方正小标宋简体">
    <w:panose1 w:val="02000000000000000000"/>
    <w:charset w:val="86"/>
    <w:family w:val="auto"/>
    <w:pitch w:val="default"/>
    <w:sig w:usb0="00000001" w:usb1="08000000" w:usb2="00000000" w:usb3="00000000" w:csb0="00040000" w:csb1="00000000"/>
    <w:embedRegular r:id="rId5" w:fontKey="{C114025C-1E0A-42C2-8755-09D4A534139F}"/>
  </w:font>
  <w:font w:name="楷体_GB2312">
    <w:panose1 w:val="02010609030101010101"/>
    <w:charset w:val="86"/>
    <w:family w:val="auto"/>
    <w:pitch w:val="default"/>
    <w:sig w:usb0="00000001" w:usb1="080E0000" w:usb2="00000000" w:usb3="00000000" w:csb0="00040000" w:csb1="00000000"/>
    <w:embedRegular r:id="rId6" w:fontKey="{EC85A4C0-7EF5-4A7D-A302-D0E4DA98E772}"/>
  </w:font>
  <w:font w:name="方正公文小标宋">
    <w:panose1 w:val="02000500000000000000"/>
    <w:charset w:val="86"/>
    <w:family w:val="auto"/>
    <w:pitch w:val="default"/>
    <w:sig w:usb0="A00002BF" w:usb1="38CF7CFA" w:usb2="00000016" w:usb3="00000000" w:csb0="00040001" w:csb1="00000000"/>
    <w:embedRegular r:id="rId7" w:fontKey="{8C3B6582-A5C3-4442-A65B-96BBF58B80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C009">
    <w:pPr>
      <w:pStyle w:val="3"/>
      <w:kinsoku/>
      <w:wordWrap w:val="0"/>
      <w:autoSpaceDE/>
      <w:autoSpaceDN/>
      <w:adjustRightInd/>
      <w:spacing w:line="240" w:lineRule="auto"/>
      <w:jc w:val="right"/>
      <w:textAlignment w:val="auto"/>
      <w:rPr>
        <w:rFonts w:hint="eastAsia" w:ascii="Times New Roman" w:hAnsi="Times New Roman" w:cs="Times New Roman"/>
        <w:snapToGrid/>
        <w:sz w:val="24"/>
        <w:szCs w:val="20"/>
      </w:rPr>
    </w:pPr>
    <w:r>
      <w:rPr>
        <w:rFonts w:hint="eastAsia" w:ascii="Times New Roman" w:hAnsi="Times New Roman" w:cs="Times New Roman"/>
        <w:snapToGrid/>
        <w:kern w:val="0"/>
        <w:sz w:val="24"/>
        <w:szCs w:val="20"/>
      </w:rPr>
      <w:t>—</w:t>
    </w:r>
    <w:r>
      <w:rPr>
        <w:rFonts w:ascii="Times New Roman" w:hAnsi="Times New Roman" w:cs="Times New Roman"/>
        <w:snapToGrid/>
        <w:kern w:val="0"/>
        <w:sz w:val="24"/>
        <w:szCs w:val="20"/>
      </w:rPr>
      <w:t xml:space="preserve"> </w:t>
    </w:r>
    <w:r>
      <w:rPr>
        <w:rFonts w:ascii="Times New Roman" w:hAnsi="Times New Roman" w:cs="Times New Roman"/>
        <w:snapToGrid/>
        <w:kern w:val="0"/>
        <w:sz w:val="24"/>
        <w:szCs w:val="20"/>
      </w:rPr>
      <w:fldChar w:fldCharType="begin"/>
    </w:r>
    <w:r>
      <w:rPr>
        <w:rFonts w:ascii="Times New Roman" w:hAnsi="Times New Roman" w:cs="Times New Roman"/>
        <w:snapToGrid/>
        <w:kern w:val="0"/>
        <w:sz w:val="24"/>
        <w:szCs w:val="20"/>
      </w:rPr>
      <w:instrText xml:space="preserve"> PAGE </w:instrText>
    </w:r>
    <w:r>
      <w:rPr>
        <w:rFonts w:ascii="Times New Roman" w:hAnsi="Times New Roman" w:cs="Times New Roman"/>
        <w:snapToGrid/>
        <w:kern w:val="0"/>
        <w:sz w:val="24"/>
        <w:szCs w:val="20"/>
      </w:rPr>
      <w:fldChar w:fldCharType="separate"/>
    </w:r>
    <w:r>
      <w:rPr>
        <w:rFonts w:ascii="Times New Roman" w:hAnsi="Times New Roman" w:cs="Times New Roman"/>
        <w:snapToGrid/>
        <w:kern w:val="0"/>
        <w:sz w:val="24"/>
        <w:szCs w:val="20"/>
      </w:rPr>
      <w:t>5</w:t>
    </w:r>
    <w:r>
      <w:rPr>
        <w:rFonts w:ascii="Times New Roman" w:hAnsi="Times New Roman" w:cs="Times New Roman"/>
        <w:snapToGrid/>
        <w:kern w:val="0"/>
        <w:sz w:val="24"/>
        <w:szCs w:val="20"/>
      </w:rPr>
      <w:fldChar w:fldCharType="end"/>
    </w:r>
    <w:r>
      <w:rPr>
        <w:rFonts w:ascii="Times New Roman" w:hAnsi="Times New Roman" w:cs="Times New Roman"/>
        <w:snapToGrid/>
        <w:kern w:val="0"/>
        <w:sz w:val="24"/>
        <w:szCs w:val="20"/>
      </w:rPr>
      <w:t xml:space="preserve"> </w:t>
    </w:r>
    <w:r>
      <w:rPr>
        <w:rFonts w:hint="eastAsia" w:ascii="Times New Roman" w:hAnsi="Times New Roman" w:cs="Times New Roman"/>
        <w:snapToGrid/>
        <w:sz w:val="24"/>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F368D">
    <w:pPr>
      <w:pStyle w:val="3"/>
      <w:kinsoku/>
      <w:autoSpaceDE/>
      <w:autoSpaceDN/>
      <w:adjustRightInd/>
      <w:spacing w:line="240" w:lineRule="auto"/>
      <w:jc w:val="both"/>
      <w:textAlignment w:val="auto"/>
      <w:rPr>
        <w:rFonts w:ascii="Times New Roman" w:hAnsi="Times New Roman" w:cs="Times New Roman"/>
        <w:snapToGrid/>
        <w:szCs w:val="20"/>
      </w:rPr>
    </w:pPr>
    <w:r>
      <w:rPr>
        <w:rFonts w:hint="eastAsia" w:ascii="Times New Roman" w:hAnsi="Times New Roman" w:cs="Times New Roman"/>
        <w:snapToGrid/>
        <w:kern w:val="0"/>
        <w:sz w:val="24"/>
        <w:szCs w:val="20"/>
      </w:rPr>
      <w:t xml:space="preserve">   —</w:t>
    </w:r>
    <w:r>
      <w:rPr>
        <w:rFonts w:ascii="Times New Roman" w:hAnsi="Times New Roman" w:cs="Times New Roman"/>
        <w:snapToGrid/>
        <w:kern w:val="0"/>
        <w:sz w:val="24"/>
        <w:szCs w:val="20"/>
      </w:rPr>
      <w:t xml:space="preserve"> </w:t>
    </w:r>
    <w:r>
      <w:rPr>
        <w:rFonts w:ascii="Times New Roman" w:hAnsi="Times New Roman" w:cs="Times New Roman"/>
        <w:snapToGrid/>
        <w:kern w:val="0"/>
        <w:sz w:val="24"/>
        <w:szCs w:val="20"/>
      </w:rPr>
      <w:fldChar w:fldCharType="begin"/>
    </w:r>
    <w:r>
      <w:rPr>
        <w:rFonts w:ascii="Times New Roman" w:hAnsi="Times New Roman" w:cs="Times New Roman"/>
        <w:snapToGrid/>
        <w:kern w:val="0"/>
        <w:sz w:val="24"/>
        <w:szCs w:val="20"/>
      </w:rPr>
      <w:instrText xml:space="preserve"> PAGE </w:instrText>
    </w:r>
    <w:r>
      <w:rPr>
        <w:rFonts w:ascii="Times New Roman" w:hAnsi="Times New Roman" w:cs="Times New Roman"/>
        <w:snapToGrid/>
        <w:kern w:val="0"/>
        <w:sz w:val="24"/>
        <w:szCs w:val="20"/>
      </w:rPr>
      <w:fldChar w:fldCharType="separate"/>
    </w:r>
    <w:r>
      <w:rPr>
        <w:rFonts w:ascii="Times New Roman" w:hAnsi="Times New Roman" w:cs="Times New Roman"/>
        <w:snapToGrid/>
        <w:kern w:val="0"/>
        <w:sz w:val="24"/>
        <w:szCs w:val="20"/>
      </w:rPr>
      <w:t>6</w:t>
    </w:r>
    <w:r>
      <w:rPr>
        <w:rFonts w:ascii="Times New Roman" w:hAnsi="Times New Roman" w:cs="Times New Roman"/>
        <w:snapToGrid/>
        <w:kern w:val="0"/>
        <w:sz w:val="24"/>
        <w:szCs w:val="20"/>
      </w:rPr>
      <w:fldChar w:fldCharType="end"/>
    </w:r>
    <w:r>
      <w:rPr>
        <w:rFonts w:ascii="Times New Roman" w:hAnsi="Times New Roman" w:cs="Times New Roman"/>
        <w:snapToGrid/>
        <w:kern w:val="0"/>
        <w:sz w:val="24"/>
        <w:szCs w:val="20"/>
      </w:rPr>
      <w:t xml:space="preserve"> </w:t>
    </w:r>
    <w:r>
      <w:rPr>
        <w:rFonts w:hint="eastAsia" w:ascii="Times New Roman" w:hAnsi="Times New Roman" w:cs="Times New Roman"/>
        <w:snapToGrid/>
        <w:sz w:val="24"/>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DB2B">
    <w:pPr>
      <w:spacing w:line="176" w:lineRule="auto"/>
      <w:ind w:left="370"/>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JiY2FjM2Q1NGM4ZTI1MjlhOGI3YWJkYzE0NmI4NzEifQ=="/>
  </w:docVars>
  <w:rsids>
    <w:rsidRoot w:val="00000000"/>
    <w:rsid w:val="0F2C1D70"/>
    <w:rsid w:val="153D4130"/>
    <w:rsid w:val="1E1265D5"/>
    <w:rsid w:val="1F182311"/>
    <w:rsid w:val="21313216"/>
    <w:rsid w:val="3D382A8A"/>
    <w:rsid w:val="3DC86118"/>
    <w:rsid w:val="3DFA4323"/>
    <w:rsid w:val="42764A3E"/>
    <w:rsid w:val="44C45FCB"/>
    <w:rsid w:val="4BE32AFC"/>
    <w:rsid w:val="526E7576"/>
    <w:rsid w:val="5A81078E"/>
    <w:rsid w:val="6A271505"/>
    <w:rsid w:val="71107825"/>
    <w:rsid w:val="71C50B09"/>
    <w:rsid w:val="79D51B05"/>
    <w:rsid w:val="7A6F2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32"/>
      <w:szCs w:val="32"/>
      <w:lang w:val="en-US" w:eastAsia="en-US" w:bidi="ar-SA"/>
    </w:rPr>
  </w:style>
  <w:style w:type="character" w:customStyle="1" w:styleId="9">
    <w:name w:val="font71"/>
    <w:qFormat/>
    <w:uiPriority w:val="0"/>
    <w:rPr>
      <w:rFonts w:ascii="黑体" w:hAnsi="宋体" w:eastAsia="黑体" w:cs="黑体"/>
      <w:b/>
      <w:bCs/>
      <w:color w:val="000000"/>
      <w:sz w:val="20"/>
      <w:szCs w:val="20"/>
      <w:u w:val="none"/>
    </w:rPr>
  </w:style>
  <w:style w:type="character" w:customStyle="1" w:styleId="10">
    <w:name w:val="font81"/>
    <w:qFormat/>
    <w:uiPriority w:val="0"/>
    <w:rPr>
      <w:rFonts w:ascii="黑体" w:hAnsi="宋体" w:eastAsia="黑体" w:cs="黑体"/>
      <w:color w:val="000000"/>
      <w:sz w:val="20"/>
      <w:szCs w:val="20"/>
      <w:u w:val="none"/>
    </w:rPr>
  </w:style>
  <w:style w:type="character" w:customStyle="1" w:styleId="11">
    <w:name w:val="font91"/>
    <w:uiPriority w:val="0"/>
    <w:rPr>
      <w:rFonts w:ascii="宋体" w:hAnsi="宋体" w:eastAsia="宋体" w:cs="宋体"/>
      <w:b/>
      <w:bCs/>
      <w:color w:val="000000"/>
      <w:sz w:val="26"/>
      <w:szCs w:val="26"/>
      <w:u w:val="none"/>
    </w:rPr>
  </w:style>
  <w:style w:type="character" w:customStyle="1" w:styleId="12">
    <w:name w:val="font101"/>
    <w:qFormat/>
    <w:uiPriority w:val="0"/>
    <w:rPr>
      <w:rFonts w:ascii="宋体" w:hAnsi="宋体" w:eastAsia="宋体" w:cs="宋体"/>
      <w:b/>
      <w:bCs/>
      <w:color w:val="000000"/>
      <w:sz w:val="12"/>
      <w:szCs w:val="12"/>
      <w:u w:val="none"/>
    </w:rPr>
  </w:style>
  <w:style w:type="character" w:customStyle="1" w:styleId="13">
    <w:name w:val="font111"/>
    <w:qFormat/>
    <w:uiPriority w:val="0"/>
    <w:rPr>
      <w:rFonts w:ascii="宋体" w:hAnsi="宋体" w:eastAsia="宋体" w:cs="宋体"/>
      <w:color w:val="000000"/>
      <w:sz w:val="12"/>
      <w:szCs w:val="12"/>
      <w:u w:val="none"/>
    </w:rPr>
  </w:style>
  <w:style w:type="character" w:customStyle="1" w:styleId="14">
    <w:name w:val="font121"/>
    <w:qFormat/>
    <w:uiPriority w:val="0"/>
    <w:rPr>
      <w:rFonts w:ascii="宋体" w:hAnsi="宋体" w:eastAsia="宋体" w:cs="宋体"/>
      <w:b/>
      <w:bCs/>
      <w:color w:val="000000"/>
      <w:sz w:val="14"/>
      <w:szCs w:val="14"/>
      <w:u w:val="none"/>
    </w:rPr>
  </w:style>
  <w:style w:type="character" w:customStyle="1" w:styleId="15">
    <w:name w:val="font132"/>
    <w:qFormat/>
    <w:uiPriority w:val="0"/>
    <w:rPr>
      <w:rFonts w:ascii="宋体" w:hAnsi="宋体" w:eastAsia="宋体" w:cs="宋体"/>
      <w:color w:val="000000"/>
      <w:sz w:val="14"/>
      <w:szCs w:val="14"/>
      <w:u w:val="none"/>
    </w:rPr>
  </w:style>
  <w:style w:type="character" w:customStyle="1" w:styleId="16">
    <w:name w:val="font141"/>
    <w:qFormat/>
    <w:uiPriority w:val="0"/>
    <w:rPr>
      <w:rFonts w:hint="eastAsia"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3366</Words>
  <Characters>3399</Characters>
  <TotalTime>0</TotalTime>
  <ScaleCrop>false</ScaleCrop>
  <LinksUpToDate>false</LinksUpToDate>
  <CharactersWithSpaces>3443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2024-07-31T11:04:00Z</dcterms:created>
  <dc:creator>Kingsoft-PDF</dc:creator>
  <cp:lastModifiedBy>有没有那么首歌</cp:lastModifiedBy>
  <dcterms:modified xsi:type="dcterms:W3CDTF">2024-12-27T02:01:52Z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2024-07-31T11:04:40Z</vt:filetime>
  </property>
  <property fmtid="{D5CDD505-2E9C-101B-9397-08002B2CF9AE}" pid="4" name="UsrData">
    <vt:lpwstr>66a9a9c2fcb379001fb00cd0wl</vt:lpwstr>
  </property>
  <property fmtid="{D5CDD505-2E9C-101B-9397-08002B2CF9AE}" pid="5" name="KSOProductBuildVer">
    <vt:lpwstr>2052-12.1.0.19770</vt:lpwstr>
  </property>
  <property fmtid="{D5CDD505-2E9C-101B-9397-08002B2CF9AE}" pid="6" name="ICV">
    <vt:lpwstr>9C9CF767B1B44EF68546132A32080773_12</vt:lpwstr>
  </property>
</Properties>
</file>