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20" w:lineRule="atLeast"/>
        <w:jc w:val="center"/>
        <w:rPr>
          <w:rFonts w:hint="eastAsia" w:ascii="黑体" w:hAnsi="黑体" w:eastAsia="黑体" w:cs="黑体"/>
          <w:b w:val="0"/>
          <w:bCs/>
          <w:sz w:val="44"/>
          <w:szCs w:val="44"/>
        </w:rPr>
      </w:pPr>
      <w:r>
        <w:rPr>
          <w:rFonts w:hint="eastAsia" w:ascii="黑体" w:hAnsi="黑体" w:eastAsia="黑体" w:cs="黑体"/>
          <w:b w:val="0"/>
          <w:bCs/>
          <w:sz w:val="44"/>
          <w:szCs w:val="44"/>
        </w:rPr>
        <w:t>宛城区支持建筑业高质量发展的实施意见（征求意见稿）</w:t>
      </w:r>
    </w:p>
    <w:p>
      <w:pPr>
        <w:spacing w:line="220" w:lineRule="atLeast"/>
        <w:jc w:val="center"/>
        <w:rPr>
          <w:rFonts w:hint="eastAsia" w:ascii="黑体" w:hAnsi="黑体" w:eastAsia="黑体" w:cs="黑体"/>
          <w:b w:val="0"/>
          <w:bCs/>
          <w:sz w:val="44"/>
          <w:szCs w:val="44"/>
        </w:rPr>
      </w:pPr>
      <w:r>
        <w:rPr>
          <w:rFonts w:hint="eastAsia" w:ascii="黑体" w:hAnsi="黑体" w:eastAsia="黑体" w:cs="黑体"/>
          <w:b w:val="0"/>
          <w:bCs/>
          <w:sz w:val="44"/>
          <w:szCs w:val="44"/>
        </w:rPr>
        <w:t>征求意见及采纳情况统计表</w:t>
      </w:r>
    </w:p>
    <w:tbl>
      <w:tblPr>
        <w:tblStyle w:val="4"/>
        <w:tblW w:w="138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1"/>
        <w:gridCol w:w="1479"/>
        <w:gridCol w:w="7726"/>
        <w:gridCol w:w="2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911" w:type="dxa"/>
            <w:vAlign w:val="center"/>
          </w:tcPr>
          <w:p>
            <w:pPr>
              <w:spacing w:after="0" w:line="220" w:lineRule="atLeast"/>
              <w:jc w:val="center"/>
              <w:rPr>
                <w:rFonts w:ascii="仿宋" w:hAnsi="仿宋" w:eastAsia="仿宋"/>
                <w:b/>
                <w:sz w:val="32"/>
                <w:szCs w:val="32"/>
              </w:rPr>
            </w:pPr>
            <w:r>
              <w:rPr>
                <w:rFonts w:hint="eastAsia" w:ascii="仿宋" w:hAnsi="仿宋" w:eastAsia="仿宋"/>
                <w:b/>
                <w:sz w:val="32"/>
                <w:szCs w:val="32"/>
              </w:rPr>
              <w:t>部门</w:t>
            </w:r>
          </w:p>
        </w:tc>
        <w:tc>
          <w:tcPr>
            <w:tcW w:w="1479" w:type="dxa"/>
            <w:vAlign w:val="center"/>
          </w:tcPr>
          <w:p>
            <w:pPr>
              <w:spacing w:after="0" w:line="220" w:lineRule="atLeast"/>
              <w:jc w:val="center"/>
              <w:rPr>
                <w:rFonts w:hint="default" w:ascii="仿宋" w:hAnsi="仿宋" w:eastAsia="仿宋"/>
                <w:b/>
                <w:sz w:val="32"/>
                <w:szCs w:val="32"/>
                <w:lang w:val="en-US" w:eastAsia="zh-CN"/>
              </w:rPr>
            </w:pPr>
            <w:r>
              <w:rPr>
                <w:rFonts w:hint="eastAsia" w:ascii="仿宋" w:hAnsi="仿宋" w:eastAsia="仿宋"/>
                <w:b/>
                <w:sz w:val="32"/>
                <w:szCs w:val="32"/>
                <w:lang w:val="en-US" w:eastAsia="zh-CN"/>
              </w:rPr>
              <w:t>单位负责人</w:t>
            </w:r>
          </w:p>
        </w:tc>
        <w:tc>
          <w:tcPr>
            <w:tcW w:w="7726" w:type="dxa"/>
            <w:vAlign w:val="center"/>
          </w:tcPr>
          <w:p>
            <w:pPr>
              <w:spacing w:after="0" w:line="220" w:lineRule="atLeast"/>
              <w:jc w:val="center"/>
              <w:rPr>
                <w:rFonts w:ascii="仿宋" w:hAnsi="仿宋" w:eastAsia="仿宋"/>
                <w:b/>
                <w:sz w:val="32"/>
                <w:szCs w:val="32"/>
              </w:rPr>
            </w:pPr>
            <w:r>
              <w:rPr>
                <w:rFonts w:hint="eastAsia" w:ascii="仿宋" w:hAnsi="仿宋" w:eastAsia="仿宋"/>
                <w:b/>
                <w:sz w:val="32"/>
                <w:szCs w:val="32"/>
              </w:rPr>
              <w:t>意见与建议</w:t>
            </w:r>
          </w:p>
        </w:tc>
        <w:tc>
          <w:tcPr>
            <w:tcW w:w="2755" w:type="dxa"/>
            <w:vAlign w:val="center"/>
          </w:tcPr>
          <w:p>
            <w:pPr>
              <w:spacing w:after="0" w:line="220" w:lineRule="atLeast"/>
              <w:jc w:val="center"/>
              <w:rPr>
                <w:rFonts w:ascii="仿宋" w:hAnsi="仿宋" w:eastAsia="仿宋"/>
                <w:b/>
                <w:sz w:val="32"/>
                <w:szCs w:val="32"/>
              </w:rPr>
            </w:pPr>
            <w:r>
              <w:rPr>
                <w:rFonts w:hint="eastAsia" w:ascii="仿宋" w:hAnsi="仿宋" w:eastAsia="仿宋"/>
                <w:b/>
                <w:sz w:val="32"/>
                <w:szCs w:val="32"/>
              </w:rPr>
              <w:t>采纳情况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911" w:type="dxa"/>
            <w:vAlign w:val="center"/>
          </w:tcPr>
          <w:p>
            <w:pPr>
              <w:spacing w:after="0" w:line="220" w:lineRule="atLeast"/>
              <w:jc w:val="center"/>
              <w:rPr>
                <w:rFonts w:hint="default" w:ascii="仿宋" w:hAnsi="仿宋" w:eastAsia="仿宋"/>
                <w:sz w:val="32"/>
                <w:szCs w:val="32"/>
                <w:lang w:val="en-US" w:eastAsia="zh-CN"/>
              </w:rPr>
            </w:pPr>
            <w:r>
              <w:rPr>
                <w:rFonts w:hint="eastAsia" w:ascii="仿宋" w:hAnsi="仿宋" w:eastAsia="仿宋"/>
                <w:sz w:val="32"/>
                <w:szCs w:val="32"/>
                <w:lang w:val="en-US" w:eastAsia="zh-CN"/>
              </w:rPr>
              <w:t>区财政局</w:t>
            </w:r>
          </w:p>
        </w:tc>
        <w:tc>
          <w:tcPr>
            <w:tcW w:w="1479" w:type="dxa"/>
            <w:vAlign w:val="center"/>
          </w:tcPr>
          <w:p>
            <w:pPr>
              <w:spacing w:after="0" w:line="220" w:lineRule="atLeast"/>
              <w:jc w:val="center"/>
              <w:rPr>
                <w:rFonts w:hint="default" w:ascii="仿宋" w:hAnsi="仿宋" w:eastAsia="仿宋"/>
                <w:sz w:val="32"/>
                <w:szCs w:val="32"/>
                <w:lang w:val="en-US" w:eastAsia="zh-CN"/>
              </w:rPr>
            </w:pPr>
            <w:r>
              <w:rPr>
                <w:rFonts w:hint="eastAsia" w:ascii="仿宋" w:hAnsi="仿宋" w:eastAsia="仿宋"/>
                <w:sz w:val="32"/>
                <w:szCs w:val="32"/>
                <w:lang w:val="en-US" w:eastAsia="zh-CN"/>
              </w:rPr>
              <w:t>王岩</w:t>
            </w:r>
          </w:p>
        </w:tc>
        <w:tc>
          <w:tcPr>
            <w:tcW w:w="7726" w:type="dxa"/>
            <w:vAlign w:val="center"/>
          </w:tcPr>
          <w:p>
            <w:pPr>
              <w:ind w:firstLine="560" w:firstLineChars="200"/>
              <w:jc w:val="left"/>
              <w:rPr>
                <w:rFonts w:hint="eastAsia" w:ascii="仿宋" w:hAnsi="仿宋" w:eastAsia="仿宋" w:cs="仿宋"/>
                <w:sz w:val="28"/>
                <w:szCs w:val="28"/>
              </w:rPr>
            </w:pPr>
            <w:r>
              <w:rPr>
                <w:rFonts w:hint="eastAsia" w:ascii="仿宋" w:hAnsi="仿宋" w:eastAsia="仿宋" w:cs="仿宋"/>
                <w:b w:val="0"/>
                <w:bCs/>
                <w:i w:val="0"/>
                <w:iCs w:val="0"/>
                <w:sz w:val="28"/>
                <w:szCs w:val="28"/>
                <w:lang w:val="en-US" w:eastAsia="zh-CN"/>
              </w:rPr>
              <w:t>对照措施通知第二项加大对迁入企业的奖励中“区域外施工总承包综合资质企业迁入我区，给予一次性落户奖励300万元；区域外一级施工总承包资质企业迁入我区，给予一次性落户奖励100万元；综合资质、行业甲级资质的设计单位总部迁入宛城区的，分别给予一次性落户奖励100万元、50万元”建议修改为“区域外施工总承包综合资质企业迁入并年度对宛城区财政贡献300万元以上的，给予一次性落户奖励300万元；区域外一级施工总承包资质企业迁入并年度对宛城区财政贡献100万元以上的，给予一次性落户奖励100万元；综合资质、行业甲级资质的设计单位总部迁入并年度对宛城区财政贡献100万元、50万元以上的，分别给予一次性落户奖励100万元、50万元，对上述企业在宛城区经营不满5年迁出的，宛城区政府有权对一次性落户奖金予以收回。”</w:t>
            </w:r>
            <w:bookmarkStart w:id="0" w:name="_GoBack"/>
            <w:bookmarkEnd w:id="0"/>
          </w:p>
        </w:tc>
        <w:tc>
          <w:tcPr>
            <w:tcW w:w="2755" w:type="dxa"/>
            <w:vAlign w:val="center"/>
          </w:tcPr>
          <w:p>
            <w:pPr>
              <w:spacing w:after="0" w:line="220" w:lineRule="atLeast"/>
              <w:jc w:val="center"/>
              <w:rPr>
                <w:rFonts w:hint="default" w:ascii="仿宋" w:hAnsi="仿宋" w:eastAsia="仿宋"/>
                <w:sz w:val="32"/>
                <w:szCs w:val="32"/>
                <w:lang w:val="en-US" w:eastAsia="zh-CN"/>
              </w:rPr>
            </w:pPr>
            <w:r>
              <w:rPr>
                <w:rFonts w:hint="eastAsia" w:ascii="仿宋" w:hAnsi="仿宋" w:eastAsia="仿宋"/>
                <w:sz w:val="32"/>
                <w:szCs w:val="32"/>
                <w:lang w:val="en-US" w:eastAsia="zh-CN"/>
              </w:rPr>
              <w:t>印发文删减了上述内容。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911" w:type="dxa"/>
            <w:vAlign w:val="center"/>
          </w:tcPr>
          <w:p>
            <w:pPr>
              <w:spacing w:after="0" w:line="220" w:lineRule="atLeast"/>
              <w:jc w:val="center"/>
              <w:rPr>
                <w:rFonts w:hint="default" w:ascii="仿宋" w:hAnsi="仿宋" w:eastAsia="仿宋"/>
                <w:sz w:val="32"/>
                <w:szCs w:val="32"/>
                <w:lang w:val="en-US" w:eastAsia="zh-CN"/>
              </w:rPr>
            </w:pPr>
            <w:r>
              <w:rPr>
                <w:rFonts w:hint="eastAsia" w:ascii="仿宋" w:hAnsi="仿宋" w:eastAsia="仿宋"/>
                <w:sz w:val="32"/>
                <w:szCs w:val="32"/>
                <w:lang w:val="en-US" w:eastAsia="zh-CN"/>
              </w:rPr>
              <w:t>区税局</w:t>
            </w:r>
          </w:p>
        </w:tc>
        <w:tc>
          <w:tcPr>
            <w:tcW w:w="1479" w:type="dxa"/>
            <w:vAlign w:val="center"/>
          </w:tcPr>
          <w:p>
            <w:pPr>
              <w:spacing w:after="0" w:line="220" w:lineRule="atLeast"/>
              <w:jc w:val="center"/>
              <w:rPr>
                <w:rFonts w:hint="default" w:ascii="仿宋" w:hAnsi="仿宋" w:eastAsia="仿宋"/>
                <w:sz w:val="32"/>
                <w:szCs w:val="32"/>
                <w:lang w:val="en-US" w:eastAsia="zh-CN"/>
              </w:rPr>
            </w:pPr>
            <w:r>
              <w:rPr>
                <w:rFonts w:hint="eastAsia" w:ascii="仿宋" w:hAnsi="仿宋" w:eastAsia="仿宋"/>
                <w:sz w:val="32"/>
                <w:szCs w:val="32"/>
                <w:lang w:val="en-US" w:eastAsia="zh-CN"/>
              </w:rPr>
              <w:t>黄胜海</w:t>
            </w:r>
          </w:p>
        </w:tc>
        <w:tc>
          <w:tcPr>
            <w:tcW w:w="7726" w:type="dxa"/>
            <w:vAlign w:val="center"/>
          </w:tcPr>
          <w:p>
            <w:pPr>
              <w:jc w:val="left"/>
              <w:rPr>
                <w:rFonts w:hint="eastAsia" w:ascii="仿宋" w:hAnsi="仿宋" w:eastAsia="仿宋" w:cs="仿宋"/>
                <w:sz w:val="28"/>
                <w:szCs w:val="28"/>
              </w:rPr>
            </w:pPr>
            <w:r>
              <w:rPr>
                <w:rFonts w:hint="eastAsia" w:ascii="仿宋" w:hAnsi="仿宋" w:eastAsia="仿宋" w:cs="仿宋"/>
                <w:b w:val="0"/>
                <w:bCs/>
                <w:i w:val="0"/>
                <w:iCs w:val="0"/>
                <w:sz w:val="28"/>
                <w:szCs w:val="28"/>
                <w:lang w:val="en-US" w:eastAsia="zh-CN"/>
              </w:rPr>
              <w:t>建议将原文中 五、完善企业核算统计“引导和鼓励建设单位和工程款拨付单位在合同中设置外地施工企业在宛城区全额缴纳增值税，工程款支付至独立核算的宛城分公司账户等。”修改为：引导和鼓励建设单位和工程款拨付单位(简称发会签单位意见包方)在合同中约定：外地建筑企业签订建筑合同后，以内部授权或三方协议等方式，授权集团在宛城成立的分公司为发包方提供建筑服务，并由分公司缴纳增值税并向发包方开具增值税发票，发包方将工程款支付至分公司账户等内容。</w:t>
            </w:r>
          </w:p>
        </w:tc>
        <w:tc>
          <w:tcPr>
            <w:tcW w:w="2755" w:type="dxa"/>
            <w:vAlign w:val="center"/>
          </w:tcPr>
          <w:p>
            <w:pPr>
              <w:spacing w:after="0" w:line="220" w:lineRule="atLeast"/>
              <w:jc w:val="center"/>
              <w:rPr>
                <w:rFonts w:hint="default" w:ascii="仿宋" w:hAnsi="仿宋" w:eastAsia="仿宋"/>
                <w:sz w:val="32"/>
                <w:szCs w:val="32"/>
                <w:lang w:val="en-US" w:eastAsia="zh-CN"/>
              </w:rPr>
            </w:pPr>
            <w:r>
              <w:rPr>
                <w:rFonts w:hint="eastAsia" w:ascii="仿宋" w:hAnsi="仿宋" w:eastAsia="仿宋"/>
                <w:sz w:val="32"/>
                <w:szCs w:val="32"/>
                <w:lang w:val="en-US" w:eastAsia="zh-CN"/>
              </w:rPr>
              <w:t>印发文删减了上述内容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911" w:type="dxa"/>
            <w:vAlign w:val="center"/>
          </w:tcPr>
          <w:p>
            <w:pPr>
              <w:spacing w:after="0" w:line="220" w:lineRule="atLeast"/>
              <w:jc w:val="center"/>
              <w:rPr>
                <w:rFonts w:hint="default" w:ascii="仿宋" w:hAnsi="仿宋" w:eastAsia="仿宋"/>
                <w:sz w:val="32"/>
                <w:szCs w:val="32"/>
                <w:lang w:val="en-US" w:eastAsia="zh-CN"/>
              </w:rPr>
            </w:pPr>
            <w:r>
              <w:rPr>
                <w:rFonts w:hint="eastAsia" w:ascii="仿宋" w:hAnsi="仿宋" w:eastAsia="仿宋"/>
                <w:sz w:val="32"/>
                <w:szCs w:val="32"/>
                <w:lang w:val="en-US" w:eastAsia="zh-CN"/>
              </w:rPr>
              <w:t>茶庵乡</w:t>
            </w:r>
          </w:p>
        </w:tc>
        <w:tc>
          <w:tcPr>
            <w:tcW w:w="1479" w:type="dxa"/>
            <w:vAlign w:val="center"/>
          </w:tcPr>
          <w:p>
            <w:pPr>
              <w:spacing w:after="0" w:line="220" w:lineRule="atLeast"/>
              <w:jc w:val="center"/>
              <w:rPr>
                <w:rFonts w:hint="default" w:ascii="仿宋" w:hAnsi="仿宋" w:eastAsia="仿宋"/>
                <w:sz w:val="32"/>
                <w:szCs w:val="32"/>
                <w:lang w:val="en-US" w:eastAsia="zh-CN"/>
              </w:rPr>
            </w:pPr>
            <w:r>
              <w:rPr>
                <w:rFonts w:hint="eastAsia" w:ascii="仿宋" w:hAnsi="仿宋" w:eastAsia="仿宋"/>
                <w:sz w:val="32"/>
                <w:szCs w:val="32"/>
                <w:lang w:val="en-US" w:eastAsia="zh-CN"/>
              </w:rPr>
              <w:t>丁志超</w:t>
            </w:r>
          </w:p>
        </w:tc>
        <w:tc>
          <w:tcPr>
            <w:tcW w:w="7726" w:type="dxa"/>
            <w:vAlign w:val="center"/>
          </w:tcPr>
          <w:p>
            <w:pPr>
              <w:spacing w:after="0" w:line="220" w:lineRule="atLeast"/>
              <w:jc w:val="center"/>
              <w:rPr>
                <w:rFonts w:hint="default" w:ascii="仿宋" w:hAnsi="仿宋" w:eastAsia="仿宋"/>
                <w:sz w:val="32"/>
                <w:szCs w:val="32"/>
                <w:lang w:val="en-US" w:eastAsia="zh-CN"/>
              </w:rPr>
            </w:pPr>
            <w:r>
              <w:rPr>
                <w:rFonts w:hint="eastAsia" w:ascii="仿宋" w:hAnsi="仿宋" w:eastAsia="仿宋"/>
                <w:sz w:val="32"/>
                <w:szCs w:val="32"/>
                <w:lang w:val="en-US" w:eastAsia="zh-CN"/>
              </w:rPr>
              <w:t>无意见</w:t>
            </w:r>
          </w:p>
        </w:tc>
        <w:tc>
          <w:tcPr>
            <w:tcW w:w="2755" w:type="dxa"/>
            <w:vAlign w:val="center"/>
          </w:tcPr>
          <w:p>
            <w:pPr>
              <w:spacing w:after="0" w:line="220" w:lineRule="atLeast"/>
              <w:jc w:val="center"/>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1911" w:type="dxa"/>
            <w:vAlign w:val="center"/>
          </w:tcPr>
          <w:p>
            <w:pPr>
              <w:spacing w:after="0" w:line="220" w:lineRule="atLeast"/>
              <w:jc w:val="center"/>
              <w:rPr>
                <w:rFonts w:hint="default" w:ascii="仿宋" w:hAnsi="仿宋" w:eastAsia="仿宋"/>
                <w:sz w:val="32"/>
                <w:szCs w:val="32"/>
                <w:lang w:val="en-US" w:eastAsia="zh-CN"/>
              </w:rPr>
            </w:pPr>
            <w:r>
              <w:rPr>
                <w:rFonts w:hint="eastAsia" w:ascii="仿宋" w:hAnsi="仿宋" w:eastAsia="仿宋"/>
                <w:sz w:val="32"/>
                <w:szCs w:val="32"/>
                <w:lang w:val="en-US" w:eastAsia="zh-CN"/>
              </w:rPr>
              <w:t>发改委</w:t>
            </w:r>
          </w:p>
        </w:tc>
        <w:tc>
          <w:tcPr>
            <w:tcW w:w="1479" w:type="dxa"/>
            <w:vAlign w:val="center"/>
          </w:tcPr>
          <w:p>
            <w:pPr>
              <w:spacing w:after="0" w:line="220" w:lineRule="atLeast"/>
              <w:jc w:val="center"/>
              <w:rPr>
                <w:rFonts w:hint="default" w:ascii="仿宋" w:hAnsi="仿宋" w:eastAsia="仿宋"/>
                <w:sz w:val="32"/>
                <w:szCs w:val="32"/>
                <w:lang w:val="en-US" w:eastAsia="zh-CN"/>
              </w:rPr>
            </w:pPr>
            <w:r>
              <w:rPr>
                <w:rFonts w:hint="eastAsia" w:ascii="仿宋" w:hAnsi="仿宋" w:eastAsia="仿宋"/>
                <w:sz w:val="32"/>
                <w:szCs w:val="32"/>
                <w:lang w:val="en-US" w:eastAsia="zh-CN"/>
              </w:rPr>
              <w:t>杨宏伟</w:t>
            </w:r>
          </w:p>
        </w:tc>
        <w:tc>
          <w:tcPr>
            <w:tcW w:w="7726" w:type="dxa"/>
            <w:vAlign w:val="center"/>
          </w:tcPr>
          <w:p>
            <w:pPr>
              <w:spacing w:after="0" w:line="220" w:lineRule="atLeast"/>
              <w:jc w:val="center"/>
              <w:rPr>
                <w:rFonts w:hint="eastAsia" w:ascii="仿宋" w:hAnsi="仿宋" w:eastAsia="仿宋"/>
                <w:sz w:val="32"/>
                <w:szCs w:val="32"/>
                <w:lang w:val="en-US" w:eastAsia="zh-CN"/>
              </w:rPr>
            </w:pPr>
            <w:r>
              <w:rPr>
                <w:rFonts w:hint="eastAsia" w:ascii="仿宋" w:hAnsi="仿宋" w:eastAsia="仿宋"/>
                <w:sz w:val="32"/>
                <w:szCs w:val="32"/>
                <w:lang w:val="en-US" w:eastAsia="zh-CN"/>
              </w:rPr>
              <w:t>无意见</w:t>
            </w:r>
          </w:p>
        </w:tc>
        <w:tc>
          <w:tcPr>
            <w:tcW w:w="2755" w:type="dxa"/>
            <w:vAlign w:val="center"/>
          </w:tcPr>
          <w:p>
            <w:pPr>
              <w:spacing w:after="0" w:line="220" w:lineRule="atLeast"/>
              <w:jc w:val="center"/>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1911" w:type="dxa"/>
            <w:vAlign w:val="center"/>
          </w:tcPr>
          <w:p>
            <w:pPr>
              <w:spacing w:after="0" w:line="220" w:lineRule="atLeast"/>
              <w:jc w:val="center"/>
              <w:rPr>
                <w:rFonts w:hint="default" w:ascii="仿宋" w:hAnsi="仿宋" w:eastAsia="仿宋"/>
                <w:sz w:val="32"/>
                <w:szCs w:val="32"/>
                <w:lang w:val="en-US" w:eastAsia="zh-CN"/>
              </w:rPr>
            </w:pPr>
            <w:r>
              <w:rPr>
                <w:rFonts w:hint="eastAsia" w:ascii="仿宋" w:hAnsi="仿宋" w:eastAsia="仿宋"/>
                <w:sz w:val="32"/>
                <w:szCs w:val="32"/>
                <w:lang w:val="en-US" w:eastAsia="zh-CN"/>
              </w:rPr>
              <w:t>汉冢乡</w:t>
            </w:r>
          </w:p>
        </w:tc>
        <w:tc>
          <w:tcPr>
            <w:tcW w:w="1479" w:type="dxa"/>
            <w:vAlign w:val="center"/>
          </w:tcPr>
          <w:p>
            <w:pPr>
              <w:spacing w:after="0" w:line="220" w:lineRule="atLeast"/>
              <w:jc w:val="center"/>
              <w:rPr>
                <w:rFonts w:hint="default" w:ascii="仿宋" w:hAnsi="仿宋" w:eastAsia="仿宋"/>
                <w:sz w:val="32"/>
                <w:szCs w:val="32"/>
                <w:lang w:val="en-US" w:eastAsia="zh-CN"/>
              </w:rPr>
            </w:pPr>
            <w:r>
              <w:rPr>
                <w:rFonts w:hint="eastAsia" w:ascii="仿宋" w:hAnsi="仿宋" w:eastAsia="仿宋"/>
                <w:sz w:val="32"/>
                <w:szCs w:val="32"/>
                <w:lang w:val="en-US" w:eastAsia="zh-CN"/>
              </w:rPr>
              <w:t>茹龙飞</w:t>
            </w:r>
          </w:p>
        </w:tc>
        <w:tc>
          <w:tcPr>
            <w:tcW w:w="7726" w:type="dxa"/>
            <w:vAlign w:val="center"/>
          </w:tcPr>
          <w:p>
            <w:pPr>
              <w:spacing w:after="0" w:line="220" w:lineRule="atLeast"/>
              <w:jc w:val="center"/>
              <w:rPr>
                <w:rFonts w:hint="eastAsia" w:ascii="仿宋" w:hAnsi="仿宋" w:eastAsia="仿宋"/>
                <w:sz w:val="32"/>
                <w:szCs w:val="32"/>
                <w:lang w:val="en-US" w:eastAsia="zh-CN"/>
              </w:rPr>
            </w:pPr>
            <w:r>
              <w:rPr>
                <w:rFonts w:hint="eastAsia" w:ascii="仿宋" w:hAnsi="仿宋" w:eastAsia="仿宋"/>
                <w:sz w:val="32"/>
                <w:szCs w:val="32"/>
                <w:lang w:val="en-US" w:eastAsia="zh-CN"/>
              </w:rPr>
              <w:t>无意见</w:t>
            </w:r>
          </w:p>
        </w:tc>
        <w:tc>
          <w:tcPr>
            <w:tcW w:w="2755" w:type="dxa"/>
            <w:vAlign w:val="center"/>
          </w:tcPr>
          <w:p>
            <w:pPr>
              <w:spacing w:after="0" w:line="220" w:lineRule="atLeast"/>
              <w:jc w:val="center"/>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1911" w:type="dxa"/>
            <w:vAlign w:val="center"/>
          </w:tcPr>
          <w:p>
            <w:pPr>
              <w:spacing w:after="0" w:line="220" w:lineRule="atLeast"/>
              <w:jc w:val="center"/>
              <w:rPr>
                <w:rFonts w:hint="default" w:ascii="仿宋" w:hAnsi="仿宋" w:eastAsia="仿宋"/>
                <w:sz w:val="32"/>
                <w:szCs w:val="32"/>
                <w:lang w:val="en-US" w:eastAsia="zh-CN"/>
              </w:rPr>
            </w:pPr>
            <w:r>
              <w:rPr>
                <w:rFonts w:hint="eastAsia" w:ascii="仿宋" w:hAnsi="仿宋" w:eastAsia="仿宋"/>
                <w:sz w:val="32"/>
                <w:szCs w:val="32"/>
                <w:lang w:val="en-US" w:eastAsia="zh-CN"/>
              </w:rPr>
              <w:t>溧河乡</w:t>
            </w:r>
          </w:p>
        </w:tc>
        <w:tc>
          <w:tcPr>
            <w:tcW w:w="1479" w:type="dxa"/>
            <w:vAlign w:val="center"/>
          </w:tcPr>
          <w:p>
            <w:pPr>
              <w:spacing w:after="0" w:line="220" w:lineRule="atLeast"/>
              <w:jc w:val="center"/>
              <w:rPr>
                <w:rFonts w:hint="default" w:ascii="仿宋" w:hAnsi="仿宋" w:eastAsia="仿宋"/>
                <w:sz w:val="32"/>
                <w:szCs w:val="32"/>
                <w:lang w:val="en-US" w:eastAsia="zh-CN"/>
              </w:rPr>
            </w:pPr>
            <w:r>
              <w:rPr>
                <w:rFonts w:hint="eastAsia" w:ascii="仿宋" w:hAnsi="仿宋" w:eastAsia="仿宋"/>
                <w:sz w:val="32"/>
                <w:szCs w:val="32"/>
                <w:lang w:val="en-US" w:eastAsia="zh-CN"/>
              </w:rPr>
              <w:t>吴佳伦</w:t>
            </w:r>
          </w:p>
        </w:tc>
        <w:tc>
          <w:tcPr>
            <w:tcW w:w="7726" w:type="dxa"/>
            <w:vAlign w:val="center"/>
          </w:tcPr>
          <w:p>
            <w:pPr>
              <w:spacing w:after="0" w:line="220" w:lineRule="atLeast"/>
              <w:jc w:val="center"/>
              <w:rPr>
                <w:rFonts w:hint="eastAsia" w:ascii="仿宋" w:hAnsi="仿宋" w:eastAsia="仿宋"/>
                <w:sz w:val="32"/>
                <w:szCs w:val="32"/>
                <w:lang w:val="en-US" w:eastAsia="zh-CN"/>
              </w:rPr>
            </w:pPr>
            <w:r>
              <w:rPr>
                <w:rFonts w:hint="eastAsia" w:ascii="仿宋" w:hAnsi="仿宋" w:eastAsia="仿宋"/>
                <w:sz w:val="32"/>
                <w:szCs w:val="32"/>
                <w:lang w:val="en-US" w:eastAsia="zh-CN"/>
              </w:rPr>
              <w:t>无意见</w:t>
            </w:r>
          </w:p>
        </w:tc>
        <w:tc>
          <w:tcPr>
            <w:tcW w:w="2755" w:type="dxa"/>
            <w:vAlign w:val="center"/>
          </w:tcPr>
          <w:p>
            <w:pPr>
              <w:spacing w:after="0" w:line="220" w:lineRule="atLeast"/>
              <w:jc w:val="center"/>
              <w:rPr>
                <w:rFonts w:ascii="仿宋" w:hAnsi="仿宋" w:eastAsia="仿宋"/>
                <w:sz w:val="32"/>
                <w:szCs w:val="32"/>
              </w:rPr>
            </w:pPr>
          </w:p>
        </w:tc>
      </w:tr>
    </w:tbl>
    <w:p>
      <w:pPr>
        <w:spacing w:line="220" w:lineRule="atLeast"/>
        <w:jc w:val="both"/>
        <w:rPr>
          <w:rFonts w:ascii="仿宋" w:hAnsi="仿宋" w:eastAsia="仿宋"/>
          <w:sz w:val="32"/>
          <w:szCs w:val="32"/>
        </w:rPr>
      </w:pPr>
    </w:p>
    <w:sectPr>
      <w:pgSz w:w="16838" w:h="11906" w:orient="landscape"/>
      <w:pgMar w:top="1800" w:right="1440" w:bottom="180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2"/>
  </w:compat>
  <w:docVars>
    <w:docVar w:name="commondata" w:val="eyJoZGlkIjoiNWVjOTZhYTk1NDY1MTlmYjk0YjRiNWEzMjA3YTk0MTQifQ=="/>
  </w:docVars>
  <w:rsids>
    <w:rsidRoot w:val="00D31D50"/>
    <w:rsid w:val="00323B43"/>
    <w:rsid w:val="003D37D8"/>
    <w:rsid w:val="00426133"/>
    <w:rsid w:val="004358AB"/>
    <w:rsid w:val="00585904"/>
    <w:rsid w:val="008B7726"/>
    <w:rsid w:val="009C2036"/>
    <w:rsid w:val="00D31D50"/>
    <w:rsid w:val="00DC00B9"/>
    <w:rsid w:val="021C0FE5"/>
    <w:rsid w:val="228D0920"/>
    <w:rsid w:val="2B1D7557"/>
    <w:rsid w:val="429038BA"/>
    <w:rsid w:val="46023082"/>
    <w:rsid w:val="49882F4F"/>
    <w:rsid w:val="69D61B99"/>
    <w:rsid w:val="6A5E4378"/>
    <w:rsid w:val="78EC4D06"/>
    <w:rsid w:val="7E6975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5">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4">
    <w:name w:val="Table Grid"/>
    <w:basedOn w:val="3"/>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88</Words>
  <Characters>88</Characters>
  <Lines>1</Lines>
  <Paragraphs>1</Paragraphs>
  <TotalTime>8</TotalTime>
  <ScaleCrop>false</ScaleCrop>
  <LinksUpToDate>false</LinksUpToDate>
  <CharactersWithSpaces>88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有没有那么首歌</cp:lastModifiedBy>
  <dcterms:modified xsi:type="dcterms:W3CDTF">2024-01-12T01:39:14Z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F9754532F3AE4CFEA332D69007C71673</vt:lpwstr>
  </property>
</Properties>
</file>