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bookmarkStart w:id="15" w:name="_GoBack"/>
      <w:bookmarkEnd w:id="15"/>
      <w:r>
        <w:rPr>
          <w:rFonts w:hint="eastAsia" w:ascii="文星简大标宋" w:hAnsi="文星简大标宋" w:eastAsia="文星简大标宋"/>
          <w:sz w:val="56"/>
          <w:szCs w:val="24"/>
          <w:lang w:eastAsia="zh-CN"/>
        </w:rPr>
        <w:t>黄台岗镇</w:t>
      </w:r>
      <w:r>
        <w:rPr>
          <w:rFonts w:hint="eastAsia" w:ascii="文星简大标宋" w:hAnsi="文星简大标宋" w:eastAsia="文星简大标宋"/>
          <w:sz w:val="56"/>
          <w:szCs w:val="24"/>
        </w:rPr>
        <w:t>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cols w:space="720" w:num="1"/>
          <w:titlePg/>
          <w:docGrid w:linePitch="579" w:charSpace="0"/>
        </w:sectPr>
      </w:pPr>
      <w:r>
        <w:rPr>
          <w:rFonts w:hint="eastAsia" w:ascii="文星简大标宋" w:hAnsi="文星简大标宋" w:eastAsia="文星简大标宋"/>
          <w:sz w:val="32"/>
          <w:szCs w:val="15"/>
        </w:rPr>
        <w:t>2020年</w:t>
      </w:r>
      <w:r>
        <w:rPr>
          <w:rFonts w:hint="eastAsia" w:ascii="宋体" w:hAnsi="宋体" w:eastAsia="文星简大标宋" w:cs="宋体"/>
          <w:sz w:val="32"/>
          <w:szCs w:val="15"/>
          <w:lang w:val="en-US" w:eastAsia="zh-CN"/>
        </w:rPr>
        <w:t>11</w:t>
      </w:r>
      <w:r>
        <w:rPr>
          <w:rFonts w:hint="eastAsia" w:ascii="文星简大标宋" w:hAnsi="文星简大标宋" w:eastAsia="文星简大标宋"/>
          <w:sz w:val="32"/>
          <w:szCs w:val="15"/>
        </w:rPr>
        <w:t>月</w:t>
      </w:r>
      <w:r>
        <w:rPr>
          <w:rFonts w:hint="eastAsia" w:ascii="文星简大标宋" w:hAnsi="文星简大标宋" w:eastAsia="文星简大标宋"/>
          <w:sz w:val="32"/>
          <w:szCs w:val="15"/>
          <w:lang w:val="en-US" w:eastAsia="zh-CN"/>
        </w:rPr>
        <w:t>9</w:t>
      </w:r>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_Toc7452 </w:instrText>
      </w:r>
      <w:r>
        <w:rPr>
          <w:rFonts w:hint="eastAsia" w:ascii="宋体" w:hAnsi="宋体" w:cs="宋体"/>
        </w:rPr>
        <w:fldChar w:fldCharType="separate"/>
      </w:r>
      <w:r>
        <w:rPr>
          <w:rFonts w:hint="eastAsia"/>
          <w:lang w:eastAsia="zh-CN"/>
        </w:rPr>
        <w:t>黄台岗镇</w:t>
      </w:r>
      <w:r>
        <w:rPr>
          <w:rFonts w:hint="eastAsia"/>
        </w:rPr>
        <w:t>农村集体土地征收基层政务公开标准目录</w:t>
      </w:r>
      <w:r>
        <w:tab/>
      </w:r>
      <w:r>
        <w:fldChar w:fldCharType="begin"/>
      </w:r>
      <w:r>
        <w:instrText xml:space="preserve"> PAGEREF _Toc7452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_Toc12837 </w:instrText>
      </w:r>
      <w:r>
        <w:rPr>
          <w:rFonts w:hint="eastAsia" w:ascii="宋体" w:hAnsi="宋体" w:cs="宋体"/>
        </w:rPr>
        <w:fldChar w:fldCharType="separate"/>
      </w:r>
      <w:r>
        <w:rPr>
          <w:rFonts w:hint="eastAsia"/>
          <w:lang w:eastAsia="zh-CN"/>
        </w:rPr>
        <w:t>黄台岗镇</w:t>
      </w:r>
      <w:r>
        <w:rPr>
          <w:rFonts w:hint="eastAsia"/>
        </w:rPr>
        <w:t>城乡规划领域基层政务公开标准目录</w:t>
      </w:r>
      <w:r>
        <w:tab/>
      </w:r>
      <w:r>
        <w:fldChar w:fldCharType="begin"/>
      </w:r>
      <w:r>
        <w:instrText xml:space="preserve"> PAGEREF _Toc12837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_Toc2702 </w:instrText>
      </w:r>
      <w:r>
        <w:rPr>
          <w:rFonts w:hint="eastAsia" w:ascii="宋体" w:hAnsi="宋体" w:cs="宋体"/>
        </w:rPr>
        <w:fldChar w:fldCharType="separate"/>
      </w:r>
      <w:r>
        <w:rPr>
          <w:rFonts w:hint="eastAsia"/>
          <w:lang w:eastAsia="zh-CN"/>
        </w:rPr>
        <w:t>黄台岗镇</w:t>
      </w:r>
      <w:r>
        <w:rPr>
          <w:rFonts w:hint="eastAsia"/>
        </w:rPr>
        <w:t>安全生产领域基层政务公开标准目录</w:t>
      </w:r>
      <w:r>
        <w:tab/>
      </w:r>
      <w:r>
        <w:fldChar w:fldCharType="begin"/>
      </w:r>
      <w:r>
        <w:instrText xml:space="preserve"> PAGEREF _Toc2702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_Toc11127 </w:instrText>
      </w:r>
      <w:r>
        <w:rPr>
          <w:rFonts w:hint="eastAsia" w:ascii="宋体" w:hAnsi="宋体" w:cs="宋体"/>
        </w:rPr>
        <w:fldChar w:fldCharType="separate"/>
      </w:r>
      <w:r>
        <w:rPr>
          <w:rFonts w:hint="eastAsia"/>
          <w:lang w:eastAsia="zh-CN"/>
        </w:rPr>
        <w:t>黄台岗镇</w:t>
      </w:r>
      <w:r>
        <w:rPr>
          <w:rFonts w:hint="eastAsia"/>
        </w:rPr>
        <w:t>救灾领域基层政务公开标准目录</w:t>
      </w:r>
      <w:r>
        <w:tab/>
      </w:r>
      <w:r>
        <w:fldChar w:fldCharType="begin"/>
      </w:r>
      <w:r>
        <w:instrText xml:space="preserve"> PAGEREF _Toc11127 </w:instrText>
      </w:r>
      <w:r>
        <w:fldChar w:fldCharType="separate"/>
      </w:r>
      <w:r>
        <w:t>12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_Toc14402 </w:instrText>
      </w:r>
      <w:r>
        <w:rPr>
          <w:rFonts w:hint="eastAsia" w:ascii="宋体" w:hAnsi="宋体" w:cs="宋体"/>
        </w:rPr>
        <w:fldChar w:fldCharType="separate"/>
      </w:r>
      <w:r>
        <w:rPr>
          <w:rFonts w:hint="eastAsia"/>
          <w:lang w:eastAsia="zh-CN"/>
        </w:rPr>
        <w:t>黄台岗镇</w:t>
      </w:r>
      <w:r>
        <w:rPr>
          <w:rFonts w:hint="eastAsia"/>
        </w:rPr>
        <w:t>农村危房改造领域基层政务公开标准目录</w:t>
      </w:r>
      <w:r>
        <w:tab/>
      </w:r>
      <w:r>
        <w:fldChar w:fldCharType="begin"/>
      </w:r>
      <w:r>
        <w:instrText xml:space="preserve"> PAGEREF _Toc14402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_Toc14715 </w:instrText>
      </w:r>
      <w:r>
        <w:rPr>
          <w:rFonts w:hint="eastAsia" w:ascii="宋体" w:hAnsi="宋体" w:cs="宋体"/>
        </w:rPr>
        <w:fldChar w:fldCharType="separate"/>
      </w:r>
      <w:r>
        <w:rPr>
          <w:rFonts w:hint="eastAsia"/>
          <w:lang w:eastAsia="zh-CN"/>
        </w:rPr>
        <w:t>黄台岗镇</w:t>
      </w:r>
      <w:r>
        <w:rPr>
          <w:rFonts w:hint="eastAsia"/>
        </w:rPr>
        <w:t>公共文化服务领域基层政务公开标准目录</w:t>
      </w:r>
      <w:r>
        <w:tab/>
      </w:r>
      <w:r>
        <w:fldChar w:fldCharType="begin"/>
      </w:r>
      <w:r>
        <w:instrText xml:space="preserve"> PAGEREF _Toc14715 </w:instrText>
      </w:r>
      <w:r>
        <w:fldChar w:fldCharType="separate"/>
      </w:r>
      <w:r>
        <w:t>21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_Toc7285 </w:instrText>
      </w:r>
      <w:r>
        <w:rPr>
          <w:rFonts w:hint="eastAsia" w:ascii="宋体" w:hAnsi="宋体" w:cs="宋体"/>
        </w:rPr>
        <w:fldChar w:fldCharType="separate"/>
      </w:r>
      <w:r>
        <w:rPr>
          <w:rFonts w:hint="eastAsia"/>
          <w:lang w:eastAsia="zh-CN"/>
        </w:rPr>
        <w:t>黄台岗镇</w:t>
      </w:r>
      <w:r>
        <w:rPr>
          <w:rFonts w:hint="eastAsia"/>
        </w:rPr>
        <w:t>扶贫领域基层政务公开标准目录</w:t>
      </w:r>
      <w:r>
        <w:tab/>
      </w:r>
      <w:r>
        <w:fldChar w:fldCharType="begin"/>
      </w:r>
      <w:r>
        <w:instrText xml:space="preserve"> PAGEREF _Toc7285 </w:instrText>
      </w:r>
      <w:r>
        <w:fldChar w:fldCharType="separate"/>
      </w:r>
      <w:r>
        <w:t>23</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_Toc26436 </w:instrText>
      </w:r>
      <w:r>
        <w:rPr>
          <w:rFonts w:hint="eastAsia" w:ascii="宋体" w:hAnsi="宋体" w:cs="宋体"/>
        </w:rPr>
        <w:fldChar w:fldCharType="separate"/>
      </w:r>
      <w:r>
        <w:rPr>
          <w:rFonts w:hint="eastAsia"/>
          <w:lang w:eastAsia="zh-CN"/>
        </w:rPr>
        <w:t>黄台岗镇</w:t>
      </w:r>
      <w:r>
        <w:rPr>
          <w:rFonts w:hint="eastAsia"/>
        </w:rPr>
        <w:t>社会救助领域基层政务公开标准目录</w:t>
      </w:r>
      <w:r>
        <w:tab/>
      </w:r>
      <w:r>
        <w:fldChar w:fldCharType="begin"/>
      </w:r>
      <w:r>
        <w:instrText xml:space="preserve"> PAGEREF _Toc26436 </w:instrText>
      </w:r>
      <w:r>
        <w:fldChar w:fldCharType="separate"/>
      </w:r>
      <w:r>
        <w:t>30</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_Toc29841 </w:instrText>
      </w:r>
      <w:r>
        <w:rPr>
          <w:rFonts w:hint="eastAsia" w:ascii="宋体" w:hAnsi="宋体" w:cs="宋体"/>
        </w:rPr>
        <w:fldChar w:fldCharType="separate"/>
      </w:r>
      <w:r>
        <w:rPr>
          <w:rFonts w:hint="eastAsia"/>
          <w:lang w:eastAsia="zh-CN"/>
        </w:rPr>
        <w:t>黄台岗镇</w:t>
      </w:r>
      <w:r>
        <w:rPr>
          <w:rFonts w:hint="eastAsia"/>
        </w:rPr>
        <w:t>养老服务领域基层政务公开标准目录</w:t>
      </w:r>
      <w:r>
        <w:tab/>
      </w:r>
      <w:r>
        <w:fldChar w:fldCharType="begin"/>
      </w:r>
      <w:r>
        <w:instrText xml:space="preserve"> PAGEREF _Toc29841 </w:instrText>
      </w:r>
      <w:r>
        <w:fldChar w:fldCharType="separate"/>
      </w:r>
      <w:r>
        <w:t>34</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_Toc26802 </w:instrText>
      </w:r>
      <w:r>
        <w:rPr>
          <w:rFonts w:hint="eastAsia" w:ascii="宋体" w:hAnsi="宋体" w:cs="宋体"/>
        </w:rPr>
        <w:fldChar w:fldCharType="separate"/>
      </w:r>
      <w:r>
        <w:rPr>
          <w:rFonts w:hint="eastAsia"/>
          <w:lang w:eastAsia="zh-CN"/>
        </w:rPr>
        <w:t>黄台岗镇</w:t>
      </w:r>
      <w:r>
        <w:rPr>
          <w:rFonts w:hint="eastAsia"/>
        </w:rPr>
        <w:t>就业领域基层政务公开目录</w:t>
      </w:r>
      <w:r>
        <w:tab/>
      </w:r>
      <w:r>
        <w:fldChar w:fldCharType="begin"/>
      </w:r>
      <w:r>
        <w:instrText xml:space="preserve"> PAGEREF _Toc26802 </w:instrText>
      </w:r>
      <w:r>
        <w:fldChar w:fldCharType="separate"/>
      </w:r>
      <w:r>
        <w:t>35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_Toc18594 </w:instrText>
      </w:r>
      <w:r>
        <w:rPr>
          <w:rFonts w:hint="eastAsia" w:ascii="宋体" w:hAnsi="宋体" w:cs="宋体"/>
        </w:rPr>
        <w:fldChar w:fldCharType="separate"/>
      </w:r>
      <w:r>
        <w:rPr>
          <w:rFonts w:hint="eastAsia"/>
          <w:lang w:eastAsia="zh-CN"/>
        </w:rPr>
        <w:t>黄台岗镇</w:t>
      </w:r>
      <w:r>
        <w:rPr>
          <w:rFonts w:hint="eastAsia"/>
        </w:rPr>
        <w:t>社会保险领域基层政务公开目录</w:t>
      </w:r>
      <w:r>
        <w:tab/>
      </w:r>
      <w:r>
        <w:fldChar w:fldCharType="begin"/>
      </w:r>
      <w:r>
        <w:instrText xml:space="preserve"> PAGEREF _Toc18594 </w:instrText>
      </w:r>
      <w:r>
        <w:fldChar w:fldCharType="separate"/>
      </w:r>
      <w:r>
        <w:t>49</w:t>
      </w:r>
      <w:r>
        <w:fldChar w:fldCharType="end"/>
      </w:r>
      <w:r>
        <w:rPr>
          <w:rFonts w:hint="eastAsia" w:ascii="宋体" w:hAnsi="宋体" w:cs="宋体"/>
        </w:rPr>
        <w:fldChar w:fldCharType="end"/>
      </w:r>
    </w:p>
    <w:p>
      <w:pPr>
        <w:numPr>
          <w:ins w:id="0" w:author="文印5" w:date="2020-05-27T16:30:00Z"/>
        </w:numPr>
        <w:jc w:val="center"/>
        <w:sectPr>
          <w:pgSz w:w="16838" w:h="11906" w:orient="landscape"/>
          <w:pgMar w:top="1474" w:right="1247" w:bottom="1474" w:left="1701" w:header="1565" w:footer="1304" w:gutter="0"/>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7452"/>
      <w:r>
        <w:rPr>
          <w:rFonts w:hint="eastAsia"/>
          <w:lang w:eastAsia="zh-CN"/>
        </w:rPr>
        <w:t>黄台岗镇</w:t>
      </w:r>
      <w:r>
        <w:rPr>
          <w:rFonts w:hint="eastAsia"/>
        </w:rPr>
        <w:t>农村集体土地征收基层政务公开标准目录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黄台岗镇人民</w:t>
            </w:r>
            <w:r>
              <w:rPr>
                <w:rFonts w:hint="eastAsia" w:ascii="宋体" w:hAnsi="宋体" w:cs="仿宋_GB2312"/>
                <w:kern w:val="0"/>
                <w:sz w:val="18"/>
                <w:szCs w:val="18"/>
                <w:lang w:bidi="ar"/>
              </w:rPr>
              <w:t>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黄台岗镇人民政府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征收补偿安置方案公告期满后，县（市、区）人民政府和负责农村集体土地征收的有关部门拟定《征地补偿安置方案》并予以公开。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黄台岗镇人民政府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黄台岗镇人民政府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黄台岗镇人民政府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有权一级人民政府批准用地的批复文件、地方人民政府转发批复文件应予以公开。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2.省级人民政府批准用地批复文件（指用地由省级人民政府批准）；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3.国务院批准城市用地后省级人民政府审核同意实施方案文件；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4.地方人民政府转发用地批复文件；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黄台岗镇人民政府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根据用地批复文件，县（市、区）人民政府拟定征收土地公告并予以公开。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黄台岗镇人民政府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both"/>
              <w:textAlignment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黄台岗镇人民政府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12837"/>
      <w:r>
        <w:rPr>
          <w:rFonts w:hint="eastAsia"/>
          <w:lang w:eastAsia="zh-CN"/>
        </w:rPr>
        <w:t>黄台岗镇</w:t>
      </w:r>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黄台岗镇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黄台岗镇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黄台岗镇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lang w:eastAsia="zh-CN"/>
              </w:rPr>
              <w:t>黄台岗镇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FFFFFF"/>
                        </a:solidFill>
                        <a:ln w="6350">
                          <a:solidFill>
                            <a:sysClr val="window" lastClr="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8240;mso-width-relative:page;mso-height-relative:page;" fillcolor="#FFFFFF" filled="t" stroked="t" coordsize="21600,21600" o:gfxdata="UEsDBAoAAAAAAIdO4kAAAAAAAAAAAAAAAAAEAAAAZHJzL1BLAwQUAAAACACHTuJA5YtHUNcAAAAJ&#10;AQAADwAAAGRycy9kb3ducmV2LnhtbE2PwU7DMBBE70j8g7WVuFEniFhuiNMDEjeElEKBoxtvk6jx&#10;Oo2dpPw97gmOszOaeVtsL7ZnM46+c6QgXSfAkGpnOmoUfLy/3EtgPmgyuneECn7Qw7a8vSl0btxC&#10;Fc670LBYQj7XCtoQhpxzX7dotV+7ASl6RzdaHaIcG25GvcRy2/OHJBHc6o7iQqsHfG6xPu0mq+Bt&#10;nty++czqL/peKi+P5+pVnpW6W6XJE7CAl/AXhit+RIcyMh3cRMazXoHYxKACKaQAdvUfs3g5KNik&#10;mQBeFvz/B+UvUEsDBBQAAAAIAIdO4kDtlzqHXAIAAOUEAAAOAAAAZHJzL2Uyb0RvYy54bWytVMFu&#10;EzEQvSPxD5bvdJOQljTqpgqtgpAqWqkgzo7X213J6zG2k93wAfAHnLhw57v6HTx7N20pHHpoDs6M&#10;Z/bNzPOzT067RrOtcr4mk/PxwYgzZSQVtbnJ+aePq1czznwQphCajMr5Tnl+unj54qS1czWhinSh&#10;HAOI8fPW5rwKwc6zzMtKNcIfkFUGwZJcIwJcd5MVTrRAb3Q2GY2OspZcYR1J5T12z/sgHxDdUwCp&#10;LGupzkluGmVCj+qUFgEj+aq2ni9St2WpZLgsS68C0znHpCGtKAJ7HddscSLmN07YqpZDC+IpLTya&#10;qRG1QdE7qHMRBNu4+h+oppaOPJXhQFKT9YMkRjDFePSIm+tKWJVmAdXe3pHunw9WftheOVYXOZ9y&#10;ZkSDA7/98f325+/bX9/YNNLTWj9H1rVFXujeUgfR7Pc9NuPUXema+I95GOIgd3dHruoCk9iczSZH&#10;h4hIhCbHsylsoGf3H1vnwztFDYtGzh3OLlEqthc+9Kn7lFjLk66LVa11cnb+TDu2FThmaK2gljMt&#10;fMBmzlfpN1T76zNtWJvzo9fo5XkgMY42EUol7Q2NRwp7qqIVunU38LqmYgdaHfW69Fauagx/gc6v&#10;hIMQwReuarjEUmpCrzRYnFXkvv5vP+ZDH4hy1kLYOfdfNsIpEPLeQDnH4+kUsCE508M3EzjuYWT9&#10;MGI2zRmB1DEeBSuTGfOD3pulo+YzbvQyVkVIGInaOQ978yz01w0vglTLZUqC9q0IF+bayggdCTO0&#10;3AQq63TSkaaeGygkOlB/0spwU+P1euinrPvXa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YtH&#10;UNcAAAAJAQAADwAAAAAAAAABACAAAAAiAAAAZHJzL2Rvd25yZXYueG1sUEsBAhQAFAAAAAgAh07i&#10;QO2XOodcAgAA5QQAAA4AAAAAAAAAAQAgAAAAJgEAAGRycy9lMm9Eb2MueG1sUEsFBgAAAAAGAAYA&#10;WQEAAPQFAAAAAA==&#10;">
                <v:fill on="t" focussize="0,0"/>
                <v:stroke weight="0.5pt" color="#FFFFFF" joinstyle="round"/>
                <v:imagedata o:title=""/>
                <o:lock v:ext="edit" aspectratio="f"/>
                <v:textbox>
                  <w:txbxContent>
                    <w:p/>
                  </w:txbxContent>
                </v:textbox>
              </v:shape>
            </w:pict>
          </mc:Fallback>
        </mc:AlternateContent>
      </w:r>
    </w:p>
    <w:p>
      <w:pPr>
        <w:pStyle w:val="11"/>
      </w:pPr>
      <w:r>
        <w:rPr>
          <w:rFonts w:eastAsia="仿宋_GB2312"/>
          <w:sz w:val="32"/>
        </w:rPr>
        <w:br w:type="page"/>
      </w:r>
      <w:bookmarkStart w:id="2" w:name="河南省财政预决算领域基层政务公开标准目录"/>
      <w:bookmarkEnd w:id="2"/>
      <w:bookmarkStart w:id="3" w:name="_Toc2702"/>
      <w:r>
        <w:rPr>
          <w:rFonts w:hint="eastAsia"/>
          <w:lang w:eastAsia="zh-CN"/>
        </w:rPr>
        <w:t>黄台岗镇</w:t>
      </w:r>
      <w:r>
        <w:rPr>
          <w:rFonts w:hint="eastAsia"/>
        </w:rPr>
        <w:t>安全生产领域基层政务公开标准目录</w:t>
      </w:r>
      <w:bookmarkEnd w:id="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lang w:eastAsia="zh-CN"/>
              </w:rPr>
              <w:t>黄台岗镇人民政府</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lang w:eastAsia="zh-CN"/>
              </w:rPr>
              <w:t>□</w:t>
            </w:r>
            <w:r>
              <w:rPr>
                <w:rFonts w:hint="eastAsia" w:ascii="宋体" w:hAnsi="宋体" w:cs="宋体"/>
                <w:bCs/>
                <w:sz w:val="18"/>
                <w:szCs w:val="18"/>
              </w:rPr>
              <w:t>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lang w:eastAsia="zh-CN"/>
              </w:rPr>
              <w:t>□</w:t>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标准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安全生产领域有关的国家标准、行业标准、地方标准等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5</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 xml:space="preserve">□精准推送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 xml:space="preserve">■社区/企事业单位、村公示栏（电子屏）□精准推送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sz w:val="18"/>
                <w:szCs w:val="18"/>
              </w:rPr>
            </w:pPr>
            <w:r>
              <w:rPr>
                <w:rFonts w:hint="eastAsia" w:ascii="宋体" w:hAnsi="宋体" w:cs="宋体"/>
                <w:bCs/>
                <w:sz w:val="18"/>
                <w:szCs w:val="18"/>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黄台岗镇人民政府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4" w:name="_Toc11127"/>
      <w:r>
        <w:rPr>
          <w:rFonts w:hint="eastAsia"/>
          <w:lang w:eastAsia="zh-CN"/>
        </w:rPr>
        <w:t>黄台岗镇</w:t>
      </w:r>
      <w:r>
        <w:rPr>
          <w:rFonts w:hint="eastAsia"/>
        </w:rPr>
        <w:t>救灾领域基层政务公开标准目录</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黄台岗镇人民政府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pStyle w:val="11"/>
      </w:pPr>
      <w:r>
        <w:br w:type="page"/>
      </w:r>
      <w:bookmarkStart w:id="5" w:name="_Toc14402"/>
      <w:bookmarkStart w:id="6" w:name="农村危房改造领域基层政务公开标准目录"/>
      <w:r>
        <w:rPr>
          <w:rFonts w:hint="eastAsia"/>
          <w:lang w:eastAsia="zh-CN"/>
        </w:rPr>
        <w:t>黄台岗镇</w:t>
      </w:r>
      <w:r>
        <w:rPr>
          <w:rFonts w:hint="eastAsia"/>
        </w:rPr>
        <w:t>农村危房改造领域基层政务公开标准目录</w:t>
      </w:r>
      <w:bookmarkEnd w:id="5"/>
    </w:p>
    <w:bookmarkEnd w:id="6"/>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《河南省人民政府办公厅关于全面推进基层政务公开标准化规范化工作的通知》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《南阳市人民政府办公室转发河南省人民政府办公厅关于全面推进基层政务公开标准化规范化工作的通知》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黄台岗镇人民政府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及时公开农村危房改造补助农户名单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组织开展农村建筑工匠培训文件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国务院扶贫办关于决战决胜脱贫攻坚进一步做好农村危房改造的通知》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黄台岗镇</w:t>
            </w:r>
            <w:r>
              <w:rPr>
                <w:rFonts w:hint="eastAsia" w:ascii="宋体" w:hAnsi="宋体" w:cs="宋体"/>
                <w:color w:val="000000"/>
                <w:kern w:val="0"/>
                <w:sz w:val="18"/>
                <w:szCs w:val="18"/>
                <w:lang w:bidi="ar"/>
              </w:rPr>
              <w:t>人民政府</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村委会</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黄台岗镇人民政府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Pr>
        <w:pStyle w:val="11"/>
        <w:numPr>
          <w:ins w:id="1" w:author="Unknown" w:date=""/>
        </w:numPr>
        <w:rPr>
          <w:rFonts w:hint="eastAsia"/>
        </w:rPr>
      </w:pPr>
    </w:p>
    <w:p>
      <w:pPr>
        <w:pStyle w:val="11"/>
        <w:numPr>
          <w:ins w:id="2" w:author="Unknown" w:date=""/>
        </w:numPr>
        <w:rPr>
          <w:rFonts w:hint="eastAsia"/>
        </w:rPr>
      </w:pPr>
    </w:p>
    <w:p>
      <w:pPr>
        <w:pStyle w:val="11"/>
        <w:numPr>
          <w:ins w:id="3" w:author="Unknown" w:date=""/>
        </w:numPr>
        <w:rPr>
          <w:rFonts w:hint="eastAsia"/>
        </w:rPr>
      </w:pPr>
    </w:p>
    <w:p>
      <w:pPr>
        <w:widowControl/>
        <w:jc w:val="left"/>
      </w:pPr>
    </w:p>
    <w:p>
      <w:pPr>
        <w:pStyle w:val="11"/>
        <w:rPr>
          <w:rFonts w:hint="eastAsia"/>
        </w:rPr>
        <w:sectPr>
          <w:footerReference r:id="rId5" w:type="default"/>
          <w:footerReference r:id="rId6" w:type="even"/>
          <w:pgSz w:w="16838" w:h="11906" w:orient="landscape"/>
          <w:pgMar w:top="1474" w:right="1247" w:bottom="1474" w:left="1701" w:header="1985" w:footer="1134" w:gutter="0"/>
          <w:pgNumType w:fmt="decimal" w:start="1"/>
          <w:cols w:space="720" w:num="1"/>
          <w:docGrid w:linePitch="579" w:charSpace="0"/>
        </w:sectPr>
      </w:pPr>
      <w:bookmarkStart w:id="7" w:name="_Toc4111_WPSOffice_Level1"/>
      <w:bookmarkStart w:id="8" w:name="_Toc3954_WPSOffice_Level1"/>
    </w:p>
    <w:p>
      <w:pPr>
        <w:pStyle w:val="11"/>
        <w:rPr>
          <w:rFonts w:hint="eastAsia"/>
        </w:rPr>
      </w:pPr>
      <w:bookmarkStart w:id="9" w:name="_Toc14715"/>
      <w:r>
        <w:rPr>
          <w:rFonts w:hint="eastAsia"/>
          <w:lang w:eastAsia="zh-CN"/>
        </w:rPr>
        <w:t>黄台岗镇</w:t>
      </w:r>
      <w:r>
        <w:rPr>
          <w:rFonts w:hint="eastAsia"/>
        </w:rPr>
        <w:t>公共文化服务领域基层政务公开标准目录</w:t>
      </w:r>
      <w:bookmarkEnd w:id="7"/>
      <w:bookmarkEnd w:id="8"/>
      <w:bookmarkEnd w:id="9"/>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restart"/>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黄台岗镇人民政府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pStyle w:val="11"/>
        <w:rPr>
          <w:rFonts w:hint="eastAsia"/>
          <w:lang w:eastAsia="zh-CN"/>
        </w:rPr>
      </w:pPr>
    </w:p>
    <w:p>
      <w:pPr>
        <w:pStyle w:val="11"/>
        <w:rPr>
          <w:rFonts w:hint="eastAsia"/>
        </w:rPr>
      </w:pPr>
      <w:bookmarkStart w:id="10" w:name="_Toc7285"/>
      <w:r>
        <w:rPr>
          <w:rFonts w:hint="eastAsia"/>
          <w:lang w:eastAsia="zh-CN"/>
        </w:rPr>
        <w:t>黄台岗镇</w:t>
      </w:r>
      <w:r>
        <w:rPr>
          <w:rFonts w:hint="eastAsia"/>
        </w:rPr>
        <w:t>扶贫领域基层政务公开标准目录</w:t>
      </w:r>
      <w:bookmarkEnd w:id="10"/>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15"/>
        <w:gridCol w:w="910"/>
        <w:gridCol w:w="1842"/>
        <w:gridCol w:w="1418"/>
        <w:gridCol w:w="1415"/>
        <w:gridCol w:w="1133"/>
        <w:gridCol w:w="3093"/>
        <w:gridCol w:w="486"/>
        <w:gridCol w:w="441"/>
        <w:gridCol w:w="438"/>
        <w:gridCol w:w="514"/>
        <w:gridCol w:w="43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79"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序号</w:t>
            </w:r>
          </w:p>
        </w:tc>
        <w:tc>
          <w:tcPr>
            <w:tcW w:w="611"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公开事项</w:t>
            </w:r>
          </w:p>
        </w:tc>
        <w:tc>
          <w:tcPr>
            <w:tcW w:w="65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公开内容（要素）</w:t>
            </w:r>
          </w:p>
        </w:tc>
        <w:tc>
          <w:tcPr>
            <w:tcW w:w="50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公开依据</w:t>
            </w:r>
          </w:p>
        </w:tc>
        <w:tc>
          <w:tcPr>
            <w:tcW w:w="5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公开时限</w:t>
            </w:r>
          </w:p>
        </w:tc>
        <w:tc>
          <w:tcPr>
            <w:tcW w:w="4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公开主体</w:t>
            </w:r>
          </w:p>
        </w:tc>
        <w:tc>
          <w:tcPr>
            <w:tcW w:w="1095" w:type="pct"/>
            <w:vMerge w:val="restart"/>
            <w:shd w:val="clear" w:color="auto" w:fill="auto"/>
            <w:vAlign w:val="center"/>
          </w:tcPr>
          <w:p>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公开渠道和载体</w:t>
            </w:r>
          </w:p>
        </w:tc>
        <w:tc>
          <w:tcPr>
            <w:tcW w:w="328"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对象</w:t>
            </w:r>
          </w:p>
        </w:tc>
        <w:tc>
          <w:tcPr>
            <w:tcW w:w="337"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方式</w:t>
            </w:r>
          </w:p>
        </w:tc>
        <w:tc>
          <w:tcPr>
            <w:tcW w:w="388"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179" w:type="pct"/>
            <w:vMerge w:val="continue"/>
            <w:vAlign w:val="center"/>
          </w:tcPr>
          <w:p>
            <w:pPr>
              <w:widowControl/>
              <w:jc w:val="center"/>
              <w:rPr>
                <w:rFonts w:cs="宋体" w:asciiTheme="minorEastAsia" w:hAnsiTheme="minorEastAsia" w:eastAsiaTheme="minorEastAsia"/>
                <w:b/>
                <w:color w:val="000000"/>
                <w:kern w:val="0"/>
                <w:szCs w:val="21"/>
              </w:rPr>
            </w:pPr>
          </w:p>
        </w:tc>
        <w:tc>
          <w:tcPr>
            <w:tcW w:w="289"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一级事项</w:t>
            </w:r>
          </w:p>
        </w:tc>
        <w:tc>
          <w:tcPr>
            <w:tcW w:w="32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二级事项</w:t>
            </w:r>
          </w:p>
        </w:tc>
        <w:tc>
          <w:tcPr>
            <w:tcW w:w="652" w:type="pct"/>
            <w:vMerge w:val="continue"/>
            <w:vAlign w:val="center"/>
          </w:tcPr>
          <w:p>
            <w:pPr>
              <w:widowControl/>
              <w:jc w:val="left"/>
              <w:rPr>
                <w:rFonts w:cs="宋体" w:asciiTheme="minorEastAsia" w:hAnsiTheme="minorEastAsia" w:eastAsiaTheme="minorEastAsia"/>
                <w:b/>
                <w:color w:val="000000"/>
                <w:kern w:val="0"/>
                <w:szCs w:val="21"/>
              </w:rPr>
            </w:pPr>
          </w:p>
        </w:tc>
        <w:tc>
          <w:tcPr>
            <w:tcW w:w="502" w:type="pct"/>
            <w:vMerge w:val="continue"/>
            <w:vAlign w:val="center"/>
          </w:tcPr>
          <w:p>
            <w:pPr>
              <w:widowControl/>
              <w:jc w:val="left"/>
              <w:rPr>
                <w:rFonts w:cs="宋体" w:asciiTheme="minorEastAsia" w:hAnsiTheme="minorEastAsia" w:eastAsiaTheme="minorEastAsia"/>
                <w:b/>
                <w:color w:val="000000"/>
                <w:kern w:val="0"/>
                <w:szCs w:val="21"/>
              </w:rPr>
            </w:pPr>
          </w:p>
        </w:tc>
        <w:tc>
          <w:tcPr>
            <w:tcW w:w="501" w:type="pct"/>
            <w:vMerge w:val="continue"/>
            <w:vAlign w:val="center"/>
          </w:tcPr>
          <w:p>
            <w:pPr>
              <w:widowControl/>
              <w:jc w:val="left"/>
              <w:rPr>
                <w:rFonts w:cs="宋体" w:asciiTheme="minorEastAsia" w:hAnsiTheme="minorEastAsia" w:eastAsiaTheme="minorEastAsia"/>
                <w:b/>
                <w:color w:val="000000"/>
                <w:kern w:val="0"/>
                <w:szCs w:val="21"/>
              </w:rPr>
            </w:pPr>
          </w:p>
        </w:tc>
        <w:tc>
          <w:tcPr>
            <w:tcW w:w="401" w:type="pct"/>
            <w:vMerge w:val="continue"/>
            <w:vAlign w:val="center"/>
          </w:tcPr>
          <w:p>
            <w:pPr>
              <w:widowControl/>
              <w:jc w:val="left"/>
              <w:rPr>
                <w:rFonts w:cs="宋体" w:asciiTheme="minorEastAsia" w:hAnsiTheme="minorEastAsia" w:eastAsiaTheme="minorEastAsia"/>
                <w:b/>
                <w:color w:val="000000"/>
                <w:kern w:val="0"/>
                <w:szCs w:val="21"/>
              </w:rPr>
            </w:pPr>
          </w:p>
        </w:tc>
        <w:tc>
          <w:tcPr>
            <w:tcW w:w="1095" w:type="pct"/>
            <w:vMerge w:val="continue"/>
            <w:vAlign w:val="center"/>
          </w:tcPr>
          <w:p>
            <w:pPr>
              <w:widowControl/>
              <w:jc w:val="left"/>
              <w:rPr>
                <w:rFonts w:cs="宋体" w:asciiTheme="minorEastAsia" w:hAnsiTheme="minorEastAsia" w:eastAsiaTheme="minorEastAsia"/>
                <w:b/>
                <w:kern w:val="0"/>
                <w:szCs w:val="21"/>
              </w:rPr>
            </w:pPr>
          </w:p>
        </w:tc>
        <w:tc>
          <w:tcPr>
            <w:tcW w:w="17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全社会</w:t>
            </w:r>
          </w:p>
        </w:tc>
        <w:tc>
          <w:tcPr>
            <w:tcW w:w="156"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特定群众</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主动</w:t>
            </w:r>
          </w:p>
        </w:tc>
        <w:tc>
          <w:tcPr>
            <w:tcW w:w="18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依申请公开</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县级</w:t>
            </w:r>
          </w:p>
        </w:tc>
        <w:tc>
          <w:tcPr>
            <w:tcW w:w="233"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行政法规、规章</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·中央及地方政府涉及扶贫领域的行政法规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·中央及地方政府涉及扶贫领域的规章</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黄台岗镇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规范性文件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·各级政府及部门涉及扶贫领域的规范性文件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黄台岗镇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其他政策文件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·涉及扶贫领域其他政策文件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黄台岗镇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贫困人口识别</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·识别标准（国定标准、省定标准）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·识别程序(农户申请、民主评议、公示公告、逐级审核）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·识别结果(贫困户名单、数量)</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《国务院扶贫办扶贫开发建档立卡工作方案》        《国务院扶贫办关于进一步完善贫困人 口动态管理工作的通知》</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贫困人口所在行政村</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贫困人口退出</w:t>
            </w:r>
          </w:p>
        </w:tc>
        <w:tc>
          <w:tcPr>
            <w:tcW w:w="65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·退出计划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·退出标准（人均纯收入稳定超过国定标准、实现“两不愁、三保障”）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·退出程序（民主评议、村两委和驻村工作队核实、贫困户认可、公示公告、退出销号）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·退出结果（脱贫名单）</w:t>
            </w:r>
          </w:p>
        </w:tc>
        <w:tc>
          <w:tcPr>
            <w:tcW w:w="50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《中共中央办公厅、国务院办公厅关于建立贫困退出机制的意见》             《国务院扶贫办关于进一步完善贫困人口动态管理工作的通知》</w:t>
            </w:r>
          </w:p>
        </w:tc>
        <w:tc>
          <w:tcPr>
            <w:tcW w:w="5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贫困退出人口所在行政村</w:t>
            </w:r>
          </w:p>
        </w:tc>
        <w:tc>
          <w:tcPr>
            <w:tcW w:w="1095" w:type="pc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　</w:t>
            </w:r>
          </w:p>
        </w:tc>
        <w:tc>
          <w:tcPr>
            <w:tcW w:w="233"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扶贫资金项目</w:t>
            </w: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精准扶贫贷款</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·扶贫小额信贷的贷款对象、用途、额度、期限、利率等情况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·享受扶贫贴息贷款的企业、专业合作社等经营主体的名称、贷款额度、期限、贴息规模和带贫减贫机制等情况</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每年底前集中公布1次当年情况</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黄台岗镇</w:t>
            </w:r>
            <w:r>
              <w:rPr>
                <w:rFonts w:hint="eastAsia" w:ascii="宋体" w:hAnsi="宋体" w:cs="宋体"/>
                <w:color w:val="000000"/>
                <w:kern w:val="0"/>
                <w:sz w:val="18"/>
                <w:szCs w:val="18"/>
              </w:rPr>
              <w:t>人民政府、村委会</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79" w:type="pct"/>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7</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行业扶贫相关财政资金</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项目名称、实施地点、资金规模、实施单位、带贫减贫机制、绩效目标、监督方式等</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黄台岗镇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8"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28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项目库建设</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·纳入</w:t>
            </w:r>
            <w:r>
              <w:rPr>
                <w:rFonts w:hint="eastAsia" w:ascii="宋体" w:hAnsi="宋体" w:cs="宋体"/>
                <w:color w:val="000000"/>
                <w:kern w:val="0"/>
                <w:szCs w:val="21"/>
                <w:lang w:eastAsia="zh-CN"/>
              </w:rPr>
              <w:t>区</w:t>
            </w:r>
            <w:r>
              <w:rPr>
                <w:rFonts w:hint="eastAsia" w:ascii="宋体" w:hAnsi="宋体" w:cs="宋体"/>
                <w:color w:val="000000"/>
                <w:kern w:val="0"/>
                <w:szCs w:val="21"/>
              </w:rPr>
              <w:t>级脱贫攻坚项目库的项目（项目名称、项目类别、建设性质、实施地点、时间进度</w:t>
            </w:r>
            <w:r>
              <w:rPr>
                <w:rFonts w:hint="eastAsia" w:ascii="宋体" w:hAnsi="宋体" w:cs="宋体"/>
                <w:color w:val="auto"/>
                <w:kern w:val="0"/>
                <w:szCs w:val="21"/>
              </w:rPr>
              <w:t>、责任单位、建设任务、资金规模和筹资方式、受益对象、绩效目标、群众参与和带贫减贫机制等）</w:t>
            </w:r>
            <w:r>
              <w:rPr>
                <w:rFonts w:hint="eastAsia" w:ascii="宋体" w:hAnsi="宋体" w:cs="宋体"/>
                <w:color w:val="auto"/>
                <w:kern w:val="0"/>
                <w:szCs w:val="21"/>
              </w:rPr>
              <w:br w:type="textWrapping"/>
            </w:r>
            <w:r>
              <w:rPr>
                <w:rFonts w:hint="eastAsia" w:ascii="宋体" w:hAnsi="宋体" w:cs="宋体"/>
                <w:color w:val="auto"/>
                <w:kern w:val="0"/>
                <w:szCs w:val="21"/>
              </w:rPr>
              <w:t>·经</w:t>
            </w:r>
            <w:r>
              <w:rPr>
                <w:rFonts w:hint="eastAsia" w:ascii="宋体" w:hAnsi="宋体" w:cs="宋体"/>
                <w:color w:val="auto"/>
                <w:kern w:val="0"/>
                <w:szCs w:val="21"/>
                <w:lang w:eastAsia="zh-CN"/>
              </w:rPr>
              <w:t>区</w:t>
            </w:r>
            <w:r>
              <w:rPr>
                <w:rFonts w:hint="eastAsia" w:ascii="宋体" w:hAnsi="宋体" w:cs="宋体"/>
                <w:color w:val="auto"/>
                <w:kern w:val="0"/>
                <w:szCs w:val="21"/>
              </w:rPr>
              <w:t>脱贫攻坚领导小组审定的脱贫攻坚项目</w:t>
            </w:r>
            <w:r>
              <w:rPr>
                <w:rFonts w:hint="eastAsia" w:ascii="宋体" w:hAnsi="宋体" w:cs="宋体"/>
                <w:color w:val="000000"/>
                <w:kern w:val="0"/>
                <w:szCs w:val="21"/>
              </w:rPr>
              <w:t>库（项目库规模、项目名单）</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     《国务院扶贫办关于完善县级脱贫攻坚项目库建设的指导意见》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黄台岗镇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289"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年度计划安排情况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·上级下达扶贫资金项目计划批复，主要包括项目名称、实施地点、建设任务、补助标准、资金来源及规模、实施期限、实施单位及责任人和绩效目标、带贫减贫机制等。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黄台岗镇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年度计划完成情况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·项目建设完成</w:t>
            </w:r>
            <w:r>
              <w:rPr>
                <w:rFonts w:hint="eastAsia" w:ascii="宋体" w:hAnsi="宋体" w:cs="宋体"/>
                <w:color w:val="000000"/>
                <w:kern w:val="0"/>
                <w:szCs w:val="21"/>
              </w:rPr>
              <w:br w:type="textWrapping"/>
            </w:r>
            <w:r>
              <w:rPr>
                <w:rFonts w:hint="eastAsia" w:ascii="宋体" w:hAnsi="宋体" w:cs="宋体"/>
                <w:color w:val="000000"/>
                <w:kern w:val="0"/>
                <w:szCs w:val="21"/>
              </w:rPr>
              <w:t>·资金使用</w:t>
            </w:r>
            <w:r>
              <w:rPr>
                <w:rFonts w:hint="eastAsia" w:ascii="宋体" w:hAnsi="宋体" w:cs="宋体"/>
                <w:color w:val="000000"/>
                <w:kern w:val="0"/>
                <w:szCs w:val="21"/>
              </w:rPr>
              <w:br w:type="textWrapping"/>
            </w:r>
            <w:r>
              <w:rPr>
                <w:rFonts w:hint="eastAsia" w:ascii="宋体" w:hAnsi="宋体" w:cs="宋体"/>
                <w:color w:val="000000"/>
                <w:kern w:val="0"/>
                <w:szCs w:val="21"/>
              </w:rPr>
              <w:t>·建设任务</w:t>
            </w:r>
            <w:r>
              <w:rPr>
                <w:rFonts w:hint="eastAsia" w:ascii="宋体" w:hAnsi="宋体" w:cs="宋体"/>
                <w:color w:val="000000"/>
                <w:kern w:val="0"/>
                <w:szCs w:val="21"/>
              </w:rPr>
              <w:br w:type="textWrapping"/>
            </w:r>
            <w:r>
              <w:rPr>
                <w:rFonts w:hint="eastAsia" w:ascii="宋体" w:hAnsi="宋体" w:cs="宋体"/>
                <w:color w:val="000000"/>
                <w:kern w:val="0"/>
                <w:szCs w:val="21"/>
              </w:rPr>
              <w:t>·绩效目标和减贫机制实现</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黄台岗镇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项目实施</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·扶贫项目实施前情况（包括项目名称、资金来源、实施期限、绩效目标、实施单位及责任人、受益对象和带贫减贫机制等）</w:t>
            </w:r>
            <w:r>
              <w:rPr>
                <w:rFonts w:hint="eastAsia" w:ascii="宋体" w:hAnsi="宋体" w:cs="宋体"/>
                <w:color w:val="000000"/>
                <w:kern w:val="0"/>
                <w:szCs w:val="21"/>
              </w:rPr>
              <w:br w:type="textWrapping"/>
            </w:r>
            <w:r>
              <w:rPr>
                <w:rFonts w:hint="eastAsia" w:ascii="宋体" w:hAnsi="宋体" w:cs="宋体"/>
                <w:color w:val="000000"/>
                <w:kern w:val="0"/>
                <w:szCs w:val="21"/>
              </w:rPr>
              <w:t>·扶贫项目实施后情况（包括资金使用、项目实施结果、检查验收结果、绩效目标实现情况等）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黄台岗镇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w:t>
            </w:r>
          </w:p>
        </w:tc>
        <w:tc>
          <w:tcPr>
            <w:tcW w:w="289"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监督管理</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监督举报</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·公开单位、单位监督举报电话和12317监督举报电话</w:t>
            </w:r>
            <w:r>
              <w:rPr>
                <w:rFonts w:hint="eastAsia" w:ascii="宋体" w:hAnsi="宋体" w:cs="宋体"/>
                <w:color w:val="000000"/>
                <w:kern w:val="0"/>
                <w:szCs w:val="21"/>
              </w:rPr>
              <w:br w:type="textWrapping"/>
            </w:r>
            <w:r>
              <w:rPr>
                <w:rFonts w:hint="eastAsia" w:ascii="宋体" w:hAnsi="宋体" w:cs="宋体"/>
                <w:color w:val="000000"/>
                <w:kern w:val="0"/>
                <w:szCs w:val="21"/>
              </w:rPr>
              <w:t>·举报受理办理结果</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黄台岗镇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bl>
    <w:p/>
    <w:p>
      <w:pPr>
        <w:widowControl/>
        <w:jc w:val="left"/>
      </w:pPr>
      <w:r>
        <w:br w:type="page"/>
      </w:r>
    </w:p>
    <w:p>
      <w:pPr>
        <w:pStyle w:val="11"/>
      </w:pPr>
      <w:bookmarkStart w:id="11" w:name="_Toc26436"/>
      <w:r>
        <w:rPr>
          <w:rFonts w:hint="eastAsia"/>
          <w:lang w:eastAsia="zh-CN"/>
        </w:rPr>
        <w:t>黄台岗镇</w:t>
      </w:r>
      <w:r>
        <w:rPr>
          <w:rFonts w:hint="eastAsia"/>
        </w:rPr>
        <w:t>社会救助领域基层政务公开标准目录</w:t>
      </w:r>
      <w:bookmarkEnd w:id="11"/>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0"/>
        <w:gridCol w:w="613"/>
        <w:gridCol w:w="2101"/>
        <w:gridCol w:w="1604"/>
        <w:gridCol w:w="969"/>
        <w:gridCol w:w="1124"/>
        <w:gridCol w:w="2993"/>
        <w:gridCol w:w="514"/>
        <w:gridCol w:w="596"/>
        <w:gridCol w:w="579"/>
        <w:gridCol w:w="483"/>
        <w:gridCol w:w="463"/>
        <w:gridCol w:w="55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3.《河南省人民政府关于进一步做好城乡居民最低生活保障工作的意见》（豫政〔2013〕51号）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ascii="宋体" w:hAnsi="宋体" w:cs="宋体"/>
                <w:bCs/>
                <w:sz w:val="18"/>
                <w:szCs w:val="18"/>
              </w:rPr>
              <w:t>□</w:t>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2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2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2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《河南省人民政府关于印发河南省特困人员救助供养办法的通知》（豫政〔2016〕79号）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2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黄台岗镇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11"/>
      </w:pPr>
      <w:bookmarkStart w:id="12" w:name="_Toc29841"/>
      <w:r>
        <w:rPr>
          <w:rFonts w:hint="eastAsia"/>
          <w:lang w:eastAsia="zh-CN"/>
        </w:rPr>
        <w:t>黄台岗镇</w:t>
      </w:r>
      <w:r>
        <w:rPr>
          <w:rFonts w:hint="eastAsia"/>
        </w:rPr>
        <w:t>养老服务领域基层政务公开标准目录</w:t>
      </w:r>
      <w:bookmarkEnd w:id="12"/>
    </w:p>
    <w:tbl>
      <w:tblPr>
        <w:tblStyle w:val="12"/>
        <w:tblW w:w="5000" w:type="pct"/>
        <w:jc w:val="center"/>
        <w:tblLayout w:type="autofit"/>
        <w:tblCellMar>
          <w:top w:w="0" w:type="dxa"/>
          <w:left w:w="108" w:type="dxa"/>
          <w:bottom w:w="0" w:type="dxa"/>
          <w:right w:w="108" w:type="dxa"/>
        </w:tblCellMar>
      </w:tblPr>
      <w:tblGrid>
        <w:gridCol w:w="521"/>
        <w:gridCol w:w="664"/>
        <w:gridCol w:w="875"/>
        <w:gridCol w:w="2214"/>
        <w:gridCol w:w="2107"/>
        <w:gridCol w:w="938"/>
        <w:gridCol w:w="974"/>
        <w:gridCol w:w="2753"/>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w:t>
            </w:r>
            <w:r>
              <w:rPr>
                <w:rFonts w:hint="eastAsia" w:cs="宋体" w:asciiTheme="minorEastAsia" w:hAnsiTheme="minorEastAsia" w:eastAsiaTheme="minorEastAsia"/>
                <w:color w:val="000000"/>
                <w:kern w:val="0"/>
                <w:sz w:val="18"/>
                <w:szCs w:val="18"/>
              </w:rPr>
              <w:t>人民政府</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 xml:space="preserve">政府网站    □政府公报                                                                                                                                                                                                                ■两微一端    □发布会/听证会                                                                                                                                                                                              □广播电视    □纸质媒体                                                                                                                                                                                                   □公开查阅点  ■政务服务中心                                                                                                                                                                                                    </w:t>
            </w:r>
            <w:r>
              <w:rPr>
                <w:rFonts w:hint="eastAsia" w:ascii="宋体" w:hAnsi="宋体" w:cs="宋体"/>
                <w:bCs/>
                <w:sz w:val="18"/>
                <w:szCs w:val="18"/>
              </w:rPr>
              <w:t>□</w:t>
            </w:r>
            <w:r>
              <w:rPr>
                <w:rFonts w:hint="eastAsia" w:cs="宋体" w:asciiTheme="minorEastAsia" w:hAnsiTheme="minorEastAsia" w:eastAsiaTheme="minorEastAsia"/>
                <w:color w:val="000000"/>
                <w:kern w:val="0"/>
                <w:sz w:val="18"/>
                <w:szCs w:val="18"/>
              </w:rPr>
              <w:t>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r>
        <w:br w:type="page"/>
      </w:r>
    </w:p>
    <w:p>
      <w:pPr>
        <w:pStyle w:val="11"/>
      </w:pPr>
      <w:bookmarkStart w:id="13" w:name="_Toc26802"/>
      <w:r>
        <w:rPr>
          <w:rFonts w:hint="eastAsia"/>
          <w:lang w:eastAsia="zh-CN"/>
        </w:rPr>
        <w:t>黄台岗镇</w:t>
      </w:r>
      <w:r>
        <w:rPr>
          <w:rFonts w:hint="eastAsia"/>
        </w:rPr>
        <w:t>就业领域基层政务公开目录</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hint="eastAsia"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7"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4.3《就业创业证》申领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5.1.1开业补贴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5.1.2运营补贴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4"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5.1.3大众创业项目扶持</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4"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5.1.4创业孵化示范基地一次性奖补</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5.1.5孵化成果补贴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
      <w:pPr>
        <w:widowControl/>
        <w:jc w:val="left"/>
      </w:pPr>
      <w:r>
        <w:br w:type="page"/>
      </w:r>
    </w:p>
    <w:p>
      <w:pPr>
        <w:pStyle w:val="11"/>
        <w:rPr>
          <w:rFonts w:hint="eastAsia"/>
        </w:rPr>
      </w:pPr>
      <w:bookmarkStart w:id="14" w:name="_Toc18594"/>
      <w:r>
        <w:rPr>
          <w:rFonts w:hint="eastAsia"/>
          <w:lang w:eastAsia="zh-CN"/>
        </w:rPr>
        <w:t>黄台岗镇</w:t>
      </w:r>
      <w:r>
        <w:rPr>
          <w:rFonts w:hint="eastAsia"/>
        </w:rPr>
        <w:t>社会保险领域基层政务公开目录</w:t>
      </w:r>
      <w:bookmarkEnd w:id="1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655"/>
        <w:gridCol w:w="779"/>
        <w:gridCol w:w="726"/>
        <w:gridCol w:w="1793"/>
        <w:gridCol w:w="2841"/>
        <w:gridCol w:w="1132"/>
        <w:gridCol w:w="765"/>
        <w:gridCol w:w="2561"/>
        <w:gridCol w:w="407"/>
        <w:gridCol w:w="409"/>
        <w:gridCol w:w="407"/>
        <w:gridCol w:w="410"/>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7"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7"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1.1机关事业单位社会保险登记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1.2工程建设项目办理工伤保险参保登记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1.3参保单位注销</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1.4职工参保登记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1.5城乡居民养老保险参保登记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1.6企业社会保险登记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2.1单位（项目）基本信息变更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2.2个人基本信息变更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2.3养老保险待遇发放账户维护申请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2.4工伤保险待遇发放账户维护申请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2.5失业保险待遇发放账户维护申请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3.1缴费人员增减申报</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3.2社会保险缴费申报与变更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3.3社会保险费延缴申请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3.社会保险缴费申报</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3.4社会保险费欠费补缴申报</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3.5社会保险断缴补缴申报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4.1单位参保证明查询打印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4.2个人权益记录查询打印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5.1职工正常退休(职)申请</w:t>
            </w:r>
          </w:p>
        </w:tc>
        <w:tc>
          <w:tcPr>
            <w:tcW w:w="25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5.2城乡居民养老保险待遇申领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5.3暂停养老保险待遇申请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5.4恢复养老保险待遇申请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5.5个人账户一次性待遇申领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5.6丧葬补助金、抚恤金申领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5.7居民养老保险注销登记</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5.8城镇职工基本养老保险关系转移接续申请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3.《国务院办公厅关于转发人力资源社会保障部财政部城镇企业职工基本养老保险关系转移接续暂行办法的通知》（国办发﹝2009﹞66号）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5.9机关事业单位养老保险关系转移接续申请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5.10城乡居民基本养老保险关系转移接续申请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5.11机关事业单位基本养老保险与城镇企业职工基本养老保险互转申请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5.12城镇职工基本养老保险与城乡居民基本养老保险制度衔接申请  </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5.13军地养老保险关系转移接续申请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5.14多重养老保险关系个人账户退费</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3.《人力资源和社会保障部＜关于贯彻落实国务院办公厅转发城镇企业职工基本养老保险关系转移接续暂行办法的通知》（人社部发﹝2009﹞187号）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6.1工伤事故备案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6.2用人单位办理工伤登记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6.3变更工伤登记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6.4协议医疗机构的确认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6.5协议康复机构的确认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6.6辅助器具配置协议机构的确认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6.7异地居住就医申请确认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6.8旧伤复发申请确认</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6.9转诊转院申请确认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6.10工伤康复申请确认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6.11工伤康复治疗期延长申请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6.12辅助器具配置或更换申请</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6.13辅助器具异地配置申请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6.14停工留薪期确认和延长确认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6.15工伤医疗（康复）费用申报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6.16住院伙食补助费申领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6.17统筹地区以外交通、食宿费申领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6.18一次性工伤医疗补助金申请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6.19辅助器具配置（更换）费用申报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6.20伤残待遇申领（一次性伤残补助金、伤残津贴和生活护理费）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6.21一次性工亡补助金（含生活困难，预支50%确认）、丧葬补助金申领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6.22供养亲属抚恤金申领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6.23工伤保险待遇变更</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7.1失业保险金申领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7.2丧葬补助金和抚恤金申领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7.3职业培训补贴申领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7.4职业介绍补贴申领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7.5农民合同制工人一次性生活补助申领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7.6代缴基本医疗保险费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7.7价格临时补贴申领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7.9稳岗补贴申领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7.10技能提升补贴申领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8.1企业年金方案备案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8.2企业年金方案重要条款变更备案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8.3企业年金方案终止备案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9.1社会保障卡申领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9.2社会保障卡启用（含社会保障卡银行账户激活）</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9.3社会保障卡应用状态查询</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9.4社会保障卡信息变更（非关键信息）</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9.社会保障卡服务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9.5社会保障卡密码修改与重置</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9.6社会保障卡挂失与解挂</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9.7社会保障卡补换、换领、换发</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9.8社会保障卡注销</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黄台岗镇人民政府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rPr>
          <w:rFonts w:hint="eastAsia"/>
        </w:rPr>
      </w:pPr>
    </w:p>
    <w:sectPr>
      <w:pgSz w:w="16838" w:h="11906" w:orient="landscape"/>
      <w:pgMar w:top="1474" w:right="1247" w:bottom="1474" w:left="1701" w:header="1985" w:footer="1134" w:gutter="0"/>
      <w:pgNumType w:fmt="decimal"/>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68D2"/>
    <w:rsid w:val="00441589"/>
    <w:rsid w:val="004862D3"/>
    <w:rsid w:val="004F18CA"/>
    <w:rsid w:val="005121DB"/>
    <w:rsid w:val="00524CFF"/>
    <w:rsid w:val="005A2DB3"/>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B37486"/>
    <w:rsid w:val="00B44C29"/>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ED16EB"/>
    <w:rsid w:val="022C206A"/>
    <w:rsid w:val="02A60D8A"/>
    <w:rsid w:val="06553F55"/>
    <w:rsid w:val="067323FA"/>
    <w:rsid w:val="07D2322E"/>
    <w:rsid w:val="08EF74F7"/>
    <w:rsid w:val="0A8F75A1"/>
    <w:rsid w:val="0B084AAC"/>
    <w:rsid w:val="0CCD06E5"/>
    <w:rsid w:val="0DF21C20"/>
    <w:rsid w:val="10CB4D9E"/>
    <w:rsid w:val="11356859"/>
    <w:rsid w:val="113E6A80"/>
    <w:rsid w:val="1384398F"/>
    <w:rsid w:val="14C740AE"/>
    <w:rsid w:val="15431EBD"/>
    <w:rsid w:val="165508DF"/>
    <w:rsid w:val="18311D4F"/>
    <w:rsid w:val="1840460D"/>
    <w:rsid w:val="19DC58E2"/>
    <w:rsid w:val="1CCA34FA"/>
    <w:rsid w:val="1E972156"/>
    <w:rsid w:val="1F2A58FF"/>
    <w:rsid w:val="212B39E5"/>
    <w:rsid w:val="22244A61"/>
    <w:rsid w:val="2459233C"/>
    <w:rsid w:val="24A83A4A"/>
    <w:rsid w:val="26C54C83"/>
    <w:rsid w:val="28D557DC"/>
    <w:rsid w:val="2A597BF6"/>
    <w:rsid w:val="2B08617B"/>
    <w:rsid w:val="2B574FF6"/>
    <w:rsid w:val="2BD41710"/>
    <w:rsid w:val="2C1D3995"/>
    <w:rsid w:val="2C212270"/>
    <w:rsid w:val="2C6259B9"/>
    <w:rsid w:val="2D0D685B"/>
    <w:rsid w:val="2D11346C"/>
    <w:rsid w:val="315511C5"/>
    <w:rsid w:val="326710A5"/>
    <w:rsid w:val="32855598"/>
    <w:rsid w:val="332340F8"/>
    <w:rsid w:val="359F16AD"/>
    <w:rsid w:val="39B608EE"/>
    <w:rsid w:val="3A642DE9"/>
    <w:rsid w:val="3C005C81"/>
    <w:rsid w:val="3DEA624F"/>
    <w:rsid w:val="3E166C00"/>
    <w:rsid w:val="405829B9"/>
    <w:rsid w:val="42044F53"/>
    <w:rsid w:val="43A203CF"/>
    <w:rsid w:val="443C4368"/>
    <w:rsid w:val="44787E48"/>
    <w:rsid w:val="47EC7684"/>
    <w:rsid w:val="49A10FF7"/>
    <w:rsid w:val="4B0F3303"/>
    <w:rsid w:val="4C4C11A5"/>
    <w:rsid w:val="4C717DB1"/>
    <w:rsid w:val="4C925229"/>
    <w:rsid w:val="4D7A4FD4"/>
    <w:rsid w:val="4F076CFC"/>
    <w:rsid w:val="513375BE"/>
    <w:rsid w:val="52A02645"/>
    <w:rsid w:val="534F007A"/>
    <w:rsid w:val="55637454"/>
    <w:rsid w:val="55C317D4"/>
    <w:rsid w:val="56A319F1"/>
    <w:rsid w:val="56B50A95"/>
    <w:rsid w:val="5866635C"/>
    <w:rsid w:val="5BB00ED0"/>
    <w:rsid w:val="5ED95C76"/>
    <w:rsid w:val="5F4F1EDD"/>
    <w:rsid w:val="60840A2F"/>
    <w:rsid w:val="62546928"/>
    <w:rsid w:val="629027A2"/>
    <w:rsid w:val="649F25D7"/>
    <w:rsid w:val="64D80287"/>
    <w:rsid w:val="652706F3"/>
    <w:rsid w:val="674D2C12"/>
    <w:rsid w:val="68103CA5"/>
    <w:rsid w:val="68F407FC"/>
    <w:rsid w:val="6B3F749E"/>
    <w:rsid w:val="6B9C01FF"/>
    <w:rsid w:val="6BBC2A72"/>
    <w:rsid w:val="6DBB50B5"/>
    <w:rsid w:val="6F1D017B"/>
    <w:rsid w:val="713D3924"/>
    <w:rsid w:val="73DE6027"/>
    <w:rsid w:val="75445897"/>
    <w:rsid w:val="75463871"/>
    <w:rsid w:val="757E3C37"/>
    <w:rsid w:val="75FD3827"/>
    <w:rsid w:val="76A32406"/>
    <w:rsid w:val="76C73A76"/>
    <w:rsid w:val="776F154C"/>
    <w:rsid w:val="77884848"/>
    <w:rsid w:val="7ADF73EA"/>
    <w:rsid w:val="7B20068B"/>
    <w:rsid w:val="7BA664EA"/>
    <w:rsid w:val="7BF728A2"/>
    <w:rsid w:val="7C14005F"/>
    <w:rsid w:val="7C1703FE"/>
    <w:rsid w:val="7C7F513A"/>
    <w:rsid w:val="7CF443A7"/>
    <w:rsid w:val="7D1A2672"/>
    <w:rsid w:val="7E402845"/>
    <w:rsid w:val="7E8D1B3C"/>
    <w:rsid w:val="7FA64CEB"/>
    <w:rsid w:val="7FAE3F0E"/>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87898</Words>
  <Characters>501025</Characters>
  <Lines>4175</Lines>
  <Paragraphs>1175</Paragraphs>
  <TotalTime>49</TotalTime>
  <ScaleCrop>false</ScaleCrop>
  <LinksUpToDate>false</LinksUpToDate>
  <CharactersWithSpaces>587748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WPS_1528098489</cp:lastModifiedBy>
  <cp:lastPrinted>2020-11-10T02:51:00Z</cp:lastPrinted>
  <dcterms:modified xsi:type="dcterms:W3CDTF">2020-11-26T08:31:48Z</dcterms:modified>
  <dc:title>河南省试点领域基层政务公开标准目录汇编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