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2B" w:rsidRDefault="002855AB">
      <w:pPr>
        <w:pStyle w:val="a3"/>
        <w:widowControl/>
        <w:spacing w:line="540" w:lineRule="atLeast"/>
        <w:jc w:val="center"/>
        <w:rPr>
          <w:color w:val="333333"/>
        </w:rPr>
      </w:pPr>
      <w:bookmarkStart w:id="0" w:name="_GoBack"/>
      <w:bookmarkEnd w:id="0"/>
      <w:r>
        <w:rPr>
          <w:rFonts w:ascii="黑体" w:eastAsia="黑体" w:hAnsi="宋体" w:cs="黑体"/>
          <w:color w:val="333333"/>
          <w:sz w:val="44"/>
          <w:szCs w:val="44"/>
          <w:shd w:val="clear" w:color="auto" w:fill="FFFFFF"/>
        </w:rPr>
        <w:t>南</w:t>
      </w:r>
      <w:r w:rsidR="007A47F1">
        <w:rPr>
          <w:rFonts w:ascii="黑体" w:eastAsia="黑体" w:hAnsi="宋体" w:cs="黑体"/>
          <w:color w:val="333333"/>
          <w:sz w:val="44"/>
          <w:szCs w:val="44"/>
          <w:shd w:val="clear" w:color="auto" w:fill="FFFFFF"/>
        </w:rPr>
        <w:t>阳市</w:t>
      </w:r>
      <w:r w:rsidR="007A47F1">
        <w:rPr>
          <w:rFonts w:ascii="黑体" w:eastAsia="黑体" w:hAnsi="宋体" w:cs="黑体" w:hint="eastAsia"/>
          <w:color w:val="333333"/>
          <w:sz w:val="44"/>
          <w:szCs w:val="44"/>
          <w:shd w:val="clear" w:color="auto" w:fill="FFFFFF"/>
        </w:rPr>
        <w:t>宛城</w:t>
      </w:r>
      <w:r>
        <w:rPr>
          <w:rFonts w:ascii="黑体" w:eastAsia="黑体" w:hAnsi="宋体" w:cs="黑体"/>
          <w:color w:val="333333"/>
          <w:sz w:val="44"/>
          <w:szCs w:val="44"/>
          <w:shd w:val="clear" w:color="auto" w:fill="FFFFFF"/>
        </w:rPr>
        <w:t>区</w:t>
      </w:r>
      <w:r>
        <w:rPr>
          <w:rFonts w:ascii="黑体" w:eastAsia="黑体" w:hAnsi="宋体" w:cs="黑体" w:hint="eastAsia"/>
          <w:color w:val="333333"/>
          <w:sz w:val="44"/>
          <w:szCs w:val="44"/>
          <w:shd w:val="clear" w:color="auto" w:fill="FFFFFF"/>
        </w:rPr>
        <w:t>农村危房改造领域基层政务公开标准目录</w:t>
      </w:r>
    </w:p>
    <w:tbl>
      <w:tblPr>
        <w:tblW w:w="5000" w:type="pct"/>
        <w:jc w:val="center"/>
        <w:shd w:val="clear" w:color="auto" w:fill="FFFFFF"/>
        <w:tblCellMar>
          <w:top w:w="15" w:type="dxa"/>
          <w:left w:w="15" w:type="dxa"/>
          <w:bottom w:w="15" w:type="dxa"/>
          <w:right w:w="15" w:type="dxa"/>
        </w:tblCellMar>
        <w:tblLook w:val="04A0"/>
      </w:tblPr>
      <w:tblGrid>
        <w:gridCol w:w="403"/>
        <w:gridCol w:w="369"/>
        <w:gridCol w:w="479"/>
        <w:gridCol w:w="393"/>
        <w:gridCol w:w="1253"/>
        <w:gridCol w:w="2871"/>
        <w:gridCol w:w="927"/>
        <w:gridCol w:w="859"/>
        <w:gridCol w:w="3614"/>
        <w:gridCol w:w="422"/>
        <w:gridCol w:w="411"/>
        <w:gridCol w:w="457"/>
        <w:gridCol w:w="425"/>
        <w:gridCol w:w="393"/>
        <w:gridCol w:w="712"/>
      </w:tblGrid>
      <w:tr w:rsidR="00B53F2B">
        <w:trPr>
          <w:trHeight w:val="472"/>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序号</w:t>
            </w:r>
          </w:p>
        </w:tc>
        <w:tc>
          <w:tcPr>
            <w:tcW w:w="376" w:type="dxa"/>
            <w:vMerge w:val="restart"/>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过程</w:t>
            </w:r>
          </w:p>
        </w:tc>
        <w:tc>
          <w:tcPr>
            <w:tcW w:w="889" w:type="dxa"/>
            <w:gridSpan w:val="2"/>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公开事项</w:t>
            </w:r>
          </w:p>
        </w:tc>
        <w:tc>
          <w:tcPr>
            <w:tcW w:w="1286" w:type="dxa"/>
            <w:vMerge w:val="restart"/>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公开内容</w:t>
            </w:r>
            <w:r>
              <w:rPr>
                <w:rFonts w:ascii="宋体" w:eastAsia="宋体" w:hAnsi="宋体" w:cs="宋体" w:hint="eastAsia"/>
                <w:b/>
                <w:kern w:val="0"/>
                <w:sz w:val="18"/>
                <w:szCs w:val="18"/>
                <w:lang/>
              </w:rPr>
              <w:t xml:space="preserve"> </w:t>
            </w:r>
          </w:p>
        </w:tc>
        <w:tc>
          <w:tcPr>
            <w:tcW w:w="2967" w:type="dxa"/>
            <w:vMerge w:val="restart"/>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公开依据</w:t>
            </w:r>
          </w:p>
        </w:tc>
        <w:tc>
          <w:tcPr>
            <w:tcW w:w="948" w:type="dxa"/>
            <w:vMerge w:val="restart"/>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公开时限</w:t>
            </w:r>
          </w:p>
        </w:tc>
        <w:tc>
          <w:tcPr>
            <w:tcW w:w="884" w:type="dxa"/>
            <w:vMerge w:val="restart"/>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公开主体</w:t>
            </w:r>
          </w:p>
        </w:tc>
        <w:tc>
          <w:tcPr>
            <w:tcW w:w="3616" w:type="dxa"/>
            <w:vMerge w:val="restart"/>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spacing w:line="240" w:lineRule="atLeast"/>
              <w:jc w:val="left"/>
              <w:textAlignment w:val="center"/>
            </w:pPr>
            <w:r>
              <w:rPr>
                <w:rFonts w:ascii="宋体" w:eastAsia="宋体" w:hAnsi="宋体" w:cs="宋体" w:hint="eastAsia"/>
                <w:b/>
                <w:kern w:val="0"/>
                <w:sz w:val="18"/>
                <w:szCs w:val="18"/>
                <w:lang/>
              </w:rPr>
              <w:t>         </w:t>
            </w:r>
            <w:r>
              <w:rPr>
                <w:rFonts w:ascii="宋体" w:eastAsia="宋体" w:hAnsi="宋体" w:cs="宋体" w:hint="eastAsia"/>
                <w:b/>
                <w:kern w:val="0"/>
                <w:sz w:val="18"/>
                <w:szCs w:val="18"/>
                <w:lang/>
              </w:rPr>
              <w:t>公开渠道和载体</w:t>
            </w:r>
            <w:r>
              <w:rPr>
                <w:rFonts w:ascii="宋体" w:eastAsia="宋体" w:hAnsi="宋体" w:cs="宋体" w:hint="eastAsia"/>
                <w:b/>
                <w:kern w:val="0"/>
                <w:sz w:val="18"/>
                <w:szCs w:val="18"/>
                <w:lang/>
              </w:rPr>
              <w:t xml:space="preserve">               </w:t>
            </w:r>
            <w:r>
              <w:rPr>
                <w:rFonts w:ascii="宋体" w:eastAsia="宋体" w:hAnsi="宋体" w:cs="宋体" w:hint="eastAsia"/>
                <w:b/>
                <w:kern w:val="0"/>
                <w:sz w:val="18"/>
                <w:szCs w:val="18"/>
                <w:lang/>
              </w:rPr>
              <w:t>（“■”表示必选项，“□”表示可选项）</w:t>
            </w:r>
          </w:p>
        </w:tc>
        <w:tc>
          <w:tcPr>
            <w:tcW w:w="849" w:type="dxa"/>
            <w:gridSpan w:val="2"/>
            <w:tcBorders>
              <w:top w:val="single" w:sz="4" w:space="0" w:color="000000"/>
              <w:left w:val="nil"/>
              <w:bottom w:val="nil"/>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公开对象</w:t>
            </w:r>
          </w:p>
        </w:tc>
        <w:tc>
          <w:tcPr>
            <w:tcW w:w="900" w:type="dxa"/>
            <w:gridSpan w:val="2"/>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公开方式</w:t>
            </w:r>
          </w:p>
        </w:tc>
        <w:tc>
          <w:tcPr>
            <w:tcW w:w="1117" w:type="dxa"/>
            <w:gridSpan w:val="2"/>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公开层级</w:t>
            </w:r>
          </w:p>
        </w:tc>
      </w:tr>
      <w:tr w:rsidR="00B53F2B">
        <w:trPr>
          <w:trHeight w:val="543"/>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376" w:type="dxa"/>
            <w:vMerge/>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一级</w:t>
            </w:r>
            <w:r>
              <w:rPr>
                <w:rFonts w:ascii="宋体" w:eastAsia="宋体" w:hAnsi="宋体" w:cs="宋体" w:hint="eastAsia"/>
                <w:b/>
                <w:kern w:val="0"/>
                <w:sz w:val="18"/>
                <w:szCs w:val="18"/>
                <w:lang/>
              </w:rPr>
              <w:t xml:space="preserve"> </w:t>
            </w:r>
            <w:r>
              <w:rPr>
                <w:rFonts w:ascii="宋体" w:eastAsia="宋体" w:hAnsi="宋体" w:cs="宋体" w:hint="eastAsia"/>
                <w:b/>
                <w:kern w:val="0"/>
                <w:sz w:val="18"/>
                <w:szCs w:val="18"/>
                <w:lang/>
              </w:rPr>
              <w:t>事项</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二级事项</w:t>
            </w:r>
          </w:p>
        </w:tc>
        <w:tc>
          <w:tcPr>
            <w:tcW w:w="1286" w:type="dxa"/>
            <w:vMerge/>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2967" w:type="dxa"/>
            <w:vMerge/>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vMerge/>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884" w:type="dxa"/>
            <w:vMerge/>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3616" w:type="dxa"/>
            <w:vMerge/>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3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全社会</w:t>
            </w:r>
          </w:p>
        </w:tc>
        <w:tc>
          <w:tcPr>
            <w:tcW w:w="41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特定</w:t>
            </w:r>
            <w:r>
              <w:rPr>
                <w:rFonts w:ascii="宋体" w:eastAsia="宋体" w:hAnsi="宋体" w:cs="宋体" w:hint="eastAsia"/>
                <w:b/>
                <w:kern w:val="0"/>
                <w:sz w:val="18"/>
                <w:szCs w:val="18"/>
                <w:lang/>
              </w:rPr>
              <w:t xml:space="preserve"> </w:t>
            </w:r>
            <w:r>
              <w:rPr>
                <w:rFonts w:ascii="宋体" w:eastAsia="宋体" w:hAnsi="宋体" w:cs="宋体" w:hint="eastAsia"/>
                <w:b/>
                <w:kern w:val="0"/>
                <w:sz w:val="18"/>
                <w:szCs w:val="18"/>
                <w:lang/>
              </w:rPr>
              <w:t>群体</w:t>
            </w:r>
          </w:p>
        </w:tc>
        <w:tc>
          <w:tcPr>
            <w:tcW w:w="4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主动</w:t>
            </w:r>
          </w:p>
        </w:tc>
        <w:tc>
          <w:tcPr>
            <w:tcW w:w="433"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依申请</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县级</w:t>
            </w:r>
          </w:p>
        </w:tc>
        <w:tc>
          <w:tcPr>
            <w:tcW w:w="71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autoSpaceDE w:val="0"/>
              <w:spacing w:line="240" w:lineRule="exact"/>
              <w:jc w:val="center"/>
              <w:textAlignment w:val="center"/>
            </w:pPr>
            <w:r>
              <w:rPr>
                <w:rFonts w:ascii="宋体" w:eastAsia="宋体" w:hAnsi="宋体" w:cs="宋体" w:hint="eastAsia"/>
                <w:b/>
                <w:kern w:val="0"/>
                <w:sz w:val="18"/>
                <w:szCs w:val="18"/>
                <w:lang/>
              </w:rPr>
              <w:t>乡（镇）级</w:t>
            </w:r>
          </w:p>
        </w:tc>
      </w:tr>
      <w:tr w:rsidR="00B53F2B">
        <w:trPr>
          <w:trHeight w:val="216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1</w:t>
            </w:r>
          </w:p>
        </w:tc>
        <w:tc>
          <w:tcPr>
            <w:tcW w:w="376"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决策</w:t>
            </w:r>
          </w:p>
        </w:tc>
        <w:tc>
          <w:tcPr>
            <w:tcW w:w="48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部门</w:t>
            </w:r>
            <w:r>
              <w:rPr>
                <w:rFonts w:ascii="宋体" w:eastAsia="宋体" w:hAnsi="宋体" w:cs="宋体" w:hint="eastAsia"/>
                <w:kern w:val="0"/>
                <w:sz w:val="18"/>
                <w:szCs w:val="18"/>
                <w:lang/>
              </w:rPr>
              <w:br/>
            </w:r>
            <w:r>
              <w:rPr>
                <w:rFonts w:ascii="宋体" w:eastAsia="宋体" w:hAnsi="宋体" w:cs="宋体" w:hint="eastAsia"/>
                <w:kern w:val="0"/>
                <w:sz w:val="18"/>
                <w:szCs w:val="18"/>
                <w:lang/>
              </w:rPr>
              <w:t>文件</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农村危房改造相关文件</w:t>
            </w:r>
          </w:p>
        </w:tc>
        <w:tc>
          <w:tcPr>
            <w:tcW w:w="128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文件分类生成日期标题文号有效性关键词和具体内容等</w:t>
            </w:r>
          </w:p>
        </w:tc>
        <w:tc>
          <w:tcPr>
            <w:tcW w:w="2967"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《政府信息公开条例》</w:t>
            </w:r>
            <w:r>
              <w:rPr>
                <w:rFonts w:ascii="宋体" w:eastAsia="宋体" w:hAnsi="宋体" w:cs="宋体" w:hint="eastAsia"/>
                <w:kern w:val="0"/>
                <w:sz w:val="18"/>
                <w:szCs w:val="18"/>
                <w:lang/>
              </w:rPr>
              <w:br/>
            </w:r>
            <w:r>
              <w:rPr>
                <w:rFonts w:ascii="宋体" w:eastAsia="宋体" w:hAnsi="宋体" w:cs="宋体" w:hint="eastAsia"/>
                <w:kern w:val="0"/>
                <w:sz w:val="18"/>
                <w:szCs w:val="18"/>
                <w:lang/>
              </w:rPr>
              <w:t>《中共中央办公厅国务院办公厅印发〈关于全面推进政务公开工作的意见〉的通知》</w:t>
            </w:r>
            <w:r>
              <w:rPr>
                <w:rFonts w:ascii="宋体" w:eastAsia="宋体" w:hAnsi="宋体" w:cs="宋体" w:hint="eastAsia"/>
                <w:kern w:val="0"/>
                <w:sz w:val="18"/>
                <w:szCs w:val="18"/>
                <w:lang/>
              </w:rPr>
              <w:br/>
            </w:r>
            <w:r>
              <w:rPr>
                <w:rFonts w:ascii="宋体" w:eastAsia="宋体" w:hAnsi="宋体" w:cs="宋体" w:hint="eastAsia"/>
                <w:kern w:val="0"/>
                <w:sz w:val="18"/>
                <w:szCs w:val="18"/>
                <w:lang/>
              </w:rPr>
              <w:t>《中共中央办公厅</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国务院办公厅关于建立健全信息发布和政策解读机制的意见》</w:t>
            </w:r>
            <w:r>
              <w:rPr>
                <w:rFonts w:ascii="宋体" w:eastAsia="宋体" w:hAnsi="宋体" w:cs="宋体" w:hint="eastAsia"/>
                <w:kern w:val="0"/>
                <w:sz w:val="18"/>
                <w:szCs w:val="18"/>
                <w:lang/>
              </w:rPr>
              <w:br/>
            </w:r>
            <w:r>
              <w:rPr>
                <w:rFonts w:ascii="宋体" w:eastAsia="宋体" w:hAnsi="宋体" w:cs="宋体" w:hint="eastAsia"/>
                <w:kern w:val="0"/>
                <w:sz w:val="18"/>
                <w:szCs w:val="18"/>
                <w:lang/>
              </w:rPr>
              <w:t>《国务院办公厅印发〈关于全面推进政务公开工作的意见〉实施细则的通知》</w:t>
            </w:r>
          </w:p>
          <w:p w:rsidR="00B53F2B" w:rsidRDefault="002855AB">
            <w:pPr>
              <w:widowControl/>
              <w:jc w:val="left"/>
              <w:textAlignment w:val="center"/>
            </w:pPr>
            <w:r>
              <w:rPr>
                <w:rFonts w:ascii="宋体" w:eastAsia="宋体" w:hAnsi="宋体" w:cs="宋体" w:hint="eastAsia"/>
                <w:kern w:val="0"/>
                <w:sz w:val="18"/>
                <w:szCs w:val="18"/>
                <w:lang/>
              </w:rPr>
              <w:t>《河南省人民政府办公厅关于全面推进基层政务公开标准化规范化工作的通知》</w:t>
            </w:r>
          </w:p>
          <w:p w:rsidR="00B53F2B" w:rsidRDefault="002855AB">
            <w:pPr>
              <w:widowControl/>
              <w:jc w:val="left"/>
              <w:textAlignment w:val="center"/>
            </w:pPr>
            <w:r>
              <w:rPr>
                <w:rFonts w:ascii="宋体" w:eastAsia="宋体" w:hAnsi="宋体" w:cs="宋体" w:hint="eastAsia"/>
                <w:kern w:val="0"/>
                <w:sz w:val="18"/>
                <w:szCs w:val="18"/>
                <w:lang/>
              </w:rPr>
              <w:t>《南阳市人民政府办公室转发河南</w:t>
            </w:r>
            <w:r>
              <w:rPr>
                <w:rFonts w:ascii="宋体" w:eastAsia="宋体" w:hAnsi="宋体" w:cs="宋体" w:hint="eastAsia"/>
                <w:kern w:val="0"/>
                <w:sz w:val="18"/>
                <w:szCs w:val="18"/>
                <w:lang/>
              </w:rPr>
              <w:lastRenderedPageBreak/>
              <w:t>省人民政府办公厅关于全面推进基层政务公开标准化规范化工作的通知》</w:t>
            </w:r>
          </w:p>
        </w:tc>
        <w:tc>
          <w:tcPr>
            <w:tcW w:w="948"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lastRenderedPageBreak/>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住房和城乡建设等相关职能部门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22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2</w:t>
            </w:r>
          </w:p>
        </w:tc>
        <w:tc>
          <w:tcPr>
            <w:tcW w:w="376"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政策</w:t>
            </w:r>
            <w:r>
              <w:rPr>
                <w:rFonts w:ascii="宋体" w:eastAsia="宋体" w:hAnsi="宋体" w:cs="宋体" w:hint="eastAsia"/>
                <w:kern w:val="0"/>
                <w:sz w:val="18"/>
                <w:szCs w:val="18"/>
                <w:lang/>
              </w:rPr>
              <w:br/>
            </w:r>
            <w:r>
              <w:rPr>
                <w:rFonts w:ascii="宋体" w:eastAsia="宋体" w:hAnsi="宋体" w:cs="宋体" w:hint="eastAsia"/>
                <w:kern w:val="0"/>
                <w:sz w:val="18"/>
                <w:szCs w:val="18"/>
                <w:lang/>
              </w:rPr>
              <w:t>解读</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上级政策解读</w:t>
            </w:r>
          </w:p>
        </w:tc>
        <w:tc>
          <w:tcPr>
            <w:tcW w:w="1286"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着重解读政策措施的背景依据目标任务主要内容涉及范围执行标准，以及注意事项关键词诠释惠民</w:t>
            </w:r>
            <w:r>
              <w:rPr>
                <w:rFonts w:ascii="宋体" w:eastAsia="宋体" w:hAnsi="宋体" w:cs="宋体" w:hint="eastAsia"/>
                <w:kern w:val="0"/>
                <w:sz w:val="18"/>
                <w:szCs w:val="18"/>
                <w:lang/>
              </w:rPr>
              <w:lastRenderedPageBreak/>
              <w:t>利民举措新旧政策差异等</w:t>
            </w:r>
          </w:p>
        </w:tc>
        <w:tc>
          <w:tcPr>
            <w:tcW w:w="2967"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住房和城乡建设等相关职能部门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20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lastRenderedPageBreak/>
              <w:t>3</w:t>
            </w:r>
          </w:p>
        </w:tc>
        <w:tc>
          <w:tcPr>
            <w:tcW w:w="376"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本级政策解读</w:t>
            </w:r>
          </w:p>
        </w:tc>
        <w:tc>
          <w:tcPr>
            <w:tcW w:w="1286"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2967"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住房和城乡建设等相关职能部门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4460"/>
          <w:jc w:val="center"/>
        </w:trPr>
        <w:tc>
          <w:tcPr>
            <w:tcW w:w="411" w:type="dxa"/>
            <w:tcBorders>
              <w:top w:val="nil"/>
              <w:left w:val="single" w:sz="8" w:space="0" w:color="000000"/>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lastRenderedPageBreak/>
              <w:t>4</w:t>
            </w:r>
          </w:p>
        </w:tc>
        <w:tc>
          <w:tcPr>
            <w:tcW w:w="376" w:type="dxa"/>
            <w:vMerge w:val="restart"/>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执行</w:t>
            </w:r>
          </w:p>
        </w:tc>
        <w:tc>
          <w:tcPr>
            <w:tcW w:w="489" w:type="dxa"/>
            <w:vMerge w:val="restart"/>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计划实施</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任务分配</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及时公开农村危房改造补助农户名单</w:t>
            </w:r>
          </w:p>
        </w:tc>
        <w:tc>
          <w:tcPr>
            <w:tcW w:w="29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《住房城乡建设部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财政部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国务院扶贫办关于加强和完善建档立卡贫困户等重点对象农村危房改造若干问题的通知》等</w:t>
            </w: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分配结果确定后</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住房和城乡建设等相关职能部门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w:t>
            </w:r>
          </w:p>
        </w:tc>
      </w:tr>
      <w:tr w:rsidR="00B53F2B">
        <w:trPr>
          <w:trHeight w:val="314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lastRenderedPageBreak/>
              <w:t>5</w:t>
            </w:r>
          </w:p>
        </w:tc>
        <w:tc>
          <w:tcPr>
            <w:tcW w:w="376"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组织培训</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组织开</w:t>
            </w:r>
            <w:r>
              <w:rPr>
                <w:rFonts w:ascii="宋体" w:eastAsia="宋体" w:hAnsi="宋体" w:cs="宋体" w:hint="eastAsia"/>
                <w:kern w:val="0"/>
                <w:sz w:val="18"/>
                <w:szCs w:val="18"/>
                <w:lang/>
              </w:rPr>
              <w:t>展农村建筑工匠培训文件</w:t>
            </w:r>
          </w:p>
        </w:tc>
        <w:tc>
          <w:tcPr>
            <w:tcW w:w="29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br/>
            </w:r>
            <w:r>
              <w:rPr>
                <w:rFonts w:ascii="宋体" w:eastAsia="宋体" w:hAnsi="宋体" w:cs="宋体" w:hint="eastAsia"/>
                <w:kern w:val="0"/>
                <w:sz w:val="18"/>
                <w:szCs w:val="18"/>
                <w:lang/>
              </w:rPr>
              <w:t>《住房城乡建设部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财政部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国务院扶贫办关于决战决胜脱贫攻坚进一步做好农村危房改造的通知》</w:t>
            </w: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w:t>
            </w:r>
          </w:p>
        </w:tc>
      </w:tr>
      <w:tr w:rsidR="00B53F2B">
        <w:trPr>
          <w:trHeight w:val="212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6</w:t>
            </w:r>
          </w:p>
        </w:tc>
        <w:tc>
          <w:tcPr>
            <w:tcW w:w="376" w:type="dxa"/>
            <w:vMerge w:val="restart"/>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spacing w:after="180"/>
              <w:jc w:val="center"/>
              <w:textAlignment w:val="center"/>
            </w:pPr>
            <w:r>
              <w:rPr>
                <w:rFonts w:ascii="宋体" w:eastAsia="宋体" w:hAnsi="宋体" w:cs="宋体" w:hint="eastAsia"/>
                <w:kern w:val="0"/>
                <w:sz w:val="18"/>
                <w:szCs w:val="18"/>
                <w:lang/>
              </w:rPr>
              <w:t>管理</w:t>
            </w:r>
          </w:p>
        </w:tc>
        <w:tc>
          <w:tcPr>
            <w:tcW w:w="489" w:type="dxa"/>
            <w:vMerge w:val="restart"/>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条件与标准</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农村危房等级评定标准</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农村危房等级评定相关标准</w:t>
            </w:r>
          </w:p>
        </w:tc>
        <w:tc>
          <w:tcPr>
            <w:tcW w:w="2967"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spacing w:after="180"/>
              <w:jc w:val="left"/>
              <w:textAlignment w:val="center"/>
            </w:pPr>
            <w:r>
              <w:rPr>
                <w:rFonts w:ascii="宋体" w:eastAsia="宋体" w:hAnsi="宋体" w:cs="宋体" w:hint="eastAsia"/>
                <w:kern w:val="0"/>
                <w:sz w:val="18"/>
                <w:szCs w:val="18"/>
                <w:lang/>
              </w:rPr>
              <w:br/>
            </w:r>
            <w:r>
              <w:rPr>
                <w:rFonts w:ascii="宋体" w:eastAsia="宋体" w:hAnsi="宋体" w:cs="宋体" w:hint="eastAsia"/>
                <w:kern w:val="0"/>
                <w:sz w:val="18"/>
                <w:szCs w:val="18"/>
                <w:lang/>
              </w:rPr>
              <w:t>《中华人民共和国预算法》</w:t>
            </w:r>
            <w:r>
              <w:rPr>
                <w:rFonts w:ascii="宋体" w:eastAsia="宋体" w:hAnsi="宋体" w:cs="宋体" w:hint="eastAsia"/>
                <w:kern w:val="0"/>
                <w:sz w:val="18"/>
                <w:szCs w:val="18"/>
                <w:lang/>
              </w:rPr>
              <w:br/>
            </w:r>
            <w:r>
              <w:rPr>
                <w:rFonts w:ascii="宋体" w:eastAsia="宋体" w:hAnsi="宋体" w:cs="宋体" w:hint="eastAsia"/>
                <w:kern w:val="0"/>
                <w:sz w:val="18"/>
                <w:szCs w:val="18"/>
                <w:lang/>
              </w:rPr>
              <w:t>《政府信息公开条例》</w:t>
            </w:r>
            <w:r>
              <w:rPr>
                <w:rFonts w:ascii="宋体" w:eastAsia="宋体" w:hAnsi="宋体" w:cs="宋体" w:hint="eastAsia"/>
                <w:kern w:val="0"/>
                <w:sz w:val="18"/>
                <w:szCs w:val="18"/>
                <w:lang/>
              </w:rPr>
              <w:br/>
            </w:r>
            <w:r>
              <w:rPr>
                <w:rFonts w:ascii="宋体" w:eastAsia="宋体" w:hAnsi="宋体" w:cs="宋体" w:hint="eastAsia"/>
                <w:kern w:val="0"/>
                <w:sz w:val="18"/>
                <w:szCs w:val="18"/>
                <w:lang/>
              </w:rPr>
              <w:t>《住房城乡建设部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财政部关于印发农村危房改造脱贫攻坚三年行动方案的通知》</w:t>
            </w:r>
            <w:r>
              <w:rPr>
                <w:rFonts w:ascii="宋体" w:eastAsia="宋体" w:hAnsi="宋体" w:cs="宋体" w:hint="eastAsia"/>
                <w:kern w:val="0"/>
                <w:sz w:val="18"/>
                <w:szCs w:val="18"/>
                <w:lang/>
              </w:rPr>
              <w:br/>
            </w:r>
            <w:r>
              <w:rPr>
                <w:rFonts w:ascii="宋体" w:eastAsia="宋体" w:hAnsi="宋体" w:cs="宋体" w:hint="eastAsia"/>
                <w:kern w:val="0"/>
                <w:sz w:val="18"/>
                <w:szCs w:val="18"/>
                <w:lang/>
              </w:rPr>
              <w:t>《住房城乡建设部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财政部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国务院扶贫办关于加强和完善建档立卡贫困户等重点对象农村危房改</w:t>
            </w:r>
            <w:r>
              <w:rPr>
                <w:rFonts w:ascii="宋体" w:eastAsia="宋体" w:hAnsi="宋体" w:cs="宋体" w:hint="eastAsia"/>
                <w:kern w:val="0"/>
                <w:sz w:val="18"/>
                <w:szCs w:val="18"/>
                <w:lang/>
              </w:rPr>
              <w:t>造若干问题的通知》等</w:t>
            </w: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46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7</w:t>
            </w:r>
          </w:p>
        </w:tc>
        <w:tc>
          <w:tcPr>
            <w:tcW w:w="376"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农村危房改造对象申请条件</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农村危房改造农户申请条件</w:t>
            </w:r>
          </w:p>
        </w:tc>
        <w:tc>
          <w:tcPr>
            <w:tcW w:w="2967"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住房和城乡建设等相关职能部门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w:t>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44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lastRenderedPageBreak/>
              <w:t>8</w:t>
            </w:r>
          </w:p>
        </w:tc>
        <w:tc>
          <w:tcPr>
            <w:tcW w:w="376"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农村危房改造资金补助标准</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农村危房改造资金补助标准</w:t>
            </w:r>
          </w:p>
        </w:tc>
        <w:tc>
          <w:tcPr>
            <w:tcW w:w="2967"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住房和城乡建设部门财政等部门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w:t>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34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9</w:t>
            </w:r>
          </w:p>
        </w:tc>
        <w:tc>
          <w:tcPr>
            <w:tcW w:w="376" w:type="dxa"/>
            <w:vMerge w:val="restart"/>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spacing w:after="180"/>
              <w:jc w:val="center"/>
              <w:textAlignment w:val="center"/>
            </w:pPr>
            <w:r>
              <w:rPr>
                <w:rFonts w:ascii="宋体" w:eastAsia="宋体" w:hAnsi="宋体" w:cs="宋体" w:hint="eastAsia"/>
                <w:kern w:val="0"/>
                <w:sz w:val="18"/>
                <w:szCs w:val="18"/>
                <w:lang/>
              </w:rPr>
              <w:t>管理</w:t>
            </w:r>
          </w:p>
        </w:tc>
        <w:tc>
          <w:tcPr>
            <w:tcW w:w="48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条件与标准</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农村危房改造竣工合格标准</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农村危房改造竣工验收要求</w:t>
            </w:r>
          </w:p>
        </w:tc>
        <w:tc>
          <w:tcPr>
            <w:tcW w:w="2967"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《住房城乡建设部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财政部关于印发农村危房改造脱贫攻坚三年行动方案的通知》</w:t>
            </w:r>
            <w:r>
              <w:rPr>
                <w:rFonts w:ascii="宋体" w:eastAsia="宋体" w:hAnsi="宋体" w:cs="宋体" w:hint="eastAsia"/>
                <w:kern w:val="0"/>
                <w:sz w:val="18"/>
                <w:szCs w:val="18"/>
                <w:lang/>
              </w:rPr>
              <w:br/>
            </w:r>
            <w:r>
              <w:rPr>
                <w:rFonts w:ascii="宋体" w:eastAsia="宋体" w:hAnsi="宋体" w:cs="宋体" w:hint="eastAsia"/>
                <w:kern w:val="0"/>
                <w:sz w:val="18"/>
                <w:szCs w:val="18"/>
                <w:lang/>
              </w:rPr>
              <w:t>《住房城乡建设部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财政部</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国务院扶贫办关于加强和完善建档立卡贫困户等重点对象农村危房改造若干问题的通知》等</w:t>
            </w: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40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10</w:t>
            </w:r>
          </w:p>
        </w:tc>
        <w:tc>
          <w:tcPr>
            <w:tcW w:w="376"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vMerge w:val="restart"/>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对象认定</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危改户认定程序</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农村危房改造申请程序</w:t>
            </w:r>
          </w:p>
        </w:tc>
        <w:tc>
          <w:tcPr>
            <w:tcW w:w="2967"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县级住房和城乡建设部门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28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lastRenderedPageBreak/>
              <w:t>11</w:t>
            </w:r>
          </w:p>
        </w:tc>
        <w:tc>
          <w:tcPr>
            <w:tcW w:w="376"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认定结果</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认定结果</w:t>
            </w:r>
          </w:p>
        </w:tc>
        <w:tc>
          <w:tcPr>
            <w:tcW w:w="2967"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乡镇人民政府村委会</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820"/>
          <w:jc w:val="center"/>
        </w:trPr>
        <w:tc>
          <w:tcPr>
            <w:tcW w:w="411" w:type="dxa"/>
            <w:tcBorders>
              <w:top w:val="nil"/>
              <w:left w:val="single" w:sz="8" w:space="0" w:color="000000"/>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12</w:t>
            </w:r>
          </w:p>
        </w:tc>
        <w:tc>
          <w:tcPr>
            <w:tcW w:w="37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管理</w:t>
            </w:r>
          </w:p>
        </w:tc>
        <w:tc>
          <w:tcPr>
            <w:tcW w:w="48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预算管理</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预算编制和执行情况</w:t>
            </w:r>
          </w:p>
        </w:tc>
        <w:tc>
          <w:tcPr>
            <w:tcW w:w="1286"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预算预算调整决算预算执行情况的报告及报表有关内容，部门预算决算及报表有关内容</w:t>
            </w:r>
          </w:p>
        </w:tc>
        <w:tc>
          <w:tcPr>
            <w:tcW w:w="29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《中华人民共和国预算法》</w:t>
            </w:r>
            <w:r>
              <w:rPr>
                <w:rFonts w:ascii="宋体" w:eastAsia="宋体" w:hAnsi="宋体" w:cs="宋体" w:hint="eastAsia"/>
                <w:kern w:val="0"/>
                <w:sz w:val="18"/>
                <w:szCs w:val="18"/>
                <w:lang/>
              </w:rPr>
              <w:br/>
            </w:r>
            <w:r>
              <w:rPr>
                <w:rFonts w:ascii="宋体" w:eastAsia="宋体" w:hAnsi="宋体" w:cs="宋体" w:hint="eastAsia"/>
                <w:kern w:val="0"/>
                <w:sz w:val="18"/>
                <w:szCs w:val="18"/>
                <w:lang/>
              </w:rPr>
              <w:t>《政府信息公开条例》</w:t>
            </w:r>
          </w:p>
        </w:tc>
        <w:tc>
          <w:tcPr>
            <w:tcW w:w="948"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经县级人民代表大会人民代表大会常务委员会批准或财政部门批复后</w:t>
            </w:r>
            <w:r>
              <w:rPr>
                <w:rFonts w:ascii="宋体" w:eastAsia="宋体" w:hAnsi="宋体" w:cs="宋体" w:hint="eastAsia"/>
                <w:kern w:val="0"/>
                <w:sz w:val="18"/>
                <w:szCs w:val="18"/>
                <w:lang/>
              </w:rPr>
              <w:t>20</w:t>
            </w:r>
            <w:r>
              <w:rPr>
                <w:rFonts w:ascii="宋体" w:eastAsia="宋体" w:hAnsi="宋体" w:cs="宋体" w:hint="eastAsia"/>
                <w:kern w:val="0"/>
                <w:sz w:val="18"/>
                <w:szCs w:val="18"/>
                <w:lang/>
              </w:rPr>
              <w:t>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县级财政住房和城乡建设部门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w:t>
            </w:r>
            <w:r>
              <w:rPr>
                <w:rFonts w:ascii="宋体" w:eastAsia="宋体" w:hAnsi="宋体" w:cs="宋体" w:hint="eastAsia"/>
                <w:kern w:val="0"/>
                <w:sz w:val="18"/>
                <w:szCs w:val="18"/>
                <w:lang/>
              </w:rPr>
              <w:t>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r>
      <w:tr w:rsidR="00B53F2B">
        <w:trPr>
          <w:trHeight w:val="2400"/>
          <w:jc w:val="center"/>
        </w:trPr>
        <w:tc>
          <w:tcPr>
            <w:tcW w:w="411" w:type="dxa"/>
            <w:tcBorders>
              <w:top w:val="nil"/>
              <w:left w:val="single" w:sz="8" w:space="0" w:color="000000"/>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13</w:t>
            </w:r>
          </w:p>
        </w:tc>
        <w:tc>
          <w:tcPr>
            <w:tcW w:w="376" w:type="dxa"/>
            <w:vMerge w:val="restart"/>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结果</w:t>
            </w:r>
          </w:p>
        </w:tc>
        <w:tc>
          <w:tcPr>
            <w:tcW w:w="48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决策部署</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决策部署落实情况</w:t>
            </w:r>
          </w:p>
        </w:tc>
        <w:tc>
          <w:tcPr>
            <w:tcW w:w="128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决策部署落实情况等</w:t>
            </w:r>
          </w:p>
        </w:tc>
        <w:tc>
          <w:tcPr>
            <w:tcW w:w="2967"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《中共中央办公厅国务院办公厅印发〈关于全面推进政务公开工作的意见〉的通知》</w:t>
            </w:r>
            <w:r>
              <w:rPr>
                <w:rFonts w:ascii="宋体" w:eastAsia="宋体" w:hAnsi="宋体" w:cs="宋体" w:hint="eastAsia"/>
                <w:kern w:val="0"/>
                <w:sz w:val="18"/>
                <w:szCs w:val="18"/>
                <w:lang/>
              </w:rPr>
              <w:br/>
            </w:r>
            <w:r>
              <w:rPr>
                <w:rFonts w:ascii="宋体" w:eastAsia="宋体" w:hAnsi="宋体" w:cs="宋体" w:hint="eastAsia"/>
                <w:kern w:val="0"/>
                <w:sz w:val="18"/>
                <w:szCs w:val="18"/>
                <w:lang/>
              </w:rPr>
              <w:t>《国务院办公厅印发〈关于全面推进政务公开工作的意见〉实施细则的通知》</w:t>
            </w:r>
          </w:p>
        </w:tc>
        <w:tc>
          <w:tcPr>
            <w:tcW w:w="948"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100"/>
          <w:jc w:val="center"/>
        </w:trPr>
        <w:tc>
          <w:tcPr>
            <w:tcW w:w="411" w:type="dxa"/>
            <w:tcBorders>
              <w:top w:val="nil"/>
              <w:left w:val="single" w:sz="8" w:space="0" w:color="000000"/>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lastRenderedPageBreak/>
              <w:t>14</w:t>
            </w:r>
          </w:p>
        </w:tc>
        <w:tc>
          <w:tcPr>
            <w:tcW w:w="376" w:type="dxa"/>
            <w:vMerge/>
            <w:tcBorders>
              <w:top w:val="nil"/>
              <w:left w:val="nil"/>
              <w:bottom w:val="single" w:sz="8" w:space="0" w:color="000000"/>
              <w:right w:val="single" w:sz="8"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年度任务实施</w:t>
            </w:r>
          </w:p>
        </w:tc>
        <w:tc>
          <w:tcPr>
            <w:tcW w:w="400" w:type="dxa"/>
            <w:tcBorders>
              <w:top w:val="nil"/>
              <w:left w:val="nil"/>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年度任务执行情况</w:t>
            </w:r>
          </w:p>
        </w:tc>
        <w:tc>
          <w:tcPr>
            <w:tcW w:w="128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年度工作完成情况等</w:t>
            </w:r>
          </w:p>
        </w:tc>
        <w:tc>
          <w:tcPr>
            <w:tcW w:w="2967"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住房和城乡建设部门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400"/>
          <w:jc w:val="center"/>
        </w:trPr>
        <w:tc>
          <w:tcPr>
            <w:tcW w:w="411" w:type="dxa"/>
            <w:tcBorders>
              <w:top w:val="nil"/>
              <w:left w:val="single" w:sz="8" w:space="0" w:color="000000"/>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15</w:t>
            </w:r>
          </w:p>
        </w:tc>
        <w:tc>
          <w:tcPr>
            <w:tcW w:w="376"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回应关切</w:t>
            </w:r>
          </w:p>
        </w:tc>
        <w:tc>
          <w:tcPr>
            <w:tcW w:w="489"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舆情收集热点及关键问题回应</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舆情收集回应</w:t>
            </w:r>
          </w:p>
        </w:tc>
        <w:tc>
          <w:tcPr>
            <w:tcW w:w="128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接受投诉咨询建议等联系电话通信地址等</w:t>
            </w:r>
          </w:p>
        </w:tc>
        <w:tc>
          <w:tcPr>
            <w:tcW w:w="2967" w:type="dxa"/>
            <w:vMerge w:val="restart"/>
            <w:tcBorders>
              <w:top w:val="nil"/>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《政府信息公开条例》</w:t>
            </w:r>
            <w:r>
              <w:rPr>
                <w:rFonts w:ascii="宋体" w:eastAsia="宋体" w:hAnsi="宋体" w:cs="宋体" w:hint="eastAsia"/>
                <w:kern w:val="0"/>
                <w:sz w:val="18"/>
                <w:szCs w:val="18"/>
                <w:lang/>
              </w:rPr>
              <w:br/>
            </w:r>
            <w:r>
              <w:rPr>
                <w:rFonts w:ascii="宋体" w:eastAsia="宋体" w:hAnsi="宋体" w:cs="宋体" w:hint="eastAsia"/>
                <w:kern w:val="0"/>
                <w:sz w:val="18"/>
                <w:szCs w:val="18"/>
                <w:lang/>
              </w:rPr>
              <w:t>《中共中央办公厅国务院办公厅印发〈关于全面推进政务公开工作的意见〉的通知》</w:t>
            </w:r>
            <w:r>
              <w:rPr>
                <w:rFonts w:ascii="宋体" w:eastAsia="宋体" w:hAnsi="宋体" w:cs="宋体" w:hint="eastAsia"/>
                <w:kern w:val="0"/>
                <w:sz w:val="18"/>
                <w:szCs w:val="18"/>
                <w:lang/>
              </w:rPr>
              <w:br/>
            </w:r>
            <w:r>
              <w:rPr>
                <w:rFonts w:ascii="宋体" w:eastAsia="宋体" w:hAnsi="宋体" w:cs="宋体" w:hint="eastAsia"/>
                <w:kern w:val="0"/>
                <w:sz w:val="18"/>
                <w:szCs w:val="18"/>
                <w:lang/>
              </w:rPr>
              <w:t>《国务院办公厅印发〈关于全面推进政务公开工作的意见〉实施细则的通知》</w:t>
            </w:r>
          </w:p>
        </w:tc>
        <w:tc>
          <w:tcPr>
            <w:tcW w:w="948"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信息形成之日起</w:t>
            </w:r>
            <w:r>
              <w:rPr>
                <w:rFonts w:ascii="宋体" w:eastAsia="宋体" w:hAnsi="宋体" w:cs="宋体" w:hint="eastAsia"/>
                <w:kern w:val="0"/>
                <w:sz w:val="18"/>
                <w:szCs w:val="18"/>
                <w:lang/>
              </w:rPr>
              <w:t>20</w:t>
            </w:r>
            <w:r>
              <w:rPr>
                <w:rFonts w:ascii="宋体" w:eastAsia="宋体" w:hAnsi="宋体" w:cs="宋体" w:hint="eastAsia"/>
                <w:kern w:val="0"/>
                <w:sz w:val="18"/>
                <w:szCs w:val="18"/>
                <w:lang/>
              </w:rPr>
              <w:t>个工作日内</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市县级住房和城乡建设等相关职能部门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71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r w:rsidR="00B53F2B">
        <w:trPr>
          <w:trHeight w:val="2340"/>
          <w:jc w:val="center"/>
        </w:trPr>
        <w:tc>
          <w:tcPr>
            <w:tcW w:w="411" w:type="dxa"/>
            <w:tcBorders>
              <w:top w:val="nil"/>
              <w:left w:val="single" w:sz="8" w:space="0" w:color="000000"/>
              <w:bottom w:val="single" w:sz="8" w:space="0" w:color="000000"/>
              <w:right w:val="single" w:sz="8"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16</w:t>
            </w:r>
          </w:p>
        </w:tc>
        <w:tc>
          <w:tcPr>
            <w:tcW w:w="376"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89"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互动回应</w:t>
            </w:r>
          </w:p>
        </w:tc>
        <w:tc>
          <w:tcPr>
            <w:tcW w:w="128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涉及群众切身利益和舆论关注的焦点热点及关键问题等回应内容</w:t>
            </w:r>
          </w:p>
        </w:tc>
        <w:tc>
          <w:tcPr>
            <w:tcW w:w="2967" w:type="dxa"/>
            <w:vMerge/>
            <w:tcBorders>
              <w:top w:val="nil"/>
              <w:left w:val="nil"/>
              <w:bottom w:val="single" w:sz="4" w:space="0" w:color="000000"/>
              <w:right w:val="single" w:sz="4" w:space="0" w:color="000000"/>
            </w:tcBorders>
            <w:shd w:val="clear" w:color="auto" w:fill="FFFFFF"/>
            <w:tcMar>
              <w:bottom w:w="0" w:type="dxa"/>
            </w:tcMar>
            <w:vAlign w:val="center"/>
          </w:tcPr>
          <w:p w:rsidR="00B53F2B" w:rsidRDefault="00B53F2B">
            <w:pPr>
              <w:jc w:val="center"/>
              <w:rPr>
                <w:rFonts w:ascii="微软雅黑" w:eastAsia="微软雅黑" w:hAnsi="微软雅黑" w:cs="微软雅黑"/>
                <w:color w:val="666699"/>
                <w:szCs w:val="21"/>
              </w:rPr>
            </w:pPr>
          </w:p>
        </w:tc>
        <w:tc>
          <w:tcPr>
            <w:tcW w:w="948"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及时发布信息；对涉及重大舆情的，要快速反应，并根据工作进展情况，持续发布信息。</w:t>
            </w:r>
          </w:p>
        </w:tc>
        <w:tc>
          <w:tcPr>
            <w:tcW w:w="884"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辖区政府县级住房和城乡建设等相关职能部门</w:t>
            </w:r>
          </w:p>
        </w:tc>
        <w:tc>
          <w:tcPr>
            <w:tcW w:w="3616"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left"/>
              <w:textAlignment w:val="center"/>
            </w:pPr>
            <w:r>
              <w:rPr>
                <w:rFonts w:ascii="宋体" w:eastAsia="宋体" w:hAnsi="宋体" w:cs="宋体" w:hint="eastAsia"/>
                <w:kern w:val="0"/>
                <w:sz w:val="18"/>
                <w:szCs w:val="18"/>
                <w:lang/>
              </w:rPr>
              <w:t>■政府网站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□政府公报</w:t>
            </w:r>
            <w:r>
              <w:rPr>
                <w:rFonts w:ascii="宋体" w:eastAsia="宋体" w:hAnsi="宋体" w:cs="宋体" w:hint="eastAsia"/>
                <w:kern w:val="0"/>
                <w:sz w:val="18"/>
                <w:szCs w:val="18"/>
                <w:lang/>
              </w:rPr>
              <w:br/>
            </w:r>
            <w:r>
              <w:rPr>
                <w:rFonts w:ascii="宋体" w:eastAsia="宋体" w:hAnsi="宋体" w:cs="宋体" w:hint="eastAsia"/>
                <w:kern w:val="0"/>
                <w:sz w:val="18"/>
                <w:szCs w:val="18"/>
                <w:lang/>
              </w:rPr>
              <w:t>□两微一端</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□发</w:t>
            </w:r>
            <w:r>
              <w:rPr>
                <w:rFonts w:ascii="宋体" w:eastAsia="宋体" w:hAnsi="宋体" w:cs="宋体" w:hint="eastAsia"/>
                <w:kern w:val="0"/>
                <w:sz w:val="18"/>
                <w:szCs w:val="18"/>
                <w:lang/>
              </w:rPr>
              <w:t>布会</w:t>
            </w:r>
            <w:r>
              <w:rPr>
                <w:rFonts w:ascii="宋体" w:eastAsia="宋体" w:hAnsi="宋体" w:cs="宋体" w:hint="eastAsia"/>
                <w:kern w:val="0"/>
                <w:sz w:val="18"/>
                <w:szCs w:val="18"/>
                <w:lang/>
              </w:rPr>
              <w:t>/</w:t>
            </w:r>
            <w:r>
              <w:rPr>
                <w:rFonts w:ascii="宋体" w:eastAsia="宋体" w:hAnsi="宋体" w:cs="宋体" w:hint="eastAsia"/>
                <w:kern w:val="0"/>
                <w:sz w:val="18"/>
                <w:szCs w:val="18"/>
                <w:lang/>
              </w:rPr>
              <w:t>听证会</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br/>
            </w:r>
            <w:r>
              <w:rPr>
                <w:rFonts w:ascii="宋体" w:eastAsia="宋体" w:hAnsi="宋体" w:cs="宋体" w:hint="eastAsia"/>
                <w:kern w:val="0"/>
                <w:sz w:val="18"/>
                <w:szCs w:val="18"/>
                <w:lang/>
              </w:rPr>
              <w:t>□广播电视</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□纸质媒体</w:t>
            </w:r>
            <w:r>
              <w:rPr>
                <w:rFonts w:ascii="宋体" w:eastAsia="宋体" w:hAnsi="宋体" w:cs="宋体" w:hint="eastAsia"/>
                <w:kern w:val="0"/>
                <w:sz w:val="18"/>
                <w:szCs w:val="18"/>
                <w:lang/>
              </w:rPr>
              <w:br/>
            </w:r>
            <w:r>
              <w:rPr>
                <w:rFonts w:ascii="宋体" w:eastAsia="宋体" w:hAnsi="宋体" w:cs="宋体" w:hint="eastAsia"/>
                <w:kern w:val="0"/>
                <w:sz w:val="18"/>
                <w:szCs w:val="18"/>
                <w:lang/>
              </w:rPr>
              <w:t>□公开查阅点</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□政务服务中心</w:t>
            </w:r>
            <w:r>
              <w:rPr>
                <w:rFonts w:ascii="宋体" w:eastAsia="宋体" w:hAnsi="宋体" w:cs="宋体" w:hint="eastAsia"/>
                <w:kern w:val="0"/>
                <w:sz w:val="18"/>
                <w:szCs w:val="18"/>
                <w:lang/>
              </w:rPr>
              <w:br/>
            </w:r>
            <w:r>
              <w:rPr>
                <w:rFonts w:ascii="宋体" w:eastAsia="宋体" w:hAnsi="宋体" w:cs="宋体" w:hint="eastAsia"/>
                <w:kern w:val="0"/>
                <w:sz w:val="18"/>
                <w:szCs w:val="18"/>
                <w:lang/>
              </w:rPr>
              <w:t>□便民服务站</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□入户</w:t>
            </w:r>
            <w:r>
              <w:rPr>
                <w:rFonts w:ascii="宋体" w:eastAsia="宋体" w:hAnsi="宋体" w:cs="宋体" w:hint="eastAsia"/>
                <w:kern w:val="0"/>
                <w:sz w:val="18"/>
                <w:szCs w:val="18"/>
                <w:lang/>
              </w:rPr>
              <w:t>/</w:t>
            </w:r>
            <w:r>
              <w:rPr>
                <w:rFonts w:ascii="宋体" w:eastAsia="宋体" w:hAnsi="宋体" w:cs="宋体" w:hint="eastAsia"/>
                <w:kern w:val="0"/>
                <w:sz w:val="18"/>
                <w:szCs w:val="18"/>
                <w:lang/>
              </w:rPr>
              <w:t>现场</w:t>
            </w:r>
            <w:r>
              <w:rPr>
                <w:rFonts w:ascii="宋体" w:eastAsia="宋体" w:hAnsi="宋体" w:cs="宋体" w:hint="eastAsia"/>
                <w:kern w:val="0"/>
                <w:sz w:val="18"/>
                <w:szCs w:val="18"/>
                <w:lang/>
              </w:rPr>
              <w:br/>
            </w:r>
            <w:r>
              <w:rPr>
                <w:rFonts w:ascii="宋体" w:eastAsia="宋体" w:hAnsi="宋体" w:cs="宋体" w:hint="eastAsia"/>
                <w:kern w:val="0"/>
                <w:sz w:val="18"/>
                <w:szCs w:val="18"/>
                <w:lang/>
              </w:rPr>
              <w:t>□社区</w:t>
            </w:r>
            <w:r>
              <w:rPr>
                <w:rFonts w:ascii="宋体" w:eastAsia="宋体" w:hAnsi="宋体" w:cs="宋体" w:hint="eastAsia"/>
                <w:kern w:val="0"/>
                <w:sz w:val="18"/>
                <w:szCs w:val="18"/>
                <w:lang/>
              </w:rPr>
              <w:t>/</w:t>
            </w:r>
            <w:r>
              <w:rPr>
                <w:rFonts w:ascii="宋体" w:eastAsia="宋体" w:hAnsi="宋体" w:cs="宋体" w:hint="eastAsia"/>
                <w:kern w:val="0"/>
                <w:sz w:val="18"/>
                <w:szCs w:val="18"/>
                <w:lang/>
              </w:rPr>
              <w:t>企事业单位</w:t>
            </w:r>
            <w:r>
              <w:rPr>
                <w:rFonts w:ascii="宋体" w:eastAsia="宋体" w:hAnsi="宋体" w:cs="宋体" w:hint="eastAsia"/>
                <w:kern w:val="0"/>
                <w:sz w:val="18"/>
                <w:szCs w:val="18"/>
                <w:lang/>
              </w:rPr>
              <w:t>/</w:t>
            </w:r>
            <w:r>
              <w:rPr>
                <w:rFonts w:ascii="宋体" w:eastAsia="宋体" w:hAnsi="宋体" w:cs="宋体" w:hint="eastAsia"/>
                <w:kern w:val="0"/>
                <w:sz w:val="18"/>
                <w:szCs w:val="18"/>
                <w:lang/>
              </w:rPr>
              <w:t>村公示栏（电子屏）</w:t>
            </w:r>
            <w:r>
              <w:rPr>
                <w:rFonts w:ascii="宋体" w:eastAsia="宋体" w:hAnsi="宋体" w:cs="宋体" w:hint="eastAsia"/>
                <w:kern w:val="0"/>
                <w:sz w:val="18"/>
                <w:szCs w:val="18"/>
                <w:lang/>
              </w:rPr>
              <w:br/>
            </w:r>
            <w:r>
              <w:rPr>
                <w:rFonts w:ascii="宋体" w:eastAsia="宋体" w:hAnsi="宋体" w:cs="宋体" w:hint="eastAsia"/>
                <w:kern w:val="0"/>
                <w:sz w:val="18"/>
                <w:szCs w:val="18"/>
                <w:lang/>
              </w:rPr>
              <w:t>□精准推送</w:t>
            </w:r>
            <w:r>
              <w:rPr>
                <w:rFonts w:ascii="宋体" w:eastAsia="宋体" w:hAnsi="宋体" w:cs="宋体" w:hint="eastAsia"/>
                <w:kern w:val="0"/>
                <w:sz w:val="18"/>
                <w:szCs w:val="18"/>
                <w:lang/>
              </w:rPr>
              <w:t xml:space="preserve">      </w:t>
            </w:r>
            <w:r>
              <w:rPr>
                <w:rFonts w:ascii="宋体" w:eastAsia="宋体" w:hAnsi="宋体" w:cs="宋体" w:hint="eastAsia"/>
                <w:kern w:val="0"/>
                <w:sz w:val="18"/>
                <w:szCs w:val="18"/>
                <w:lang/>
              </w:rPr>
              <w:t>□其他</w:t>
            </w:r>
            <w:r>
              <w:rPr>
                <w:rFonts w:ascii="宋体" w:eastAsia="宋体" w:hAnsi="宋体" w:cs="宋体" w:hint="eastAsia"/>
                <w:kern w:val="0"/>
                <w:sz w:val="18"/>
                <w:szCs w:val="18"/>
                <w:lang/>
              </w:rPr>
              <w:t>_</w:t>
            </w:r>
          </w:p>
        </w:tc>
        <w:tc>
          <w:tcPr>
            <w:tcW w:w="43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19"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6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c>
          <w:tcPr>
            <w:tcW w:w="433"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400"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pPr>
            <w:r>
              <w:rPr>
                <w:rFonts w:ascii="宋体" w:eastAsia="宋体" w:hAnsi="宋体" w:cs="宋体" w:hint="eastAsia"/>
                <w:kern w:val="0"/>
                <w:sz w:val="18"/>
                <w:szCs w:val="18"/>
                <w:lang/>
              </w:rPr>
              <w:t> </w:t>
            </w:r>
          </w:p>
        </w:tc>
        <w:tc>
          <w:tcPr>
            <w:tcW w:w="717" w:type="dxa"/>
            <w:tcBorders>
              <w:top w:val="single" w:sz="4" w:space="0" w:color="000000"/>
              <w:left w:val="nil"/>
              <w:bottom w:val="single" w:sz="4" w:space="0" w:color="000000"/>
              <w:right w:val="single" w:sz="4" w:space="0" w:color="000000"/>
            </w:tcBorders>
            <w:shd w:val="clear" w:color="auto" w:fill="FFFFFF"/>
            <w:tcMar>
              <w:bottom w:w="0" w:type="dxa"/>
            </w:tcMar>
            <w:vAlign w:val="center"/>
          </w:tcPr>
          <w:p w:rsidR="00B53F2B" w:rsidRDefault="002855AB">
            <w:pPr>
              <w:widowControl/>
              <w:jc w:val="center"/>
              <w:textAlignment w:val="center"/>
            </w:pPr>
            <w:r>
              <w:rPr>
                <w:rFonts w:ascii="宋体" w:eastAsia="宋体" w:hAnsi="宋体" w:cs="宋体" w:hint="eastAsia"/>
                <w:kern w:val="0"/>
                <w:sz w:val="18"/>
                <w:szCs w:val="18"/>
                <w:lang/>
              </w:rPr>
              <w:t>√</w:t>
            </w:r>
          </w:p>
        </w:tc>
      </w:tr>
    </w:tbl>
    <w:p w:rsidR="00B53F2B" w:rsidRDefault="00B53F2B"/>
    <w:sectPr w:rsidR="00B53F2B" w:rsidSect="00B53F2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5AB" w:rsidRDefault="002855AB" w:rsidP="0088177C">
      <w:r>
        <w:separator/>
      </w:r>
    </w:p>
  </w:endnote>
  <w:endnote w:type="continuationSeparator" w:id="1">
    <w:p w:rsidR="002855AB" w:rsidRDefault="002855AB" w:rsidP="00881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5AB" w:rsidRDefault="002855AB" w:rsidP="0088177C">
      <w:r>
        <w:separator/>
      </w:r>
    </w:p>
  </w:footnote>
  <w:footnote w:type="continuationSeparator" w:id="1">
    <w:p w:rsidR="002855AB" w:rsidRDefault="002855AB" w:rsidP="008817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1E47D78"/>
    <w:rsid w:val="002855AB"/>
    <w:rsid w:val="007A47F1"/>
    <w:rsid w:val="0088177C"/>
    <w:rsid w:val="00B53F2B"/>
    <w:rsid w:val="61E47D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3F2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3F2B"/>
    <w:pPr>
      <w:jc w:val="left"/>
    </w:pPr>
    <w:rPr>
      <w:rFonts w:cs="Times New Roman"/>
      <w:color w:val="2B2B2B"/>
      <w:kern w:val="0"/>
      <w:sz w:val="24"/>
    </w:rPr>
  </w:style>
  <w:style w:type="character" w:styleId="a4">
    <w:name w:val="FollowedHyperlink"/>
    <w:basedOn w:val="a0"/>
    <w:rsid w:val="00B53F2B"/>
    <w:rPr>
      <w:color w:val="2B2B2B"/>
      <w:u w:val="none"/>
    </w:rPr>
  </w:style>
  <w:style w:type="character" w:styleId="a5">
    <w:name w:val="Emphasis"/>
    <w:basedOn w:val="a0"/>
    <w:qFormat/>
    <w:rsid w:val="00B53F2B"/>
  </w:style>
  <w:style w:type="character" w:styleId="HTML">
    <w:name w:val="HTML Definition"/>
    <w:basedOn w:val="a0"/>
    <w:rsid w:val="00B53F2B"/>
  </w:style>
  <w:style w:type="character" w:styleId="HTML0">
    <w:name w:val="HTML Acronym"/>
    <w:basedOn w:val="a0"/>
    <w:rsid w:val="00B53F2B"/>
    <w:rPr>
      <w:bdr w:val="none" w:sz="0" w:space="0" w:color="auto"/>
    </w:rPr>
  </w:style>
  <w:style w:type="character" w:styleId="HTML1">
    <w:name w:val="HTML Variable"/>
    <w:basedOn w:val="a0"/>
    <w:rsid w:val="00B53F2B"/>
  </w:style>
  <w:style w:type="character" w:styleId="a6">
    <w:name w:val="Hyperlink"/>
    <w:basedOn w:val="a0"/>
    <w:rsid w:val="00B53F2B"/>
    <w:rPr>
      <w:color w:val="2B2B2B"/>
      <w:u w:val="none"/>
    </w:rPr>
  </w:style>
  <w:style w:type="character" w:styleId="HTML2">
    <w:name w:val="HTML Code"/>
    <w:basedOn w:val="a0"/>
    <w:rsid w:val="00B53F2B"/>
    <w:rPr>
      <w:rFonts w:ascii="Courier New" w:hAnsi="Courier New"/>
      <w:sz w:val="20"/>
    </w:rPr>
  </w:style>
  <w:style w:type="character" w:styleId="HTML3">
    <w:name w:val="HTML Cite"/>
    <w:basedOn w:val="a0"/>
    <w:rsid w:val="00B53F2B"/>
  </w:style>
  <w:style w:type="paragraph" w:styleId="a7">
    <w:name w:val="header"/>
    <w:basedOn w:val="a"/>
    <w:link w:val="Char"/>
    <w:rsid w:val="00881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8177C"/>
    <w:rPr>
      <w:rFonts w:asciiTheme="minorHAnsi" w:eastAsiaTheme="minorEastAsia" w:hAnsiTheme="minorHAnsi" w:cstheme="minorBidi"/>
      <w:kern w:val="2"/>
      <w:sz w:val="18"/>
      <w:szCs w:val="18"/>
    </w:rPr>
  </w:style>
  <w:style w:type="paragraph" w:styleId="a8">
    <w:name w:val="footer"/>
    <w:basedOn w:val="a"/>
    <w:link w:val="Char0"/>
    <w:rsid w:val="0088177C"/>
    <w:pPr>
      <w:tabs>
        <w:tab w:val="center" w:pos="4153"/>
        <w:tab w:val="right" w:pos="8306"/>
      </w:tabs>
      <w:snapToGrid w:val="0"/>
      <w:jc w:val="left"/>
    </w:pPr>
    <w:rPr>
      <w:sz w:val="18"/>
      <w:szCs w:val="18"/>
    </w:rPr>
  </w:style>
  <w:style w:type="character" w:customStyle="1" w:styleId="Char0">
    <w:name w:val="页脚 Char"/>
    <w:basedOn w:val="a0"/>
    <w:link w:val="a8"/>
    <w:rsid w:val="0088177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晋锋</dc:creator>
  <cp:lastModifiedBy>leno</cp:lastModifiedBy>
  <cp:revision>3</cp:revision>
  <dcterms:created xsi:type="dcterms:W3CDTF">2020-11-26T02:35:00Z</dcterms:created>
  <dcterms:modified xsi:type="dcterms:W3CDTF">2020-11-26T02:36:00Z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