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after="0" w:line="360" w:lineRule="auto"/>
        <w:rPr>
          <w:rFonts w:ascii="宋体" w:hAnsi="宋体" w:eastAsia="宋体"/>
          <w:sz w:val="44"/>
          <w:szCs w:val="44"/>
        </w:rPr>
      </w:pPr>
      <w:bookmarkStart w:id="0" w:name="_Toc22222511"/>
      <w:r>
        <w:rPr>
          <w:rFonts w:hint="eastAsia" w:ascii="宋体" w:hAnsi="宋体" w:eastAsia="宋体"/>
          <w:sz w:val="44"/>
          <w:szCs w:val="44"/>
        </w:rPr>
        <w:t>南阳市市场监督管理局宛城分局</w:t>
      </w:r>
    </w:p>
    <w:p>
      <w:pPr>
        <w:pStyle w:val="7"/>
        <w:adjustRightInd w:val="0"/>
        <w:snapToGrid w:val="0"/>
        <w:spacing w:before="0" w:after="0" w:line="360" w:lineRule="auto"/>
        <w:rPr>
          <w:rFonts w:ascii="宋体" w:hAnsi="宋体" w:eastAsia="宋体"/>
          <w:sz w:val="44"/>
          <w:szCs w:val="44"/>
        </w:rPr>
      </w:pPr>
      <w:r>
        <w:rPr>
          <w:rFonts w:hint="eastAsia" w:ascii="宋体" w:hAnsi="宋体" w:eastAsia="宋体"/>
          <w:sz w:val="44"/>
          <w:szCs w:val="44"/>
        </w:rPr>
        <w:t>特种设备突发事件应急预案</w:t>
      </w:r>
    </w:p>
    <w:p>
      <w:pPr>
        <w:adjustRightInd w:val="0"/>
        <w:snapToGrid w:val="0"/>
        <w:spacing w:line="360" w:lineRule="auto"/>
        <w:ind w:firstLine="604" w:firstLineChars="200"/>
        <w:rPr>
          <w:rFonts w:ascii="仿宋" w:hAnsi="仿宋" w:eastAsia="仿宋"/>
          <w:sz w:val="32"/>
          <w:szCs w:val="32"/>
        </w:rPr>
      </w:pP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1 </w:t>
      </w:r>
      <w:r>
        <w:rPr>
          <w:rFonts w:hint="eastAsia" w:ascii="仿宋" w:hAnsi="仿宋" w:eastAsia="仿宋"/>
          <w:b/>
          <w:sz w:val="32"/>
          <w:szCs w:val="32"/>
        </w:rPr>
        <w:t>总则</w:t>
      </w:r>
      <w:bookmarkEnd w:id="0"/>
    </w:p>
    <w:p>
      <w:pPr>
        <w:adjustRightInd w:val="0"/>
        <w:snapToGrid w:val="0"/>
        <w:spacing w:line="360" w:lineRule="auto"/>
        <w:ind w:firstLine="604" w:firstLineChars="200"/>
        <w:rPr>
          <w:rFonts w:ascii="仿宋" w:hAnsi="仿宋" w:eastAsia="仿宋"/>
          <w:b/>
          <w:sz w:val="32"/>
          <w:szCs w:val="32"/>
        </w:rPr>
      </w:pPr>
      <w:bookmarkStart w:id="1" w:name="_Toc22222512"/>
      <w:r>
        <w:rPr>
          <w:rFonts w:ascii="仿宋" w:hAnsi="仿宋" w:eastAsia="仿宋"/>
          <w:b/>
          <w:sz w:val="32"/>
          <w:szCs w:val="32"/>
        </w:rPr>
        <w:t xml:space="preserve">1.1 </w:t>
      </w:r>
      <w:r>
        <w:rPr>
          <w:rFonts w:hint="eastAsia" w:ascii="仿宋" w:hAnsi="仿宋" w:eastAsia="仿宋"/>
          <w:b/>
          <w:sz w:val="32"/>
          <w:szCs w:val="32"/>
        </w:rPr>
        <w:t>编制目的</w:t>
      </w:r>
      <w:bookmarkEnd w:id="1"/>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为了提高南阳市市场监督管理局宛城分局应对特种设备突发事件的能力，使应急处置工作科学、高效、有序，预防和减少事故发生，保障公众生命财产安全，维护社会和谐稳定，制定特种设备突发事件应急预案。</w:t>
      </w:r>
      <w:bookmarkStart w:id="2" w:name="_Toc86655336"/>
      <w:bookmarkStart w:id="3" w:name="_Toc86655335"/>
    </w:p>
    <w:p>
      <w:pPr>
        <w:adjustRightInd w:val="0"/>
        <w:snapToGrid w:val="0"/>
        <w:spacing w:line="360" w:lineRule="auto"/>
        <w:ind w:firstLine="604" w:firstLineChars="200"/>
        <w:rPr>
          <w:rFonts w:ascii="仿宋" w:hAnsi="仿宋" w:eastAsia="仿宋"/>
          <w:b/>
          <w:sz w:val="32"/>
          <w:szCs w:val="32"/>
        </w:rPr>
      </w:pPr>
      <w:bookmarkStart w:id="4" w:name="_Toc22222513"/>
      <w:r>
        <w:rPr>
          <w:rFonts w:ascii="仿宋" w:hAnsi="仿宋" w:eastAsia="仿宋"/>
          <w:b/>
          <w:sz w:val="32"/>
          <w:szCs w:val="32"/>
        </w:rPr>
        <w:t xml:space="preserve">1.2 </w:t>
      </w:r>
      <w:r>
        <w:rPr>
          <w:rFonts w:hint="eastAsia" w:ascii="仿宋" w:hAnsi="仿宋" w:eastAsia="仿宋"/>
          <w:b/>
          <w:sz w:val="32"/>
          <w:szCs w:val="32"/>
        </w:rPr>
        <w:t>编制依据</w:t>
      </w:r>
      <w:bookmarkEnd w:id="2"/>
      <w:bookmarkEnd w:id="4"/>
      <w:r>
        <w:rPr>
          <w:rFonts w:ascii="仿宋" w:hAnsi="仿宋" w:eastAsia="仿宋"/>
          <w:b/>
          <w:sz w:val="32"/>
          <w:szCs w:val="32"/>
        </w:rPr>
        <w:tab/>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《中华人民共和国突发事件应对法》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《中华人民共和国安全生产法》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《中华人民共和国特种设备安全法》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《特种设备安全监察条例》（国务院令第</w:t>
      </w:r>
      <w:r>
        <w:rPr>
          <w:rFonts w:ascii="仿宋" w:hAnsi="仿宋" w:eastAsia="仿宋"/>
          <w:sz w:val="32"/>
          <w:szCs w:val="32"/>
        </w:rPr>
        <w:t>549</w:t>
      </w:r>
      <w:r>
        <w:rPr>
          <w:rFonts w:hint="eastAsia" w:ascii="仿宋" w:hAnsi="仿宋" w:eastAsia="仿宋"/>
          <w:sz w:val="32"/>
          <w:szCs w:val="32"/>
        </w:rPr>
        <w:t>号）</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《特种设备事故报告和调查处理规定》</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《特种设备事故报告和调查处理导则》</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《国家市场监督管理总局特种设备突发事件应急预案》</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《国家特种设备事故应急救援预案指南》</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《河南省突发事件应急预案管理办法》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《河南省安全生产风险管控与隐患治理办法》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《河南省市场监管突发事件应急管理暂行办法》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《河南省市场监督管理局特种设备突发事件应急预案》等</w:t>
      </w:r>
    </w:p>
    <w:p>
      <w:pPr>
        <w:adjustRightInd w:val="0"/>
        <w:snapToGrid w:val="0"/>
        <w:spacing w:line="360" w:lineRule="auto"/>
        <w:ind w:firstLine="604" w:firstLineChars="200"/>
        <w:rPr>
          <w:rFonts w:ascii="仿宋" w:hAnsi="仿宋" w:eastAsia="仿宋"/>
          <w:b/>
          <w:sz w:val="32"/>
          <w:szCs w:val="32"/>
        </w:rPr>
      </w:pPr>
      <w:bookmarkStart w:id="5" w:name="_Toc22222514"/>
      <w:r>
        <w:rPr>
          <w:rFonts w:ascii="仿宋" w:hAnsi="仿宋" w:eastAsia="仿宋"/>
          <w:b/>
          <w:sz w:val="32"/>
          <w:szCs w:val="32"/>
        </w:rPr>
        <w:t xml:space="preserve">1.3 </w:t>
      </w:r>
      <w:r>
        <w:rPr>
          <w:rFonts w:hint="eastAsia" w:ascii="仿宋" w:hAnsi="仿宋" w:eastAsia="仿宋"/>
          <w:b/>
          <w:sz w:val="32"/>
          <w:szCs w:val="32"/>
        </w:rPr>
        <w:t>适用范围</w:t>
      </w:r>
      <w:bookmarkEnd w:id="5"/>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本预案适用于发生在南阳市宛城区范围内特种设备突发事件的应急管理工作。</w:t>
      </w:r>
    </w:p>
    <w:p>
      <w:pPr>
        <w:adjustRightInd w:val="0"/>
        <w:snapToGrid w:val="0"/>
        <w:spacing w:line="360" w:lineRule="auto"/>
        <w:ind w:left="424" w:leftChars="221" w:firstLine="142" w:firstLineChars="47"/>
        <w:rPr>
          <w:rFonts w:ascii="仿宋" w:hAnsi="仿宋" w:eastAsia="仿宋"/>
          <w:sz w:val="32"/>
          <w:szCs w:val="32"/>
        </w:rPr>
      </w:pPr>
      <w:bookmarkStart w:id="6" w:name="_Toc22222516"/>
      <w:r>
        <w:rPr>
          <w:rFonts w:ascii="仿宋" w:hAnsi="仿宋" w:eastAsia="仿宋"/>
          <w:b/>
          <w:sz w:val="32"/>
          <w:szCs w:val="32"/>
        </w:rPr>
        <w:t>1.</w:t>
      </w:r>
      <w:r>
        <w:rPr>
          <w:rFonts w:hint="eastAsia" w:ascii="仿宋" w:hAnsi="仿宋" w:eastAsia="仿宋"/>
          <w:b/>
          <w:sz w:val="32"/>
          <w:szCs w:val="32"/>
          <w:lang w:val="en-US" w:eastAsia="zh-CN"/>
        </w:rPr>
        <w:t>4</w:t>
      </w:r>
      <w:r>
        <w:rPr>
          <w:rFonts w:hint="eastAsia" w:ascii="仿宋" w:hAnsi="仿宋" w:eastAsia="仿宋"/>
          <w:b/>
          <w:sz w:val="32"/>
          <w:szCs w:val="32"/>
        </w:rPr>
        <w:t>工作原则</w:t>
      </w:r>
      <w:bookmarkEnd w:id="3"/>
      <w:bookmarkEnd w:id="6"/>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特种设备突发事件应对工作坚持以人为本、安全第一，统一领导、分级负责，预防为主、平战结合的基本原则，贯彻政府统-领导、分类管理,分级负责、属地为主, 单位自救和社会救援相结合的原则。</w:t>
      </w:r>
    </w:p>
    <w:p>
      <w:pPr>
        <w:adjustRightInd w:val="0"/>
        <w:snapToGrid w:val="0"/>
        <w:spacing w:line="360" w:lineRule="auto"/>
        <w:ind w:firstLine="604" w:firstLineChars="200"/>
        <w:rPr>
          <w:rFonts w:ascii="仿宋" w:hAnsi="仿宋" w:eastAsia="仿宋"/>
          <w:b/>
          <w:sz w:val="32"/>
          <w:szCs w:val="32"/>
        </w:rPr>
      </w:pPr>
      <w:bookmarkStart w:id="7" w:name="_Toc22222517"/>
      <w:bookmarkStart w:id="8" w:name="_Toc86655338"/>
      <w:r>
        <w:rPr>
          <w:rFonts w:ascii="仿宋" w:hAnsi="仿宋" w:eastAsia="仿宋"/>
          <w:b/>
          <w:sz w:val="32"/>
          <w:szCs w:val="32"/>
        </w:rPr>
        <w:t xml:space="preserve">2 </w:t>
      </w:r>
      <w:r>
        <w:rPr>
          <w:rFonts w:hint="eastAsia" w:ascii="仿宋" w:hAnsi="仿宋" w:eastAsia="仿宋"/>
          <w:b/>
          <w:sz w:val="32"/>
          <w:szCs w:val="32"/>
        </w:rPr>
        <w:t>组织指挥体系及职责</w:t>
      </w:r>
      <w:bookmarkEnd w:id="7"/>
      <w:bookmarkEnd w:id="8"/>
    </w:p>
    <w:p>
      <w:pPr>
        <w:adjustRightInd w:val="0"/>
        <w:snapToGrid w:val="0"/>
        <w:spacing w:line="360" w:lineRule="auto"/>
        <w:ind w:firstLine="604" w:firstLineChars="200"/>
        <w:rPr>
          <w:rFonts w:ascii="仿宋" w:hAnsi="仿宋" w:eastAsia="仿宋"/>
          <w:b/>
          <w:sz w:val="32"/>
          <w:szCs w:val="32"/>
        </w:rPr>
      </w:pPr>
      <w:bookmarkStart w:id="9" w:name="_Toc22222518"/>
      <w:r>
        <w:rPr>
          <w:rFonts w:ascii="仿宋" w:hAnsi="仿宋" w:eastAsia="仿宋"/>
          <w:b/>
          <w:sz w:val="32"/>
          <w:szCs w:val="32"/>
        </w:rPr>
        <w:t xml:space="preserve">2.1 </w:t>
      </w:r>
      <w:r>
        <w:rPr>
          <w:rFonts w:hint="eastAsia" w:ascii="仿宋" w:hAnsi="仿宋" w:eastAsia="仿宋"/>
          <w:b/>
          <w:sz w:val="32"/>
          <w:szCs w:val="32"/>
        </w:rPr>
        <w:t>特种设备突发事件应急工作领导小组及职责</w:t>
      </w:r>
      <w:bookmarkEnd w:id="9"/>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成立特种设备突发事件应急工作领导小组（以下简称领导小组），负责本预案适用范围内的特种设备突发事件应急处置工作。</w:t>
      </w:r>
    </w:p>
    <w:p>
      <w:pPr>
        <w:adjustRightInd w:val="0"/>
        <w:snapToGrid w:val="0"/>
        <w:spacing w:line="360" w:lineRule="auto"/>
        <w:ind w:firstLine="604" w:firstLineChars="200"/>
        <w:rPr>
          <w:rFonts w:hint="eastAsia" w:ascii="仿宋" w:hAnsi="仿宋" w:eastAsia="仿宋"/>
          <w:sz w:val="32"/>
          <w:szCs w:val="32"/>
          <w:highlight w:val="none"/>
        </w:rPr>
      </w:pPr>
      <w:r>
        <w:rPr>
          <w:rFonts w:hint="eastAsia" w:ascii="仿宋" w:hAnsi="仿宋" w:eastAsia="仿宋"/>
          <w:sz w:val="32"/>
          <w:szCs w:val="32"/>
          <w:highlight w:val="none"/>
        </w:rPr>
        <w:t>组长：</w:t>
      </w:r>
      <w:r>
        <w:rPr>
          <w:rFonts w:hint="eastAsia" w:ascii="仿宋" w:hAnsi="仿宋" w:eastAsia="仿宋"/>
          <w:sz w:val="32"/>
          <w:szCs w:val="32"/>
          <w:highlight w:val="none"/>
          <w:lang w:eastAsia="zh-CN"/>
        </w:rPr>
        <w:t>分管市场监管宛城分局的副区长</w:t>
      </w:r>
    </w:p>
    <w:p>
      <w:pPr>
        <w:adjustRightInd w:val="0"/>
        <w:snapToGrid w:val="0"/>
        <w:spacing w:line="360" w:lineRule="auto"/>
        <w:ind w:firstLine="604" w:firstLineChars="200"/>
        <w:rPr>
          <w:rFonts w:hint="eastAsia" w:ascii="仿宋" w:hAnsi="仿宋" w:eastAsia="仿宋"/>
          <w:sz w:val="32"/>
          <w:szCs w:val="32"/>
          <w:highlight w:val="none"/>
        </w:rPr>
      </w:pPr>
      <w:r>
        <w:rPr>
          <w:rFonts w:hint="eastAsia" w:ascii="仿宋" w:hAnsi="仿宋" w:eastAsia="仿宋"/>
          <w:sz w:val="32"/>
          <w:szCs w:val="32"/>
          <w:highlight w:val="none"/>
        </w:rPr>
        <w:t>副组长：</w:t>
      </w:r>
      <w:r>
        <w:rPr>
          <w:rFonts w:hint="eastAsia" w:ascii="仿宋" w:hAnsi="仿宋" w:eastAsia="仿宋"/>
          <w:sz w:val="32"/>
          <w:szCs w:val="32"/>
          <w:highlight w:val="none"/>
          <w:lang w:eastAsia="zh-CN"/>
        </w:rPr>
        <w:t>区市场监管分局主要负责人</w:t>
      </w:r>
    </w:p>
    <w:p>
      <w:pPr>
        <w:adjustRightInd w:val="0"/>
        <w:snapToGrid w:val="0"/>
        <w:spacing w:line="360" w:lineRule="auto"/>
        <w:ind w:firstLine="604" w:firstLineChars="200"/>
        <w:rPr>
          <w:rFonts w:hint="eastAsia" w:ascii="仿宋" w:hAnsi="仿宋" w:eastAsia="仿宋"/>
          <w:sz w:val="32"/>
          <w:szCs w:val="32"/>
          <w:highlight w:val="none"/>
        </w:rPr>
      </w:pPr>
      <w:r>
        <w:rPr>
          <w:rFonts w:hint="eastAsia" w:ascii="仿宋" w:hAnsi="仿宋" w:eastAsia="仿宋"/>
          <w:sz w:val="32"/>
          <w:szCs w:val="32"/>
          <w:highlight w:val="none"/>
        </w:rPr>
        <w:t>成员：</w:t>
      </w:r>
      <w:r>
        <w:rPr>
          <w:rFonts w:hint="eastAsia" w:ascii="仿宋" w:hAnsi="仿宋" w:eastAsia="仿宋"/>
          <w:sz w:val="32"/>
          <w:szCs w:val="32"/>
          <w:highlight w:val="none"/>
          <w:lang w:eastAsia="zh-CN"/>
        </w:rPr>
        <w:t>分局各党组成员</w:t>
      </w:r>
    </w:p>
    <w:p>
      <w:pPr>
        <w:adjustRightInd w:val="0"/>
        <w:snapToGrid w:val="0"/>
        <w:spacing w:line="360" w:lineRule="auto"/>
        <w:ind w:firstLine="604" w:firstLineChars="200"/>
        <w:rPr>
          <w:rFonts w:ascii="仿宋" w:hAnsi="仿宋" w:eastAsia="仿宋"/>
          <w:b/>
          <w:sz w:val="32"/>
          <w:szCs w:val="32"/>
        </w:rPr>
      </w:pPr>
      <w:r>
        <w:rPr>
          <w:rFonts w:hint="eastAsia" w:ascii="仿宋" w:hAnsi="仿宋" w:eastAsia="仿宋"/>
          <w:b/>
          <w:sz w:val="32"/>
          <w:szCs w:val="32"/>
        </w:rPr>
        <w:t>2.2救援组织体系</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特种设备突发事件应急工作组织体系由特种设备突发事件应急工作领导小组、现场指导协调组、应急救援队伍和其他社会力量组成。</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现场指导协调组由应急工作领导小组派出, 主要职责是为特种设备突发事件的应急处置提供技术支持，协助配合应急救援工作，根据需要提供专家和技术支持；及时向领导小组报告现场事态发展和应急处置情况。</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应急救援队伍及社会力量包括:特种设备安全监察、特种设备相关技术机构、公安消防、医疗救护、环境保护、专业抢险救援队伍和其他社会力量。</w:t>
      </w:r>
      <w:bookmarkStart w:id="10" w:name="_Toc86655340"/>
      <w:bookmarkEnd w:id="10"/>
    </w:p>
    <w:p>
      <w:pPr>
        <w:adjustRightInd w:val="0"/>
        <w:snapToGrid w:val="0"/>
        <w:spacing w:line="360" w:lineRule="auto"/>
        <w:ind w:firstLine="604" w:firstLineChars="200"/>
        <w:rPr>
          <w:rFonts w:ascii="仿宋" w:hAnsi="仿宋" w:eastAsia="仿宋"/>
          <w:b/>
          <w:sz w:val="32"/>
          <w:szCs w:val="32"/>
        </w:rPr>
      </w:pPr>
      <w:bookmarkStart w:id="11" w:name="_Toc86655343"/>
      <w:bookmarkStart w:id="12" w:name="_Toc22222522"/>
      <w:r>
        <w:rPr>
          <w:rFonts w:ascii="仿宋" w:hAnsi="仿宋" w:eastAsia="仿宋"/>
          <w:b/>
          <w:sz w:val="32"/>
          <w:szCs w:val="32"/>
        </w:rPr>
        <w:t>3</w:t>
      </w:r>
      <w:bookmarkEnd w:id="11"/>
      <w:bookmarkStart w:id="13" w:name="_Toc86655344"/>
      <w:r>
        <w:rPr>
          <w:rFonts w:hint="eastAsia" w:ascii="仿宋" w:hAnsi="仿宋" w:eastAsia="仿宋"/>
          <w:b/>
          <w:sz w:val="32"/>
          <w:szCs w:val="32"/>
        </w:rPr>
        <w:t>监测预警</w:t>
      </w:r>
      <w:bookmarkEnd w:id="12"/>
      <w:bookmarkEnd w:id="13"/>
    </w:p>
    <w:p>
      <w:pPr>
        <w:adjustRightInd w:val="0"/>
        <w:snapToGrid w:val="0"/>
        <w:spacing w:line="360" w:lineRule="auto"/>
        <w:ind w:firstLine="604" w:firstLineChars="200"/>
        <w:rPr>
          <w:rFonts w:ascii="仿宋" w:hAnsi="仿宋" w:eastAsia="仿宋"/>
          <w:b/>
          <w:sz w:val="32"/>
          <w:szCs w:val="32"/>
        </w:rPr>
      </w:pPr>
      <w:bookmarkStart w:id="14" w:name="_Toc22222523"/>
      <w:bookmarkStart w:id="15" w:name="_Toc86655348"/>
      <w:r>
        <w:rPr>
          <w:rFonts w:ascii="仿宋" w:hAnsi="仿宋" w:eastAsia="仿宋"/>
          <w:b/>
          <w:sz w:val="32"/>
          <w:szCs w:val="32"/>
        </w:rPr>
        <w:t xml:space="preserve">3.1 </w:t>
      </w:r>
      <w:r>
        <w:rPr>
          <w:rFonts w:hint="eastAsia" w:ascii="仿宋" w:hAnsi="仿宋" w:eastAsia="仿宋"/>
          <w:b/>
          <w:sz w:val="32"/>
          <w:szCs w:val="32"/>
        </w:rPr>
        <w:t>信息监测</w:t>
      </w:r>
      <w:bookmarkEnd w:id="14"/>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各市场监督管理部门要加强特种设备安全状况日常监测，并对可能导致特种设备突发事件的风险信息加强收集、分析和研判，必要时向相关部门和地区通报，有关监管部门应依法采取有效控制措施。</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生产、经营、使用单位应当依法落实安全主体责任，建立健全风险监测防控措施，加强特种设备安全状况日常监测，定期开展自查，排查和消除特种设备安全风险隐患，对可能导致特种设备突发事件的风险信息加强收集、分析和研判，当出现可能导致特种设备突发事件的情况时，要立即向相关部门和地区通报，当地有关监管部门应依法采取有效控制措施。</w:t>
      </w:r>
    </w:p>
    <w:p>
      <w:pPr>
        <w:adjustRightInd w:val="0"/>
        <w:snapToGrid w:val="0"/>
        <w:spacing w:line="360" w:lineRule="auto"/>
        <w:ind w:firstLine="604" w:firstLineChars="200"/>
        <w:rPr>
          <w:rFonts w:ascii="仿宋" w:hAnsi="仿宋" w:eastAsia="仿宋"/>
          <w:b/>
          <w:sz w:val="32"/>
          <w:szCs w:val="32"/>
        </w:rPr>
      </w:pPr>
      <w:r>
        <w:rPr>
          <w:rFonts w:hint="eastAsia" w:ascii="仿宋" w:hAnsi="仿宋" w:eastAsia="仿宋"/>
          <w:b/>
          <w:sz w:val="32"/>
          <w:szCs w:val="32"/>
        </w:rPr>
        <w:t>3.2预防措施</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b/>
          <w:bCs/>
          <w:sz w:val="32"/>
          <w:szCs w:val="32"/>
        </w:rPr>
        <w:t>3.2.1特种设备生产、经营、使用单位应当对以下特种设备重大危险源实行重点安全监控</w:t>
      </w:r>
      <w:r>
        <w:rPr>
          <w:rFonts w:hint="eastAsia" w:ascii="仿宋" w:hAnsi="仿宋" w:eastAsia="仿宋"/>
          <w:sz w:val="32"/>
          <w:szCs w:val="32"/>
        </w:rPr>
        <w:t>:</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(1)发生事故易造成群死群伤的特种设备;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(2)存在重大事故隐患的特种设备;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(3)重要地区使用的特种设备;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(4)关系重大经济安全的特种设备;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(5)发生事故可能造成严重社会影响的特种设备。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特种设备生产、经营、使用单位对特种设备安全全面负责,属重大危险源的特种设备生产、经营、使用单位必须严格遵守以下规定:</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( 1 )建立完善特种设备安全管理制度和岗位安全责任制度,并认真实施;</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( 2 )设立专门机构或配备专人负责特种设备安全管理工作;</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( 3 )及时分析特种设备安全状况,制订完善本单位事故专项应急预案,适时开展应急救援演练。</w:t>
      </w:r>
    </w:p>
    <w:p>
      <w:pPr>
        <w:adjustRightInd w:val="0"/>
        <w:snapToGrid w:val="0"/>
        <w:spacing w:line="360" w:lineRule="auto"/>
        <w:ind w:firstLine="604" w:firstLineChars="200"/>
        <w:rPr>
          <w:rFonts w:hint="eastAsia" w:ascii="仿宋" w:hAnsi="仿宋" w:eastAsia="仿宋"/>
          <w:b/>
          <w:bCs w:val="0"/>
          <w:sz w:val="32"/>
          <w:szCs w:val="32"/>
        </w:rPr>
      </w:pPr>
      <w:bookmarkStart w:id="16" w:name="_Toc22222524"/>
      <w:r>
        <w:rPr>
          <w:rFonts w:hint="eastAsia" w:ascii="仿宋" w:hAnsi="仿宋" w:eastAsia="仿宋"/>
          <w:b/>
          <w:bCs w:val="0"/>
          <w:sz w:val="32"/>
          <w:szCs w:val="32"/>
        </w:rPr>
        <w:t>3.2.2预警预防行动</w:t>
      </w:r>
    </w:p>
    <w:p>
      <w:pPr>
        <w:adjustRightInd w:val="0"/>
        <w:snapToGrid w:val="0"/>
        <w:spacing w:line="360" w:lineRule="auto"/>
        <w:ind w:firstLine="604" w:firstLineChars="200"/>
        <w:rPr>
          <w:rFonts w:ascii="仿宋" w:hAnsi="仿宋" w:eastAsia="仿宋"/>
          <w:b/>
          <w:sz w:val="32"/>
          <w:szCs w:val="32"/>
        </w:rPr>
      </w:pPr>
      <w:r>
        <w:rPr>
          <w:rFonts w:hint="eastAsia" w:ascii="仿宋" w:hAnsi="仿宋" w:eastAsia="仿宋"/>
          <w:sz w:val="32"/>
          <w:szCs w:val="32"/>
          <w:highlight w:val="none"/>
        </w:rPr>
        <w:t>预判可能发生特种设备突发事件时，市场监管部门视情况采取以下措施：</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分析研判。组织特种设备检验检测机构、专业技术人员及专家，加强对重大危险源辨识评价，隐患预防措施的收集、核查、汇总和分析研判，及时组织开展跟踪监测工作，预估突发事件发展趋势、危害程度、影响范围。经分析评估与调查核实，发生特种设备突发事件或发现可能造成特种设备突发事件的因素后，提出预防和控制建议，按本预案处置。</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防范措施。迅速采取有效防范措施，防止特种设备突发事件进一步蔓延扩大。利用各种渠道增加宣传频次，加强对特种设备突发事件应急科普方面的宣传，告知特种设备突发事件发生单位停止生产、经营或使用特种设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）应急准备。责令负有应急相关职责的人员进入待命状态，做好应急保障工作。</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舆论引导。加强对预警信息动态管理，根据事态发展变化，组织专家解读，并对可能产生的危害加以解释、说明，加强相关舆情跟踪监测，主动回应社会公众关注的问题，及时澄清谣言传言。适时调整预警级别、更新预警信息内容，并重新发布、报告和通报有关情况。</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3.2.</w:t>
      </w:r>
      <w:r>
        <w:rPr>
          <w:rFonts w:hint="eastAsia" w:ascii="仿宋" w:hAnsi="仿宋" w:eastAsia="仿宋"/>
          <w:b/>
          <w:sz w:val="32"/>
          <w:szCs w:val="32"/>
        </w:rPr>
        <w:t>3</w:t>
      </w:r>
      <w:r>
        <w:rPr>
          <w:rFonts w:ascii="仿宋" w:hAnsi="仿宋" w:eastAsia="仿宋"/>
          <w:b/>
          <w:sz w:val="32"/>
          <w:szCs w:val="32"/>
        </w:rPr>
        <w:t xml:space="preserve"> </w:t>
      </w:r>
      <w:r>
        <w:rPr>
          <w:rFonts w:hint="eastAsia" w:ascii="仿宋" w:hAnsi="仿宋" w:eastAsia="仿宋"/>
          <w:b/>
          <w:sz w:val="32"/>
          <w:szCs w:val="32"/>
        </w:rPr>
        <w:t>预警解除</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市场监管部门应当根据事态的发展和采取措施的效果等情况，适时调整预警级别。当研判可能引发特种设备突发事件的因素已经消除或得到有效控制，应当及时解除预警，宣布终止预警。</w:t>
      </w:r>
      <w:bookmarkEnd w:id="16"/>
    </w:p>
    <w:p>
      <w:pPr>
        <w:adjustRightInd w:val="0"/>
        <w:snapToGrid w:val="0"/>
        <w:spacing w:line="360" w:lineRule="auto"/>
        <w:ind w:firstLine="604" w:firstLineChars="200"/>
        <w:rPr>
          <w:rFonts w:ascii="仿宋" w:hAnsi="仿宋" w:eastAsia="仿宋"/>
          <w:b/>
          <w:sz w:val="32"/>
          <w:szCs w:val="32"/>
        </w:rPr>
      </w:pPr>
      <w:bookmarkStart w:id="17" w:name="_Toc22222529"/>
      <w:r>
        <w:rPr>
          <w:rFonts w:ascii="仿宋" w:hAnsi="仿宋" w:eastAsia="仿宋"/>
          <w:b/>
          <w:sz w:val="32"/>
          <w:szCs w:val="32"/>
        </w:rPr>
        <w:t xml:space="preserve">4 </w:t>
      </w:r>
      <w:r>
        <w:rPr>
          <w:rFonts w:hint="eastAsia" w:ascii="仿宋" w:hAnsi="仿宋" w:eastAsia="仿宋"/>
          <w:b/>
          <w:sz w:val="32"/>
          <w:szCs w:val="32"/>
        </w:rPr>
        <w:t>应急响应</w:t>
      </w:r>
      <w:bookmarkEnd w:id="15"/>
      <w:bookmarkEnd w:id="17"/>
      <w:bookmarkStart w:id="18" w:name="_Toc86655349"/>
      <w:r>
        <w:rPr>
          <w:rFonts w:ascii="仿宋" w:hAnsi="仿宋" w:eastAsia="仿宋"/>
          <w:b/>
          <w:sz w:val="32"/>
          <w:szCs w:val="32"/>
        </w:rPr>
        <w:t xml:space="preserve">   </w:t>
      </w:r>
    </w:p>
    <w:p>
      <w:pPr>
        <w:adjustRightInd w:val="0"/>
        <w:snapToGrid w:val="0"/>
        <w:spacing w:line="360" w:lineRule="auto"/>
        <w:ind w:firstLine="604" w:firstLineChars="200"/>
        <w:rPr>
          <w:rFonts w:ascii="仿宋" w:hAnsi="仿宋" w:eastAsia="仿宋"/>
          <w:b/>
          <w:sz w:val="32"/>
          <w:szCs w:val="32"/>
        </w:rPr>
      </w:pPr>
      <w:bookmarkStart w:id="19" w:name="_Toc22222530"/>
      <w:r>
        <w:rPr>
          <w:rFonts w:ascii="仿宋" w:hAnsi="仿宋" w:eastAsia="仿宋"/>
          <w:b/>
          <w:sz w:val="32"/>
          <w:szCs w:val="32"/>
        </w:rPr>
        <w:t>4.1</w:t>
      </w:r>
      <w:r>
        <w:rPr>
          <w:rFonts w:hint="eastAsia" w:ascii="仿宋" w:hAnsi="仿宋" w:eastAsia="仿宋"/>
          <w:b/>
          <w:sz w:val="32"/>
          <w:szCs w:val="32"/>
        </w:rPr>
        <w:t>信息报告</w:t>
      </w:r>
      <w:bookmarkEnd w:id="18"/>
      <w:bookmarkEnd w:id="19"/>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本行政区域内发生特种设备突发事件时,启动本预案。</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特种设备生产、经营、使用单位现场有关人员接到特种设备突发事件报告后，立即向事件发生单位负责人报告；事件发生单位的负责人接到报告后，应当于1小时内向事故发生地的县以上市场监管部门和有关部门报告。</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市场监督管理部门接到特种设备突发事件报告后，应当按照特种设备事故报告的有关规定，立即报告当地人民政府；并在事件确认1小时内电话上报市市场监管局。</w:t>
      </w:r>
    </w:p>
    <w:p>
      <w:pPr>
        <w:adjustRightInd w:val="0"/>
        <w:snapToGrid w:val="0"/>
        <w:spacing w:line="360" w:lineRule="auto"/>
        <w:ind w:firstLine="604" w:firstLineChars="200"/>
        <w:rPr>
          <w:rFonts w:hint="eastAsia" w:ascii="仿宋" w:hAnsi="仿宋" w:eastAsia="仿宋"/>
          <w:sz w:val="32"/>
          <w:szCs w:val="32"/>
          <w:highlight w:val="none"/>
        </w:rPr>
      </w:pPr>
      <w:r>
        <w:rPr>
          <w:rFonts w:hint="eastAsia" w:ascii="仿宋" w:hAnsi="仿宋" w:eastAsia="仿宋"/>
          <w:sz w:val="32"/>
          <w:szCs w:val="32"/>
          <w:highlight w:val="none"/>
        </w:rPr>
        <w:t>事件报告内容应当包括：事件单位（或者业主）名称、报告联系人、联系电话、事件发生地点（准确位置）、发生时间（年、月、日、时、分）、设备名称及事件类别、人员伤亡、经济损失以及事故概况</w:t>
      </w:r>
      <w:r>
        <w:rPr>
          <w:rFonts w:hint="eastAsia" w:ascii="仿宋" w:hAnsi="仿宋" w:eastAsia="仿宋"/>
          <w:sz w:val="32"/>
          <w:szCs w:val="32"/>
          <w:highlight w:val="none"/>
          <w:lang w:eastAsia="zh-CN"/>
        </w:rPr>
        <w:t>、</w:t>
      </w:r>
      <w:r>
        <w:rPr>
          <w:rFonts w:hint="eastAsia" w:ascii="仿宋" w:hAnsi="仿宋" w:eastAsia="仿宋"/>
          <w:sz w:val="32"/>
          <w:szCs w:val="32"/>
          <w:highlight w:val="none"/>
        </w:rPr>
        <w:t>已经采取的措施等；</w:t>
      </w:r>
    </w:p>
    <w:p>
      <w:pPr>
        <w:adjustRightInd w:val="0"/>
        <w:snapToGrid w:val="0"/>
        <w:spacing w:line="360" w:lineRule="auto"/>
        <w:ind w:firstLine="604" w:firstLineChars="200"/>
        <w:rPr>
          <w:rFonts w:ascii="仿宋" w:hAnsi="仿宋" w:eastAsia="仿宋"/>
          <w:b/>
          <w:sz w:val="32"/>
          <w:szCs w:val="32"/>
        </w:rPr>
      </w:pPr>
      <w:bookmarkStart w:id="20" w:name="_Toc86655350"/>
      <w:bookmarkStart w:id="21" w:name="_Toc22222531"/>
      <w:r>
        <w:rPr>
          <w:rFonts w:ascii="仿宋" w:hAnsi="仿宋" w:eastAsia="仿宋"/>
          <w:b/>
          <w:sz w:val="32"/>
          <w:szCs w:val="32"/>
        </w:rPr>
        <w:t xml:space="preserve">4.2 </w:t>
      </w:r>
      <w:r>
        <w:rPr>
          <w:rFonts w:hint="eastAsia" w:ascii="仿宋" w:hAnsi="仿宋" w:eastAsia="仿宋"/>
          <w:b/>
          <w:sz w:val="32"/>
          <w:szCs w:val="32"/>
        </w:rPr>
        <w:t>响应程序</w:t>
      </w:r>
      <w:bookmarkEnd w:id="20"/>
      <w:bookmarkEnd w:id="21"/>
    </w:p>
    <w:p>
      <w:pPr>
        <w:adjustRightInd w:val="0"/>
        <w:snapToGrid w:val="0"/>
        <w:spacing w:line="360" w:lineRule="auto"/>
        <w:ind w:firstLine="604" w:firstLineChars="200"/>
        <w:rPr>
          <w:rFonts w:ascii="仿宋" w:hAnsi="仿宋" w:eastAsia="仿宋"/>
          <w:b/>
          <w:sz w:val="32"/>
          <w:szCs w:val="32"/>
        </w:rPr>
      </w:pPr>
      <w:bookmarkStart w:id="22" w:name="_Toc22222532"/>
      <w:r>
        <w:rPr>
          <w:rFonts w:ascii="仿宋" w:hAnsi="仿宋" w:eastAsia="仿宋"/>
          <w:b/>
          <w:sz w:val="32"/>
          <w:szCs w:val="32"/>
        </w:rPr>
        <w:t xml:space="preserve">4.2.1 </w:t>
      </w:r>
      <w:r>
        <w:rPr>
          <w:rFonts w:hint="eastAsia" w:ascii="仿宋" w:hAnsi="仿宋" w:eastAsia="仿宋"/>
          <w:b/>
          <w:sz w:val="32"/>
          <w:szCs w:val="32"/>
        </w:rPr>
        <w:t>分级响应</w:t>
      </w:r>
      <w:bookmarkEnd w:id="22"/>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市场监管局在职责范围内，根据预警信息发布的要求和事故调查处理权限，负责指导、协助做好特种设备突发事件应对工作。</w:t>
      </w:r>
    </w:p>
    <w:p>
      <w:pPr>
        <w:adjustRightInd w:val="0"/>
        <w:snapToGrid w:val="0"/>
        <w:spacing w:line="360" w:lineRule="auto"/>
        <w:ind w:firstLine="604" w:firstLineChars="200"/>
        <w:rPr>
          <w:rFonts w:hint="eastAsia" w:ascii="仿宋" w:hAnsi="仿宋" w:eastAsia="仿宋"/>
          <w:b/>
          <w:sz w:val="32"/>
          <w:szCs w:val="32"/>
        </w:rPr>
      </w:pPr>
      <w:bookmarkStart w:id="23" w:name="_Toc22222533"/>
      <w:r>
        <w:rPr>
          <w:rFonts w:ascii="仿宋" w:hAnsi="仿宋" w:eastAsia="仿宋"/>
          <w:b/>
          <w:sz w:val="32"/>
          <w:szCs w:val="32"/>
        </w:rPr>
        <w:t xml:space="preserve">4.2.2 </w:t>
      </w:r>
      <w:r>
        <w:rPr>
          <w:rFonts w:hint="eastAsia" w:ascii="仿宋" w:hAnsi="仿宋" w:eastAsia="仿宋"/>
          <w:b/>
          <w:sz w:val="32"/>
          <w:szCs w:val="32"/>
        </w:rPr>
        <w:t>响应措施</w:t>
      </w:r>
      <w:bookmarkEnd w:id="23"/>
    </w:p>
    <w:p>
      <w:pPr>
        <w:adjustRightInd w:val="0"/>
        <w:snapToGrid w:val="0"/>
        <w:spacing w:line="360" w:lineRule="auto"/>
        <w:ind w:firstLine="604" w:firstLineChars="200"/>
        <w:rPr>
          <w:rFonts w:hint="eastAsia" w:ascii="仿宋" w:hAnsi="仿宋" w:eastAsia="仿宋"/>
          <w:b/>
          <w:sz w:val="32"/>
          <w:szCs w:val="32"/>
        </w:rPr>
      </w:pPr>
      <w:r>
        <w:rPr>
          <w:rFonts w:hint="eastAsia" w:ascii="仿宋" w:hAnsi="仿宋" w:eastAsia="仿宋"/>
          <w:sz w:val="32"/>
          <w:szCs w:val="32"/>
        </w:rPr>
        <w:t>事件发生单位的负责人接到报告后，应当立即启动突发事件应急预案，采取有效措施，组织抢救，防止扩大，减少人员伤亡和财产损失。</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突发事件应急工作领导小组在职责范围内，根据预警信息发布的要求和事故调查处理权限，负责指导、协助做好特种设备突发事件应对工作：</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）传达</w:t>
      </w:r>
      <w:r>
        <w:rPr>
          <w:rFonts w:hint="eastAsia" w:ascii="仿宋" w:hAnsi="仿宋" w:eastAsia="仿宋"/>
          <w:sz w:val="32"/>
          <w:szCs w:val="32"/>
          <w:lang w:eastAsia="zh-CN"/>
        </w:rPr>
        <w:t>上级</w:t>
      </w:r>
      <w:r>
        <w:rPr>
          <w:rFonts w:hint="eastAsia" w:ascii="仿宋" w:hAnsi="仿宋" w:eastAsia="仿宋"/>
          <w:sz w:val="32"/>
          <w:szCs w:val="32"/>
        </w:rPr>
        <w:t>领导同志指示批示精神，督促地方政府和有关部门贯彻落实；</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）了解基本情况、造成的影响、应急处置进展及当地需求等；</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）根据需要赴事发地区，或派出现场工作组赴事发地区，协调开展应对工作；</w:t>
      </w:r>
      <w:r>
        <w:rPr>
          <w:rFonts w:ascii="仿宋" w:hAnsi="仿宋" w:eastAsia="仿宋"/>
          <w:sz w:val="32"/>
          <w:szCs w:val="32"/>
        </w:rPr>
        <w:t xml:space="preserve"> </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）根据地方请求，协调有关方面派出应急队伍、调运应急物资和装备、安排专家和技术人员等，为应急处置提供支援和技术支持；</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）指导调查及评估工作；</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）及时向市市场监管局领导报告相关情况等。</w:t>
      </w:r>
    </w:p>
    <w:p>
      <w:pPr>
        <w:adjustRightInd w:val="0"/>
        <w:snapToGrid w:val="0"/>
        <w:spacing w:line="360" w:lineRule="auto"/>
        <w:ind w:firstLine="604" w:firstLineChars="200"/>
        <w:rPr>
          <w:rFonts w:ascii="仿宋" w:hAnsi="仿宋" w:eastAsia="仿宋"/>
          <w:b/>
          <w:sz w:val="32"/>
          <w:szCs w:val="32"/>
        </w:rPr>
      </w:pPr>
      <w:bookmarkStart w:id="24" w:name="_Toc86655352"/>
      <w:bookmarkStart w:id="25" w:name="_Toc22222534"/>
      <w:r>
        <w:rPr>
          <w:rFonts w:ascii="仿宋" w:hAnsi="仿宋" w:eastAsia="仿宋"/>
          <w:b/>
          <w:sz w:val="32"/>
          <w:szCs w:val="32"/>
        </w:rPr>
        <w:t xml:space="preserve">4.3 </w:t>
      </w:r>
      <w:bookmarkEnd w:id="24"/>
      <w:r>
        <w:rPr>
          <w:rFonts w:hint="eastAsia" w:ascii="仿宋" w:hAnsi="仿宋" w:eastAsia="仿宋"/>
          <w:b/>
          <w:sz w:val="32"/>
          <w:szCs w:val="32"/>
        </w:rPr>
        <w:t>响应级别调整及终止</w:t>
      </w:r>
      <w:bookmarkEnd w:id="25"/>
    </w:p>
    <w:p>
      <w:pPr>
        <w:adjustRightInd w:val="0"/>
        <w:snapToGrid w:val="0"/>
        <w:spacing w:line="360" w:lineRule="auto"/>
        <w:ind w:firstLine="604" w:firstLineChars="200"/>
        <w:rPr>
          <w:rFonts w:ascii="仿宋" w:hAnsi="仿宋" w:eastAsia="仿宋"/>
          <w:sz w:val="32"/>
          <w:szCs w:val="32"/>
        </w:rPr>
      </w:pPr>
      <w:bookmarkStart w:id="26" w:name="_Toc86655353"/>
      <w:r>
        <w:rPr>
          <w:rFonts w:hint="eastAsia" w:ascii="仿宋" w:hAnsi="仿宋" w:eastAsia="仿宋"/>
          <w:sz w:val="32"/>
          <w:szCs w:val="32"/>
        </w:rPr>
        <w:t>遵循特种设备突发事件发展的客观规律，结合实际情况和处置工作需要，根据评估结果及时调整应急响应级别，避免应急响应过度或不足，直至响应终止。</w:t>
      </w:r>
    </w:p>
    <w:p>
      <w:pPr>
        <w:adjustRightInd w:val="0"/>
        <w:snapToGrid w:val="0"/>
        <w:spacing w:line="360" w:lineRule="auto"/>
        <w:ind w:firstLine="604" w:firstLineChars="200"/>
        <w:rPr>
          <w:rFonts w:ascii="仿宋" w:hAnsi="仿宋" w:eastAsia="仿宋"/>
          <w:b/>
          <w:sz w:val="32"/>
          <w:szCs w:val="32"/>
        </w:rPr>
      </w:pPr>
      <w:bookmarkStart w:id="27" w:name="_Toc22222535"/>
      <w:r>
        <w:rPr>
          <w:rFonts w:ascii="仿宋" w:hAnsi="仿宋" w:eastAsia="仿宋"/>
          <w:b/>
          <w:sz w:val="32"/>
          <w:szCs w:val="32"/>
        </w:rPr>
        <w:t>4.4</w:t>
      </w:r>
      <w:bookmarkEnd w:id="26"/>
      <w:r>
        <w:rPr>
          <w:rFonts w:hint="eastAsia" w:ascii="仿宋" w:hAnsi="仿宋" w:eastAsia="仿宋"/>
          <w:b/>
          <w:sz w:val="32"/>
          <w:szCs w:val="32"/>
        </w:rPr>
        <w:t>响应级别调整及终止的条件</w:t>
      </w:r>
      <w:bookmarkEnd w:id="27"/>
    </w:p>
    <w:p>
      <w:pPr>
        <w:adjustRightInd w:val="0"/>
        <w:snapToGrid w:val="0"/>
        <w:spacing w:line="360" w:lineRule="auto"/>
        <w:ind w:firstLine="604" w:firstLineChars="200"/>
        <w:rPr>
          <w:rFonts w:ascii="仿宋" w:hAnsi="仿宋" w:eastAsia="仿宋"/>
          <w:sz w:val="32"/>
          <w:szCs w:val="32"/>
        </w:rPr>
      </w:pPr>
      <w:bookmarkStart w:id="28" w:name="_Toc86655354"/>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）级别提升</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当特种设备突发事件进一步加重，影响或危害扩大并有蔓延趋势，情况复杂难以控制时，应当及时提升响应级别。</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当学校或托幼机构、全国性或区域性重要活动期间发生特种设备突发事件时，应当相应提高响应级别，加大应急处置力度，确保迅速、有效应对特种设备突发事件，维护社会稳定。</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）级别降低</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特种设备突发事件危害或不良影响得到有效控制，且经研判认为事件危害或不良影响已降低到原级别评估标准以下，无进一步蔓延趋势的，可降低应急响应级别。</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）响应终止</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当特种设备突发事件得到控制，造成的危害或不良影响已消除或得到了有效控制，经分析评估认为可解除应急响应的，应当及时终止响应。</w:t>
      </w:r>
    </w:p>
    <w:p>
      <w:pPr>
        <w:adjustRightInd w:val="0"/>
        <w:snapToGrid w:val="0"/>
        <w:spacing w:line="360" w:lineRule="auto"/>
        <w:ind w:firstLine="604" w:firstLineChars="200"/>
        <w:rPr>
          <w:rFonts w:ascii="仿宋" w:hAnsi="仿宋" w:eastAsia="仿宋"/>
          <w:b/>
          <w:sz w:val="32"/>
          <w:szCs w:val="32"/>
        </w:rPr>
      </w:pPr>
      <w:bookmarkStart w:id="29" w:name="_Toc22222536"/>
      <w:r>
        <w:rPr>
          <w:rFonts w:ascii="仿宋" w:hAnsi="仿宋" w:eastAsia="仿宋"/>
          <w:b/>
          <w:sz w:val="32"/>
          <w:szCs w:val="32"/>
        </w:rPr>
        <w:t xml:space="preserve">5 </w:t>
      </w:r>
      <w:r>
        <w:rPr>
          <w:rFonts w:hint="eastAsia" w:ascii="仿宋" w:hAnsi="仿宋" w:eastAsia="仿宋"/>
          <w:b/>
          <w:sz w:val="32"/>
          <w:szCs w:val="32"/>
        </w:rPr>
        <w:t>后期工作</w:t>
      </w:r>
      <w:bookmarkEnd w:id="29"/>
    </w:p>
    <w:p>
      <w:pPr>
        <w:adjustRightInd w:val="0"/>
        <w:snapToGrid w:val="0"/>
        <w:spacing w:line="360" w:lineRule="auto"/>
        <w:ind w:firstLine="604" w:firstLineChars="200"/>
        <w:rPr>
          <w:rFonts w:ascii="仿宋" w:hAnsi="仿宋" w:eastAsia="仿宋"/>
          <w:b/>
          <w:sz w:val="32"/>
          <w:szCs w:val="32"/>
        </w:rPr>
      </w:pPr>
      <w:bookmarkStart w:id="30" w:name="_Toc22222537"/>
      <w:r>
        <w:rPr>
          <w:rFonts w:ascii="仿宋" w:hAnsi="仿宋" w:eastAsia="仿宋"/>
          <w:b/>
          <w:sz w:val="32"/>
          <w:szCs w:val="32"/>
        </w:rPr>
        <w:t xml:space="preserve">5.1 </w:t>
      </w:r>
      <w:r>
        <w:rPr>
          <w:rFonts w:hint="eastAsia" w:ascii="仿宋" w:hAnsi="仿宋" w:eastAsia="仿宋"/>
          <w:b/>
          <w:sz w:val="32"/>
          <w:szCs w:val="32"/>
        </w:rPr>
        <w:t>善后措施</w:t>
      </w:r>
      <w:bookmarkEnd w:id="30"/>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特种设备突发事件的善后处置包括人员安置、补偿，征用物资及运输工作补偿，应急及医疗机构垫付费用、事故受害者后续治疗费用及检验检测费用等及时拨付，污染物收集、清理与处理等。</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积极稳妥、全面细致地做好善后处置工作，尽快妥善安置、慰问受害和受影响人员，消除特种设备突发事件影响，恢复正常秩序；完善相关政策，促进行业健康发展。</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特种设备突发事件发生后，保险机构应当及时开展保险受理和保险理赔工作。</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造成特种设备突发事件的责任单位或责任人应当按照有关规定结算由相关机构及个人垫付的前期治疗费用，并对受害人给予赔偿，承担受害人后续治疗及保障等相关费用。</w:t>
      </w:r>
    </w:p>
    <w:p>
      <w:pPr>
        <w:adjustRightInd w:val="0"/>
        <w:snapToGrid w:val="0"/>
        <w:spacing w:line="360" w:lineRule="auto"/>
        <w:ind w:firstLine="604" w:firstLineChars="200"/>
        <w:rPr>
          <w:rFonts w:ascii="仿宋" w:hAnsi="仿宋" w:eastAsia="仿宋"/>
          <w:b/>
          <w:sz w:val="32"/>
          <w:szCs w:val="32"/>
        </w:rPr>
      </w:pPr>
      <w:bookmarkStart w:id="31" w:name="_Toc22222538"/>
      <w:r>
        <w:rPr>
          <w:rFonts w:ascii="仿宋" w:hAnsi="仿宋" w:eastAsia="仿宋"/>
          <w:b/>
          <w:sz w:val="32"/>
          <w:szCs w:val="32"/>
        </w:rPr>
        <w:t>5.2</w:t>
      </w:r>
      <w:r>
        <w:rPr>
          <w:rFonts w:hint="eastAsia" w:ascii="仿宋" w:hAnsi="仿宋" w:eastAsia="仿宋"/>
          <w:b/>
          <w:sz w:val="32"/>
          <w:szCs w:val="32"/>
        </w:rPr>
        <w:t>现场应急救援工作</w:t>
      </w:r>
      <w:bookmarkEnd w:id="31"/>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发生特种设备突发事件，应当及时组织救援</w:t>
      </w:r>
      <w:r>
        <w:rPr>
          <w:rFonts w:ascii="仿宋" w:hAnsi="仿宋" w:eastAsia="仿宋"/>
          <w:sz w:val="32"/>
          <w:szCs w:val="32"/>
        </w:rPr>
        <w:t xml:space="preserve">, </w:t>
      </w:r>
      <w:r>
        <w:rPr>
          <w:rFonts w:hint="eastAsia" w:ascii="仿宋" w:hAnsi="仿宋" w:eastAsia="仿宋"/>
          <w:sz w:val="32"/>
          <w:szCs w:val="32"/>
        </w:rPr>
        <w:t>防止扩大和次生灾害，最大限度地减少人员伤亡和经济损失。</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现场处置主要依靠地方政府及所涉及单位的应急处置力量，主要内容是：</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）立即开展抢救。突发事件发生后，涉事单位和当地政府要首先组织职工、群众开展自救、互救，并通知有关专业抢险救援机构，抢救现场受伤人员，尽最大的可能降低人员的伤亡、减少事故所造成的财产损失；</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）成立现场应急救援指挥部。当地政府要迅速成立现场应急救援指挥部，制定突发事件应急救援方案并组织实施，根据需要，及时修订救援方案；</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）对危害情况的初始评估。现场应急救援指挥部应当尽快对事故发生的基本情况做出初始评估，包括范围及危害扩展的趋势以及人员伤亡和财产损失情况等。</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）封锁现场。严禁一切无关的人员、车辆和物品进入危险区域，开辟应急救援人员、车辆及物资进出的安全通道，维持现场的社会治安和交通秩序。</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探测危险物资及控制危险源。根据特种设备的结构、工艺特点以及类别，迅速展开必要的技术检验、检测工作，确认危险物资的类型和特性，制定抢险救援的技术方案，并采取有针对性的安全技术措施，及时有效地控制</w:t>
      </w:r>
      <w:r>
        <w:rPr>
          <w:rFonts w:hint="eastAsia" w:ascii="仿宋" w:hAnsi="仿宋" w:eastAsia="仿宋"/>
          <w:sz w:val="32"/>
          <w:szCs w:val="32"/>
          <w:lang w:eastAsia="zh-CN"/>
        </w:rPr>
        <w:t>事件</w:t>
      </w:r>
      <w:r>
        <w:rPr>
          <w:rFonts w:hint="eastAsia" w:ascii="仿宋" w:hAnsi="仿宋" w:eastAsia="仿宋"/>
          <w:sz w:val="32"/>
          <w:szCs w:val="32"/>
        </w:rPr>
        <w:t>的扩大，消除危害和影响，并防止可能发生的次生灾害。</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）建立现场工作区域。应当根据</w:t>
      </w:r>
      <w:r>
        <w:rPr>
          <w:rFonts w:hint="eastAsia" w:ascii="仿宋" w:hAnsi="仿宋" w:eastAsia="仿宋"/>
          <w:sz w:val="32"/>
          <w:szCs w:val="32"/>
          <w:lang w:eastAsia="zh-CN"/>
        </w:rPr>
        <w:t>事件</w:t>
      </w:r>
      <w:r>
        <w:rPr>
          <w:rFonts w:hint="eastAsia" w:ascii="仿宋" w:hAnsi="仿宋" w:eastAsia="仿宋"/>
          <w:sz w:val="32"/>
          <w:szCs w:val="32"/>
        </w:rPr>
        <w:t>的危害、天气条件（特别是风向）等因素，设立现场抢险救援的安全工作区域。</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）设立人员疏散区。根据</w:t>
      </w:r>
      <w:r>
        <w:rPr>
          <w:rFonts w:hint="eastAsia" w:ascii="仿宋" w:hAnsi="仿宋" w:eastAsia="仿宋"/>
          <w:sz w:val="32"/>
          <w:szCs w:val="32"/>
          <w:lang w:eastAsia="zh-CN"/>
        </w:rPr>
        <w:t>发生事件</w:t>
      </w:r>
      <w:r>
        <w:rPr>
          <w:rFonts w:hint="eastAsia" w:ascii="仿宋" w:hAnsi="仿宋" w:eastAsia="仿宋"/>
          <w:sz w:val="32"/>
          <w:szCs w:val="32"/>
        </w:rPr>
        <w:t>类别、规模和危害程度，在必要时，应当果断迅速地划定危险波及范围和区域，组织相关人员和物资安全撤离危险波及的范围和区域。</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特殊险情的处理。根据事态发展变化情况，出现急剧恶化的特殊险情时，现场应急救援指挥部在充分考虑专家组和有关方面意见的基础上，依法采取紧急处置措施。涉及跨区域、跨领域影响严重的紧急处置方案，现场应急救援指挥部要立即报请当地人民政府向上一级人民政府进行协调实施。</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中止救援。在救援过程中，出现继续进行抢险救灾对救援人员的生命有直接威胁，极易造成事故扩大化，或没有办法实施救援，或没有继续实施救援的价值等情况时，经现场应急救援专家组充分论证，提出中止救援的意见，报现场应急救援指挥部决定。</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）清理事故现场。针对事故对人体、动植物、土壤、水源、空气已经造成和可能造成的危害，迅速采取封闭、隔离、清洗、化学中和等技术措施进行事故后处理，防止危害的继续和环境的污染。</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5.2.2</w:t>
      </w:r>
      <w:r>
        <w:rPr>
          <w:rFonts w:hint="eastAsia" w:ascii="仿宋" w:hAnsi="仿宋" w:eastAsia="仿宋"/>
          <w:b/>
          <w:sz w:val="32"/>
          <w:szCs w:val="32"/>
        </w:rPr>
        <w:t>应急救援人员的安全防护</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参加应急抢险救援的工作人员，应当按照应急预案的规定，装备齐全各种安全防护用品和安全设施、设备，现场应当在专业部门的专业人员的指导下进行必要的技术处理，应当开辟应急抢险人员和车辆出入的专用通道和安全通道。</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5.2.3 </w:t>
      </w:r>
      <w:r>
        <w:rPr>
          <w:rFonts w:hint="eastAsia" w:ascii="仿宋" w:hAnsi="仿宋" w:eastAsia="仿宋"/>
          <w:b/>
          <w:sz w:val="32"/>
          <w:szCs w:val="32"/>
        </w:rPr>
        <w:t>群众的安全防护</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根据突发事件发生的特性和应急救援的需要，现场应急救援指挥部提出周围居民和群众疏散的建议，由当地人民政府下达人员疏散指令。</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5.2.4 </w:t>
      </w:r>
      <w:r>
        <w:rPr>
          <w:rFonts w:hint="eastAsia" w:ascii="仿宋" w:hAnsi="仿宋" w:eastAsia="仿宋"/>
          <w:b/>
          <w:sz w:val="32"/>
          <w:szCs w:val="32"/>
        </w:rPr>
        <w:t>社会力量动员与参与</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在应急抢险救援过程中，现场应急救援指挥部根据需要建议当地政府负责依法动员、调动、征用有关人员、物资、设备、器材、以及占用场地。有关单位和个人应当给予支持、配合并提供便利条件，任何单位和个人不得拖延、阻拦和拒绝。</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5.3.</w:t>
      </w:r>
      <w:r>
        <w:rPr>
          <w:rFonts w:hint="eastAsia" w:ascii="仿宋" w:hAnsi="仿宋" w:eastAsia="仿宋"/>
          <w:b/>
          <w:sz w:val="32"/>
          <w:szCs w:val="32"/>
        </w:rPr>
        <w:t>特种设备事故调查</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依照《中华人民共和国特种设备安全法》《特种设备安全监察条例》《特种设备事故报告和调查处理规定》《特种设备事故调查处理导则》等有关规定组织开展事故调查工作。</w:t>
      </w:r>
    </w:p>
    <w:p>
      <w:pPr>
        <w:adjustRightInd w:val="0"/>
        <w:snapToGrid w:val="0"/>
        <w:spacing w:line="360" w:lineRule="auto"/>
        <w:ind w:firstLine="604" w:firstLineChars="200"/>
        <w:rPr>
          <w:rFonts w:ascii="仿宋" w:hAnsi="仿宋" w:eastAsia="仿宋"/>
          <w:b/>
          <w:sz w:val="32"/>
          <w:szCs w:val="32"/>
        </w:rPr>
      </w:pPr>
      <w:bookmarkStart w:id="32" w:name="_Toc22222539"/>
      <w:r>
        <w:rPr>
          <w:rFonts w:ascii="仿宋" w:hAnsi="仿宋" w:eastAsia="仿宋"/>
          <w:b/>
          <w:sz w:val="32"/>
          <w:szCs w:val="32"/>
        </w:rPr>
        <w:t xml:space="preserve">5.4 </w:t>
      </w:r>
      <w:r>
        <w:rPr>
          <w:rFonts w:hint="eastAsia" w:ascii="仿宋" w:hAnsi="仿宋" w:eastAsia="仿宋"/>
          <w:b/>
          <w:sz w:val="32"/>
          <w:szCs w:val="32"/>
        </w:rPr>
        <w:t>总结评估</w:t>
      </w:r>
      <w:bookmarkEnd w:id="32"/>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突发事件处置工作结束后，应当组织有关部门及时对应急处置工作进行评估，总结经验教训，分析突发事件发生原因和影响因素，提出对类似突发事件的防范和处置建议，完善监管措施，形成总结评估报告。</w:t>
      </w:r>
      <w:bookmarkEnd w:id="28"/>
      <w:bookmarkStart w:id="33" w:name="_Toc86655364"/>
      <w:bookmarkStart w:id="34" w:name="_Toc22222540"/>
    </w:p>
    <w:p>
      <w:pPr>
        <w:adjustRightInd w:val="0"/>
        <w:snapToGrid w:val="0"/>
        <w:spacing w:line="360" w:lineRule="auto"/>
        <w:ind w:firstLine="604" w:firstLineChars="200"/>
        <w:rPr>
          <w:rFonts w:ascii="仿宋" w:hAnsi="仿宋" w:eastAsia="仿宋"/>
          <w:b/>
          <w:color w:val="000000"/>
          <w:sz w:val="32"/>
          <w:szCs w:val="32"/>
        </w:rPr>
      </w:pPr>
      <w:r>
        <w:rPr>
          <w:rFonts w:ascii="仿宋" w:hAnsi="仿宋" w:eastAsia="仿宋"/>
          <w:b/>
          <w:color w:val="000000"/>
          <w:sz w:val="32"/>
          <w:szCs w:val="32"/>
        </w:rPr>
        <w:t>6</w:t>
      </w:r>
      <w:r>
        <w:rPr>
          <w:rFonts w:hint="eastAsia" w:ascii="仿宋" w:hAnsi="仿宋" w:eastAsia="仿宋"/>
          <w:b/>
          <w:color w:val="000000"/>
          <w:sz w:val="32"/>
          <w:szCs w:val="32"/>
        </w:rPr>
        <w:t>保障措施</w:t>
      </w:r>
      <w:bookmarkEnd w:id="33"/>
      <w:bookmarkEnd w:id="34"/>
    </w:p>
    <w:p>
      <w:pPr>
        <w:adjustRightInd w:val="0"/>
        <w:snapToGrid w:val="0"/>
        <w:spacing w:line="360" w:lineRule="auto"/>
        <w:ind w:firstLine="604" w:firstLineChars="200"/>
        <w:rPr>
          <w:rFonts w:ascii="仿宋" w:hAnsi="仿宋" w:eastAsia="仿宋"/>
          <w:b/>
          <w:color w:val="000000"/>
          <w:sz w:val="32"/>
          <w:szCs w:val="32"/>
        </w:rPr>
      </w:pPr>
      <w:bookmarkStart w:id="35" w:name="_Toc22222541"/>
      <w:bookmarkStart w:id="36" w:name="_Toc86655365"/>
      <w:r>
        <w:rPr>
          <w:rFonts w:ascii="仿宋" w:hAnsi="仿宋" w:eastAsia="仿宋"/>
          <w:b/>
          <w:color w:val="000000"/>
          <w:sz w:val="32"/>
          <w:szCs w:val="32"/>
        </w:rPr>
        <w:t xml:space="preserve">6.1 </w:t>
      </w:r>
      <w:r>
        <w:rPr>
          <w:rFonts w:hint="eastAsia" w:ascii="仿宋" w:hAnsi="仿宋" w:eastAsia="仿宋"/>
          <w:b/>
          <w:color w:val="000000"/>
          <w:sz w:val="32"/>
          <w:szCs w:val="32"/>
        </w:rPr>
        <w:t>应急信息和物资装备保障</w:t>
      </w:r>
      <w:bookmarkEnd w:id="35"/>
      <w:bookmarkEnd w:id="36"/>
    </w:p>
    <w:p>
      <w:pPr>
        <w:adjustRightInd w:val="0"/>
        <w:snapToGrid w:val="0"/>
        <w:spacing w:line="360" w:lineRule="auto"/>
        <w:ind w:firstLine="604" w:firstLineChars="200"/>
        <w:rPr>
          <w:rFonts w:ascii="仿宋" w:hAnsi="仿宋" w:eastAsia="仿宋"/>
          <w:sz w:val="32"/>
          <w:szCs w:val="32"/>
          <w:highlight w:val="none"/>
        </w:rPr>
      </w:pPr>
      <w:r>
        <w:rPr>
          <w:rFonts w:hint="eastAsia" w:ascii="仿宋" w:hAnsi="仿宋" w:eastAsia="仿宋"/>
          <w:sz w:val="32"/>
          <w:szCs w:val="32"/>
        </w:rPr>
        <w:t>（一）</w:t>
      </w:r>
      <w:r>
        <w:rPr>
          <w:rFonts w:hint="eastAsia" w:ascii="仿宋" w:hAnsi="仿宋" w:eastAsia="仿宋"/>
          <w:sz w:val="32"/>
          <w:szCs w:val="32"/>
          <w:highlight w:val="none"/>
        </w:rPr>
        <w:t>南阳市市场监管宛城分局建立与区应急管理局等有关部门以及各市场监督管理所通信联络数据库，有关单位的值班电话确保</w:t>
      </w:r>
      <w:r>
        <w:rPr>
          <w:rFonts w:ascii="仿宋" w:hAnsi="仿宋" w:eastAsia="仿宋"/>
          <w:sz w:val="32"/>
          <w:szCs w:val="32"/>
          <w:highlight w:val="none"/>
        </w:rPr>
        <w:t>24</w:t>
      </w:r>
      <w:r>
        <w:rPr>
          <w:rFonts w:hint="eastAsia" w:ascii="仿宋" w:hAnsi="仿宋" w:eastAsia="仿宋"/>
          <w:sz w:val="32"/>
          <w:szCs w:val="32"/>
          <w:highlight w:val="none"/>
        </w:rPr>
        <w:t>小时有人值守。</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（二）在当地人民政府的支持下，针对可能发生的特种设备事故类型，配备相应的防护装备、检测仪器、应急车辆、通讯装备等。</w:t>
      </w:r>
    </w:p>
    <w:p>
      <w:pPr>
        <w:adjustRightInd w:val="0"/>
        <w:snapToGrid w:val="0"/>
        <w:spacing w:line="360" w:lineRule="auto"/>
        <w:ind w:firstLine="604" w:firstLineChars="200"/>
        <w:rPr>
          <w:rFonts w:ascii="仿宋" w:hAnsi="仿宋" w:eastAsia="仿宋"/>
          <w:b/>
          <w:sz w:val="32"/>
          <w:szCs w:val="32"/>
        </w:rPr>
      </w:pPr>
      <w:bookmarkStart w:id="37" w:name="_Toc86655368"/>
      <w:bookmarkStart w:id="38" w:name="_Toc22222542"/>
      <w:r>
        <w:rPr>
          <w:rFonts w:ascii="仿宋" w:hAnsi="仿宋" w:eastAsia="仿宋"/>
          <w:b/>
          <w:sz w:val="32"/>
          <w:szCs w:val="32"/>
        </w:rPr>
        <w:t xml:space="preserve">6.2 </w:t>
      </w:r>
      <w:r>
        <w:rPr>
          <w:rFonts w:hint="eastAsia" w:ascii="仿宋" w:hAnsi="仿宋" w:eastAsia="仿宋"/>
          <w:b/>
          <w:sz w:val="32"/>
          <w:szCs w:val="32"/>
        </w:rPr>
        <w:t>技术储备与保障</w:t>
      </w:r>
      <w:bookmarkEnd w:id="37"/>
      <w:bookmarkEnd w:id="38"/>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（一）依据南阳市市场监管局组织建立的特种设备突发事件应急和事故调查专家库、特种设备信息库，编制南阳市市场监管局宛城分局特种设备突发事件应急预案。</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（二）</w:t>
      </w:r>
      <w:bookmarkStart w:id="39" w:name="_Toc86655369"/>
      <w:r>
        <w:rPr>
          <w:rFonts w:hint="eastAsia" w:ascii="仿宋" w:hAnsi="仿宋" w:eastAsia="仿宋"/>
          <w:sz w:val="32"/>
          <w:szCs w:val="32"/>
        </w:rPr>
        <w:t>各市场监督管理所指导、督促有关特种设备使用单位做好应急预案的建立完善工作。</w:t>
      </w:r>
    </w:p>
    <w:p>
      <w:pPr>
        <w:adjustRightInd w:val="0"/>
        <w:snapToGrid w:val="0"/>
        <w:spacing w:line="360" w:lineRule="auto"/>
        <w:ind w:firstLine="604" w:firstLineChars="200"/>
        <w:rPr>
          <w:rFonts w:ascii="仿宋" w:hAnsi="仿宋" w:eastAsia="仿宋"/>
          <w:b/>
          <w:sz w:val="32"/>
          <w:szCs w:val="32"/>
        </w:rPr>
      </w:pPr>
      <w:bookmarkStart w:id="40" w:name="_Toc22222543"/>
      <w:r>
        <w:rPr>
          <w:rFonts w:ascii="仿宋" w:hAnsi="仿宋" w:eastAsia="仿宋"/>
          <w:b/>
          <w:sz w:val="32"/>
          <w:szCs w:val="32"/>
        </w:rPr>
        <w:t xml:space="preserve">6.3 </w:t>
      </w:r>
      <w:r>
        <w:rPr>
          <w:rFonts w:hint="eastAsia" w:ascii="仿宋" w:hAnsi="仿宋" w:eastAsia="仿宋"/>
          <w:b/>
          <w:sz w:val="32"/>
          <w:szCs w:val="32"/>
        </w:rPr>
        <w:t>宣传、培训和</w:t>
      </w:r>
      <w:bookmarkEnd w:id="39"/>
      <w:r>
        <w:rPr>
          <w:rFonts w:hint="eastAsia" w:ascii="仿宋" w:hAnsi="仿宋" w:eastAsia="仿宋"/>
          <w:b/>
          <w:sz w:val="32"/>
          <w:szCs w:val="32"/>
        </w:rPr>
        <w:t>演练</w:t>
      </w:r>
      <w:bookmarkEnd w:id="40"/>
    </w:p>
    <w:p>
      <w:pPr>
        <w:adjustRightInd w:val="0"/>
        <w:snapToGrid w:val="0"/>
        <w:spacing w:line="360" w:lineRule="auto"/>
        <w:ind w:firstLine="604" w:firstLineChars="200"/>
        <w:rPr>
          <w:rFonts w:hint="eastAsia" w:ascii="仿宋" w:hAnsi="仿宋" w:eastAsia="仿宋"/>
          <w:sz w:val="32"/>
          <w:szCs w:val="32"/>
          <w:highlight w:val="none"/>
        </w:rPr>
      </w:pPr>
      <w:r>
        <w:rPr>
          <w:rFonts w:hint="eastAsia" w:ascii="仿宋" w:hAnsi="仿宋" w:eastAsia="仿宋"/>
          <w:sz w:val="32"/>
          <w:szCs w:val="32"/>
          <w:highlight w:val="none"/>
        </w:rPr>
        <w:t>通过各种新闻媒体，广泛宣传事故的预防、避险、避灾、自救、互救等应急知识，并公布报警电话。</w:t>
      </w:r>
    </w:p>
    <w:p>
      <w:pPr>
        <w:adjustRightInd w:val="0"/>
        <w:snapToGrid w:val="0"/>
        <w:spacing w:line="360" w:lineRule="auto"/>
        <w:ind w:firstLine="604" w:firstLineChars="200"/>
        <w:rPr>
          <w:rFonts w:ascii="仿宋" w:hAnsi="仿宋" w:eastAsia="仿宋"/>
          <w:sz w:val="32"/>
          <w:szCs w:val="32"/>
          <w:highlight w:val="none"/>
        </w:rPr>
      </w:pPr>
      <w:r>
        <w:rPr>
          <w:rFonts w:hint="eastAsia" w:ascii="仿宋" w:hAnsi="仿宋" w:eastAsia="仿宋"/>
          <w:sz w:val="32"/>
          <w:szCs w:val="32"/>
          <w:highlight w:val="none"/>
        </w:rPr>
        <w:t>每</w:t>
      </w:r>
      <w:r>
        <w:rPr>
          <w:rFonts w:ascii="仿宋" w:hAnsi="仿宋" w:eastAsia="仿宋"/>
          <w:sz w:val="32"/>
          <w:szCs w:val="32"/>
          <w:highlight w:val="none"/>
        </w:rPr>
        <w:t>3</w:t>
      </w:r>
      <w:r>
        <w:rPr>
          <w:rFonts w:hint="eastAsia" w:ascii="仿宋" w:hAnsi="仿宋" w:eastAsia="仿宋"/>
          <w:sz w:val="32"/>
          <w:szCs w:val="32"/>
          <w:highlight w:val="none"/>
        </w:rPr>
        <w:t>年至少组织</w:t>
      </w:r>
      <w:r>
        <w:rPr>
          <w:rFonts w:ascii="仿宋" w:hAnsi="仿宋" w:eastAsia="仿宋"/>
          <w:sz w:val="32"/>
          <w:szCs w:val="32"/>
          <w:highlight w:val="none"/>
        </w:rPr>
        <w:t>1</w:t>
      </w:r>
      <w:r>
        <w:rPr>
          <w:rFonts w:hint="eastAsia" w:ascii="仿宋" w:hAnsi="仿宋" w:eastAsia="仿宋"/>
          <w:sz w:val="32"/>
          <w:szCs w:val="32"/>
          <w:highlight w:val="none"/>
        </w:rPr>
        <w:t>次应急预案演练，可以采取桌面推演或现场演练方式。演练结束后，应当对演练情况进行总结、评估，必要时对应急预案进行修订和完善。</w:t>
      </w:r>
    </w:p>
    <w:p>
      <w:pPr>
        <w:adjustRightInd w:val="0"/>
        <w:snapToGrid w:val="0"/>
        <w:spacing w:line="360" w:lineRule="auto"/>
        <w:ind w:firstLine="604" w:firstLineChars="200"/>
        <w:rPr>
          <w:rFonts w:ascii="仿宋" w:hAnsi="仿宋" w:eastAsia="仿宋"/>
          <w:b/>
          <w:sz w:val="32"/>
          <w:szCs w:val="32"/>
        </w:rPr>
      </w:pPr>
      <w:bookmarkStart w:id="41" w:name="_Toc86655370"/>
      <w:bookmarkStart w:id="42" w:name="_Toc22222544"/>
      <w:r>
        <w:rPr>
          <w:rFonts w:ascii="仿宋" w:hAnsi="仿宋" w:eastAsia="仿宋"/>
          <w:b/>
          <w:sz w:val="32"/>
          <w:szCs w:val="32"/>
        </w:rPr>
        <w:t xml:space="preserve">6.4 </w:t>
      </w:r>
      <w:r>
        <w:rPr>
          <w:rFonts w:hint="eastAsia" w:ascii="仿宋" w:hAnsi="仿宋" w:eastAsia="仿宋"/>
          <w:b/>
          <w:sz w:val="32"/>
          <w:szCs w:val="32"/>
        </w:rPr>
        <w:t>资金保障</w:t>
      </w:r>
      <w:bookmarkEnd w:id="41"/>
      <w:bookmarkEnd w:id="42"/>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分局财务负责计划筹措特种设备突发事件应急处置工作资金。</w:t>
      </w:r>
      <w:bookmarkStart w:id="43" w:name="_Toc22222545"/>
      <w:bookmarkStart w:id="44" w:name="_Toc86655374"/>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7 </w:t>
      </w:r>
      <w:r>
        <w:rPr>
          <w:rFonts w:hint="eastAsia" w:ascii="仿宋" w:hAnsi="仿宋" w:eastAsia="仿宋"/>
          <w:b/>
          <w:sz w:val="32"/>
          <w:szCs w:val="32"/>
        </w:rPr>
        <w:t>附则</w:t>
      </w:r>
      <w:bookmarkEnd w:id="43"/>
    </w:p>
    <w:p>
      <w:pPr>
        <w:adjustRightInd w:val="0"/>
        <w:snapToGrid w:val="0"/>
        <w:spacing w:line="360" w:lineRule="auto"/>
        <w:ind w:firstLine="604" w:firstLineChars="200"/>
        <w:rPr>
          <w:rFonts w:ascii="仿宋" w:hAnsi="仿宋" w:eastAsia="仿宋"/>
          <w:b/>
          <w:sz w:val="32"/>
          <w:szCs w:val="32"/>
        </w:rPr>
      </w:pPr>
      <w:bookmarkStart w:id="45" w:name="_Toc22222546"/>
      <w:r>
        <w:rPr>
          <w:rFonts w:ascii="仿宋" w:hAnsi="仿宋" w:eastAsia="仿宋"/>
          <w:b/>
          <w:sz w:val="32"/>
          <w:szCs w:val="32"/>
        </w:rPr>
        <w:t xml:space="preserve">7.1 </w:t>
      </w:r>
      <w:r>
        <w:rPr>
          <w:rFonts w:hint="eastAsia" w:ascii="仿宋" w:hAnsi="仿宋" w:eastAsia="仿宋"/>
          <w:b/>
          <w:sz w:val="32"/>
          <w:szCs w:val="32"/>
        </w:rPr>
        <w:t>名词术语及定义</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特种设备：是指对人身和财产安全有较大危险性的锅炉、压力容器（含气瓶）、压力管道、电梯、起重机械、客运索道、大型游乐设施、场（厂）内专用机动车辆，以及法律、行政法规规定适用《特种设备法》的其他特种设备。</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特种设备事故：是指列入特种设备目录的特种设备因其本体原因及其安全装置或者附件损坏、失效，或者特种设备相关人员违反特种设备法律法规规章、安全技术规范造成的事故。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 xml:space="preserve"> 以下情形不属于特种设备事故：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（一）《中华人民共和国特种设备安全法》第一百条规定的特种设备造成的事故；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（二）自然灾害等不可抗力或者交通事故、火灾事故等外部因素引发的事故；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（三）人为破坏或者利用特种设备实施违法犯罪导致的事故；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（四）特种设备具备使用功能前或者在拆卸、报废、转移等非作业状态下发生的事故；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（五）特种设备作业、检验、检测人员因劳动保护措施不当或者缺失而发生的事故；</w:t>
      </w:r>
    </w:p>
    <w:p>
      <w:pPr>
        <w:adjustRightInd w:val="0"/>
        <w:snapToGrid w:val="0"/>
        <w:spacing w:line="360" w:lineRule="auto"/>
        <w:ind w:firstLine="604" w:firstLineChars="200"/>
        <w:rPr>
          <w:rFonts w:hint="eastAsia" w:ascii="仿宋" w:hAnsi="仿宋" w:eastAsia="仿宋"/>
          <w:sz w:val="32"/>
          <w:szCs w:val="32"/>
        </w:rPr>
      </w:pPr>
      <w:r>
        <w:rPr>
          <w:rFonts w:hint="eastAsia" w:ascii="仿宋" w:hAnsi="仿宋" w:eastAsia="仿宋"/>
          <w:sz w:val="32"/>
          <w:szCs w:val="32"/>
        </w:rPr>
        <w:t>（六）场（厂）内专用机动车辆驶出规定的工厂厂区、旅游景区、游乐场所等特定区域发生的事故。</w:t>
      </w:r>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7.2</w:t>
      </w:r>
      <w:r>
        <w:rPr>
          <w:rFonts w:hint="eastAsia" w:ascii="仿宋" w:hAnsi="仿宋" w:eastAsia="仿宋"/>
          <w:b/>
          <w:sz w:val="32"/>
          <w:szCs w:val="32"/>
          <w:lang w:val="en-US" w:eastAsia="zh-CN"/>
        </w:rPr>
        <w:t xml:space="preserve"> </w:t>
      </w:r>
      <w:r>
        <w:rPr>
          <w:rFonts w:hint="eastAsia" w:ascii="仿宋" w:hAnsi="仿宋" w:eastAsia="仿宋"/>
          <w:b/>
          <w:sz w:val="32"/>
          <w:szCs w:val="32"/>
        </w:rPr>
        <w:t>事故调查权限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《中华人民共和国特种设备安全法》第七十二条：</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特种设备发生特别重大事故，由国务院或者国务院授权有关部门组织事故调查组进行调查。 </w:t>
      </w:r>
    </w:p>
    <w:p>
      <w:pPr>
        <w:rPr>
          <w:rFonts w:hint="eastAsia" w:ascii="仿宋" w:hAnsi="仿宋" w:eastAsia="仿宋" w:cs="仿宋"/>
          <w:sz w:val="32"/>
          <w:szCs w:val="32"/>
        </w:rPr>
      </w:pPr>
      <w:r>
        <w:rPr>
          <w:rFonts w:hint="eastAsia" w:ascii="仿宋" w:hAnsi="仿宋" w:eastAsia="仿宋" w:cs="仿宋"/>
          <w:sz w:val="32"/>
          <w:szCs w:val="32"/>
        </w:rPr>
        <w:t xml:space="preserve">    发生重大事故，由国务院负责特种设备安全监督管理的部门会同有关部门组织事故调查组进行调查。 </w:t>
      </w:r>
    </w:p>
    <w:p>
      <w:pPr>
        <w:rPr>
          <w:rFonts w:hint="eastAsia" w:ascii="仿宋" w:hAnsi="仿宋" w:eastAsia="仿宋" w:cs="仿宋"/>
          <w:sz w:val="32"/>
          <w:szCs w:val="32"/>
        </w:rPr>
      </w:pPr>
      <w:r>
        <w:rPr>
          <w:rFonts w:hint="eastAsia" w:ascii="仿宋" w:hAnsi="仿宋" w:eastAsia="仿宋" w:cs="仿宋"/>
          <w:sz w:val="32"/>
          <w:szCs w:val="32"/>
        </w:rPr>
        <w:t xml:space="preserve">    发生较大事故，由省、自治区、直辖市人民政府负责特种设备安全监督管理的部门会同有关部门组织事故调查组进行调查。 </w:t>
      </w:r>
    </w:p>
    <w:p>
      <w:pPr>
        <w:rPr>
          <w:rFonts w:hint="eastAsia" w:ascii="仿宋" w:hAnsi="仿宋" w:eastAsia="仿宋" w:cs="仿宋"/>
          <w:sz w:val="32"/>
          <w:szCs w:val="32"/>
        </w:rPr>
      </w:pPr>
      <w:r>
        <w:rPr>
          <w:rFonts w:hint="eastAsia" w:ascii="仿宋" w:hAnsi="仿宋" w:eastAsia="仿宋" w:cs="仿宋"/>
          <w:sz w:val="32"/>
          <w:szCs w:val="32"/>
        </w:rPr>
        <w:t xml:space="preserve">    发生一般事故，由设区的市级人民政府负责特种设备安全监督管理的部门会同有关部门组织事故调查组进行调查。 </w:t>
      </w:r>
    </w:p>
    <w:p>
      <w:pPr>
        <w:adjustRightInd w:val="0"/>
        <w:snapToGrid w:val="0"/>
        <w:spacing w:line="360" w:lineRule="auto"/>
        <w:ind w:firstLine="604" w:firstLineChars="200"/>
        <w:rPr>
          <w:rFonts w:hint="eastAsia" w:ascii="仿宋" w:hAnsi="仿宋" w:eastAsia="仿宋" w:cs="仿宋"/>
          <w:sz w:val="32"/>
          <w:szCs w:val="32"/>
        </w:rPr>
      </w:pPr>
      <w:r>
        <w:rPr>
          <w:rFonts w:hint="eastAsia" w:ascii="仿宋" w:hAnsi="仿宋" w:eastAsia="仿宋" w:cs="仿宋"/>
          <w:sz w:val="32"/>
          <w:szCs w:val="32"/>
        </w:rPr>
        <w:t>事故调查组应当依法、独立、公正开展调查，提出事故调查报告。</w:t>
      </w:r>
    </w:p>
    <w:p>
      <w:pPr>
        <w:adjustRightInd w:val="0"/>
        <w:snapToGrid w:val="0"/>
        <w:spacing w:line="360" w:lineRule="auto"/>
        <w:ind w:firstLine="604" w:firstLineChars="200"/>
        <w:rPr>
          <w:rFonts w:ascii="仿宋" w:hAnsi="仿宋" w:eastAsia="仿宋"/>
          <w:sz w:val="32"/>
          <w:szCs w:val="32"/>
        </w:rPr>
      </w:pPr>
      <w:r>
        <w:rPr>
          <w:rFonts w:ascii="仿宋" w:hAnsi="仿宋" w:eastAsia="仿宋"/>
          <w:b/>
          <w:sz w:val="32"/>
          <w:szCs w:val="32"/>
        </w:rPr>
        <w:t xml:space="preserve"> 7.3 </w:t>
      </w:r>
      <w:r>
        <w:rPr>
          <w:rFonts w:hint="eastAsia" w:ascii="仿宋" w:hAnsi="仿宋" w:eastAsia="仿宋"/>
          <w:b/>
          <w:sz w:val="32"/>
          <w:szCs w:val="32"/>
        </w:rPr>
        <w:t>预案管理与更新</w:t>
      </w:r>
      <w:bookmarkEnd w:id="44"/>
      <w:bookmarkEnd w:id="45"/>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本预案由南阳市市场监管局宛城分局负责更新修订，修订后报宛城区政府应急办、安委办和南阳市市场监督管理局特种设备安全监察科备案。有关法律、行政法规、规章、标准、上位预案中的有关规定发生变化等情况，应及时进行更新修订。</w:t>
      </w:r>
      <w:bookmarkStart w:id="46" w:name="_Toc86655376"/>
      <w:bookmarkStart w:id="47" w:name="_Toc22222547"/>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7.4 </w:t>
      </w:r>
      <w:r>
        <w:rPr>
          <w:rFonts w:hint="eastAsia" w:ascii="仿宋" w:hAnsi="仿宋" w:eastAsia="仿宋"/>
          <w:b/>
          <w:sz w:val="32"/>
          <w:szCs w:val="32"/>
        </w:rPr>
        <w:t>奖励与责任</w:t>
      </w:r>
      <w:bookmarkEnd w:id="46"/>
      <w:bookmarkEnd w:id="47"/>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应急工作结束后，区市场监管局和事故发生地市场监督管理部门应当认真进行总结，并按照有关规定对有关单位和人员进行奖惩。</w:t>
      </w:r>
      <w:bookmarkStart w:id="48" w:name="_Toc86655377"/>
      <w:bookmarkStart w:id="49" w:name="_Toc22222548"/>
    </w:p>
    <w:p>
      <w:pPr>
        <w:adjustRightInd w:val="0"/>
        <w:snapToGrid w:val="0"/>
        <w:spacing w:line="360" w:lineRule="auto"/>
        <w:ind w:firstLine="604" w:firstLineChars="200"/>
        <w:rPr>
          <w:rFonts w:ascii="仿宋" w:hAnsi="仿宋" w:eastAsia="仿宋"/>
          <w:b/>
          <w:sz w:val="32"/>
          <w:szCs w:val="32"/>
        </w:rPr>
      </w:pPr>
      <w:r>
        <w:rPr>
          <w:rFonts w:ascii="仿宋" w:hAnsi="仿宋" w:eastAsia="仿宋"/>
          <w:b/>
          <w:sz w:val="32"/>
          <w:szCs w:val="32"/>
        </w:rPr>
        <w:t xml:space="preserve">7.5 </w:t>
      </w:r>
      <w:r>
        <w:rPr>
          <w:rFonts w:hint="eastAsia" w:ascii="仿宋" w:hAnsi="仿宋" w:eastAsia="仿宋"/>
          <w:b/>
          <w:sz w:val="32"/>
          <w:szCs w:val="32"/>
        </w:rPr>
        <w:t>制定与解释部门</w:t>
      </w:r>
      <w:bookmarkEnd w:id="48"/>
      <w:bookmarkEnd w:id="49"/>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本预案由南阳市市场监管局宛城分局组织制定并负责解释。</w:t>
      </w:r>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联系部门：南阳市市场监管局宛城分局</w:t>
      </w:r>
      <w:bookmarkStart w:id="50" w:name="_Toc24205"/>
      <w:bookmarkStart w:id="51" w:name="_Toc3637"/>
      <w:bookmarkStart w:id="52" w:name="_Toc31698"/>
      <w:bookmarkStart w:id="53" w:name="_Toc29498"/>
      <w:bookmarkStart w:id="54" w:name="_Toc28109"/>
      <w:bookmarkStart w:id="55" w:name="_Toc25012"/>
      <w:bookmarkStart w:id="56" w:name="_Toc440025708"/>
      <w:bookmarkStart w:id="57" w:name="_Toc3998"/>
      <w:bookmarkStart w:id="58" w:name="_Toc32048"/>
      <w:bookmarkStart w:id="59" w:name="_Toc7423"/>
      <w:bookmarkStart w:id="60" w:name="_Toc17811"/>
      <w:bookmarkStart w:id="61" w:name="_Toc86655378"/>
      <w:bookmarkStart w:id="62" w:name="_Toc500778339"/>
      <w:bookmarkStart w:id="63" w:name="_Toc26259"/>
      <w:bookmarkStart w:id="64" w:name="_Toc27592"/>
      <w:bookmarkStart w:id="65" w:name="_Toc22222549"/>
      <w:bookmarkStart w:id="66" w:name="_Toc31787"/>
      <w:bookmarkStart w:id="67" w:name="_Toc10934"/>
      <w:bookmarkStart w:id="68" w:name="_Toc4500"/>
    </w:p>
    <w:p>
      <w:pPr>
        <w:adjustRightInd w:val="0"/>
        <w:snapToGrid w:val="0"/>
        <w:spacing w:line="360" w:lineRule="auto"/>
        <w:ind w:firstLine="604" w:firstLineChars="200"/>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rPr>
        <w:t>0377-6</w:t>
      </w:r>
      <w:r>
        <w:rPr>
          <w:rFonts w:hint="eastAsia" w:ascii="仿宋" w:hAnsi="仿宋" w:eastAsia="仿宋"/>
          <w:sz w:val="32"/>
          <w:szCs w:val="32"/>
        </w:rPr>
        <w:t>3226469</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附件：</w:t>
      </w:r>
    </w:p>
    <w:p>
      <w:pPr>
        <w:adjustRightInd w:val="0"/>
        <w:snapToGrid w:val="0"/>
        <w:spacing w:line="360" w:lineRule="auto"/>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、启动特种设备事故应急救援预案审批表</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、特种设备事故应急资源一览表</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、常见特种设备事故基本紧急处置技术措施</w:t>
      </w: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启动特种设备事故应急救援预案审批表</w:t>
      </w:r>
    </w:p>
    <w:tbl>
      <w:tblPr>
        <w:tblStyle w:val="8"/>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3520"/>
        <w:gridCol w:w="1639"/>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事故发生单位</w:t>
            </w:r>
          </w:p>
        </w:tc>
        <w:tc>
          <w:tcPr>
            <w:tcW w:w="7393" w:type="dxa"/>
            <w:gridSpan w:val="3"/>
            <w:vAlign w:val="center"/>
          </w:tcPr>
          <w:p>
            <w:pPr>
              <w:adjustRightInd w:val="0"/>
              <w:snapToGrid w:val="0"/>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发生时间</w:t>
            </w:r>
          </w:p>
        </w:tc>
        <w:tc>
          <w:tcPr>
            <w:tcW w:w="3520" w:type="dxa"/>
            <w:vAlign w:val="center"/>
          </w:tcPr>
          <w:p>
            <w:pPr>
              <w:adjustRightInd w:val="0"/>
              <w:snapToGrid w:val="0"/>
              <w:spacing w:line="360" w:lineRule="auto"/>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时</w:t>
            </w:r>
            <w:r>
              <w:rPr>
                <w:rFonts w:ascii="仿宋" w:hAnsi="仿宋" w:eastAsia="仿宋"/>
                <w:sz w:val="32"/>
                <w:szCs w:val="32"/>
              </w:rPr>
              <w:t xml:space="preserve">  </w:t>
            </w:r>
            <w:r>
              <w:rPr>
                <w:rFonts w:hint="eastAsia" w:ascii="仿宋" w:hAnsi="仿宋" w:eastAsia="仿宋"/>
                <w:sz w:val="32"/>
                <w:szCs w:val="32"/>
              </w:rPr>
              <w:t>分</w:t>
            </w:r>
          </w:p>
        </w:tc>
        <w:tc>
          <w:tcPr>
            <w:tcW w:w="1639"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企业性质</w:t>
            </w:r>
          </w:p>
        </w:tc>
        <w:tc>
          <w:tcPr>
            <w:tcW w:w="2234" w:type="dxa"/>
            <w:vAlign w:val="center"/>
          </w:tcPr>
          <w:p>
            <w:pPr>
              <w:adjustRightInd w:val="0"/>
              <w:snapToGrid w:val="0"/>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事故发生地点</w:t>
            </w:r>
          </w:p>
        </w:tc>
        <w:tc>
          <w:tcPr>
            <w:tcW w:w="7393" w:type="dxa"/>
            <w:gridSpan w:val="3"/>
            <w:vAlign w:val="center"/>
          </w:tcPr>
          <w:p>
            <w:pPr>
              <w:adjustRightInd w:val="0"/>
              <w:snapToGrid w:val="0"/>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事故概况</w:t>
            </w:r>
          </w:p>
        </w:tc>
        <w:tc>
          <w:tcPr>
            <w:tcW w:w="7393" w:type="dxa"/>
            <w:gridSpan w:val="3"/>
            <w:vAlign w:val="center"/>
          </w:tcPr>
          <w:p>
            <w:pPr>
              <w:adjustRightInd w:val="0"/>
              <w:snapToGrid w:val="0"/>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设备类别</w:t>
            </w:r>
          </w:p>
        </w:tc>
        <w:tc>
          <w:tcPr>
            <w:tcW w:w="7393" w:type="dxa"/>
            <w:gridSpan w:val="3"/>
            <w:vAlign w:val="center"/>
          </w:tcPr>
          <w:p>
            <w:pPr>
              <w:adjustRightInd w:val="0"/>
              <w:snapToGrid w:val="0"/>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事故类别</w:t>
            </w:r>
          </w:p>
        </w:tc>
        <w:tc>
          <w:tcPr>
            <w:tcW w:w="7393" w:type="dxa"/>
            <w:gridSpan w:val="3"/>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特大（</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重大（</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较大（</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一般（</w:t>
            </w:r>
            <w:r>
              <w:rPr>
                <w:rFonts w:ascii="仿宋" w:hAnsi="仿宋" w:eastAsia="仿宋"/>
                <w:sz w:val="32"/>
                <w:szCs w:val="32"/>
              </w:rPr>
              <w:t xml:space="preserve">   </w:t>
            </w: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伤亡情况</w:t>
            </w:r>
          </w:p>
        </w:tc>
        <w:tc>
          <w:tcPr>
            <w:tcW w:w="7393" w:type="dxa"/>
            <w:gridSpan w:val="3"/>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死亡：</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r>
              <w:rPr>
                <w:rFonts w:hint="eastAsia" w:ascii="仿宋" w:hAnsi="仿宋" w:eastAsia="仿宋"/>
                <w:sz w:val="32"/>
                <w:szCs w:val="32"/>
              </w:rPr>
              <w:t>重伤：</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r>
              <w:rPr>
                <w:rFonts w:hint="eastAsia" w:ascii="仿宋" w:hAnsi="仿宋" w:eastAsia="仿宋"/>
                <w:sz w:val="32"/>
                <w:szCs w:val="32"/>
              </w:rPr>
              <w:t>轻伤：</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r>
              <w:rPr>
                <w:rFonts w:hint="eastAsia" w:ascii="仿宋" w:hAnsi="仿宋" w:eastAsia="仿宋"/>
                <w:sz w:val="32"/>
                <w:szCs w:val="32"/>
              </w:rPr>
              <w:t>失踪</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经济损失</w:t>
            </w:r>
          </w:p>
        </w:tc>
        <w:tc>
          <w:tcPr>
            <w:tcW w:w="7393" w:type="dxa"/>
            <w:gridSpan w:val="3"/>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直接经济损失：</w:t>
            </w:r>
            <w:r>
              <w:rPr>
                <w:rFonts w:ascii="仿宋" w:hAnsi="仿宋" w:eastAsia="仿宋"/>
                <w:sz w:val="32"/>
                <w:szCs w:val="32"/>
              </w:rPr>
              <w:t xml:space="preserve">      </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间接经济损失：</w:t>
            </w:r>
            <w:r>
              <w:rPr>
                <w:rFonts w:ascii="仿宋" w:hAnsi="仿宋" w:eastAsia="仿宋"/>
                <w:sz w:val="32"/>
                <w:szCs w:val="32"/>
              </w:rPr>
              <w:t xml:space="preserve">      </w:t>
            </w:r>
            <w:r>
              <w:rPr>
                <w:rFonts w:hint="eastAsia" w:ascii="仿宋" w:hAnsi="仿宋" w:eastAsia="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33"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是否启动预案</w:t>
            </w:r>
          </w:p>
        </w:tc>
        <w:tc>
          <w:tcPr>
            <w:tcW w:w="7393" w:type="dxa"/>
            <w:gridSpan w:val="3"/>
            <w:vAlign w:val="center"/>
          </w:tcPr>
          <w:p>
            <w:pPr>
              <w:adjustRightInd w:val="0"/>
              <w:snapToGrid w:val="0"/>
              <w:spacing w:line="360" w:lineRule="auto"/>
              <w:rPr>
                <w:rFonts w:ascii="仿宋" w:hAnsi="仿宋" w:eastAsia="仿宋"/>
                <w:sz w:val="32"/>
                <w:szCs w:val="32"/>
              </w:rPr>
            </w:pPr>
          </w:p>
        </w:tc>
      </w:tr>
    </w:tbl>
    <w:p>
      <w:pPr>
        <w:adjustRightInd w:val="0"/>
        <w:snapToGrid w:val="0"/>
        <w:spacing w:line="360" w:lineRule="auto"/>
        <w:rPr>
          <w:rFonts w:ascii="仿宋" w:hAnsi="仿宋" w:eastAsia="仿宋"/>
          <w:sz w:val="32"/>
          <w:szCs w:val="32"/>
        </w:rPr>
      </w:pPr>
      <w:r>
        <w:rPr>
          <w:rFonts w:hint="eastAsia" w:ascii="仿宋" w:hAnsi="仿宋" w:eastAsia="仿宋"/>
          <w:sz w:val="32"/>
          <w:szCs w:val="32"/>
        </w:rPr>
        <w:t>填报单位（章）：</w:t>
      </w:r>
      <w:r>
        <w:rPr>
          <w:rFonts w:ascii="仿宋" w:hAnsi="仿宋" w:eastAsia="仿宋"/>
          <w:sz w:val="32"/>
          <w:szCs w:val="32"/>
        </w:rPr>
        <w:t xml:space="preserve">                        </w:t>
      </w:r>
      <w:r>
        <w:rPr>
          <w:rFonts w:hint="eastAsia" w:ascii="仿宋" w:hAnsi="仿宋" w:eastAsia="仿宋"/>
          <w:sz w:val="32"/>
          <w:szCs w:val="32"/>
        </w:rPr>
        <w:t>填报人（签字）：</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审报时间：</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领导审批（签字）：                 签字时间：</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特种设备事故应急资源一览表</w:t>
      </w:r>
    </w:p>
    <w:tbl>
      <w:tblPr>
        <w:tblStyle w:val="8"/>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81"/>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9"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序号</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类别</w:t>
            </w:r>
          </w:p>
        </w:tc>
        <w:tc>
          <w:tcPr>
            <w:tcW w:w="6847"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1</w:t>
            </w:r>
          </w:p>
        </w:tc>
        <w:tc>
          <w:tcPr>
            <w:tcW w:w="1081" w:type="dxa"/>
            <w:vAlign w:val="center"/>
          </w:tcPr>
          <w:p>
            <w:pPr>
              <w:adjustRightInd w:val="0"/>
              <w:snapToGrid w:val="0"/>
              <w:spacing w:line="360" w:lineRule="auto"/>
              <w:jc w:val="center"/>
              <w:rPr>
                <w:rFonts w:hint="eastAsia" w:ascii="仿宋" w:hAnsi="仿宋" w:eastAsia="仿宋"/>
                <w:sz w:val="32"/>
                <w:szCs w:val="32"/>
                <w:lang w:val="en-US" w:eastAsia="zh-CN"/>
              </w:rPr>
            </w:pPr>
            <w:r>
              <w:rPr>
                <w:rFonts w:hint="eastAsia" w:ascii="仿宋" w:hAnsi="仿宋" w:eastAsia="仿宋"/>
                <w:sz w:val="32"/>
                <w:szCs w:val="32"/>
              </w:rPr>
              <w:t>检</w:t>
            </w:r>
            <w:r>
              <w:rPr>
                <w:rFonts w:hint="eastAsia" w:ascii="仿宋" w:hAnsi="仿宋" w:eastAsia="仿宋"/>
                <w:sz w:val="32"/>
                <w:szCs w:val="32"/>
                <w:lang w:eastAsia="zh-CN"/>
              </w:rPr>
              <w:t>测</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装备</w:t>
            </w:r>
          </w:p>
        </w:tc>
        <w:tc>
          <w:tcPr>
            <w:tcW w:w="6847" w:type="dxa"/>
            <w:vAlign w:val="center"/>
          </w:tcPr>
          <w:p>
            <w:pPr>
              <w:adjustRightInd w:val="0"/>
              <w:snapToGrid w:val="0"/>
              <w:spacing w:line="360" w:lineRule="auto"/>
              <w:rPr>
                <w:rFonts w:ascii="仿宋" w:hAnsi="仿宋" w:eastAsia="仿宋" w:cs="宋体"/>
                <w:sz w:val="32"/>
                <w:szCs w:val="32"/>
              </w:rPr>
            </w:pPr>
            <w:r>
              <w:rPr>
                <w:rFonts w:hint="eastAsia" w:ascii="仿宋" w:hAnsi="仿宋" w:eastAsia="仿宋"/>
                <w:sz w:val="32"/>
                <w:szCs w:val="32"/>
              </w:rPr>
              <w:t>可燃气体浓度检测仪、易燃气体监测仪、氧气测定仪、数字式超声波测厚仪、渗透探伤剂、试漏用喷壶和试漏液、全站仪、动静态应变仪、钢丝绳探伤仪、随行速度测试仪、安全防坠落测试仪、防滑力测定仪。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2</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防护</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装备</w:t>
            </w:r>
          </w:p>
        </w:tc>
        <w:tc>
          <w:tcPr>
            <w:tcW w:w="684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自给式空气呼吸器、防化服、防毒面具、防静电服、防静电鞋、安全帽、防护手套（防酸、碱、冻）、安全绳、救生气垫、防爆工器具、防爆网罩、防爆背心、防爆钢盔。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3</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通讯</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照明</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装备</w:t>
            </w:r>
          </w:p>
        </w:tc>
        <w:tc>
          <w:tcPr>
            <w:tcW w:w="684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对讲机、防爆对讲机、携带式（干电池）电扩音器、低压强光照明设备、防爆照明、警报装置。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4</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救急</w:t>
            </w:r>
            <w:bookmarkStart w:id="69" w:name="_GoBack"/>
            <w:bookmarkEnd w:id="69"/>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设备</w:t>
            </w:r>
          </w:p>
        </w:tc>
        <w:tc>
          <w:tcPr>
            <w:tcW w:w="684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排风机、移动式发电设备、气割设备、电焊机、惰性保护气体、紧急堵漏装置、铜制常用钳工工具。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5</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记录</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装备</w:t>
            </w:r>
          </w:p>
        </w:tc>
        <w:tc>
          <w:tcPr>
            <w:tcW w:w="684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数码相机、数码摄像机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009"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6</w:t>
            </w:r>
          </w:p>
        </w:tc>
        <w:tc>
          <w:tcPr>
            <w:tcW w:w="108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其他</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装备</w:t>
            </w:r>
          </w:p>
        </w:tc>
        <w:tc>
          <w:tcPr>
            <w:tcW w:w="684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应急救援专用车辆、医疗急救箱及常用抢救药品等。</w:t>
            </w:r>
          </w:p>
        </w:tc>
      </w:tr>
    </w:tbl>
    <w:p>
      <w:pPr>
        <w:adjustRightInd w:val="0"/>
        <w:snapToGrid w:val="0"/>
        <w:spacing w:line="360" w:lineRule="auto"/>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360" w:lineRule="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常见特种设备事故基本紧急处置技术措施</w:t>
      </w:r>
    </w:p>
    <w:p>
      <w:pPr>
        <w:adjustRightInd w:val="0"/>
        <w:snapToGrid w:val="0"/>
        <w:spacing w:line="360" w:lineRule="auto"/>
        <w:rPr>
          <w:rFonts w:ascii="仿宋" w:hAnsi="仿宋" w:eastAsia="仿宋"/>
          <w:b/>
          <w:sz w:val="32"/>
          <w:szCs w:val="32"/>
        </w:rPr>
      </w:pPr>
      <w:r>
        <w:rPr>
          <w:rFonts w:ascii="仿宋" w:hAnsi="仿宋" w:eastAsia="仿宋"/>
          <w:b/>
          <w:sz w:val="32"/>
          <w:szCs w:val="32"/>
        </w:rPr>
        <w:t>3-1</w:t>
      </w:r>
      <w:r>
        <w:rPr>
          <w:rFonts w:hint="eastAsia" w:ascii="仿宋" w:hAnsi="仿宋" w:eastAsia="仿宋"/>
          <w:b/>
          <w:sz w:val="32"/>
          <w:szCs w:val="32"/>
        </w:rPr>
        <w:t>、常见承压类特种调和事故基本紧急处置技术措施</w:t>
      </w:r>
    </w:p>
    <w:tbl>
      <w:tblPr>
        <w:tblStyle w:val="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767"/>
        <w:gridCol w:w="3844"/>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设备类别或场所</w:t>
            </w:r>
          </w:p>
        </w:tc>
        <w:tc>
          <w:tcPr>
            <w:tcW w:w="900"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介质特性</w:t>
            </w:r>
          </w:p>
        </w:tc>
        <w:tc>
          <w:tcPr>
            <w:tcW w:w="1767"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事故可能形式</w:t>
            </w:r>
          </w:p>
        </w:tc>
        <w:tc>
          <w:tcPr>
            <w:tcW w:w="3844"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现场紧急处置主要措施</w:t>
            </w:r>
          </w:p>
        </w:tc>
        <w:tc>
          <w:tcPr>
            <w:tcW w:w="1767"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所需主要装备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锅炉</w:t>
            </w: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蒸汽及热水锅炉</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次生、衍生和耦合事故；</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倒塌；</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炉膛爆炸。</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事故现场群众疏散等；</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控制或切断事故灾害链，防止次生、衍生和耦合事故发生；</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调用锅炉类专家、相应专业抢险队和抢险所需设备和器具；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协调企业抢险队现场抢险。</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抢险专用设备和器具；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专抢险用防护用品。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导热油锅炉</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失火；</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次生、衍生和耦合事故；</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倒塌；</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炉膛爆炸。</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控制或切断事故灾害链，防止次生、衍生和耦合事故发生；</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调用锅炉类专家、相应专业抢险队和抢险所需设备和器具；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协调企业抢险队现场抢险；</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切断导热油路。</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抢险专用防护用品。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移动式压力容器（槽罐车）</w:t>
            </w: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易燃易爆</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失火；</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受压部件或附近损坏。</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调用压力容器类专家、相应专业抢险队和抢险所需设备和器具；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协调事故车辆司机、押运员抢险工作；</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罐体降温；</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倒罐或堵漏。</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倒罐专用车辆及倒罐所需机泵和配件；</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抢险专用防护用品。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有毒危险化学品</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泄漏、扩散；</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受压部件或附件损失。</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调用压力容器类及气瓶类专家、相应专业抢险队和抢险所需设备和器具；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协调指导事故车辆司机、押运员抢险工作；</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罐体降温；</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对有毒介质进行中和、稀释或隔离；</w:t>
            </w:r>
          </w:p>
          <w:p>
            <w:pPr>
              <w:adjustRightInd w:val="0"/>
              <w:snapToGrid w:val="0"/>
              <w:spacing w:line="360" w:lineRule="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倒罐或堵漏。</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倒罐专用车辆及倒罐所需机泵和配件；</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抢险专用防护用品；</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对有毒介质进行中和、稀释的设备和物品；</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特殊降温物器。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石油化工生产装置成套设备</w:t>
            </w: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易燃易爆有毒危险化学品</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压力容器或压力管道事故；</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次生、衍生和耦合事故。</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控制或切断事故灾害链，防止次生、衍生和耦合事故发生；</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调用压力容器类及气瓶类专家、相应专业抢险队和抢险所需设备和器具；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对有毒介质进行中和、稀释或隔离；</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事故设备（管道）降温、隔离、堵漏。</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抢险专用防护用品；</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对有毒介质进行中和、稀释的设备和物品；</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特殊降温、隔离物品；</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进入险区（易燃、有毒）的专用车辆或设备。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气瓶</w:t>
            </w: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易燃易</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泄漏、失火。</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调用气瓶类专家、相应专业抢险队和抢险所需设备和器具；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协调指导企业抢险力量现场抢险；</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事故气瓶隔离。</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专用抢险车辆及工器具；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隔离专用设备和器具；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抢险专用防护用品。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adjustRightInd w:val="0"/>
              <w:snapToGrid w:val="0"/>
              <w:spacing w:line="360" w:lineRule="auto"/>
              <w:jc w:val="center"/>
              <w:rPr>
                <w:rFonts w:ascii="仿宋" w:hAnsi="仿宋" w:eastAsia="仿宋"/>
                <w:sz w:val="32"/>
                <w:szCs w:val="32"/>
              </w:rPr>
            </w:pP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有毒危害介质</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扩散。</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调用气瓶类专家、相应专业抢险队和抢险所需设备和器具；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协调指导企业抢险力量现场抢险；</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对有毒介质进行中和、稀释或隔离。</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专用抢险车辆及工器具；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堵漏、隔离专用设备和器具；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抢险专和防护用品；</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对有毒介质进行中和、稀释的设备和物品。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压力</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管道</w:t>
            </w: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燃气</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泄漏、失火；</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外力破坏。</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调用压力管道及气瓶类专家、相应专业抢险队和抢险所需设备和器具；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切断介质来源、堵漏、降温；</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防止次生、衍生和耦合事故发生。</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专用抢险车辆及工器具；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抢险专用防护用品；</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测漏、检爆专用仪器具。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p>
        </w:tc>
        <w:tc>
          <w:tcPr>
            <w:tcW w:w="900"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有毒危害介质</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泄漏扩散；</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外力破坏。</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事故现场群众疏散；</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调用压力管道类专家、相应专业抢险队和抢险所需设备和器具；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切断介质来源、堵漏、降温；</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控制或切断事故灾害链，防止次生、衍生和耦合事故发生；</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对有毒介质进行中和、稀释或隔离。</w:t>
            </w: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堵漏专用设备和器具；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抢险专用防护用品；</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对有毒介质进行中和、稀释的设备和物品；</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专用抢险车辆及工器具；</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测漏专用仪器具。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大型</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氧舱</w:t>
            </w:r>
          </w:p>
        </w:tc>
        <w:tc>
          <w:tcPr>
            <w:tcW w:w="900" w:type="dxa"/>
            <w:vAlign w:val="center"/>
          </w:tcPr>
          <w:p>
            <w:pPr>
              <w:adjustRightInd w:val="0"/>
              <w:snapToGrid w:val="0"/>
              <w:spacing w:line="360" w:lineRule="auto"/>
              <w:jc w:val="center"/>
              <w:rPr>
                <w:rFonts w:ascii="仿宋" w:hAnsi="仿宋" w:eastAsia="仿宋"/>
                <w:sz w:val="32"/>
                <w:szCs w:val="32"/>
              </w:rPr>
            </w:pPr>
          </w:p>
        </w:tc>
        <w:tc>
          <w:tcPr>
            <w:tcW w:w="1767"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爆炸；</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失火。</w:t>
            </w:r>
          </w:p>
        </w:tc>
        <w:tc>
          <w:tcPr>
            <w:tcW w:w="3844"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减压开舱，抢救受伤人员；</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调用压力容器类专家、启动相应抢险技术方案。</w:t>
            </w:r>
          </w:p>
        </w:tc>
        <w:tc>
          <w:tcPr>
            <w:tcW w:w="1767" w:type="dxa"/>
            <w:vAlign w:val="center"/>
          </w:tcPr>
          <w:p>
            <w:pPr>
              <w:adjustRightInd w:val="0"/>
              <w:snapToGrid w:val="0"/>
              <w:spacing w:line="360" w:lineRule="auto"/>
              <w:rPr>
                <w:rFonts w:ascii="仿宋" w:hAnsi="仿宋" w:eastAsia="仿宋"/>
                <w:sz w:val="32"/>
                <w:szCs w:val="32"/>
              </w:rPr>
            </w:pPr>
            <w:r>
              <w:rPr>
                <w:rFonts w:hint="eastAsia" w:ascii="仿宋" w:hAnsi="仿宋" w:eastAsia="仿宋"/>
                <w:sz w:val="32"/>
                <w:szCs w:val="32"/>
              </w:rPr>
              <w:t>抢险技术方案相关仪器设备。</w:t>
            </w:r>
          </w:p>
        </w:tc>
      </w:tr>
    </w:tbl>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-2</w:t>
      </w:r>
      <w:r>
        <w:rPr>
          <w:rFonts w:hint="eastAsia" w:ascii="仿宋" w:hAnsi="仿宋" w:eastAsia="仿宋"/>
          <w:b/>
          <w:sz w:val="32"/>
          <w:szCs w:val="32"/>
        </w:rPr>
        <w:t>、常见机电类特种设备事故基本紧急处置技术措施</w:t>
      </w:r>
    </w:p>
    <w:tbl>
      <w:tblPr>
        <w:tblStyle w:val="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5"/>
        <w:gridCol w:w="561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设备类别或场所</w:t>
            </w:r>
          </w:p>
        </w:tc>
        <w:tc>
          <w:tcPr>
            <w:tcW w:w="1285"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事故可能形式</w:t>
            </w:r>
          </w:p>
        </w:tc>
        <w:tc>
          <w:tcPr>
            <w:tcW w:w="5611" w:type="dxa"/>
            <w:vAlign w:val="center"/>
          </w:tcPr>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现场紧急处置主要措施</w:t>
            </w:r>
          </w:p>
        </w:tc>
        <w:tc>
          <w:tcPr>
            <w:tcW w:w="1905" w:type="dxa"/>
            <w:vAlign w:val="center"/>
          </w:tcPr>
          <w:p>
            <w:pPr>
              <w:adjustRightInd w:val="0"/>
              <w:snapToGrid w:val="0"/>
              <w:spacing w:line="360" w:lineRule="auto"/>
              <w:rPr>
                <w:rFonts w:ascii="仿宋" w:hAnsi="仿宋" w:eastAsia="仿宋"/>
                <w:b/>
                <w:sz w:val="32"/>
                <w:szCs w:val="32"/>
              </w:rPr>
            </w:pPr>
            <w:r>
              <w:rPr>
                <w:rFonts w:hint="eastAsia" w:ascii="仿宋" w:hAnsi="仿宋" w:eastAsia="仿宋"/>
                <w:b/>
                <w:sz w:val="32"/>
                <w:szCs w:val="32"/>
              </w:rPr>
              <w:t>所需主要装备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客运索道、电梯</w:t>
            </w:r>
          </w:p>
        </w:tc>
        <w:tc>
          <w:tcPr>
            <w:tcW w:w="1285"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主驱动系统故障；</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重要部件损坏；</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自然灾害破坏。</w:t>
            </w:r>
          </w:p>
        </w:tc>
        <w:tc>
          <w:tcPr>
            <w:tcW w:w="5611"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通过广播、对讲装置等稳定乘客情绪，防止乘客自行爬出车厢；</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抢救伤员和通知医疗部门；</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实施现场人员秩序控制，保护事故现场；</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启用辅助驱动系统，疏导设备上滞留乘客；</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调用机电类专家、相应专业抢险队和抢险所需设备和器具；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协调指导企业抢险力量现场抢险。</w:t>
            </w:r>
          </w:p>
        </w:tc>
        <w:tc>
          <w:tcPr>
            <w:tcW w:w="1905"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1.T</w:t>
            </w:r>
            <w:r>
              <w:rPr>
                <w:rFonts w:hint="eastAsia" w:ascii="仿宋" w:hAnsi="仿宋" w:eastAsia="仿宋"/>
                <w:sz w:val="32"/>
                <w:szCs w:val="32"/>
              </w:rPr>
              <w:t>型滑杆、缓降器、救护带等抢险专用设备和器具；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安全带等抢险专用防护用品。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大型游乐设备</w:t>
            </w:r>
          </w:p>
        </w:tc>
        <w:tc>
          <w:tcPr>
            <w:tcW w:w="1285"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设备故障；</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重要部件损坏；</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安全装置失效。</w:t>
            </w:r>
          </w:p>
        </w:tc>
        <w:tc>
          <w:tcPr>
            <w:tcW w:w="5611"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通过广播、对讲装置等稳定乘客情绪，防止乘客自行爬出车厢；</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抢救伤员和通知医疗部门；</w:t>
            </w:r>
          </w:p>
          <w:p>
            <w:pPr>
              <w:adjustRightInd w:val="0"/>
              <w:snapToGrid w:val="0"/>
              <w:spacing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实施现场人员秩序控制，保护事故现场；</w:t>
            </w:r>
          </w:p>
          <w:p>
            <w:pPr>
              <w:adjustRightInd w:val="0"/>
              <w:snapToGrid w:val="0"/>
              <w:spacing w:line="360" w:lineRule="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调用机电类专家、相应专业抢险队和抢险所需设备和器具；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协调指导企业抢险力量现场抢险。</w:t>
            </w:r>
          </w:p>
        </w:tc>
        <w:tc>
          <w:tcPr>
            <w:tcW w:w="1905" w:type="dxa"/>
            <w:vAlign w:val="center"/>
          </w:tcPr>
          <w:p>
            <w:pPr>
              <w:adjustRightInd w:val="0"/>
              <w:snapToGrid w:val="0"/>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云梯等抢险专用设备和器具；</w:t>
            </w:r>
          </w:p>
          <w:p>
            <w:pPr>
              <w:adjustRightInd w:val="0"/>
              <w:snapToGrid w:val="0"/>
              <w:spacing w:line="360"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安全带等抢险专用防护用品。</w:t>
            </w:r>
          </w:p>
        </w:tc>
      </w:tr>
    </w:tbl>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sectPr>
      <w:footerReference r:id="rId3" w:type="default"/>
      <w:footerReference r:id="rId4" w:type="even"/>
      <w:pgSz w:w="11906" w:h="16838"/>
      <w:pgMar w:top="1985" w:right="1644" w:bottom="1418" w:left="1644" w:header="851" w:footer="851" w:gutter="0"/>
      <w:cols w:space="720" w:num="1"/>
      <w:docGrid w:type="linesAndChars" w:linePitch="292"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mbria">
    <w:altName w:val="Palatino Linotype"/>
    <w:panose1 w:val="02040503050406030204"/>
    <w:charset w:val="00"/>
    <w:family w:val="auto"/>
    <w:pitch w:val="default"/>
    <w:sig w:usb0="00000000" w:usb1="00000000" w:usb2="00000000" w:usb3="00000000" w:csb0="2000019F" w:csb1="00000000"/>
  </w:font>
  <w:font w:name="方正小标宋简体">
    <w:altName w:val="宋体"/>
    <w:panose1 w:val="00000000000000000000"/>
    <w:charset w:val="86"/>
    <w:family w:val="auto"/>
    <w:pitch w:val="default"/>
    <w:sig w:usb0="00000000" w:usb1="0000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fldChar w:fldCharType="begin"/>
    </w:r>
    <w:r>
      <w:rPr>
        <w:rStyle w:val="14"/>
      </w:rPr>
      <w:instrText xml:space="preserve">PAGE  </w:instrText>
    </w:r>
    <w:r>
      <w:fldChar w:fldCharType="separate"/>
    </w:r>
    <w:r>
      <w:rPr>
        <w:rStyle w:val="14"/>
      </w:rPr>
      <w:t>19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DD4FDD"/>
    <w:rsid w:val="0B9B279A"/>
    <w:rsid w:val="0E3D4881"/>
    <w:rsid w:val="0EA4793C"/>
    <w:rsid w:val="10710110"/>
    <w:rsid w:val="15ED6FCD"/>
    <w:rsid w:val="1648448A"/>
    <w:rsid w:val="1B1620F9"/>
    <w:rsid w:val="22973F5D"/>
    <w:rsid w:val="2B4C62D9"/>
    <w:rsid w:val="35DB73E9"/>
    <w:rsid w:val="362847D3"/>
    <w:rsid w:val="371D1355"/>
    <w:rsid w:val="3721110C"/>
    <w:rsid w:val="39310319"/>
    <w:rsid w:val="3AE53797"/>
    <w:rsid w:val="41420474"/>
    <w:rsid w:val="445B4195"/>
    <w:rsid w:val="44FF637E"/>
    <w:rsid w:val="50174669"/>
    <w:rsid w:val="50B72AB7"/>
    <w:rsid w:val="52F57E5F"/>
    <w:rsid w:val="57834619"/>
    <w:rsid w:val="5BCB7AF8"/>
    <w:rsid w:val="60474EB9"/>
    <w:rsid w:val="63FC6ADC"/>
    <w:rsid w:val="64F8746F"/>
    <w:rsid w:val="65265F28"/>
    <w:rsid w:val="6C45478A"/>
    <w:rsid w:val="6E3134CC"/>
    <w:rsid w:val="6FE70677"/>
    <w:rsid w:val="727471E3"/>
    <w:rsid w:val="76D47E79"/>
    <w:rsid w:val="773B652E"/>
    <w:rsid w:val="7A0E0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uiPriority w:val="0"/>
    <w:pPr>
      <w:keepNext/>
      <w:keepLines/>
      <w:spacing w:line="594" w:lineRule="exact"/>
      <w:outlineLvl w:val="0"/>
    </w:pPr>
    <w:rPr>
      <w:rFonts w:ascii="Times New Roman" w:hAnsi="Times New Roman" w:eastAsia="黑体" w:cs="Times New Roman"/>
      <w:bCs/>
      <w:kern w:val="44"/>
      <w:sz w:val="44"/>
      <w:szCs w:val="44"/>
    </w:rPr>
  </w:style>
  <w:style w:type="paragraph" w:styleId="3">
    <w:name w:val="heading 2"/>
    <w:basedOn w:val="1"/>
    <w:next w:val="1"/>
    <w:link w:val="16"/>
    <w:uiPriority w:val="0"/>
    <w:pPr>
      <w:keepNext/>
      <w:keepLines/>
      <w:spacing w:line="594" w:lineRule="exact"/>
      <w:ind w:firstLine="200" w:firstLineChars="200"/>
      <w:outlineLvl w:val="1"/>
    </w:pPr>
    <w:rPr>
      <w:rFonts w:ascii="Arial" w:hAnsi="Arial" w:cs="Times New Roman"/>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link w:val="18"/>
    <w:uiPriority w:val="0"/>
    <w:pPr>
      <w:tabs>
        <w:tab w:val="center" w:pos="4153"/>
        <w:tab w:val="right" w:pos="8306"/>
      </w:tabs>
      <w:snapToGrid w:val="0"/>
      <w:jc w:val="left"/>
    </w:pPr>
    <w:rPr>
      <w:rFonts w:cs="Times New Roman"/>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Subtitle"/>
    <w:basedOn w:val="1"/>
    <w:next w:val="1"/>
    <w:link w:val="20"/>
    <w:uiPriority w:val="0"/>
    <w:pPr>
      <w:spacing w:line="594" w:lineRule="exact"/>
      <w:ind w:firstLine="200" w:firstLineChars="200"/>
      <w:outlineLvl w:val="1"/>
    </w:pPr>
    <w:rPr>
      <w:rFonts w:ascii="Cambria" w:hAnsi="Cambria" w:cs="Times New Roman"/>
      <w:bCs/>
      <w:kern w:val="28"/>
      <w:sz w:val="32"/>
      <w:szCs w:val="32"/>
    </w:rPr>
  </w:style>
  <w:style w:type="paragraph" w:styleId="7">
    <w:name w:val="Title"/>
    <w:basedOn w:val="1"/>
    <w:next w:val="1"/>
    <w:link w:val="21"/>
    <w:uiPriority w:val="0"/>
    <w:pPr>
      <w:spacing w:before="240" w:after="60"/>
      <w:jc w:val="center"/>
      <w:outlineLvl w:val="0"/>
    </w:pPr>
    <w:rPr>
      <w:rFonts w:ascii="Cambria" w:hAnsi="Cambria" w:eastAsia="方正小标宋简体" w:cs="Times New Roman"/>
      <w:b/>
      <w:bCs/>
      <w:sz w:val="32"/>
      <w:szCs w:val="32"/>
    </w:rPr>
  </w:style>
  <w:style w:type="character" w:styleId="10">
    <w:name w:val="Hyperlink"/>
    <w:basedOn w:val="9"/>
    <w:uiPriority w:val="0"/>
    <w:rPr>
      <w:rFonts w:cs="Times New Roman"/>
      <w:color w:val="0000FF"/>
      <w:u w:val="single"/>
    </w:rPr>
  </w:style>
  <w:style w:type="paragraph" w:customStyle="1" w:styleId="11">
    <w:name w:val="批注框文本1"/>
    <w:basedOn w:val="1"/>
    <w:link w:val="22"/>
    <w:uiPriority w:val="0"/>
    <w:rPr>
      <w:rFonts w:cs="Times New Roman"/>
      <w:sz w:val="18"/>
      <w:szCs w:val="18"/>
    </w:rPr>
  </w:style>
  <w:style w:type="paragraph" w:customStyle="1" w:styleId="12">
    <w:name w:val="Plain Text"/>
    <w:basedOn w:val="1"/>
    <w:link w:val="19"/>
    <w:uiPriority w:val="0"/>
    <w:rPr>
      <w:rFonts w:ascii="宋体" w:hAnsi="Courier New" w:eastAsia="宋体" w:cs="Courier New"/>
      <w:sz w:val="21"/>
      <w:szCs w:val="21"/>
    </w:rPr>
  </w:style>
  <w:style w:type="paragraph" w:customStyle="1"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page number"/>
    <w:basedOn w:val="9"/>
    <w:uiPriority w:val="0"/>
    <w:rPr>
      <w:rFonts w:cs="Times New Roman"/>
    </w:rPr>
  </w:style>
  <w:style w:type="character" w:customStyle="1" w:styleId="15">
    <w:name w:val="标题 1 Char Char"/>
    <w:basedOn w:val="9"/>
    <w:link w:val="2"/>
    <w:semiHidden/>
    <w:uiPriority w:val="0"/>
    <w:rPr>
      <w:rFonts w:ascii="Times New Roman" w:hAnsi="Times New Roman" w:eastAsia="黑体" w:cs="Times New Roman"/>
      <w:bCs/>
      <w:kern w:val="44"/>
      <w:sz w:val="44"/>
      <w:szCs w:val="44"/>
    </w:rPr>
  </w:style>
  <w:style w:type="character" w:customStyle="1" w:styleId="16">
    <w:name w:val="标题 2 Char Char"/>
    <w:basedOn w:val="9"/>
    <w:link w:val="3"/>
    <w:semiHidden/>
    <w:uiPriority w:val="0"/>
    <w:rPr>
      <w:rFonts w:ascii="Arial" w:hAnsi="Arial" w:cs="Times New Roman"/>
      <w:bCs/>
      <w:sz w:val="32"/>
      <w:szCs w:val="32"/>
    </w:rPr>
  </w:style>
  <w:style w:type="character" w:customStyle="1" w:styleId="17">
    <w:name w:val="页眉 Char Char"/>
    <w:basedOn w:val="9"/>
    <w:link w:val="5"/>
    <w:semiHidden/>
    <w:uiPriority w:val="0"/>
    <w:rPr>
      <w:rFonts w:cs="Times New Roman"/>
      <w:sz w:val="18"/>
      <w:szCs w:val="18"/>
    </w:rPr>
  </w:style>
  <w:style w:type="character" w:customStyle="1" w:styleId="18">
    <w:name w:val="页脚 Char Char"/>
    <w:basedOn w:val="9"/>
    <w:link w:val="4"/>
    <w:semiHidden/>
    <w:qFormat/>
    <w:uiPriority w:val="0"/>
    <w:rPr>
      <w:rFonts w:cs="Times New Roman"/>
      <w:sz w:val="18"/>
      <w:szCs w:val="18"/>
    </w:rPr>
  </w:style>
  <w:style w:type="character" w:customStyle="1" w:styleId="19">
    <w:name w:val="纯文本 Char Char"/>
    <w:basedOn w:val="9"/>
    <w:link w:val="12"/>
    <w:semiHidden/>
    <w:qFormat/>
    <w:uiPriority w:val="0"/>
    <w:rPr>
      <w:rFonts w:ascii="宋体" w:hAnsi="Courier New" w:eastAsia="宋体" w:cs="Courier New"/>
      <w:sz w:val="21"/>
      <w:szCs w:val="21"/>
    </w:rPr>
  </w:style>
  <w:style w:type="character" w:customStyle="1" w:styleId="20">
    <w:name w:val="副标题 Char Char"/>
    <w:basedOn w:val="9"/>
    <w:link w:val="6"/>
    <w:semiHidden/>
    <w:qFormat/>
    <w:uiPriority w:val="0"/>
    <w:rPr>
      <w:rFonts w:ascii="Cambria" w:hAnsi="Cambria" w:cs="Times New Roman"/>
      <w:bCs/>
      <w:kern w:val="28"/>
      <w:sz w:val="32"/>
      <w:szCs w:val="32"/>
    </w:rPr>
  </w:style>
  <w:style w:type="character" w:customStyle="1" w:styleId="21">
    <w:name w:val="标题 Char Char"/>
    <w:basedOn w:val="9"/>
    <w:link w:val="7"/>
    <w:semiHidden/>
    <w:qFormat/>
    <w:uiPriority w:val="0"/>
    <w:rPr>
      <w:rFonts w:ascii="Cambria" w:hAnsi="Cambria" w:eastAsia="方正小标宋简体" w:cs="Times New Roman"/>
      <w:b/>
      <w:bCs/>
      <w:sz w:val="32"/>
      <w:szCs w:val="32"/>
    </w:rPr>
  </w:style>
  <w:style w:type="character" w:customStyle="1" w:styleId="22">
    <w:name w:val="批注框文本 Char Char"/>
    <w:basedOn w:val="9"/>
    <w:link w:val="11"/>
    <w:semiHidden/>
    <w:qFormat/>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南阳市质量技术监督局</Company>
  <Pages>31</Pages>
  <Words>1816</Words>
  <Characters>10355</Characters>
  <Lines>86</Lines>
  <Paragraphs>24</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2021-06-11T17:34:00Z</dcterms:created>
  <dc:creator>张志斌</dc:creator>
  <cp:lastModifiedBy>孙志欣</cp:lastModifiedBy>
  <cp:lastPrinted>2021-04-29T09:43:00Z</cp:lastPrinted>
  <dcterms:modified xsi:type="dcterms:W3CDTF">2023-06-19T08:40:58Z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