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jc w:val="center"/>
        <w:textAlignment w:val="auto"/>
        <w:rPr>
          <w:rFonts w:ascii="CESI仿宋-GB2312" w:hAnsi="CESI仿宋-GB2312" w:eastAsia="CESI仿宋-GB2312" w:cs="CESI仿宋-GB2312"/>
          <w:sz w:val="32"/>
          <w:szCs w:val="32"/>
        </w:rPr>
      </w:pPr>
      <w:r>
        <w:rPr>
          <w:rFonts w:hint="eastAsia" w:ascii="方正小标宋简体" w:hAnsi="方正小标宋简体" w:eastAsia="方正小标宋简体" w:cs="方正小标宋简体"/>
          <w:sz w:val="44"/>
          <w:szCs w:val="44"/>
        </w:rPr>
        <w:t>南阳市宛城区食品安全突发事件应急预案</w:t>
      </w:r>
    </w:p>
    <w:p>
      <w:pPr>
        <w:spacing w:line="540" w:lineRule="exact"/>
        <w:ind w:firstLine="640" w:firstLineChars="200"/>
        <w:rPr>
          <w:rFonts w:ascii="CESI仿宋-GB2312" w:hAnsi="CESI仿宋-GB2312" w:eastAsia="CESI仿宋-GB2312" w:cs="CESI仿宋-GB2312"/>
          <w:sz w:val="32"/>
          <w:szCs w:val="32"/>
        </w:rPr>
      </w:pPr>
    </w:p>
    <w:p>
      <w:pPr>
        <w:keepNext w:val="0"/>
        <w:keepLines w:val="0"/>
        <w:pageBreakBefore w:val="0"/>
        <w:widowControl w:val="0"/>
        <w:kinsoku/>
        <w:wordWrap/>
        <w:overflowPunct/>
        <w:topLinePunct w:val="0"/>
        <w:autoSpaceDE w:val="0"/>
        <w:autoSpaceDN w:val="0"/>
        <w:bidi w:val="0"/>
        <w:adjustRightInd/>
        <w:snapToGrid/>
        <w:spacing w:before="0" w:line="600" w:lineRule="exact"/>
        <w:ind w:right="0" w:firstLine="640" w:firstLineChars="200"/>
        <w:jc w:val="both"/>
        <w:textAlignment w:val="auto"/>
        <w:rPr>
          <w:rFonts w:hint="eastAsia" w:ascii="仿宋" w:hAnsi="仿宋" w:eastAsia="仿宋" w:cs="仿宋"/>
          <w:color w:val="000000"/>
          <w:kern w:val="31"/>
          <w:sz w:val="32"/>
          <w:szCs w:val="32"/>
          <w:lang w:val="en-US" w:eastAsia="zh-CN" w:bidi="ar-SA"/>
        </w:rPr>
      </w:pPr>
      <w:r>
        <w:rPr>
          <w:rFonts w:hint="eastAsia" w:ascii="黑体" w:hAnsi="黑体" w:eastAsia="黑体" w:cs="黑体"/>
          <w:color w:val="000000"/>
          <w:kern w:val="31"/>
          <w:sz w:val="32"/>
          <w:szCs w:val="32"/>
          <w:lang w:val="en-US" w:eastAsia="zh-CN" w:bidi="ar-SA"/>
        </w:rPr>
        <w:t>1 总则</w:t>
      </w:r>
    </w:p>
    <w:p>
      <w:pPr>
        <w:keepNext w:val="0"/>
        <w:keepLines w:val="0"/>
        <w:pageBreakBefore w:val="0"/>
        <w:widowControl w:val="0"/>
        <w:kinsoku/>
        <w:wordWrap/>
        <w:overflowPunct/>
        <w:topLinePunct w:val="0"/>
        <w:autoSpaceDE w:val="0"/>
        <w:autoSpaceDN w:val="0"/>
        <w:bidi w:val="0"/>
        <w:adjustRightInd/>
        <w:snapToGrid/>
        <w:spacing w:before="0" w:line="600" w:lineRule="exact"/>
        <w:ind w:right="0" w:firstLine="640" w:firstLineChars="200"/>
        <w:jc w:val="both"/>
        <w:textAlignment w:val="auto"/>
        <w:rPr>
          <w:rFonts w:hint="eastAsia" w:ascii="楷体" w:hAnsi="楷体" w:eastAsia="楷体" w:cs="楷体"/>
          <w:color w:val="000000"/>
          <w:kern w:val="31"/>
          <w:sz w:val="32"/>
          <w:szCs w:val="32"/>
          <w:lang w:val="en-US" w:eastAsia="zh-CN" w:bidi="ar-SA"/>
        </w:rPr>
      </w:pPr>
      <w:r>
        <w:rPr>
          <w:rFonts w:hint="eastAsia" w:ascii="楷体" w:hAnsi="楷体" w:eastAsia="楷体" w:cs="楷体"/>
          <w:color w:val="000000"/>
          <w:kern w:val="31"/>
          <w:sz w:val="32"/>
          <w:szCs w:val="32"/>
          <w:lang w:val="en-US" w:eastAsia="zh-CN" w:bidi="ar-SA"/>
        </w:rPr>
        <w:t>1.1 编制目的</w:t>
      </w:r>
    </w:p>
    <w:p>
      <w:pPr>
        <w:keepNext w:val="0"/>
        <w:keepLines w:val="0"/>
        <w:pageBreakBefore w:val="0"/>
        <w:widowControl w:val="0"/>
        <w:kinsoku/>
        <w:wordWrap/>
        <w:overflowPunct/>
        <w:topLinePunct w:val="0"/>
        <w:autoSpaceDE w:val="0"/>
        <w:autoSpaceDN w:val="0"/>
        <w:bidi w:val="0"/>
        <w:adjustRightInd/>
        <w:snapToGrid/>
        <w:spacing w:before="0" w:line="600" w:lineRule="exact"/>
        <w:ind w:right="0" w:firstLine="640" w:firstLineChars="200"/>
        <w:jc w:val="both"/>
        <w:textAlignment w:val="auto"/>
        <w:rPr>
          <w:rFonts w:hint="eastAsia" w:ascii="仿宋" w:hAnsi="仿宋" w:eastAsia="仿宋" w:cs="仿宋"/>
          <w:color w:val="000000"/>
          <w:kern w:val="31"/>
          <w:sz w:val="32"/>
          <w:szCs w:val="32"/>
          <w:lang w:val="en-US" w:eastAsia="zh-CN" w:bidi="ar-SA"/>
        </w:rPr>
      </w:pPr>
      <w:r>
        <w:rPr>
          <w:rFonts w:hint="eastAsia" w:ascii="仿宋" w:hAnsi="仿宋" w:eastAsia="仿宋" w:cs="仿宋"/>
          <w:color w:val="000000"/>
          <w:kern w:val="31"/>
          <w:sz w:val="32"/>
          <w:szCs w:val="32"/>
          <w:lang w:val="en-US" w:eastAsia="zh-CN" w:bidi="ar-SA"/>
        </w:rPr>
        <w:t>建立健全食品安全事件应对处置工作机制，强化应急准备，高效组织应急处置工作，有效预防、积极应对食品安全突发事件，规范和指导应急处置工作，最大限度减少食品安全事件的危害，保障公众身体健康与生命安全，维护正常的经济社会秩序。</w:t>
      </w:r>
    </w:p>
    <w:p>
      <w:pPr>
        <w:keepNext w:val="0"/>
        <w:keepLines w:val="0"/>
        <w:pageBreakBefore w:val="0"/>
        <w:widowControl w:val="0"/>
        <w:kinsoku/>
        <w:wordWrap/>
        <w:overflowPunct/>
        <w:topLinePunct w:val="0"/>
        <w:autoSpaceDE w:val="0"/>
        <w:autoSpaceDN w:val="0"/>
        <w:bidi w:val="0"/>
        <w:adjustRightInd/>
        <w:snapToGrid/>
        <w:spacing w:before="0" w:line="600" w:lineRule="exact"/>
        <w:ind w:right="0" w:firstLine="640" w:firstLineChars="200"/>
        <w:jc w:val="both"/>
        <w:textAlignment w:val="auto"/>
        <w:rPr>
          <w:rFonts w:hint="eastAsia" w:ascii="仿宋" w:hAnsi="仿宋" w:eastAsia="仿宋" w:cs="仿宋"/>
          <w:color w:val="000000"/>
          <w:kern w:val="31"/>
          <w:sz w:val="32"/>
          <w:szCs w:val="32"/>
          <w:lang w:val="en-US" w:eastAsia="zh-CN" w:bidi="ar-SA"/>
        </w:rPr>
      </w:pPr>
      <w:r>
        <w:rPr>
          <w:rFonts w:hint="eastAsia" w:ascii="楷体" w:hAnsi="楷体" w:eastAsia="楷体" w:cs="楷体"/>
          <w:color w:val="000000"/>
          <w:kern w:val="31"/>
          <w:sz w:val="32"/>
          <w:szCs w:val="32"/>
          <w:lang w:val="en-US" w:eastAsia="zh-CN" w:bidi="ar-SA"/>
        </w:rPr>
        <w:t>1.2 编制依据</w:t>
      </w:r>
    </w:p>
    <w:p>
      <w:pPr>
        <w:keepNext w:val="0"/>
        <w:keepLines w:val="0"/>
        <w:pageBreakBefore w:val="0"/>
        <w:widowControl w:val="0"/>
        <w:kinsoku/>
        <w:wordWrap/>
        <w:overflowPunct/>
        <w:topLinePunct w:val="0"/>
        <w:autoSpaceDE w:val="0"/>
        <w:autoSpaceDN w:val="0"/>
        <w:bidi w:val="0"/>
        <w:adjustRightInd/>
        <w:snapToGrid/>
        <w:spacing w:before="0" w:line="600" w:lineRule="exact"/>
        <w:ind w:right="0" w:firstLine="640" w:firstLineChars="200"/>
        <w:jc w:val="both"/>
        <w:textAlignment w:val="auto"/>
        <w:rPr>
          <w:rFonts w:hint="eastAsia" w:ascii="仿宋" w:hAnsi="仿宋" w:eastAsia="仿宋" w:cs="仿宋"/>
          <w:color w:val="000000"/>
          <w:kern w:val="31"/>
          <w:sz w:val="32"/>
          <w:szCs w:val="32"/>
          <w:lang w:val="en-US" w:eastAsia="zh-CN" w:bidi="ar-SA"/>
        </w:rPr>
      </w:pPr>
      <w:r>
        <w:rPr>
          <w:rFonts w:hint="eastAsia" w:ascii="仿宋" w:hAnsi="仿宋" w:eastAsia="仿宋" w:cs="仿宋"/>
          <w:color w:val="000000"/>
          <w:kern w:val="31"/>
          <w:sz w:val="32"/>
          <w:szCs w:val="32"/>
          <w:lang w:val="en-US" w:eastAsia="zh-CN" w:bidi="ar-SA"/>
        </w:rPr>
        <w:t>依据《中华人民共和国突发事件应对法》《中华人民共和国食品安全法》《中华人民共和国农产品质量安全法》《突发公共卫生事件应急条例》《中华人民共和国食品安全法实施条例》《中共中央国务院关于深化改革加强食品安全工作的意见》《地方党政领导干部食品安全责任制规定》《突发事件应急预案管理办法》《国家突发公共事件总体应急预案》《河南省突发公共事件总体应急预案》《南阳市加强食品安全工作十二条措施》等法律法规政策，制定本预案。</w:t>
      </w:r>
    </w:p>
    <w:p>
      <w:pPr>
        <w:keepNext w:val="0"/>
        <w:keepLines w:val="0"/>
        <w:pageBreakBefore w:val="0"/>
        <w:widowControl w:val="0"/>
        <w:kinsoku/>
        <w:wordWrap/>
        <w:overflowPunct/>
        <w:topLinePunct w:val="0"/>
        <w:autoSpaceDE w:val="0"/>
        <w:autoSpaceDN w:val="0"/>
        <w:bidi w:val="0"/>
        <w:adjustRightInd/>
        <w:snapToGrid/>
        <w:spacing w:before="0" w:line="600" w:lineRule="exact"/>
        <w:ind w:right="0" w:firstLine="640" w:firstLineChars="200"/>
        <w:jc w:val="both"/>
        <w:textAlignment w:val="auto"/>
        <w:rPr>
          <w:rFonts w:hint="eastAsia" w:ascii="仿宋" w:hAnsi="仿宋" w:eastAsia="仿宋" w:cs="仿宋"/>
          <w:color w:val="000000"/>
          <w:kern w:val="31"/>
          <w:sz w:val="32"/>
          <w:szCs w:val="32"/>
          <w:lang w:val="en-US" w:eastAsia="zh-CN" w:bidi="ar-SA"/>
        </w:rPr>
      </w:pPr>
      <w:r>
        <w:rPr>
          <w:rFonts w:hint="eastAsia" w:ascii="楷体" w:hAnsi="楷体" w:eastAsia="楷体" w:cs="楷体"/>
          <w:color w:val="000000"/>
          <w:kern w:val="31"/>
          <w:sz w:val="32"/>
          <w:szCs w:val="32"/>
          <w:lang w:val="en-US" w:eastAsia="zh-CN" w:bidi="ar-SA"/>
        </w:rPr>
        <w:t>1.3 适用范围</w:t>
      </w:r>
    </w:p>
    <w:p>
      <w:pPr>
        <w:keepNext w:val="0"/>
        <w:keepLines w:val="0"/>
        <w:pageBreakBefore w:val="0"/>
        <w:widowControl w:val="0"/>
        <w:kinsoku/>
        <w:wordWrap/>
        <w:overflowPunct/>
        <w:topLinePunct w:val="0"/>
        <w:autoSpaceDE w:val="0"/>
        <w:autoSpaceDN w:val="0"/>
        <w:bidi w:val="0"/>
        <w:adjustRightInd/>
        <w:snapToGrid/>
        <w:spacing w:before="0" w:line="600" w:lineRule="exact"/>
        <w:ind w:right="0" w:firstLine="640" w:firstLineChars="200"/>
        <w:jc w:val="both"/>
        <w:textAlignment w:val="auto"/>
        <w:rPr>
          <w:rFonts w:hint="eastAsia" w:ascii="仿宋" w:hAnsi="仿宋" w:eastAsia="仿宋" w:cs="仿宋"/>
          <w:color w:val="000000"/>
          <w:kern w:val="31"/>
          <w:sz w:val="32"/>
          <w:szCs w:val="32"/>
          <w:lang w:val="en-US" w:eastAsia="zh-CN" w:bidi="ar-SA"/>
        </w:rPr>
      </w:pPr>
      <w:r>
        <w:rPr>
          <w:rFonts w:hint="eastAsia" w:ascii="仿宋" w:hAnsi="仿宋" w:eastAsia="仿宋" w:cs="仿宋"/>
          <w:color w:val="000000"/>
          <w:kern w:val="31"/>
          <w:sz w:val="32"/>
          <w:szCs w:val="32"/>
          <w:lang w:val="en-US" w:eastAsia="zh-CN" w:bidi="ar-SA"/>
        </w:rPr>
        <w:t>本预案适用于南阳市宛城区行政区域内突然发生的食源性疾病、食品污染等源于食品，对人体健康有危害或者可能有危害的食品安全事件的应对工作。</w:t>
      </w:r>
    </w:p>
    <w:p>
      <w:pPr>
        <w:keepNext w:val="0"/>
        <w:keepLines w:val="0"/>
        <w:pageBreakBefore w:val="0"/>
        <w:widowControl w:val="0"/>
        <w:kinsoku/>
        <w:wordWrap/>
        <w:overflowPunct/>
        <w:topLinePunct w:val="0"/>
        <w:autoSpaceDE w:val="0"/>
        <w:autoSpaceDN w:val="0"/>
        <w:bidi w:val="0"/>
        <w:adjustRightInd/>
        <w:snapToGrid/>
        <w:spacing w:before="0" w:line="600" w:lineRule="exact"/>
        <w:ind w:right="0" w:firstLine="640" w:firstLineChars="200"/>
        <w:jc w:val="both"/>
        <w:textAlignment w:val="auto"/>
        <w:rPr>
          <w:rFonts w:hint="eastAsia" w:ascii="仿宋" w:hAnsi="仿宋" w:eastAsia="仿宋" w:cs="仿宋"/>
          <w:color w:val="000000"/>
          <w:kern w:val="31"/>
          <w:sz w:val="32"/>
          <w:szCs w:val="32"/>
          <w:lang w:val="en-US" w:eastAsia="zh-CN" w:bidi="ar-SA"/>
        </w:rPr>
      </w:pPr>
      <w:r>
        <w:rPr>
          <w:rFonts w:hint="eastAsia" w:ascii="仿宋" w:hAnsi="仿宋" w:eastAsia="仿宋" w:cs="仿宋"/>
          <w:color w:val="000000"/>
          <w:kern w:val="31"/>
          <w:sz w:val="32"/>
          <w:szCs w:val="32"/>
          <w:lang w:val="en-US" w:eastAsia="zh-CN" w:bidi="ar-SA"/>
        </w:rPr>
        <w:t>对食源性疾病中涉及传染病疫情等公共卫生事件，按照《中华人民共和国传染病防治法》和《国家突发公共卫生事件应急预案》等相关规定，由卫生健康部门组织疫情防控和应急处置。</w:t>
      </w:r>
    </w:p>
    <w:p>
      <w:pPr>
        <w:keepNext w:val="0"/>
        <w:keepLines w:val="0"/>
        <w:pageBreakBefore w:val="0"/>
        <w:widowControl w:val="0"/>
        <w:kinsoku/>
        <w:wordWrap/>
        <w:overflowPunct/>
        <w:topLinePunct w:val="0"/>
        <w:autoSpaceDE w:val="0"/>
        <w:autoSpaceDN w:val="0"/>
        <w:bidi w:val="0"/>
        <w:adjustRightInd/>
        <w:snapToGrid/>
        <w:spacing w:before="0" w:line="600" w:lineRule="exact"/>
        <w:ind w:right="0" w:firstLine="640" w:firstLineChars="200"/>
        <w:jc w:val="both"/>
        <w:textAlignment w:val="auto"/>
        <w:rPr>
          <w:rFonts w:hint="eastAsia" w:ascii="仿宋" w:hAnsi="仿宋" w:eastAsia="仿宋" w:cs="仿宋"/>
          <w:color w:val="000000"/>
          <w:kern w:val="31"/>
          <w:sz w:val="32"/>
          <w:szCs w:val="32"/>
          <w:lang w:val="en-US" w:eastAsia="zh-CN" w:bidi="ar-SA"/>
        </w:rPr>
      </w:pPr>
      <w:r>
        <w:rPr>
          <w:rFonts w:hint="eastAsia" w:ascii="楷体" w:hAnsi="楷体" w:eastAsia="楷体" w:cs="楷体"/>
          <w:color w:val="000000"/>
          <w:kern w:val="31"/>
          <w:sz w:val="32"/>
          <w:szCs w:val="32"/>
          <w:lang w:val="en-US" w:eastAsia="zh-CN" w:bidi="ar-SA"/>
        </w:rPr>
        <w:t>1.4 工作原则</w:t>
      </w:r>
    </w:p>
    <w:p>
      <w:pPr>
        <w:keepNext w:val="0"/>
        <w:keepLines w:val="0"/>
        <w:pageBreakBefore w:val="0"/>
        <w:widowControl w:val="0"/>
        <w:kinsoku/>
        <w:wordWrap/>
        <w:overflowPunct/>
        <w:topLinePunct w:val="0"/>
        <w:autoSpaceDE w:val="0"/>
        <w:autoSpaceDN w:val="0"/>
        <w:bidi w:val="0"/>
        <w:adjustRightInd/>
        <w:snapToGrid/>
        <w:spacing w:before="0" w:line="600" w:lineRule="exact"/>
        <w:ind w:right="0" w:firstLine="640" w:firstLineChars="200"/>
        <w:jc w:val="both"/>
        <w:textAlignment w:val="auto"/>
        <w:rPr>
          <w:rFonts w:hint="eastAsia" w:ascii="仿宋" w:hAnsi="仿宋" w:eastAsia="仿宋" w:cs="仿宋"/>
          <w:color w:val="000000"/>
          <w:kern w:val="31"/>
          <w:sz w:val="32"/>
          <w:szCs w:val="32"/>
          <w:lang w:val="en-US" w:eastAsia="zh-CN" w:bidi="ar-SA"/>
        </w:rPr>
      </w:pPr>
      <w:r>
        <w:rPr>
          <w:rFonts w:hint="eastAsia" w:ascii="楷体" w:hAnsi="楷体" w:eastAsia="楷体" w:cs="楷体"/>
          <w:color w:val="000000"/>
          <w:kern w:val="31"/>
          <w:sz w:val="32"/>
          <w:szCs w:val="32"/>
          <w:lang w:val="en-US" w:eastAsia="zh-CN" w:bidi="ar-SA"/>
        </w:rPr>
        <w:t>以人为本、减少危害。</w:t>
      </w:r>
      <w:r>
        <w:rPr>
          <w:rFonts w:hint="eastAsia" w:ascii="仿宋" w:hAnsi="仿宋" w:eastAsia="仿宋" w:cs="仿宋"/>
          <w:color w:val="000000"/>
          <w:kern w:val="31"/>
          <w:sz w:val="32"/>
          <w:szCs w:val="32"/>
          <w:lang w:val="en-US" w:eastAsia="zh-CN" w:bidi="ar-SA"/>
        </w:rPr>
        <w:t>牢固树立以人民为中心的发展思想，贯彻落实“最严谨的标准、最严格的监管、最严厉的处罚、最严肃的问责”要求，把保障公众健康和生命安全作为首要任务，最大程度地减轻食品安全风险、减少食品安全事件造成的人员伤亡和危害。</w:t>
      </w:r>
    </w:p>
    <w:p>
      <w:pPr>
        <w:keepNext w:val="0"/>
        <w:keepLines w:val="0"/>
        <w:pageBreakBefore w:val="0"/>
        <w:widowControl w:val="0"/>
        <w:kinsoku/>
        <w:wordWrap/>
        <w:overflowPunct/>
        <w:topLinePunct w:val="0"/>
        <w:autoSpaceDE w:val="0"/>
        <w:autoSpaceDN w:val="0"/>
        <w:bidi w:val="0"/>
        <w:adjustRightInd/>
        <w:snapToGrid/>
        <w:spacing w:before="0" w:line="600" w:lineRule="exact"/>
        <w:ind w:right="0" w:firstLine="640" w:firstLineChars="200"/>
        <w:jc w:val="both"/>
        <w:textAlignment w:val="auto"/>
        <w:rPr>
          <w:rFonts w:hint="eastAsia" w:ascii="仿宋" w:hAnsi="仿宋" w:eastAsia="仿宋" w:cs="仿宋"/>
          <w:color w:val="000000"/>
          <w:kern w:val="31"/>
          <w:sz w:val="32"/>
          <w:szCs w:val="32"/>
          <w:lang w:val="en-US" w:eastAsia="zh-CN" w:bidi="ar-SA"/>
        </w:rPr>
      </w:pPr>
      <w:r>
        <w:rPr>
          <w:rFonts w:hint="eastAsia" w:ascii="楷体" w:hAnsi="楷体" w:eastAsia="楷体" w:cs="楷体"/>
          <w:color w:val="000000"/>
          <w:kern w:val="31"/>
          <w:sz w:val="32"/>
          <w:szCs w:val="32"/>
          <w:lang w:val="en-US" w:eastAsia="zh-CN" w:bidi="ar-SA"/>
        </w:rPr>
        <w:t>统一领导、分级负责。</w:t>
      </w:r>
      <w:r>
        <w:rPr>
          <w:rFonts w:hint="eastAsia" w:ascii="仿宋" w:hAnsi="仿宋" w:eastAsia="仿宋" w:cs="仿宋"/>
          <w:color w:val="000000"/>
          <w:kern w:val="31"/>
          <w:sz w:val="32"/>
          <w:szCs w:val="32"/>
          <w:lang w:val="en-US" w:eastAsia="zh-CN" w:bidi="ar-SA"/>
        </w:rPr>
        <w:t>全面落实食品安全党政同责要求，建立健全党委领导下的食品安全应急管理行政领导负责制。严格落实地方政府属地管理责任，根据事件严重程度，分级组织应对工作。</w:t>
      </w:r>
    </w:p>
    <w:p>
      <w:pPr>
        <w:keepNext w:val="0"/>
        <w:keepLines w:val="0"/>
        <w:pageBreakBefore w:val="0"/>
        <w:widowControl w:val="0"/>
        <w:kinsoku/>
        <w:wordWrap/>
        <w:overflowPunct/>
        <w:topLinePunct w:val="0"/>
        <w:autoSpaceDE w:val="0"/>
        <w:autoSpaceDN w:val="0"/>
        <w:bidi w:val="0"/>
        <w:adjustRightInd/>
        <w:snapToGrid/>
        <w:spacing w:before="0" w:line="600" w:lineRule="exact"/>
        <w:ind w:right="0" w:firstLine="640" w:firstLineChars="200"/>
        <w:jc w:val="both"/>
        <w:textAlignment w:val="auto"/>
        <w:rPr>
          <w:rFonts w:hint="eastAsia" w:ascii="仿宋" w:hAnsi="仿宋" w:eastAsia="仿宋" w:cs="仿宋"/>
          <w:color w:val="000000"/>
          <w:kern w:val="31"/>
          <w:sz w:val="32"/>
          <w:szCs w:val="32"/>
          <w:lang w:val="en-US" w:eastAsia="zh-CN" w:bidi="ar-SA"/>
        </w:rPr>
      </w:pPr>
      <w:r>
        <w:rPr>
          <w:rFonts w:hint="eastAsia" w:ascii="楷体" w:hAnsi="楷体" w:eastAsia="楷体" w:cs="楷体"/>
          <w:color w:val="000000"/>
          <w:kern w:val="31"/>
          <w:sz w:val="32"/>
          <w:szCs w:val="32"/>
          <w:lang w:val="en-US" w:eastAsia="zh-CN" w:bidi="ar-SA"/>
        </w:rPr>
        <w:t>预防为主、社会共治。</w:t>
      </w:r>
      <w:r>
        <w:rPr>
          <w:rFonts w:hint="eastAsia" w:ascii="仿宋" w:hAnsi="仿宋" w:eastAsia="仿宋" w:cs="仿宋"/>
          <w:color w:val="000000"/>
          <w:kern w:val="31"/>
          <w:sz w:val="32"/>
          <w:szCs w:val="32"/>
          <w:lang w:val="en-US" w:eastAsia="zh-CN" w:bidi="ar-SA"/>
        </w:rPr>
        <w:t>增强忧患意识，加强日常监督检查和舆情监测，及时排查和化解风险隐患；建立部门协调联动机制，充分调动全社会力量，牢固树立应急意识，形成齐抓共管、上下联动、平战结合、多元共治的良好局面。</w:t>
      </w:r>
    </w:p>
    <w:p>
      <w:pPr>
        <w:keepNext w:val="0"/>
        <w:keepLines w:val="0"/>
        <w:pageBreakBefore w:val="0"/>
        <w:widowControl w:val="0"/>
        <w:kinsoku/>
        <w:wordWrap/>
        <w:overflowPunct/>
        <w:topLinePunct w:val="0"/>
        <w:autoSpaceDE w:val="0"/>
        <w:autoSpaceDN w:val="0"/>
        <w:bidi w:val="0"/>
        <w:adjustRightInd/>
        <w:snapToGrid/>
        <w:spacing w:before="0" w:line="600" w:lineRule="exact"/>
        <w:ind w:right="0" w:firstLine="640" w:firstLineChars="200"/>
        <w:jc w:val="both"/>
        <w:textAlignment w:val="auto"/>
        <w:rPr>
          <w:rFonts w:hint="eastAsia" w:ascii="仿宋" w:hAnsi="仿宋" w:eastAsia="仿宋" w:cs="仿宋"/>
          <w:color w:val="000000"/>
          <w:kern w:val="31"/>
          <w:sz w:val="32"/>
          <w:szCs w:val="32"/>
          <w:lang w:val="en-US" w:eastAsia="zh-CN" w:bidi="ar-SA"/>
        </w:rPr>
      </w:pPr>
      <w:r>
        <w:rPr>
          <w:rFonts w:hint="eastAsia" w:ascii="楷体" w:hAnsi="楷体" w:eastAsia="楷体" w:cs="楷体"/>
          <w:color w:val="000000"/>
          <w:kern w:val="31"/>
          <w:sz w:val="32"/>
          <w:szCs w:val="32"/>
          <w:lang w:val="en-US" w:eastAsia="zh-CN" w:bidi="ar-SA"/>
        </w:rPr>
        <w:t>科技支撑、依法处置。</w:t>
      </w:r>
      <w:r>
        <w:rPr>
          <w:rFonts w:hint="eastAsia" w:ascii="仿宋" w:hAnsi="仿宋" w:eastAsia="仿宋" w:cs="仿宋"/>
          <w:color w:val="000000"/>
          <w:kern w:val="31"/>
          <w:sz w:val="32"/>
          <w:szCs w:val="32"/>
          <w:lang w:val="en-US" w:eastAsia="zh-CN" w:bidi="ar-SA"/>
        </w:rPr>
        <w:t>发挥专家队伍和专业人员作用，充分利用科学手段和技术装备，提高应急处置能力水平。严格落实相关法规制度，确保食品安全事件应对处置工作规范化、制度化、法治化。</w:t>
      </w:r>
    </w:p>
    <w:p>
      <w:pPr>
        <w:keepNext w:val="0"/>
        <w:keepLines w:val="0"/>
        <w:pageBreakBefore w:val="0"/>
        <w:widowControl w:val="0"/>
        <w:kinsoku/>
        <w:wordWrap/>
        <w:overflowPunct/>
        <w:topLinePunct w:val="0"/>
        <w:autoSpaceDE w:val="0"/>
        <w:autoSpaceDN w:val="0"/>
        <w:bidi w:val="0"/>
        <w:adjustRightInd/>
        <w:snapToGrid/>
        <w:spacing w:before="0" w:line="600" w:lineRule="exact"/>
        <w:ind w:right="0" w:firstLine="640" w:firstLineChars="200"/>
        <w:jc w:val="both"/>
        <w:textAlignment w:val="auto"/>
        <w:rPr>
          <w:rFonts w:hint="eastAsia" w:ascii="仿宋" w:hAnsi="仿宋" w:eastAsia="仿宋" w:cs="仿宋"/>
          <w:color w:val="000000"/>
          <w:kern w:val="31"/>
          <w:sz w:val="32"/>
          <w:szCs w:val="32"/>
          <w:lang w:val="en-US" w:eastAsia="zh-CN" w:bidi="ar-SA"/>
        </w:rPr>
      </w:pPr>
      <w:r>
        <w:rPr>
          <w:rFonts w:hint="eastAsia" w:ascii="楷体" w:hAnsi="楷体" w:eastAsia="楷体" w:cs="楷体"/>
          <w:color w:val="000000"/>
          <w:kern w:val="31"/>
          <w:sz w:val="32"/>
          <w:szCs w:val="32"/>
          <w:lang w:val="en-US" w:eastAsia="zh-CN" w:bidi="ar-SA"/>
        </w:rPr>
        <w:t>1.5 事件分级</w:t>
      </w:r>
    </w:p>
    <w:p>
      <w:pPr>
        <w:keepNext w:val="0"/>
        <w:keepLines w:val="0"/>
        <w:pageBreakBefore w:val="0"/>
        <w:widowControl w:val="0"/>
        <w:kinsoku/>
        <w:wordWrap/>
        <w:overflowPunct/>
        <w:topLinePunct w:val="0"/>
        <w:autoSpaceDE w:val="0"/>
        <w:autoSpaceDN w:val="0"/>
        <w:bidi w:val="0"/>
        <w:adjustRightInd/>
        <w:snapToGrid/>
        <w:spacing w:before="0" w:line="600" w:lineRule="exact"/>
        <w:ind w:right="0" w:firstLine="640" w:firstLineChars="200"/>
        <w:jc w:val="both"/>
        <w:textAlignment w:val="auto"/>
        <w:rPr>
          <w:rFonts w:hint="eastAsia" w:ascii="仿宋" w:hAnsi="仿宋" w:eastAsia="仿宋" w:cs="仿宋"/>
          <w:color w:val="000000"/>
          <w:kern w:val="31"/>
          <w:sz w:val="32"/>
          <w:szCs w:val="32"/>
          <w:lang w:val="en-US" w:eastAsia="zh-CN" w:bidi="ar-SA"/>
        </w:rPr>
      </w:pPr>
      <w:r>
        <w:rPr>
          <w:rFonts w:hint="eastAsia" w:ascii="仿宋" w:hAnsi="仿宋" w:eastAsia="仿宋" w:cs="仿宋"/>
          <w:color w:val="000000"/>
          <w:kern w:val="31"/>
          <w:sz w:val="32"/>
          <w:szCs w:val="32"/>
          <w:lang w:val="en-US" w:eastAsia="zh-CN" w:bidi="ar-SA"/>
        </w:rPr>
        <w:t>本预案按照后果严重程度将食品安全突发事件分为特别重大、重大、较大和一般四个级别。食品安全事件分级标准见附件。</w:t>
      </w:r>
    </w:p>
    <w:p>
      <w:pPr>
        <w:keepNext w:val="0"/>
        <w:keepLines w:val="0"/>
        <w:pageBreakBefore w:val="0"/>
        <w:widowControl w:val="0"/>
        <w:kinsoku/>
        <w:wordWrap/>
        <w:overflowPunct/>
        <w:topLinePunct w:val="0"/>
        <w:autoSpaceDE w:val="0"/>
        <w:autoSpaceDN w:val="0"/>
        <w:bidi w:val="0"/>
        <w:adjustRightInd/>
        <w:snapToGrid/>
        <w:spacing w:before="0" w:line="600" w:lineRule="exact"/>
        <w:ind w:right="0" w:firstLine="640" w:firstLineChars="200"/>
        <w:jc w:val="both"/>
        <w:textAlignment w:val="auto"/>
        <w:rPr>
          <w:rFonts w:hint="eastAsia" w:ascii="仿宋" w:hAnsi="仿宋" w:eastAsia="仿宋" w:cs="仿宋"/>
          <w:color w:val="000000"/>
          <w:kern w:val="31"/>
          <w:sz w:val="32"/>
          <w:szCs w:val="32"/>
          <w:lang w:val="en-US" w:eastAsia="zh-CN" w:bidi="ar-SA"/>
        </w:rPr>
      </w:pPr>
      <w:r>
        <w:rPr>
          <w:rFonts w:hint="eastAsia" w:ascii="楷体" w:hAnsi="楷体" w:eastAsia="楷体" w:cs="楷体"/>
          <w:color w:val="000000"/>
          <w:kern w:val="31"/>
          <w:sz w:val="32"/>
          <w:szCs w:val="32"/>
          <w:lang w:val="en-US" w:eastAsia="zh-CN" w:bidi="ar-SA"/>
        </w:rPr>
        <w:t>1.6 分级应对</w:t>
      </w:r>
    </w:p>
    <w:p>
      <w:pPr>
        <w:keepNext w:val="0"/>
        <w:keepLines w:val="0"/>
        <w:pageBreakBefore w:val="0"/>
        <w:widowControl w:val="0"/>
        <w:kinsoku/>
        <w:wordWrap/>
        <w:overflowPunct/>
        <w:topLinePunct w:val="0"/>
        <w:autoSpaceDE w:val="0"/>
        <w:autoSpaceDN w:val="0"/>
        <w:bidi w:val="0"/>
        <w:adjustRightInd/>
        <w:snapToGrid/>
        <w:spacing w:before="0" w:line="600" w:lineRule="exact"/>
        <w:ind w:right="0" w:firstLine="640" w:firstLineChars="200"/>
        <w:jc w:val="both"/>
        <w:textAlignment w:val="auto"/>
        <w:rPr>
          <w:rFonts w:hint="eastAsia" w:ascii="仿宋" w:hAnsi="仿宋" w:eastAsia="仿宋" w:cs="仿宋"/>
          <w:color w:val="000000"/>
          <w:kern w:val="31"/>
          <w:sz w:val="32"/>
          <w:szCs w:val="32"/>
          <w:lang w:val="en-US" w:eastAsia="zh-CN" w:bidi="ar-SA"/>
        </w:rPr>
      </w:pPr>
      <w:r>
        <w:rPr>
          <w:rFonts w:hint="eastAsia" w:ascii="仿宋" w:hAnsi="仿宋" w:eastAsia="仿宋" w:cs="仿宋"/>
          <w:color w:val="000000"/>
          <w:kern w:val="31"/>
          <w:sz w:val="32"/>
          <w:szCs w:val="32"/>
          <w:lang w:val="en-US" w:eastAsia="zh-CN" w:bidi="ar-SA"/>
        </w:rPr>
        <w:t>食品安全事件发生地党委、政府及市场监管部门初判事件级别，开展先期处置，并及时向上一级党委、政府及市场监管部门报告。</w:t>
      </w:r>
    </w:p>
    <w:p>
      <w:pPr>
        <w:keepNext w:val="0"/>
        <w:keepLines w:val="0"/>
        <w:pageBreakBefore w:val="0"/>
        <w:widowControl w:val="0"/>
        <w:kinsoku/>
        <w:wordWrap/>
        <w:overflowPunct/>
        <w:topLinePunct w:val="0"/>
        <w:autoSpaceDE w:val="0"/>
        <w:autoSpaceDN w:val="0"/>
        <w:bidi w:val="0"/>
        <w:adjustRightInd/>
        <w:snapToGrid/>
        <w:spacing w:before="0" w:line="600" w:lineRule="exact"/>
        <w:ind w:right="0" w:firstLine="640" w:firstLineChars="200"/>
        <w:jc w:val="both"/>
        <w:textAlignment w:val="auto"/>
        <w:rPr>
          <w:rFonts w:hint="eastAsia" w:ascii="仿宋" w:hAnsi="仿宋" w:eastAsia="仿宋" w:cs="仿宋"/>
          <w:color w:val="000000"/>
          <w:kern w:val="31"/>
          <w:sz w:val="32"/>
          <w:szCs w:val="32"/>
          <w:lang w:val="en-US" w:eastAsia="zh-CN" w:bidi="ar-SA"/>
        </w:rPr>
      </w:pPr>
      <w:r>
        <w:rPr>
          <w:rFonts w:hint="eastAsia" w:ascii="仿宋" w:hAnsi="仿宋" w:eastAsia="仿宋" w:cs="仿宋"/>
          <w:color w:val="000000"/>
          <w:kern w:val="31"/>
          <w:sz w:val="32"/>
          <w:szCs w:val="32"/>
          <w:lang w:val="en-US" w:eastAsia="zh-CN" w:bidi="ar-SA"/>
        </w:rPr>
        <w:t>初判发生特别重大和重大食品安全事件时，由市政府报请省政府应对。初判发生较大食品安全事件时，报请市政府应对。初判发生一般食品安全事件时，由区政府负责应对，区政府食品安全委员会（以下简称区食品安全委）具体实施，必要时报请市委、市政府或市市场监管局应对。</w:t>
      </w:r>
    </w:p>
    <w:p>
      <w:pPr>
        <w:keepNext w:val="0"/>
        <w:keepLines w:val="0"/>
        <w:pageBreakBefore w:val="0"/>
        <w:widowControl w:val="0"/>
        <w:kinsoku/>
        <w:wordWrap/>
        <w:overflowPunct/>
        <w:topLinePunct w:val="0"/>
        <w:autoSpaceDE w:val="0"/>
        <w:autoSpaceDN w:val="0"/>
        <w:bidi w:val="0"/>
        <w:adjustRightInd/>
        <w:snapToGrid/>
        <w:spacing w:before="0" w:line="600" w:lineRule="exact"/>
        <w:ind w:right="0" w:firstLine="640" w:firstLineChars="200"/>
        <w:jc w:val="both"/>
        <w:textAlignment w:val="auto"/>
        <w:rPr>
          <w:rFonts w:hint="eastAsia" w:ascii="楷体" w:hAnsi="楷体" w:eastAsia="楷体" w:cs="楷体"/>
          <w:color w:val="000000"/>
          <w:kern w:val="31"/>
          <w:sz w:val="32"/>
          <w:szCs w:val="32"/>
          <w:lang w:val="en-US" w:eastAsia="zh-CN" w:bidi="ar-SA"/>
        </w:rPr>
      </w:pPr>
      <w:r>
        <w:rPr>
          <w:rFonts w:hint="eastAsia" w:ascii="楷体" w:hAnsi="楷体" w:eastAsia="楷体" w:cs="楷体"/>
          <w:color w:val="000000"/>
          <w:kern w:val="31"/>
          <w:sz w:val="32"/>
          <w:szCs w:val="32"/>
          <w:lang w:val="en-US" w:eastAsia="zh-CN" w:bidi="ar-SA"/>
        </w:rPr>
        <w:t>1.7 响应级别</w:t>
      </w:r>
    </w:p>
    <w:p>
      <w:pPr>
        <w:keepNext w:val="0"/>
        <w:keepLines w:val="0"/>
        <w:pageBreakBefore w:val="0"/>
        <w:widowControl w:val="0"/>
        <w:kinsoku/>
        <w:wordWrap/>
        <w:overflowPunct/>
        <w:topLinePunct w:val="0"/>
        <w:autoSpaceDE w:val="0"/>
        <w:autoSpaceDN w:val="0"/>
        <w:bidi w:val="0"/>
        <w:adjustRightInd/>
        <w:snapToGrid/>
        <w:spacing w:before="0" w:line="600" w:lineRule="exact"/>
        <w:ind w:right="0" w:firstLine="640" w:firstLineChars="200"/>
        <w:jc w:val="both"/>
        <w:textAlignment w:val="auto"/>
        <w:rPr>
          <w:rFonts w:hint="eastAsia" w:ascii="仿宋" w:hAnsi="仿宋" w:eastAsia="仿宋" w:cs="仿宋"/>
          <w:color w:val="000000"/>
          <w:kern w:val="31"/>
          <w:sz w:val="32"/>
          <w:szCs w:val="32"/>
          <w:lang w:val="en-US" w:eastAsia="zh-CN" w:bidi="ar-SA"/>
        </w:rPr>
      </w:pPr>
      <w:r>
        <w:rPr>
          <w:rFonts w:hint="eastAsia" w:ascii="仿宋" w:hAnsi="仿宋" w:eastAsia="仿宋" w:cs="仿宋"/>
          <w:color w:val="000000"/>
          <w:kern w:val="31"/>
          <w:sz w:val="32"/>
          <w:szCs w:val="32"/>
          <w:lang w:val="en-US" w:eastAsia="zh-CN" w:bidi="ar-SA"/>
        </w:rPr>
        <w:t>食品安全事件发生后，各级政府根据事件级别、应急处置能力和预期影响，综合研判确定本层级应急响应级别。根据食品安全突发事件的严重程度和发展态势,将应急响应级别由高到低分为：一级、二级、三级、四级，分别对应事件分级标准的特别重大食品安全突发事件、重大食品安全突发事件、较大食品安全突发事件和一般食品安全突发事件。</w:t>
      </w:r>
    </w:p>
    <w:p>
      <w:pPr>
        <w:keepNext w:val="0"/>
        <w:keepLines w:val="0"/>
        <w:pageBreakBefore w:val="0"/>
        <w:widowControl w:val="0"/>
        <w:kinsoku/>
        <w:wordWrap/>
        <w:overflowPunct/>
        <w:topLinePunct w:val="0"/>
        <w:autoSpaceDE w:val="0"/>
        <w:autoSpaceDN w:val="0"/>
        <w:bidi w:val="0"/>
        <w:adjustRightInd/>
        <w:snapToGrid/>
        <w:spacing w:before="0" w:line="600" w:lineRule="exact"/>
        <w:ind w:right="0" w:firstLine="640" w:firstLineChars="200"/>
        <w:jc w:val="both"/>
        <w:textAlignment w:val="auto"/>
        <w:rPr>
          <w:rFonts w:hint="eastAsia" w:ascii="仿宋" w:hAnsi="仿宋" w:eastAsia="仿宋" w:cs="仿宋"/>
          <w:color w:val="000000"/>
          <w:kern w:val="31"/>
          <w:sz w:val="32"/>
          <w:szCs w:val="32"/>
          <w:lang w:val="en-US" w:eastAsia="zh-CN" w:bidi="ar-SA"/>
        </w:rPr>
      </w:pPr>
      <w:r>
        <w:rPr>
          <w:rFonts w:hint="eastAsia" w:ascii="仿宋" w:hAnsi="仿宋" w:eastAsia="仿宋" w:cs="仿宋"/>
          <w:color w:val="000000"/>
          <w:kern w:val="31"/>
          <w:sz w:val="32"/>
          <w:szCs w:val="32"/>
          <w:lang w:val="en-US" w:eastAsia="zh-CN" w:bidi="ar-SA"/>
        </w:rPr>
        <w:t>根据食品安全突发事件的发展态势和影响，预判达到或可能达到四级事件标准，由区政府食安办召集相关部门会商后，向区政府提出启动四级响应的建议，经区政府批准后，成立区食品安全突发事件应急指挥部（以下简称指挥部），统一领导、组织和指挥应急处置工作。</w:t>
      </w:r>
    </w:p>
    <w:p>
      <w:pPr>
        <w:keepNext w:val="0"/>
        <w:keepLines w:val="0"/>
        <w:pageBreakBefore w:val="0"/>
        <w:widowControl w:val="0"/>
        <w:kinsoku/>
        <w:wordWrap/>
        <w:overflowPunct/>
        <w:topLinePunct w:val="0"/>
        <w:autoSpaceDE w:val="0"/>
        <w:autoSpaceDN w:val="0"/>
        <w:bidi w:val="0"/>
        <w:adjustRightInd/>
        <w:snapToGrid/>
        <w:spacing w:before="0" w:line="600" w:lineRule="exact"/>
        <w:ind w:right="0" w:firstLine="640" w:firstLineChars="200"/>
        <w:jc w:val="both"/>
        <w:textAlignment w:val="auto"/>
        <w:rPr>
          <w:rFonts w:hint="eastAsia" w:ascii="仿宋" w:hAnsi="仿宋" w:eastAsia="仿宋" w:cs="仿宋"/>
          <w:color w:val="000000"/>
          <w:kern w:val="31"/>
          <w:sz w:val="32"/>
          <w:szCs w:val="32"/>
          <w:lang w:val="en-US" w:eastAsia="zh-CN" w:bidi="ar-SA"/>
        </w:rPr>
      </w:pPr>
      <w:r>
        <w:rPr>
          <w:rFonts w:hint="eastAsia" w:ascii="仿宋" w:hAnsi="仿宋" w:eastAsia="仿宋" w:cs="仿宋"/>
          <w:color w:val="000000"/>
          <w:kern w:val="31"/>
          <w:sz w:val="32"/>
          <w:szCs w:val="32"/>
          <w:lang w:val="en-US" w:eastAsia="zh-CN" w:bidi="ar-SA"/>
        </w:rPr>
        <w:t>各乡镇政府（街道办事处）在区政府指导下开展食品安全事件应急处置有关工作，村委（社区居委会）等基层组织应当协助当地政府做好食品安全事件应急处置相关工作。</w:t>
      </w:r>
    </w:p>
    <w:p>
      <w:pPr>
        <w:keepNext w:val="0"/>
        <w:keepLines w:val="0"/>
        <w:pageBreakBefore w:val="0"/>
        <w:widowControl w:val="0"/>
        <w:kinsoku/>
        <w:wordWrap/>
        <w:overflowPunct/>
        <w:topLinePunct w:val="0"/>
        <w:autoSpaceDE w:val="0"/>
        <w:autoSpaceDN w:val="0"/>
        <w:bidi w:val="0"/>
        <w:adjustRightInd/>
        <w:snapToGrid/>
        <w:spacing w:before="0" w:line="600" w:lineRule="exact"/>
        <w:ind w:right="0" w:firstLine="640" w:firstLineChars="200"/>
        <w:jc w:val="both"/>
        <w:textAlignment w:val="auto"/>
        <w:rPr>
          <w:rFonts w:hint="eastAsia" w:ascii="仿宋" w:hAnsi="仿宋" w:eastAsia="仿宋" w:cs="仿宋"/>
          <w:color w:val="000000"/>
          <w:kern w:val="31"/>
          <w:sz w:val="32"/>
          <w:szCs w:val="32"/>
          <w:lang w:val="en-US" w:eastAsia="zh-CN" w:bidi="ar-SA"/>
        </w:rPr>
      </w:pPr>
      <w:r>
        <w:rPr>
          <w:rFonts w:hint="eastAsia" w:ascii="黑体" w:hAnsi="黑体" w:eastAsia="黑体" w:cs="黑体"/>
          <w:color w:val="000000"/>
          <w:kern w:val="31"/>
          <w:sz w:val="32"/>
          <w:szCs w:val="32"/>
          <w:lang w:val="en-US" w:eastAsia="zh-CN" w:bidi="ar-SA"/>
        </w:rPr>
        <w:t>2 应急指挥体系</w:t>
      </w:r>
    </w:p>
    <w:p>
      <w:pPr>
        <w:keepNext w:val="0"/>
        <w:keepLines w:val="0"/>
        <w:pageBreakBefore w:val="0"/>
        <w:widowControl w:val="0"/>
        <w:kinsoku/>
        <w:wordWrap/>
        <w:overflowPunct/>
        <w:topLinePunct w:val="0"/>
        <w:autoSpaceDE w:val="0"/>
        <w:autoSpaceDN w:val="0"/>
        <w:bidi w:val="0"/>
        <w:adjustRightInd/>
        <w:snapToGrid/>
        <w:spacing w:before="0" w:line="600" w:lineRule="exact"/>
        <w:ind w:right="0" w:firstLine="640" w:firstLineChars="200"/>
        <w:jc w:val="both"/>
        <w:textAlignment w:val="auto"/>
        <w:rPr>
          <w:rFonts w:hint="eastAsia" w:ascii="仿宋" w:hAnsi="仿宋" w:eastAsia="仿宋" w:cs="仿宋"/>
          <w:color w:val="000000"/>
          <w:kern w:val="31"/>
          <w:sz w:val="32"/>
          <w:szCs w:val="32"/>
          <w:lang w:val="en-US" w:eastAsia="zh-CN" w:bidi="ar-SA"/>
        </w:rPr>
      </w:pPr>
      <w:r>
        <w:rPr>
          <w:rFonts w:hint="eastAsia" w:ascii="楷体" w:hAnsi="楷体" w:eastAsia="楷体" w:cs="楷体"/>
          <w:color w:val="000000"/>
          <w:kern w:val="31"/>
          <w:sz w:val="32"/>
          <w:szCs w:val="32"/>
          <w:lang w:val="en-US" w:eastAsia="zh-CN" w:bidi="ar-SA"/>
        </w:rPr>
        <w:t>2.1 区级层面组织机构</w:t>
      </w:r>
    </w:p>
    <w:p>
      <w:pPr>
        <w:keepNext w:val="0"/>
        <w:keepLines w:val="0"/>
        <w:pageBreakBefore w:val="0"/>
        <w:widowControl w:val="0"/>
        <w:kinsoku/>
        <w:wordWrap/>
        <w:overflowPunct/>
        <w:topLinePunct w:val="0"/>
        <w:autoSpaceDE w:val="0"/>
        <w:autoSpaceDN w:val="0"/>
        <w:bidi w:val="0"/>
        <w:adjustRightInd/>
        <w:snapToGrid/>
        <w:spacing w:before="0" w:line="600" w:lineRule="exact"/>
        <w:ind w:right="0" w:firstLine="640" w:firstLineChars="200"/>
        <w:jc w:val="both"/>
        <w:textAlignment w:val="auto"/>
        <w:rPr>
          <w:rFonts w:hint="eastAsia" w:ascii="仿宋" w:hAnsi="仿宋" w:eastAsia="仿宋" w:cs="仿宋"/>
          <w:color w:val="000000"/>
          <w:kern w:val="31"/>
          <w:sz w:val="32"/>
          <w:szCs w:val="32"/>
          <w:lang w:val="en-US" w:eastAsia="zh-CN" w:bidi="ar-SA"/>
        </w:rPr>
      </w:pPr>
      <w:r>
        <w:rPr>
          <w:rFonts w:hint="eastAsia" w:ascii="楷体" w:hAnsi="楷体" w:eastAsia="楷体" w:cs="楷体"/>
          <w:color w:val="000000"/>
          <w:kern w:val="31"/>
          <w:sz w:val="32"/>
          <w:szCs w:val="32"/>
          <w:lang w:val="en-US" w:eastAsia="zh-CN" w:bidi="ar-SA"/>
        </w:rPr>
        <w:t>2.1.1 区应急指挥机构</w:t>
      </w:r>
    </w:p>
    <w:p>
      <w:pPr>
        <w:keepNext w:val="0"/>
        <w:keepLines w:val="0"/>
        <w:pageBreakBefore w:val="0"/>
        <w:widowControl w:val="0"/>
        <w:kinsoku/>
        <w:wordWrap/>
        <w:overflowPunct/>
        <w:topLinePunct w:val="0"/>
        <w:autoSpaceDE w:val="0"/>
        <w:autoSpaceDN w:val="0"/>
        <w:bidi w:val="0"/>
        <w:adjustRightInd/>
        <w:snapToGrid/>
        <w:spacing w:before="0" w:line="600" w:lineRule="exact"/>
        <w:ind w:right="0" w:firstLine="640" w:firstLineChars="200"/>
        <w:jc w:val="both"/>
        <w:textAlignment w:val="auto"/>
        <w:rPr>
          <w:rFonts w:hint="eastAsia" w:ascii="仿宋" w:hAnsi="仿宋" w:eastAsia="仿宋" w:cs="仿宋"/>
          <w:color w:val="000000"/>
          <w:kern w:val="31"/>
          <w:sz w:val="32"/>
          <w:szCs w:val="32"/>
          <w:lang w:val="en-US" w:eastAsia="zh-CN" w:bidi="ar-SA"/>
        </w:rPr>
      </w:pPr>
      <w:r>
        <w:rPr>
          <w:rFonts w:hint="eastAsia" w:ascii="仿宋" w:hAnsi="仿宋" w:eastAsia="仿宋" w:cs="仿宋"/>
          <w:color w:val="000000"/>
          <w:kern w:val="31"/>
          <w:sz w:val="32"/>
          <w:szCs w:val="32"/>
          <w:lang w:val="en-US" w:eastAsia="zh-CN" w:bidi="ar-SA"/>
        </w:rPr>
        <w:t>区政府食品安全委在区委、区政府领导下，统筹协调指导食品安全事件防范和应对工作。</w:t>
      </w:r>
    </w:p>
    <w:p>
      <w:pPr>
        <w:keepNext w:val="0"/>
        <w:keepLines w:val="0"/>
        <w:pageBreakBefore w:val="0"/>
        <w:widowControl w:val="0"/>
        <w:kinsoku/>
        <w:wordWrap/>
        <w:overflowPunct/>
        <w:topLinePunct w:val="0"/>
        <w:autoSpaceDE w:val="0"/>
        <w:autoSpaceDN w:val="0"/>
        <w:bidi w:val="0"/>
        <w:adjustRightInd/>
        <w:snapToGrid/>
        <w:spacing w:before="0" w:line="600" w:lineRule="exact"/>
        <w:ind w:right="0" w:firstLine="640" w:firstLineChars="200"/>
        <w:jc w:val="both"/>
        <w:textAlignment w:val="auto"/>
        <w:rPr>
          <w:rFonts w:hint="eastAsia" w:ascii="仿宋" w:hAnsi="仿宋" w:eastAsia="仿宋" w:cs="仿宋"/>
          <w:color w:val="000000"/>
          <w:kern w:val="31"/>
          <w:sz w:val="32"/>
          <w:szCs w:val="32"/>
          <w:lang w:val="en-US" w:eastAsia="zh-CN" w:bidi="ar-SA"/>
        </w:rPr>
      </w:pPr>
      <w:r>
        <w:rPr>
          <w:rFonts w:hint="eastAsia" w:ascii="仿宋" w:hAnsi="仿宋" w:eastAsia="仿宋" w:cs="仿宋"/>
          <w:color w:val="000000"/>
          <w:kern w:val="31"/>
          <w:sz w:val="32"/>
          <w:szCs w:val="32"/>
          <w:lang w:val="en-US" w:eastAsia="zh-CN" w:bidi="ar-SA"/>
        </w:rPr>
        <w:t>区政府决定启动食品安全事件四级响应后，立即要成立食品安全突发事件应急指挥部，组织协调指导事发地应急处置工作。</w:t>
      </w:r>
    </w:p>
    <w:p>
      <w:pPr>
        <w:keepNext w:val="0"/>
        <w:keepLines w:val="0"/>
        <w:pageBreakBefore w:val="0"/>
        <w:widowControl w:val="0"/>
        <w:kinsoku/>
        <w:wordWrap/>
        <w:overflowPunct/>
        <w:topLinePunct w:val="0"/>
        <w:autoSpaceDE w:val="0"/>
        <w:autoSpaceDN w:val="0"/>
        <w:bidi w:val="0"/>
        <w:adjustRightInd/>
        <w:snapToGrid/>
        <w:spacing w:before="0" w:line="600" w:lineRule="exact"/>
        <w:ind w:right="0" w:firstLine="640" w:firstLineChars="200"/>
        <w:jc w:val="both"/>
        <w:textAlignment w:val="auto"/>
        <w:rPr>
          <w:rFonts w:hint="eastAsia" w:ascii="仿宋" w:hAnsi="仿宋" w:eastAsia="仿宋" w:cs="仿宋"/>
          <w:color w:val="000000"/>
          <w:kern w:val="31"/>
          <w:sz w:val="32"/>
          <w:szCs w:val="32"/>
          <w:lang w:val="en-US" w:eastAsia="zh-CN" w:bidi="ar-SA"/>
        </w:rPr>
      </w:pPr>
      <w:r>
        <w:rPr>
          <w:rFonts w:hint="eastAsia" w:ascii="仿宋" w:hAnsi="仿宋" w:eastAsia="仿宋" w:cs="仿宋"/>
          <w:color w:val="000000"/>
          <w:kern w:val="31"/>
          <w:sz w:val="32"/>
          <w:szCs w:val="32"/>
          <w:lang w:val="en-US" w:eastAsia="zh-CN" w:bidi="ar-SA"/>
        </w:rPr>
        <w:t>指挥长：区政府食品安全委负责同志或区委、区政府指定的负责同志</w:t>
      </w:r>
    </w:p>
    <w:p>
      <w:pPr>
        <w:keepNext w:val="0"/>
        <w:keepLines w:val="0"/>
        <w:pageBreakBefore w:val="0"/>
        <w:widowControl w:val="0"/>
        <w:kinsoku/>
        <w:wordWrap/>
        <w:overflowPunct/>
        <w:topLinePunct w:val="0"/>
        <w:autoSpaceDE w:val="0"/>
        <w:autoSpaceDN w:val="0"/>
        <w:bidi w:val="0"/>
        <w:adjustRightInd/>
        <w:snapToGrid/>
        <w:spacing w:before="0" w:line="600" w:lineRule="exact"/>
        <w:ind w:right="0" w:firstLine="640" w:firstLineChars="200"/>
        <w:jc w:val="both"/>
        <w:textAlignment w:val="auto"/>
        <w:rPr>
          <w:rFonts w:hint="eastAsia" w:ascii="仿宋" w:hAnsi="仿宋" w:eastAsia="仿宋" w:cs="仿宋"/>
          <w:color w:val="000000"/>
          <w:kern w:val="31"/>
          <w:sz w:val="32"/>
          <w:szCs w:val="32"/>
          <w:lang w:val="en-US" w:eastAsia="zh-CN" w:bidi="ar-SA"/>
        </w:rPr>
      </w:pPr>
      <w:r>
        <w:rPr>
          <w:rFonts w:hint="eastAsia" w:ascii="仿宋" w:hAnsi="仿宋" w:eastAsia="仿宋" w:cs="仿宋"/>
          <w:color w:val="000000"/>
          <w:kern w:val="31"/>
          <w:sz w:val="32"/>
          <w:szCs w:val="32"/>
          <w:lang w:val="en-US" w:eastAsia="zh-CN" w:bidi="ar-SA"/>
        </w:rPr>
        <w:t>副指挥长：区政府办分管副主任、宛城市场监管分局主要负责同志</w:t>
      </w:r>
    </w:p>
    <w:p>
      <w:pPr>
        <w:keepNext w:val="0"/>
        <w:keepLines w:val="0"/>
        <w:pageBreakBefore w:val="0"/>
        <w:widowControl w:val="0"/>
        <w:kinsoku/>
        <w:wordWrap/>
        <w:overflowPunct/>
        <w:topLinePunct w:val="0"/>
        <w:autoSpaceDE w:val="0"/>
        <w:autoSpaceDN w:val="0"/>
        <w:bidi w:val="0"/>
        <w:adjustRightInd/>
        <w:snapToGrid/>
        <w:spacing w:before="0" w:line="600" w:lineRule="exact"/>
        <w:ind w:right="0" w:firstLine="640" w:firstLineChars="200"/>
        <w:jc w:val="both"/>
        <w:textAlignment w:val="auto"/>
        <w:rPr>
          <w:rFonts w:hint="eastAsia" w:ascii="仿宋" w:hAnsi="仿宋" w:eastAsia="仿宋" w:cs="仿宋"/>
          <w:color w:val="000000"/>
          <w:kern w:val="31"/>
          <w:sz w:val="32"/>
          <w:szCs w:val="32"/>
          <w:lang w:val="en-US" w:eastAsia="zh-CN" w:bidi="ar-SA"/>
        </w:rPr>
      </w:pPr>
      <w:r>
        <w:rPr>
          <w:rFonts w:hint="eastAsia" w:ascii="仿宋" w:hAnsi="仿宋" w:eastAsia="仿宋" w:cs="仿宋"/>
          <w:color w:val="000000"/>
          <w:kern w:val="31"/>
          <w:sz w:val="32"/>
          <w:szCs w:val="32"/>
          <w:lang w:val="en-US" w:eastAsia="zh-CN" w:bidi="ar-SA"/>
        </w:rPr>
        <w:t>成员：宛城市场监管分局、区委宣传部、宛城区公安分局、区卫生健康委等部门负责同志担任，并视情增加区纪委监委、区委政法委、区委网信办、区发展改革委、区教体局、区科技局、区工业和信息化局、区民族宗教局、区民政局、区司法局、区财政局、宛城生态环境分局、区住房和城乡建设局、区交通运输局、区农业农村局、区商务局、区文化广电和旅游局、区应急管理局、区城管局、区粮食和物资储备局、区林业局、区供销合作社等部门和单位负责同志。当事件涉及国外、港澳台时，增加区委统战部等部门负责同志为应急工作组成员。</w:t>
      </w:r>
    </w:p>
    <w:p>
      <w:pPr>
        <w:keepNext w:val="0"/>
        <w:keepLines w:val="0"/>
        <w:pageBreakBefore w:val="0"/>
        <w:widowControl w:val="0"/>
        <w:kinsoku/>
        <w:wordWrap/>
        <w:overflowPunct/>
        <w:topLinePunct w:val="0"/>
        <w:autoSpaceDE w:val="0"/>
        <w:autoSpaceDN w:val="0"/>
        <w:bidi w:val="0"/>
        <w:adjustRightInd/>
        <w:snapToGrid/>
        <w:spacing w:before="0" w:line="600" w:lineRule="exact"/>
        <w:ind w:right="0" w:firstLine="640" w:firstLineChars="200"/>
        <w:jc w:val="both"/>
        <w:textAlignment w:val="auto"/>
        <w:rPr>
          <w:rFonts w:hint="eastAsia" w:ascii="仿宋" w:hAnsi="仿宋" w:eastAsia="仿宋" w:cs="仿宋"/>
          <w:color w:val="000000"/>
          <w:kern w:val="31"/>
          <w:sz w:val="32"/>
          <w:szCs w:val="32"/>
          <w:lang w:val="en-US" w:eastAsia="zh-CN" w:bidi="ar-SA"/>
        </w:rPr>
      </w:pPr>
      <w:r>
        <w:rPr>
          <w:rFonts w:hint="eastAsia" w:ascii="仿宋" w:hAnsi="仿宋" w:eastAsia="仿宋" w:cs="仿宋"/>
          <w:color w:val="000000"/>
          <w:kern w:val="31"/>
          <w:sz w:val="32"/>
          <w:szCs w:val="32"/>
          <w:lang w:val="en-US" w:eastAsia="zh-CN" w:bidi="ar-SA"/>
        </w:rPr>
        <w:t>应急指挥部成员单位在应急指挥部的统一领导下开展工作，积极参与应急救援和处置工作，完成应急指挥部赋予的各项工作任务。</w:t>
      </w:r>
    </w:p>
    <w:p>
      <w:pPr>
        <w:keepNext w:val="0"/>
        <w:keepLines w:val="0"/>
        <w:pageBreakBefore w:val="0"/>
        <w:widowControl w:val="0"/>
        <w:kinsoku/>
        <w:wordWrap/>
        <w:overflowPunct/>
        <w:topLinePunct w:val="0"/>
        <w:autoSpaceDE w:val="0"/>
        <w:autoSpaceDN w:val="0"/>
        <w:bidi w:val="0"/>
        <w:adjustRightInd/>
        <w:snapToGrid/>
        <w:spacing w:before="0" w:line="600" w:lineRule="exact"/>
        <w:ind w:right="0" w:firstLine="640" w:firstLineChars="200"/>
        <w:jc w:val="both"/>
        <w:textAlignment w:val="auto"/>
        <w:rPr>
          <w:rFonts w:hint="eastAsia" w:ascii="仿宋" w:hAnsi="仿宋" w:eastAsia="仿宋" w:cs="仿宋"/>
          <w:color w:val="000000"/>
          <w:kern w:val="31"/>
          <w:sz w:val="32"/>
          <w:szCs w:val="32"/>
          <w:lang w:val="en-US" w:eastAsia="zh-CN" w:bidi="ar-SA"/>
        </w:rPr>
      </w:pPr>
      <w:r>
        <w:rPr>
          <w:rFonts w:hint="eastAsia" w:ascii="楷体" w:hAnsi="楷体" w:eastAsia="楷体" w:cs="楷体"/>
          <w:color w:val="000000"/>
          <w:kern w:val="31"/>
          <w:sz w:val="32"/>
          <w:szCs w:val="32"/>
          <w:lang w:val="en-US" w:eastAsia="zh-CN" w:bidi="ar-SA"/>
        </w:rPr>
        <w:t>2.1.2 指挥部办公室</w:t>
      </w:r>
    </w:p>
    <w:p>
      <w:pPr>
        <w:keepNext w:val="0"/>
        <w:keepLines w:val="0"/>
        <w:pageBreakBefore w:val="0"/>
        <w:widowControl w:val="0"/>
        <w:kinsoku/>
        <w:wordWrap/>
        <w:overflowPunct/>
        <w:topLinePunct w:val="0"/>
        <w:autoSpaceDE w:val="0"/>
        <w:autoSpaceDN w:val="0"/>
        <w:bidi w:val="0"/>
        <w:adjustRightInd/>
        <w:snapToGrid/>
        <w:spacing w:before="0" w:line="600" w:lineRule="exact"/>
        <w:ind w:right="0" w:firstLine="640" w:firstLineChars="200"/>
        <w:jc w:val="both"/>
        <w:textAlignment w:val="auto"/>
        <w:rPr>
          <w:rFonts w:hint="eastAsia" w:ascii="仿宋" w:hAnsi="仿宋" w:eastAsia="仿宋" w:cs="仿宋"/>
          <w:color w:val="000000"/>
          <w:kern w:val="31"/>
          <w:sz w:val="32"/>
          <w:szCs w:val="32"/>
          <w:lang w:val="en-US" w:eastAsia="zh-CN" w:bidi="ar-SA"/>
        </w:rPr>
      </w:pPr>
      <w:r>
        <w:rPr>
          <w:rFonts w:hint="eastAsia" w:ascii="仿宋" w:hAnsi="仿宋" w:eastAsia="仿宋" w:cs="仿宋"/>
          <w:color w:val="000000"/>
          <w:kern w:val="31"/>
          <w:sz w:val="32"/>
          <w:szCs w:val="32"/>
          <w:lang w:val="en-US" w:eastAsia="zh-CN" w:bidi="ar-SA"/>
        </w:rPr>
        <w:t>应急指挥部办公室设在宛城市场监管分局，承担应急指挥部的日常工作。主要负责：</w:t>
      </w:r>
    </w:p>
    <w:p>
      <w:pPr>
        <w:keepNext w:val="0"/>
        <w:keepLines w:val="0"/>
        <w:pageBreakBefore w:val="0"/>
        <w:widowControl w:val="0"/>
        <w:kinsoku/>
        <w:wordWrap/>
        <w:overflowPunct/>
        <w:topLinePunct w:val="0"/>
        <w:autoSpaceDE w:val="0"/>
        <w:autoSpaceDN w:val="0"/>
        <w:bidi w:val="0"/>
        <w:adjustRightInd/>
        <w:snapToGrid/>
        <w:spacing w:before="0" w:line="600" w:lineRule="exact"/>
        <w:ind w:right="0" w:firstLine="640" w:firstLineChars="200"/>
        <w:jc w:val="both"/>
        <w:textAlignment w:val="auto"/>
        <w:rPr>
          <w:rFonts w:hint="eastAsia" w:ascii="仿宋" w:hAnsi="仿宋" w:eastAsia="仿宋" w:cs="仿宋"/>
          <w:color w:val="000000"/>
          <w:kern w:val="31"/>
          <w:sz w:val="32"/>
          <w:szCs w:val="32"/>
          <w:lang w:val="en-US" w:eastAsia="zh-CN" w:bidi="ar-SA"/>
        </w:rPr>
      </w:pPr>
      <w:r>
        <w:rPr>
          <w:rFonts w:hint="eastAsia" w:ascii="仿宋" w:hAnsi="仿宋" w:eastAsia="仿宋" w:cs="仿宋"/>
          <w:color w:val="000000"/>
          <w:kern w:val="31"/>
          <w:sz w:val="32"/>
          <w:szCs w:val="32"/>
          <w:lang w:val="en-US" w:eastAsia="zh-CN" w:bidi="ar-SA"/>
        </w:rPr>
        <w:t>（1）贯彻落实应急指挥部应急处置的各项决策部署；</w:t>
      </w:r>
    </w:p>
    <w:p>
      <w:pPr>
        <w:keepNext w:val="0"/>
        <w:keepLines w:val="0"/>
        <w:pageBreakBefore w:val="0"/>
        <w:widowControl w:val="0"/>
        <w:kinsoku/>
        <w:wordWrap/>
        <w:overflowPunct/>
        <w:topLinePunct w:val="0"/>
        <w:autoSpaceDE w:val="0"/>
        <w:autoSpaceDN w:val="0"/>
        <w:bidi w:val="0"/>
        <w:adjustRightInd/>
        <w:snapToGrid/>
        <w:spacing w:before="0" w:line="600" w:lineRule="exact"/>
        <w:ind w:right="0" w:firstLine="640" w:firstLineChars="200"/>
        <w:jc w:val="both"/>
        <w:textAlignment w:val="auto"/>
        <w:rPr>
          <w:rFonts w:hint="eastAsia" w:ascii="仿宋" w:hAnsi="仿宋" w:eastAsia="仿宋" w:cs="仿宋"/>
          <w:color w:val="000000"/>
          <w:kern w:val="31"/>
          <w:sz w:val="32"/>
          <w:szCs w:val="32"/>
          <w:lang w:val="en-US" w:eastAsia="zh-CN" w:bidi="ar-SA"/>
        </w:rPr>
      </w:pPr>
      <w:r>
        <w:rPr>
          <w:rFonts w:hint="eastAsia" w:ascii="仿宋" w:hAnsi="仿宋" w:eastAsia="仿宋" w:cs="仿宋"/>
          <w:color w:val="000000"/>
          <w:kern w:val="31"/>
          <w:sz w:val="32"/>
          <w:szCs w:val="32"/>
          <w:lang w:val="en-US" w:eastAsia="zh-CN" w:bidi="ar-SA"/>
        </w:rPr>
        <w:t>（2）进一步组织分析评估食品安全事件级别，发布预警，下达应急处置任务；</w:t>
      </w:r>
    </w:p>
    <w:p>
      <w:pPr>
        <w:keepNext w:val="0"/>
        <w:keepLines w:val="0"/>
        <w:pageBreakBefore w:val="0"/>
        <w:widowControl w:val="0"/>
        <w:kinsoku/>
        <w:wordWrap/>
        <w:overflowPunct/>
        <w:topLinePunct w:val="0"/>
        <w:autoSpaceDE w:val="0"/>
        <w:autoSpaceDN w:val="0"/>
        <w:bidi w:val="0"/>
        <w:adjustRightInd/>
        <w:snapToGrid/>
        <w:spacing w:before="0" w:line="600" w:lineRule="exact"/>
        <w:ind w:right="0" w:firstLine="640" w:firstLineChars="200"/>
        <w:jc w:val="both"/>
        <w:textAlignment w:val="auto"/>
        <w:rPr>
          <w:rFonts w:hint="eastAsia" w:ascii="仿宋" w:hAnsi="仿宋" w:eastAsia="仿宋" w:cs="仿宋"/>
          <w:color w:val="000000"/>
          <w:kern w:val="31"/>
          <w:sz w:val="32"/>
          <w:szCs w:val="32"/>
          <w:lang w:val="en-US" w:eastAsia="zh-CN" w:bidi="ar-SA"/>
        </w:rPr>
      </w:pPr>
      <w:r>
        <w:rPr>
          <w:rFonts w:hint="eastAsia" w:ascii="仿宋" w:hAnsi="仿宋" w:eastAsia="仿宋" w:cs="仿宋"/>
          <w:color w:val="000000"/>
          <w:kern w:val="31"/>
          <w:sz w:val="32"/>
          <w:szCs w:val="32"/>
          <w:lang w:val="en-US" w:eastAsia="zh-CN" w:bidi="ar-SA"/>
        </w:rPr>
        <w:t>（3）督促协调应急各工作组、成员单位及相关地区和部门做好各项应急处置工作；</w:t>
      </w:r>
    </w:p>
    <w:p>
      <w:pPr>
        <w:keepNext w:val="0"/>
        <w:keepLines w:val="0"/>
        <w:pageBreakBefore w:val="0"/>
        <w:widowControl w:val="0"/>
        <w:kinsoku/>
        <w:wordWrap/>
        <w:overflowPunct/>
        <w:topLinePunct w:val="0"/>
        <w:autoSpaceDE w:val="0"/>
        <w:autoSpaceDN w:val="0"/>
        <w:bidi w:val="0"/>
        <w:adjustRightInd/>
        <w:snapToGrid/>
        <w:spacing w:before="0" w:line="600" w:lineRule="exact"/>
        <w:ind w:right="0" w:firstLine="640" w:firstLineChars="200"/>
        <w:jc w:val="both"/>
        <w:textAlignment w:val="auto"/>
        <w:rPr>
          <w:rFonts w:hint="eastAsia" w:ascii="仿宋" w:hAnsi="仿宋" w:eastAsia="仿宋" w:cs="仿宋"/>
          <w:color w:val="000000"/>
          <w:kern w:val="31"/>
          <w:sz w:val="32"/>
          <w:szCs w:val="32"/>
          <w:lang w:val="en-US" w:eastAsia="zh-CN" w:bidi="ar-SA"/>
        </w:rPr>
      </w:pPr>
      <w:r>
        <w:rPr>
          <w:rFonts w:hint="eastAsia" w:ascii="仿宋" w:hAnsi="仿宋" w:eastAsia="仿宋" w:cs="仿宋"/>
          <w:color w:val="000000"/>
          <w:kern w:val="31"/>
          <w:sz w:val="32"/>
          <w:szCs w:val="32"/>
          <w:lang w:val="en-US" w:eastAsia="zh-CN" w:bidi="ar-SA"/>
        </w:rPr>
        <w:t>（4）组织收集来自网络、媒体、公众、企业、技术机构、成员单位及其他渠道获得的食品安全事件信息，组织分析研判，按规定程序处置；向市市场监管局、区委、区政府报告事件应急处置工作开展情况，向应急指挥部成员单位通报事件应急处置工作开展情况；</w:t>
      </w:r>
    </w:p>
    <w:p>
      <w:pPr>
        <w:keepNext w:val="0"/>
        <w:keepLines w:val="0"/>
        <w:pageBreakBefore w:val="0"/>
        <w:widowControl w:val="0"/>
        <w:kinsoku/>
        <w:wordWrap/>
        <w:overflowPunct/>
        <w:topLinePunct w:val="0"/>
        <w:autoSpaceDE w:val="0"/>
        <w:autoSpaceDN w:val="0"/>
        <w:bidi w:val="0"/>
        <w:adjustRightInd/>
        <w:snapToGrid/>
        <w:spacing w:before="0" w:line="600" w:lineRule="exact"/>
        <w:ind w:right="0" w:firstLine="640" w:firstLineChars="200"/>
        <w:jc w:val="both"/>
        <w:textAlignment w:val="auto"/>
        <w:rPr>
          <w:rFonts w:hint="eastAsia" w:ascii="仿宋" w:hAnsi="仿宋" w:eastAsia="仿宋" w:cs="仿宋"/>
          <w:color w:val="000000"/>
          <w:kern w:val="31"/>
          <w:sz w:val="32"/>
          <w:szCs w:val="32"/>
          <w:lang w:val="en-US" w:eastAsia="zh-CN" w:bidi="ar-SA"/>
        </w:rPr>
      </w:pPr>
      <w:r>
        <w:rPr>
          <w:rFonts w:hint="eastAsia" w:ascii="仿宋" w:hAnsi="仿宋" w:eastAsia="仿宋" w:cs="仿宋"/>
          <w:color w:val="000000"/>
          <w:kern w:val="31"/>
          <w:sz w:val="32"/>
          <w:szCs w:val="32"/>
          <w:lang w:val="en-US" w:eastAsia="zh-CN" w:bidi="ar-SA"/>
        </w:rPr>
        <w:t>（5）负责保障应急指挥部和办公室所需的应急指挥车辆、办公设备等应急设施、设备；</w:t>
      </w:r>
    </w:p>
    <w:p>
      <w:pPr>
        <w:keepNext w:val="0"/>
        <w:keepLines w:val="0"/>
        <w:pageBreakBefore w:val="0"/>
        <w:widowControl w:val="0"/>
        <w:kinsoku/>
        <w:wordWrap/>
        <w:overflowPunct/>
        <w:topLinePunct w:val="0"/>
        <w:autoSpaceDE w:val="0"/>
        <w:autoSpaceDN w:val="0"/>
        <w:bidi w:val="0"/>
        <w:adjustRightInd/>
        <w:snapToGrid/>
        <w:spacing w:before="0" w:line="600" w:lineRule="exact"/>
        <w:ind w:right="0" w:firstLine="640" w:firstLineChars="200"/>
        <w:jc w:val="both"/>
        <w:textAlignment w:val="auto"/>
        <w:rPr>
          <w:rFonts w:hint="eastAsia" w:ascii="仿宋" w:hAnsi="仿宋" w:eastAsia="仿宋" w:cs="仿宋"/>
          <w:color w:val="000000"/>
          <w:kern w:val="31"/>
          <w:sz w:val="32"/>
          <w:szCs w:val="32"/>
          <w:lang w:val="en-US" w:eastAsia="zh-CN" w:bidi="ar-SA"/>
        </w:rPr>
      </w:pPr>
      <w:r>
        <w:rPr>
          <w:rFonts w:hint="eastAsia" w:ascii="仿宋" w:hAnsi="仿宋" w:eastAsia="仿宋" w:cs="仿宋"/>
          <w:color w:val="000000"/>
          <w:kern w:val="31"/>
          <w:sz w:val="32"/>
          <w:szCs w:val="32"/>
          <w:lang w:val="en-US" w:eastAsia="zh-CN" w:bidi="ar-SA"/>
        </w:rPr>
        <w:t>（6）加强对区级食品安全应急处置专家库的管理。</w:t>
      </w:r>
    </w:p>
    <w:p>
      <w:pPr>
        <w:keepNext w:val="0"/>
        <w:keepLines w:val="0"/>
        <w:pageBreakBefore w:val="0"/>
        <w:widowControl w:val="0"/>
        <w:kinsoku/>
        <w:wordWrap/>
        <w:overflowPunct/>
        <w:topLinePunct w:val="0"/>
        <w:autoSpaceDE w:val="0"/>
        <w:autoSpaceDN w:val="0"/>
        <w:bidi w:val="0"/>
        <w:adjustRightInd/>
        <w:snapToGrid/>
        <w:spacing w:before="0" w:line="600" w:lineRule="exact"/>
        <w:ind w:right="0" w:firstLine="640" w:firstLineChars="200"/>
        <w:jc w:val="both"/>
        <w:textAlignment w:val="auto"/>
        <w:rPr>
          <w:rFonts w:hint="eastAsia" w:ascii="仿宋" w:hAnsi="仿宋" w:eastAsia="仿宋" w:cs="仿宋"/>
          <w:color w:val="000000"/>
          <w:kern w:val="31"/>
          <w:sz w:val="32"/>
          <w:szCs w:val="32"/>
          <w:lang w:val="en-US" w:eastAsia="zh-CN" w:bidi="ar-SA"/>
        </w:rPr>
      </w:pPr>
      <w:r>
        <w:rPr>
          <w:rFonts w:hint="eastAsia" w:ascii="楷体" w:hAnsi="楷体" w:eastAsia="楷体" w:cs="楷体"/>
          <w:color w:val="000000"/>
          <w:kern w:val="31"/>
          <w:sz w:val="32"/>
          <w:szCs w:val="32"/>
          <w:lang w:val="en-US" w:eastAsia="zh-CN" w:bidi="ar-SA"/>
        </w:rPr>
        <w:t>2.1.3 指挥部工作组</w:t>
      </w:r>
    </w:p>
    <w:p>
      <w:pPr>
        <w:keepNext w:val="0"/>
        <w:keepLines w:val="0"/>
        <w:pageBreakBefore w:val="0"/>
        <w:widowControl w:val="0"/>
        <w:kinsoku/>
        <w:wordWrap/>
        <w:overflowPunct/>
        <w:topLinePunct w:val="0"/>
        <w:autoSpaceDE w:val="0"/>
        <w:autoSpaceDN w:val="0"/>
        <w:bidi w:val="0"/>
        <w:adjustRightInd/>
        <w:snapToGrid/>
        <w:spacing w:before="0" w:line="600" w:lineRule="exact"/>
        <w:ind w:right="0" w:firstLine="640" w:firstLineChars="200"/>
        <w:jc w:val="both"/>
        <w:textAlignment w:val="auto"/>
        <w:rPr>
          <w:rFonts w:hint="eastAsia" w:ascii="仿宋" w:hAnsi="仿宋" w:eastAsia="仿宋" w:cs="仿宋"/>
          <w:color w:val="000000"/>
          <w:kern w:val="31"/>
          <w:sz w:val="32"/>
          <w:szCs w:val="32"/>
          <w:lang w:val="en-US" w:eastAsia="zh-CN" w:bidi="ar-SA"/>
        </w:rPr>
      </w:pPr>
      <w:r>
        <w:rPr>
          <w:rFonts w:hint="eastAsia" w:ascii="仿宋" w:hAnsi="仿宋" w:eastAsia="仿宋" w:cs="仿宋"/>
          <w:color w:val="000000"/>
          <w:kern w:val="31"/>
          <w:sz w:val="32"/>
          <w:szCs w:val="32"/>
          <w:lang w:val="en-US" w:eastAsia="zh-CN" w:bidi="ar-SA"/>
        </w:rPr>
        <w:t>应急指挥部根据需要下设综合协调组、事件调查组、危害控制组、医疗救治组、检测评估组、社会稳定组、舆情引导组、专家组等若干专项工作组。在指挥部的统一指挥下开展工作，随时向应急指挥部报告工作情况。若事件涉及较大范围经济赔偿问题，可单设民事赔偿组，其牵头和组成部门由应急指挥部临时指定，指导事发地相关部门做好善后工作。</w:t>
      </w:r>
    </w:p>
    <w:p>
      <w:pPr>
        <w:keepNext w:val="0"/>
        <w:keepLines w:val="0"/>
        <w:pageBreakBefore w:val="0"/>
        <w:widowControl w:val="0"/>
        <w:kinsoku/>
        <w:wordWrap/>
        <w:overflowPunct/>
        <w:topLinePunct w:val="0"/>
        <w:autoSpaceDE w:val="0"/>
        <w:autoSpaceDN w:val="0"/>
        <w:bidi w:val="0"/>
        <w:adjustRightInd/>
        <w:snapToGrid/>
        <w:spacing w:before="0" w:line="600" w:lineRule="exact"/>
        <w:ind w:right="0" w:firstLine="640" w:firstLineChars="200"/>
        <w:jc w:val="both"/>
        <w:textAlignment w:val="auto"/>
        <w:rPr>
          <w:rFonts w:hint="eastAsia" w:ascii="仿宋" w:hAnsi="仿宋" w:eastAsia="仿宋" w:cs="仿宋"/>
          <w:color w:val="000000"/>
          <w:kern w:val="31"/>
          <w:sz w:val="32"/>
          <w:szCs w:val="32"/>
          <w:lang w:val="en-US" w:eastAsia="zh-CN" w:bidi="ar-SA"/>
        </w:rPr>
      </w:pPr>
      <w:r>
        <w:rPr>
          <w:rFonts w:hint="eastAsia" w:ascii="仿宋" w:hAnsi="仿宋" w:eastAsia="仿宋" w:cs="仿宋"/>
          <w:color w:val="000000"/>
          <w:kern w:val="31"/>
          <w:sz w:val="32"/>
          <w:szCs w:val="32"/>
          <w:lang w:val="en-US" w:eastAsia="zh-CN" w:bidi="ar-SA"/>
        </w:rPr>
        <w:t>（1）综合协调组：由宛城市场监管分局牵头，区教体局、区农业农村局、区卫生健康委、区急管理局等参加。主要负责组织协调各工作组、相关机构开展应急处置工作，协调解决应急处置中的重大问题。</w:t>
      </w:r>
    </w:p>
    <w:p>
      <w:pPr>
        <w:keepNext w:val="0"/>
        <w:keepLines w:val="0"/>
        <w:pageBreakBefore w:val="0"/>
        <w:widowControl w:val="0"/>
        <w:kinsoku/>
        <w:wordWrap/>
        <w:overflowPunct/>
        <w:topLinePunct w:val="0"/>
        <w:autoSpaceDE w:val="0"/>
        <w:autoSpaceDN w:val="0"/>
        <w:bidi w:val="0"/>
        <w:adjustRightInd/>
        <w:snapToGrid/>
        <w:spacing w:before="0" w:line="600" w:lineRule="exact"/>
        <w:ind w:right="0" w:firstLine="640" w:firstLineChars="200"/>
        <w:jc w:val="both"/>
        <w:textAlignment w:val="auto"/>
        <w:rPr>
          <w:rFonts w:hint="eastAsia" w:ascii="仿宋" w:hAnsi="仿宋" w:eastAsia="仿宋" w:cs="仿宋"/>
          <w:color w:val="000000"/>
          <w:kern w:val="31"/>
          <w:sz w:val="32"/>
          <w:szCs w:val="32"/>
          <w:lang w:val="en-US" w:eastAsia="zh-CN" w:bidi="ar-SA"/>
        </w:rPr>
      </w:pPr>
      <w:r>
        <w:rPr>
          <w:rFonts w:hint="eastAsia" w:ascii="仿宋" w:hAnsi="仿宋" w:eastAsia="仿宋" w:cs="仿宋"/>
          <w:color w:val="000000"/>
          <w:kern w:val="31"/>
          <w:sz w:val="32"/>
          <w:szCs w:val="32"/>
          <w:lang w:val="en-US" w:eastAsia="zh-CN" w:bidi="ar-SA"/>
        </w:rPr>
        <w:t>（2）事件调查组：由宛城市场监管分局牵头，区纪委监委、宛城区公安分局、区卫生健康委等参加，应急指挥部根据事件发生情况，按照单位职责确定其他参加单位。主要负责调查事件发生原因，评估事件影响。有关食品监管职能部门负责查明事件发生的监管漏洞以及导致事件发生的第一责任原因，作出调查结论，提出处理意见及防范措施。区纪委监委负责对成员单位及其他工作人员失职、渎职等行为进行调查；区卫生健康委负责调查事件致病原因，作出调查结论，评估事件影响，提出事件防范意见；宛城区公安分局对于涉嫌犯罪的，负责立案侦办，查清事实，依法追究刑事责任。</w:t>
      </w:r>
    </w:p>
    <w:p>
      <w:pPr>
        <w:keepNext w:val="0"/>
        <w:keepLines w:val="0"/>
        <w:pageBreakBefore w:val="0"/>
        <w:widowControl w:val="0"/>
        <w:kinsoku/>
        <w:wordWrap/>
        <w:overflowPunct/>
        <w:topLinePunct w:val="0"/>
        <w:autoSpaceDE w:val="0"/>
        <w:autoSpaceDN w:val="0"/>
        <w:bidi w:val="0"/>
        <w:adjustRightInd/>
        <w:snapToGrid/>
        <w:spacing w:before="0" w:line="600" w:lineRule="exact"/>
        <w:ind w:right="0" w:firstLine="640" w:firstLineChars="200"/>
        <w:jc w:val="both"/>
        <w:textAlignment w:val="auto"/>
        <w:rPr>
          <w:rFonts w:hint="eastAsia" w:ascii="仿宋" w:hAnsi="仿宋" w:eastAsia="仿宋" w:cs="仿宋"/>
          <w:color w:val="000000"/>
          <w:kern w:val="31"/>
          <w:sz w:val="32"/>
          <w:szCs w:val="32"/>
          <w:lang w:val="en-US" w:eastAsia="zh-CN" w:bidi="ar-SA"/>
        </w:rPr>
      </w:pPr>
      <w:r>
        <w:rPr>
          <w:rFonts w:hint="eastAsia" w:ascii="仿宋" w:hAnsi="仿宋" w:eastAsia="仿宋" w:cs="仿宋"/>
          <w:color w:val="000000"/>
          <w:kern w:val="31"/>
          <w:sz w:val="32"/>
          <w:szCs w:val="32"/>
          <w:lang w:val="en-US" w:eastAsia="zh-CN" w:bidi="ar-SA"/>
        </w:rPr>
        <w:t>（3）危害控制组：由宛城市场监管分局牵头，宛城区公安分局参加，应急指挥部根据事件发生情况，按照单位职责确定其他参加单位。主要负责对有关食品、原料、食品添加剂及相关产品进行召回、下架、封存，严格控制流通渠道，防止危害蔓延扩大。</w:t>
      </w:r>
    </w:p>
    <w:p>
      <w:pPr>
        <w:keepNext w:val="0"/>
        <w:keepLines w:val="0"/>
        <w:pageBreakBefore w:val="0"/>
        <w:widowControl w:val="0"/>
        <w:kinsoku/>
        <w:wordWrap/>
        <w:overflowPunct/>
        <w:topLinePunct w:val="0"/>
        <w:autoSpaceDE w:val="0"/>
        <w:autoSpaceDN w:val="0"/>
        <w:bidi w:val="0"/>
        <w:adjustRightInd/>
        <w:snapToGrid/>
        <w:spacing w:before="0" w:line="600" w:lineRule="exact"/>
        <w:ind w:right="0" w:firstLine="640" w:firstLineChars="200"/>
        <w:jc w:val="both"/>
        <w:textAlignment w:val="auto"/>
        <w:rPr>
          <w:rFonts w:hint="eastAsia" w:ascii="仿宋" w:hAnsi="仿宋" w:eastAsia="仿宋" w:cs="仿宋"/>
          <w:color w:val="000000"/>
          <w:kern w:val="31"/>
          <w:sz w:val="32"/>
          <w:szCs w:val="32"/>
          <w:lang w:val="en-US" w:eastAsia="zh-CN" w:bidi="ar-SA"/>
        </w:rPr>
      </w:pPr>
      <w:r>
        <w:rPr>
          <w:rFonts w:hint="eastAsia" w:ascii="仿宋" w:hAnsi="仿宋" w:eastAsia="仿宋" w:cs="仿宋"/>
          <w:color w:val="000000"/>
          <w:kern w:val="31"/>
          <w:sz w:val="32"/>
          <w:szCs w:val="32"/>
          <w:lang w:val="en-US" w:eastAsia="zh-CN" w:bidi="ar-SA"/>
        </w:rPr>
        <w:t>（4）医疗救治组：由区卫生健康委牵头，宛城区公安分局、专业技术机构等参加。主要负责结合事件调查情况，组织协调医疗机构，迅速组织医疗救护力量，制定最佳救治方案积极实施救治，最大限度降低健康危害。</w:t>
      </w:r>
    </w:p>
    <w:p>
      <w:pPr>
        <w:keepNext w:val="0"/>
        <w:keepLines w:val="0"/>
        <w:pageBreakBefore w:val="0"/>
        <w:widowControl w:val="0"/>
        <w:kinsoku/>
        <w:wordWrap/>
        <w:overflowPunct/>
        <w:topLinePunct w:val="0"/>
        <w:autoSpaceDE w:val="0"/>
        <w:autoSpaceDN w:val="0"/>
        <w:bidi w:val="0"/>
        <w:adjustRightInd/>
        <w:snapToGrid/>
        <w:spacing w:before="0" w:line="600" w:lineRule="exact"/>
        <w:ind w:right="0" w:firstLine="640" w:firstLineChars="200"/>
        <w:jc w:val="both"/>
        <w:textAlignment w:val="auto"/>
        <w:rPr>
          <w:rFonts w:hint="eastAsia" w:ascii="仿宋" w:hAnsi="仿宋" w:eastAsia="仿宋" w:cs="仿宋"/>
          <w:color w:val="000000"/>
          <w:kern w:val="31"/>
          <w:sz w:val="32"/>
          <w:szCs w:val="32"/>
          <w:lang w:val="en-US" w:eastAsia="zh-CN" w:bidi="ar-SA"/>
        </w:rPr>
      </w:pPr>
      <w:r>
        <w:rPr>
          <w:rFonts w:hint="eastAsia" w:ascii="仿宋" w:hAnsi="仿宋" w:eastAsia="仿宋" w:cs="仿宋"/>
          <w:color w:val="000000"/>
          <w:kern w:val="31"/>
          <w:sz w:val="32"/>
          <w:szCs w:val="32"/>
          <w:lang w:val="en-US" w:eastAsia="zh-CN" w:bidi="ar-SA"/>
        </w:rPr>
        <w:t>（5）检测评估组：由宛城市场监管分局牵头，区农业农村局、区卫生健康委、专业技术机构等参加。主要负责组织实施相关应急检验检测，综合分析各方检测数据，查找事件原因和研判事件发展趋势，分析评估事件影响，为制定现场抢救方案和采取控制措施提供参考，检测评估结果及时报告指挥部。必要时检测评估组可与事件调查组一并开展工作。</w:t>
      </w:r>
    </w:p>
    <w:p>
      <w:pPr>
        <w:keepNext w:val="0"/>
        <w:keepLines w:val="0"/>
        <w:pageBreakBefore w:val="0"/>
        <w:widowControl w:val="0"/>
        <w:kinsoku/>
        <w:wordWrap/>
        <w:overflowPunct/>
        <w:topLinePunct w:val="0"/>
        <w:autoSpaceDE w:val="0"/>
        <w:autoSpaceDN w:val="0"/>
        <w:bidi w:val="0"/>
        <w:adjustRightInd/>
        <w:snapToGrid/>
        <w:spacing w:before="0" w:line="600" w:lineRule="exact"/>
        <w:ind w:right="0" w:firstLine="640" w:firstLineChars="200"/>
        <w:jc w:val="both"/>
        <w:textAlignment w:val="auto"/>
        <w:rPr>
          <w:rFonts w:hint="eastAsia" w:ascii="仿宋" w:hAnsi="仿宋" w:eastAsia="仿宋" w:cs="仿宋"/>
          <w:color w:val="000000"/>
          <w:kern w:val="31"/>
          <w:sz w:val="32"/>
          <w:szCs w:val="32"/>
          <w:lang w:val="en-US" w:eastAsia="zh-CN" w:bidi="ar-SA"/>
        </w:rPr>
      </w:pPr>
      <w:r>
        <w:rPr>
          <w:rFonts w:hint="eastAsia" w:ascii="仿宋" w:hAnsi="仿宋" w:eastAsia="仿宋" w:cs="仿宋"/>
          <w:color w:val="000000"/>
          <w:kern w:val="31"/>
          <w:sz w:val="32"/>
          <w:szCs w:val="32"/>
          <w:lang w:val="en-US" w:eastAsia="zh-CN" w:bidi="ar-SA"/>
        </w:rPr>
        <w:t>（6）社会稳定组：由宛城区公安分局牵头，区委网信办、区民政局、区司法局等参加。主要负责组织事件现场的安全保卫、治安管理和交通疏导，严厉打击编造传播谣言、制造社会恐慌等违法行为，做好矛盾纠纷化解和法律服务。</w:t>
      </w:r>
    </w:p>
    <w:p>
      <w:pPr>
        <w:keepNext w:val="0"/>
        <w:keepLines w:val="0"/>
        <w:pageBreakBefore w:val="0"/>
        <w:widowControl w:val="0"/>
        <w:kinsoku/>
        <w:wordWrap/>
        <w:overflowPunct/>
        <w:topLinePunct w:val="0"/>
        <w:autoSpaceDE w:val="0"/>
        <w:autoSpaceDN w:val="0"/>
        <w:bidi w:val="0"/>
        <w:adjustRightInd/>
        <w:snapToGrid/>
        <w:spacing w:before="0" w:line="600" w:lineRule="exact"/>
        <w:ind w:right="0" w:firstLine="640" w:firstLineChars="200"/>
        <w:jc w:val="both"/>
        <w:textAlignment w:val="auto"/>
        <w:rPr>
          <w:rFonts w:hint="eastAsia" w:ascii="仿宋" w:hAnsi="仿宋" w:eastAsia="仿宋" w:cs="仿宋"/>
          <w:color w:val="000000"/>
          <w:kern w:val="31"/>
          <w:sz w:val="32"/>
          <w:szCs w:val="32"/>
          <w:lang w:val="en-US" w:eastAsia="zh-CN" w:bidi="ar-SA"/>
        </w:rPr>
      </w:pPr>
      <w:r>
        <w:rPr>
          <w:rFonts w:hint="eastAsia" w:ascii="仿宋" w:hAnsi="仿宋" w:eastAsia="仿宋" w:cs="仿宋"/>
          <w:color w:val="000000"/>
          <w:kern w:val="31"/>
          <w:sz w:val="32"/>
          <w:szCs w:val="32"/>
          <w:lang w:val="en-US" w:eastAsia="zh-CN" w:bidi="ar-SA"/>
        </w:rPr>
        <w:t>（7）舆情引导组：由区委宣传部牵头，区委网信办、区文化广电和旅游局等参加，应急指挥部根据事件发生性质和危害程度，按照成员单位职责确定其他参加单位。主要负责组织事件处置新闻报道和舆论引导，按照“快报事实，慎报原因”的原则把握食品安全突发事件报道工作的正确导向，指导协调新闻宣传单位做好事件的新闻报道，配合相关部门做好信息发布。</w:t>
      </w:r>
    </w:p>
    <w:p>
      <w:pPr>
        <w:keepNext w:val="0"/>
        <w:keepLines w:val="0"/>
        <w:pageBreakBefore w:val="0"/>
        <w:widowControl w:val="0"/>
        <w:kinsoku/>
        <w:wordWrap/>
        <w:overflowPunct/>
        <w:topLinePunct w:val="0"/>
        <w:autoSpaceDE w:val="0"/>
        <w:autoSpaceDN w:val="0"/>
        <w:bidi w:val="0"/>
        <w:adjustRightInd/>
        <w:snapToGrid/>
        <w:spacing w:before="0" w:line="600" w:lineRule="exact"/>
        <w:ind w:right="0" w:firstLine="640" w:firstLineChars="200"/>
        <w:jc w:val="both"/>
        <w:textAlignment w:val="auto"/>
        <w:rPr>
          <w:rFonts w:hint="eastAsia" w:ascii="仿宋" w:hAnsi="仿宋" w:eastAsia="仿宋" w:cs="仿宋"/>
          <w:color w:val="000000"/>
          <w:kern w:val="31"/>
          <w:sz w:val="32"/>
          <w:szCs w:val="32"/>
          <w:lang w:val="en-US" w:eastAsia="zh-CN" w:bidi="ar-SA"/>
        </w:rPr>
      </w:pPr>
      <w:r>
        <w:rPr>
          <w:rFonts w:hint="eastAsia" w:ascii="仿宋" w:hAnsi="仿宋" w:eastAsia="仿宋" w:cs="仿宋"/>
          <w:color w:val="000000"/>
          <w:kern w:val="31"/>
          <w:sz w:val="32"/>
          <w:szCs w:val="32"/>
          <w:lang w:val="en-US" w:eastAsia="zh-CN" w:bidi="ar-SA"/>
        </w:rPr>
        <w:t>（8）专家组：由宛城市场监管分局牵头，区农业农村局、区卫生健康委、区急管理局等相关部门配合组建有关方面专家组。主要负责为食品安全突发事件应急处置方案制定、危害评估和调查处理等工作提供技术指导和专业建议。</w:t>
      </w:r>
    </w:p>
    <w:p>
      <w:pPr>
        <w:keepNext w:val="0"/>
        <w:keepLines w:val="0"/>
        <w:pageBreakBefore w:val="0"/>
        <w:widowControl w:val="0"/>
        <w:kinsoku/>
        <w:wordWrap/>
        <w:overflowPunct/>
        <w:topLinePunct w:val="0"/>
        <w:autoSpaceDE w:val="0"/>
        <w:autoSpaceDN w:val="0"/>
        <w:bidi w:val="0"/>
        <w:adjustRightInd/>
        <w:snapToGrid/>
        <w:spacing w:before="0" w:line="600" w:lineRule="exact"/>
        <w:ind w:right="0" w:firstLine="640" w:firstLineChars="200"/>
        <w:jc w:val="both"/>
        <w:textAlignment w:val="auto"/>
        <w:rPr>
          <w:rFonts w:hint="eastAsia" w:ascii="仿宋" w:hAnsi="仿宋" w:eastAsia="仿宋" w:cs="仿宋"/>
          <w:color w:val="000000"/>
          <w:kern w:val="31"/>
          <w:sz w:val="32"/>
          <w:szCs w:val="32"/>
          <w:lang w:val="en-US" w:eastAsia="zh-CN" w:bidi="ar-SA"/>
        </w:rPr>
      </w:pPr>
      <w:r>
        <w:rPr>
          <w:rFonts w:hint="eastAsia" w:ascii="楷体" w:hAnsi="楷体" w:eastAsia="楷体" w:cs="楷体"/>
          <w:color w:val="000000"/>
          <w:kern w:val="31"/>
          <w:sz w:val="32"/>
          <w:szCs w:val="32"/>
          <w:lang w:val="en-US" w:eastAsia="zh-CN" w:bidi="ar-SA"/>
        </w:rPr>
        <w:t>2.1.4 技术支撑机构</w:t>
      </w:r>
    </w:p>
    <w:p>
      <w:pPr>
        <w:keepNext w:val="0"/>
        <w:keepLines w:val="0"/>
        <w:pageBreakBefore w:val="0"/>
        <w:widowControl w:val="0"/>
        <w:kinsoku/>
        <w:wordWrap/>
        <w:overflowPunct/>
        <w:topLinePunct w:val="0"/>
        <w:autoSpaceDE w:val="0"/>
        <w:autoSpaceDN w:val="0"/>
        <w:bidi w:val="0"/>
        <w:adjustRightInd/>
        <w:snapToGrid/>
        <w:spacing w:before="0" w:line="600" w:lineRule="exact"/>
        <w:ind w:right="0" w:firstLine="640" w:firstLineChars="200"/>
        <w:jc w:val="both"/>
        <w:textAlignment w:val="auto"/>
        <w:rPr>
          <w:rFonts w:hint="eastAsia" w:ascii="仿宋" w:hAnsi="仿宋" w:eastAsia="仿宋" w:cs="仿宋"/>
          <w:color w:val="000000"/>
          <w:kern w:val="31"/>
          <w:sz w:val="32"/>
          <w:szCs w:val="32"/>
          <w:lang w:val="en-US" w:eastAsia="zh-CN" w:bidi="ar-SA"/>
        </w:rPr>
      </w:pPr>
      <w:r>
        <w:rPr>
          <w:rFonts w:hint="eastAsia" w:ascii="仿宋" w:hAnsi="仿宋" w:eastAsia="仿宋" w:cs="仿宋"/>
          <w:color w:val="000000"/>
          <w:kern w:val="31"/>
          <w:sz w:val="32"/>
          <w:szCs w:val="32"/>
          <w:lang w:val="en-US" w:eastAsia="zh-CN" w:bidi="ar-SA"/>
        </w:rPr>
        <w:t>区政府食安办应建立食品安全事件应急处置专家库，事发后根据需要抽调有关专家组成专家组，为现场处置、医学救援、调查评估、舆论引导等工作提供技术支持。</w:t>
      </w:r>
    </w:p>
    <w:p>
      <w:pPr>
        <w:keepNext w:val="0"/>
        <w:keepLines w:val="0"/>
        <w:pageBreakBefore w:val="0"/>
        <w:widowControl w:val="0"/>
        <w:kinsoku/>
        <w:wordWrap/>
        <w:overflowPunct/>
        <w:topLinePunct w:val="0"/>
        <w:autoSpaceDE w:val="0"/>
        <w:autoSpaceDN w:val="0"/>
        <w:bidi w:val="0"/>
        <w:adjustRightInd/>
        <w:snapToGrid/>
        <w:spacing w:before="0" w:line="600" w:lineRule="exact"/>
        <w:ind w:right="0" w:firstLine="640" w:firstLineChars="200"/>
        <w:jc w:val="both"/>
        <w:textAlignment w:val="auto"/>
        <w:rPr>
          <w:rFonts w:hint="eastAsia" w:ascii="仿宋" w:hAnsi="仿宋" w:eastAsia="仿宋" w:cs="仿宋"/>
          <w:color w:val="000000"/>
          <w:kern w:val="31"/>
          <w:sz w:val="32"/>
          <w:szCs w:val="32"/>
          <w:lang w:val="en-US" w:eastAsia="zh-CN" w:bidi="ar-SA"/>
        </w:rPr>
      </w:pPr>
      <w:r>
        <w:rPr>
          <w:rFonts w:hint="eastAsia" w:ascii="仿宋" w:hAnsi="仿宋" w:eastAsia="仿宋" w:cs="仿宋"/>
          <w:color w:val="000000"/>
          <w:kern w:val="31"/>
          <w:sz w:val="32"/>
          <w:szCs w:val="32"/>
          <w:lang w:val="en-US" w:eastAsia="zh-CN" w:bidi="ar-SA"/>
        </w:rPr>
        <w:t>食品检验机构、认证机构，医疗机构、疾病预防控制机构等，是食品安全事件应急处置的科技支撑单位，在有关部门组织领导下开展应急检验检测、认证评估、医疗救治、流行病学调查、恢复重建等工作。</w:t>
      </w:r>
    </w:p>
    <w:p>
      <w:pPr>
        <w:keepNext w:val="0"/>
        <w:keepLines w:val="0"/>
        <w:pageBreakBefore w:val="0"/>
        <w:widowControl w:val="0"/>
        <w:kinsoku/>
        <w:wordWrap/>
        <w:overflowPunct/>
        <w:topLinePunct w:val="0"/>
        <w:autoSpaceDE w:val="0"/>
        <w:autoSpaceDN w:val="0"/>
        <w:bidi w:val="0"/>
        <w:adjustRightInd/>
        <w:snapToGrid/>
        <w:spacing w:before="0" w:line="600" w:lineRule="exact"/>
        <w:ind w:right="0" w:firstLine="640" w:firstLineChars="200"/>
        <w:jc w:val="both"/>
        <w:textAlignment w:val="auto"/>
        <w:rPr>
          <w:rFonts w:hint="eastAsia" w:ascii="仿宋" w:hAnsi="仿宋" w:eastAsia="仿宋" w:cs="仿宋"/>
          <w:color w:val="000000"/>
          <w:kern w:val="31"/>
          <w:sz w:val="32"/>
          <w:szCs w:val="32"/>
          <w:lang w:val="en-US" w:eastAsia="zh-CN" w:bidi="ar-SA"/>
        </w:rPr>
      </w:pPr>
      <w:r>
        <w:rPr>
          <w:rFonts w:hint="eastAsia" w:ascii="黑体" w:hAnsi="黑体" w:eastAsia="黑体" w:cs="黑体"/>
          <w:color w:val="000000"/>
          <w:kern w:val="31"/>
          <w:sz w:val="32"/>
          <w:szCs w:val="32"/>
          <w:lang w:val="en-US" w:eastAsia="zh-CN" w:bidi="ar-SA"/>
        </w:rPr>
        <w:t>3 运行机制</w:t>
      </w:r>
    </w:p>
    <w:p>
      <w:pPr>
        <w:keepNext w:val="0"/>
        <w:keepLines w:val="0"/>
        <w:pageBreakBefore w:val="0"/>
        <w:widowControl w:val="0"/>
        <w:kinsoku/>
        <w:wordWrap/>
        <w:overflowPunct/>
        <w:topLinePunct w:val="0"/>
        <w:autoSpaceDE w:val="0"/>
        <w:autoSpaceDN w:val="0"/>
        <w:bidi w:val="0"/>
        <w:adjustRightInd/>
        <w:snapToGrid/>
        <w:spacing w:before="0" w:line="600" w:lineRule="exact"/>
        <w:ind w:right="0" w:firstLine="640" w:firstLineChars="200"/>
        <w:jc w:val="both"/>
        <w:textAlignment w:val="auto"/>
        <w:rPr>
          <w:rFonts w:hint="eastAsia" w:ascii="仿宋" w:hAnsi="仿宋" w:eastAsia="仿宋" w:cs="仿宋"/>
          <w:color w:val="000000"/>
          <w:kern w:val="31"/>
          <w:sz w:val="32"/>
          <w:szCs w:val="32"/>
          <w:lang w:val="en-US" w:eastAsia="zh-CN" w:bidi="ar-SA"/>
        </w:rPr>
      </w:pPr>
      <w:r>
        <w:rPr>
          <w:rFonts w:hint="eastAsia" w:ascii="楷体" w:hAnsi="楷体" w:eastAsia="楷体" w:cs="楷体"/>
          <w:color w:val="000000"/>
          <w:kern w:val="31"/>
          <w:sz w:val="32"/>
          <w:szCs w:val="32"/>
          <w:lang w:val="en-US" w:eastAsia="zh-CN" w:bidi="ar-SA"/>
        </w:rPr>
        <w:t>3.1 风险防控</w:t>
      </w:r>
    </w:p>
    <w:p>
      <w:pPr>
        <w:keepNext w:val="0"/>
        <w:keepLines w:val="0"/>
        <w:pageBreakBefore w:val="0"/>
        <w:widowControl w:val="0"/>
        <w:kinsoku/>
        <w:wordWrap/>
        <w:overflowPunct/>
        <w:topLinePunct w:val="0"/>
        <w:autoSpaceDE w:val="0"/>
        <w:autoSpaceDN w:val="0"/>
        <w:bidi w:val="0"/>
        <w:adjustRightInd/>
        <w:snapToGrid/>
        <w:spacing w:before="0" w:line="600" w:lineRule="exact"/>
        <w:ind w:right="0" w:firstLine="640" w:firstLineChars="200"/>
        <w:jc w:val="both"/>
        <w:textAlignment w:val="auto"/>
        <w:rPr>
          <w:rFonts w:hint="eastAsia" w:ascii="仿宋" w:hAnsi="仿宋" w:eastAsia="仿宋" w:cs="仿宋"/>
          <w:color w:val="000000"/>
          <w:kern w:val="31"/>
          <w:sz w:val="32"/>
          <w:szCs w:val="32"/>
          <w:lang w:val="en-US" w:eastAsia="zh-CN" w:bidi="ar-SA"/>
        </w:rPr>
      </w:pPr>
      <w:r>
        <w:rPr>
          <w:rFonts w:hint="eastAsia" w:ascii="仿宋" w:hAnsi="仿宋" w:eastAsia="仿宋" w:cs="仿宋"/>
          <w:color w:val="000000"/>
          <w:kern w:val="31"/>
          <w:sz w:val="32"/>
          <w:szCs w:val="32"/>
          <w:lang w:val="en-US" w:eastAsia="zh-CN" w:bidi="ar-SA"/>
        </w:rPr>
        <w:t>区政府组织实施食品安全风险防控、隐患排查和专项治理，建立信息共享机制，及时分析食品安全形势；组织相关部门制定本地区食品安全年度监管计划，向社会公布并组织实施。</w:t>
      </w:r>
    </w:p>
    <w:p>
      <w:pPr>
        <w:keepNext w:val="0"/>
        <w:keepLines w:val="0"/>
        <w:pageBreakBefore w:val="0"/>
        <w:widowControl w:val="0"/>
        <w:kinsoku/>
        <w:wordWrap/>
        <w:overflowPunct/>
        <w:topLinePunct w:val="0"/>
        <w:autoSpaceDE w:val="0"/>
        <w:autoSpaceDN w:val="0"/>
        <w:bidi w:val="0"/>
        <w:adjustRightInd/>
        <w:snapToGrid/>
        <w:spacing w:before="0" w:line="600" w:lineRule="exact"/>
        <w:ind w:right="0" w:firstLine="640" w:firstLineChars="200"/>
        <w:jc w:val="both"/>
        <w:textAlignment w:val="auto"/>
        <w:rPr>
          <w:rFonts w:hint="eastAsia" w:ascii="仿宋" w:hAnsi="仿宋" w:eastAsia="仿宋" w:cs="仿宋"/>
          <w:color w:val="000000"/>
          <w:kern w:val="31"/>
          <w:sz w:val="32"/>
          <w:szCs w:val="32"/>
          <w:lang w:val="en-US" w:eastAsia="zh-CN" w:bidi="ar-SA"/>
        </w:rPr>
      </w:pPr>
      <w:r>
        <w:rPr>
          <w:rFonts w:hint="eastAsia" w:ascii="仿宋" w:hAnsi="仿宋" w:eastAsia="仿宋" w:cs="仿宋"/>
          <w:color w:val="000000"/>
          <w:kern w:val="31"/>
          <w:sz w:val="32"/>
          <w:szCs w:val="32"/>
          <w:lang w:val="en-US" w:eastAsia="zh-CN" w:bidi="ar-SA"/>
        </w:rPr>
        <w:t>宛城市场监管分局根据食品安全风险监测、风险评估结果和食品安全状况等，实施风险分级管理，于每年年底对下一年度食品安全形势进行研判分析，提出防范措施建议，报本级党委、政府，抄送上级市场监管部门、本级应急管理部门。</w:t>
      </w:r>
    </w:p>
    <w:p>
      <w:pPr>
        <w:keepNext w:val="0"/>
        <w:keepLines w:val="0"/>
        <w:pageBreakBefore w:val="0"/>
        <w:widowControl w:val="0"/>
        <w:kinsoku/>
        <w:wordWrap/>
        <w:overflowPunct/>
        <w:topLinePunct w:val="0"/>
        <w:autoSpaceDE w:val="0"/>
        <w:autoSpaceDN w:val="0"/>
        <w:bidi w:val="0"/>
        <w:adjustRightInd/>
        <w:snapToGrid/>
        <w:spacing w:before="0" w:line="600" w:lineRule="exact"/>
        <w:ind w:right="0" w:firstLine="640" w:firstLineChars="200"/>
        <w:jc w:val="both"/>
        <w:textAlignment w:val="auto"/>
        <w:rPr>
          <w:rFonts w:hint="eastAsia" w:ascii="仿宋" w:hAnsi="仿宋" w:eastAsia="仿宋" w:cs="仿宋"/>
          <w:color w:val="000000"/>
          <w:kern w:val="31"/>
          <w:sz w:val="32"/>
          <w:szCs w:val="32"/>
          <w:lang w:val="en-US" w:eastAsia="zh-CN" w:bidi="ar-SA"/>
        </w:rPr>
      </w:pPr>
      <w:r>
        <w:rPr>
          <w:rFonts w:hint="eastAsia" w:ascii="仿宋" w:hAnsi="仿宋" w:eastAsia="仿宋" w:cs="仿宋"/>
          <w:color w:val="000000"/>
          <w:kern w:val="31"/>
          <w:sz w:val="32"/>
          <w:szCs w:val="32"/>
          <w:lang w:val="en-US" w:eastAsia="zh-CN" w:bidi="ar-SA"/>
        </w:rPr>
        <w:t>宛城市场监管分局于每年年初组织对上年度发生的食品安全事件进行全面评估，2月中旬前向区委、区政府报告，抄送区急管理局。各乡镇（街道）党委政府组织对本行政区域上年度食品安全事件进行全面评估，每年1月底前向区委、区政府报告，抄送区急管理局和宛城市场监管分局。</w:t>
      </w:r>
    </w:p>
    <w:p>
      <w:pPr>
        <w:keepNext w:val="0"/>
        <w:keepLines w:val="0"/>
        <w:pageBreakBefore w:val="0"/>
        <w:widowControl w:val="0"/>
        <w:kinsoku/>
        <w:wordWrap/>
        <w:overflowPunct/>
        <w:topLinePunct w:val="0"/>
        <w:autoSpaceDE w:val="0"/>
        <w:autoSpaceDN w:val="0"/>
        <w:bidi w:val="0"/>
        <w:adjustRightInd/>
        <w:snapToGrid/>
        <w:spacing w:before="0" w:line="600" w:lineRule="exact"/>
        <w:ind w:right="0" w:firstLine="640" w:firstLineChars="200"/>
        <w:jc w:val="both"/>
        <w:textAlignment w:val="auto"/>
        <w:rPr>
          <w:rFonts w:hint="eastAsia" w:ascii="仿宋" w:hAnsi="仿宋" w:eastAsia="仿宋" w:cs="仿宋"/>
          <w:color w:val="000000"/>
          <w:kern w:val="31"/>
          <w:sz w:val="32"/>
          <w:szCs w:val="32"/>
          <w:lang w:val="en-US" w:eastAsia="zh-CN" w:bidi="ar-SA"/>
        </w:rPr>
      </w:pPr>
      <w:r>
        <w:rPr>
          <w:rFonts w:hint="eastAsia" w:ascii="楷体" w:hAnsi="楷体" w:eastAsia="楷体" w:cs="楷体"/>
          <w:color w:val="000000"/>
          <w:kern w:val="31"/>
          <w:sz w:val="32"/>
          <w:szCs w:val="32"/>
          <w:lang w:val="en-US" w:eastAsia="zh-CN" w:bidi="ar-SA"/>
        </w:rPr>
        <w:t>3.2 监测预警</w:t>
      </w:r>
    </w:p>
    <w:p>
      <w:pPr>
        <w:keepNext w:val="0"/>
        <w:keepLines w:val="0"/>
        <w:pageBreakBefore w:val="0"/>
        <w:widowControl w:val="0"/>
        <w:kinsoku/>
        <w:wordWrap/>
        <w:overflowPunct/>
        <w:topLinePunct w:val="0"/>
        <w:autoSpaceDE w:val="0"/>
        <w:autoSpaceDN w:val="0"/>
        <w:bidi w:val="0"/>
        <w:adjustRightInd/>
        <w:snapToGrid/>
        <w:spacing w:before="0" w:line="600" w:lineRule="exact"/>
        <w:ind w:right="0" w:firstLine="640" w:firstLineChars="200"/>
        <w:jc w:val="both"/>
        <w:textAlignment w:val="auto"/>
        <w:rPr>
          <w:rFonts w:hint="eastAsia" w:ascii="仿宋" w:hAnsi="仿宋" w:eastAsia="仿宋" w:cs="仿宋"/>
          <w:color w:val="000000"/>
          <w:kern w:val="31"/>
          <w:sz w:val="32"/>
          <w:szCs w:val="32"/>
          <w:lang w:val="en-US" w:eastAsia="zh-CN" w:bidi="ar-SA"/>
        </w:rPr>
      </w:pPr>
      <w:r>
        <w:rPr>
          <w:rFonts w:hint="eastAsia" w:ascii="楷体" w:hAnsi="楷体" w:eastAsia="楷体" w:cs="楷体"/>
          <w:color w:val="000000"/>
          <w:kern w:val="31"/>
          <w:sz w:val="32"/>
          <w:szCs w:val="32"/>
          <w:lang w:val="en-US" w:eastAsia="zh-CN" w:bidi="ar-SA"/>
        </w:rPr>
        <w:t>3.2.1 监测</w:t>
      </w:r>
    </w:p>
    <w:p>
      <w:pPr>
        <w:keepNext w:val="0"/>
        <w:keepLines w:val="0"/>
        <w:pageBreakBefore w:val="0"/>
        <w:widowControl w:val="0"/>
        <w:kinsoku/>
        <w:wordWrap/>
        <w:overflowPunct/>
        <w:topLinePunct w:val="0"/>
        <w:autoSpaceDE w:val="0"/>
        <w:autoSpaceDN w:val="0"/>
        <w:bidi w:val="0"/>
        <w:adjustRightInd/>
        <w:snapToGrid/>
        <w:spacing w:before="0" w:line="600" w:lineRule="exact"/>
        <w:ind w:right="0" w:firstLine="640" w:firstLineChars="200"/>
        <w:jc w:val="both"/>
        <w:textAlignment w:val="auto"/>
        <w:rPr>
          <w:rFonts w:hint="eastAsia" w:ascii="仿宋" w:hAnsi="仿宋" w:eastAsia="仿宋" w:cs="仿宋"/>
          <w:color w:val="000000"/>
          <w:kern w:val="31"/>
          <w:sz w:val="32"/>
          <w:szCs w:val="32"/>
          <w:lang w:val="en-US" w:eastAsia="zh-CN" w:bidi="ar-SA"/>
        </w:rPr>
      </w:pPr>
      <w:r>
        <w:rPr>
          <w:rFonts w:hint="eastAsia" w:ascii="仿宋" w:hAnsi="仿宋" w:eastAsia="仿宋" w:cs="仿宋"/>
          <w:color w:val="000000"/>
          <w:kern w:val="31"/>
          <w:sz w:val="32"/>
          <w:szCs w:val="32"/>
          <w:lang w:val="en-US" w:eastAsia="zh-CN" w:bidi="ar-SA"/>
        </w:rPr>
        <w:t>建立食品安全风险监测制度，对食源性疾病、食品污染以及食品中有害因素进行监测。区卫生健康委会同有关部门，根据南阳市食品安全风险监测计划，结合我区实际制定、调整全区食品安全风险监测方案，报市卫生健康委备案并实施。</w:t>
      </w:r>
    </w:p>
    <w:p>
      <w:pPr>
        <w:keepNext w:val="0"/>
        <w:keepLines w:val="0"/>
        <w:pageBreakBefore w:val="0"/>
        <w:widowControl w:val="0"/>
        <w:kinsoku/>
        <w:wordWrap/>
        <w:overflowPunct/>
        <w:topLinePunct w:val="0"/>
        <w:autoSpaceDE w:val="0"/>
        <w:autoSpaceDN w:val="0"/>
        <w:bidi w:val="0"/>
        <w:adjustRightInd/>
        <w:snapToGrid/>
        <w:spacing w:before="0" w:line="600" w:lineRule="exact"/>
        <w:ind w:right="0" w:firstLine="640" w:firstLineChars="200"/>
        <w:jc w:val="both"/>
        <w:textAlignment w:val="auto"/>
        <w:rPr>
          <w:rFonts w:hint="eastAsia" w:ascii="仿宋" w:hAnsi="仿宋" w:eastAsia="仿宋" w:cs="仿宋"/>
          <w:color w:val="000000"/>
          <w:kern w:val="31"/>
          <w:sz w:val="32"/>
          <w:szCs w:val="32"/>
          <w:lang w:val="en-US" w:eastAsia="zh-CN" w:bidi="ar-SA"/>
        </w:rPr>
      </w:pPr>
      <w:r>
        <w:rPr>
          <w:rFonts w:hint="eastAsia" w:ascii="楷体" w:hAnsi="楷体" w:eastAsia="楷体" w:cs="楷体"/>
          <w:color w:val="000000"/>
          <w:kern w:val="31"/>
          <w:sz w:val="32"/>
          <w:szCs w:val="32"/>
          <w:lang w:val="en-US" w:eastAsia="zh-CN" w:bidi="ar-SA"/>
        </w:rPr>
        <w:t>3.2.2 评估</w:t>
      </w:r>
    </w:p>
    <w:p>
      <w:pPr>
        <w:keepNext w:val="0"/>
        <w:keepLines w:val="0"/>
        <w:pageBreakBefore w:val="0"/>
        <w:widowControl w:val="0"/>
        <w:kinsoku/>
        <w:wordWrap/>
        <w:overflowPunct/>
        <w:topLinePunct w:val="0"/>
        <w:autoSpaceDE w:val="0"/>
        <w:autoSpaceDN w:val="0"/>
        <w:bidi w:val="0"/>
        <w:adjustRightInd/>
        <w:snapToGrid/>
        <w:spacing w:before="0" w:line="600" w:lineRule="exact"/>
        <w:ind w:right="0" w:firstLine="640" w:firstLineChars="200"/>
        <w:jc w:val="both"/>
        <w:textAlignment w:val="auto"/>
        <w:rPr>
          <w:rFonts w:hint="eastAsia" w:ascii="仿宋" w:hAnsi="仿宋" w:eastAsia="仿宋" w:cs="仿宋"/>
          <w:color w:val="000000"/>
          <w:kern w:val="31"/>
          <w:sz w:val="32"/>
          <w:szCs w:val="32"/>
          <w:lang w:val="en-US" w:eastAsia="zh-CN" w:bidi="ar-SA"/>
        </w:rPr>
      </w:pPr>
      <w:r>
        <w:rPr>
          <w:rFonts w:hint="eastAsia" w:ascii="仿宋" w:hAnsi="仿宋" w:eastAsia="仿宋" w:cs="仿宋"/>
          <w:color w:val="000000"/>
          <w:kern w:val="31"/>
          <w:sz w:val="32"/>
          <w:szCs w:val="32"/>
          <w:lang w:val="en-US" w:eastAsia="zh-CN" w:bidi="ar-SA"/>
        </w:rPr>
        <w:t>建立食品安全风险评估制度，运用科学方法，根据食品安全风险监测信息、科学数据以及有关信息，对食品、食品添加剂、食品相关产品中生物性、化学性和物理性危害因素进行风险评估。区卫生健康委组织食品安全风险评估工作，向社会公布风险评估结果。</w:t>
      </w:r>
    </w:p>
    <w:p>
      <w:pPr>
        <w:keepNext w:val="0"/>
        <w:keepLines w:val="0"/>
        <w:pageBreakBefore w:val="0"/>
        <w:widowControl w:val="0"/>
        <w:kinsoku/>
        <w:wordWrap/>
        <w:overflowPunct/>
        <w:topLinePunct w:val="0"/>
        <w:autoSpaceDE w:val="0"/>
        <w:autoSpaceDN w:val="0"/>
        <w:bidi w:val="0"/>
        <w:adjustRightInd/>
        <w:snapToGrid/>
        <w:spacing w:before="0" w:line="600" w:lineRule="exact"/>
        <w:ind w:right="0" w:firstLine="640" w:firstLineChars="200"/>
        <w:jc w:val="both"/>
        <w:textAlignment w:val="auto"/>
        <w:rPr>
          <w:rFonts w:hint="eastAsia" w:ascii="仿宋" w:hAnsi="仿宋" w:eastAsia="仿宋" w:cs="仿宋"/>
          <w:color w:val="000000"/>
          <w:kern w:val="31"/>
          <w:sz w:val="32"/>
          <w:szCs w:val="32"/>
          <w:lang w:val="en-US" w:eastAsia="zh-CN" w:bidi="ar-SA"/>
        </w:rPr>
      </w:pPr>
      <w:r>
        <w:rPr>
          <w:rFonts w:hint="eastAsia" w:ascii="楷体" w:hAnsi="楷体" w:eastAsia="楷体" w:cs="楷体"/>
          <w:color w:val="000000"/>
          <w:kern w:val="31"/>
          <w:sz w:val="32"/>
          <w:szCs w:val="32"/>
          <w:lang w:val="en-US" w:eastAsia="zh-CN" w:bidi="ar-SA"/>
        </w:rPr>
        <w:t>3.2.3 预警</w:t>
      </w:r>
    </w:p>
    <w:p>
      <w:pPr>
        <w:keepNext w:val="0"/>
        <w:keepLines w:val="0"/>
        <w:pageBreakBefore w:val="0"/>
        <w:widowControl w:val="0"/>
        <w:kinsoku/>
        <w:wordWrap/>
        <w:overflowPunct/>
        <w:topLinePunct w:val="0"/>
        <w:autoSpaceDE w:val="0"/>
        <w:autoSpaceDN w:val="0"/>
        <w:bidi w:val="0"/>
        <w:adjustRightInd/>
        <w:snapToGrid/>
        <w:spacing w:before="0" w:line="600" w:lineRule="exact"/>
        <w:ind w:right="0" w:firstLine="640" w:firstLineChars="200"/>
        <w:jc w:val="both"/>
        <w:textAlignment w:val="auto"/>
        <w:rPr>
          <w:rFonts w:hint="eastAsia" w:ascii="仿宋" w:hAnsi="仿宋" w:eastAsia="仿宋" w:cs="仿宋"/>
          <w:color w:val="000000"/>
          <w:kern w:val="31"/>
          <w:sz w:val="32"/>
          <w:szCs w:val="32"/>
          <w:lang w:val="en-US" w:eastAsia="zh-CN" w:bidi="ar-SA"/>
        </w:rPr>
      </w:pPr>
      <w:r>
        <w:rPr>
          <w:rFonts w:hint="eastAsia" w:ascii="仿宋" w:hAnsi="仿宋" w:eastAsia="仿宋" w:cs="仿宋"/>
          <w:color w:val="000000"/>
          <w:kern w:val="31"/>
          <w:sz w:val="32"/>
          <w:szCs w:val="32"/>
          <w:lang w:val="en-US" w:eastAsia="zh-CN" w:bidi="ar-SA"/>
        </w:rPr>
        <w:t>各级政府及其有关部门监测到食品安全风险信息后，应组织分析研判，确定预警级别，及时向上一级党委、政府和相关部门报告，必要时可以越级上报。按照紧急程度、发展态势和可能造成的危害程度，食品安全事件预警级别由高到低分为一级、二级、三级、四级，分别用红色、橙色、黄色和蓝色表示。</w:t>
      </w:r>
    </w:p>
    <w:p>
      <w:pPr>
        <w:keepNext w:val="0"/>
        <w:keepLines w:val="0"/>
        <w:pageBreakBefore w:val="0"/>
        <w:widowControl w:val="0"/>
        <w:kinsoku/>
        <w:wordWrap/>
        <w:overflowPunct/>
        <w:topLinePunct w:val="0"/>
        <w:autoSpaceDE w:val="0"/>
        <w:autoSpaceDN w:val="0"/>
        <w:bidi w:val="0"/>
        <w:adjustRightInd/>
        <w:snapToGrid/>
        <w:spacing w:before="0" w:line="600" w:lineRule="exact"/>
        <w:ind w:right="0" w:firstLine="640" w:firstLineChars="200"/>
        <w:jc w:val="both"/>
        <w:textAlignment w:val="auto"/>
        <w:rPr>
          <w:rFonts w:hint="eastAsia" w:ascii="仿宋" w:hAnsi="仿宋" w:eastAsia="仿宋" w:cs="仿宋"/>
          <w:color w:val="000000"/>
          <w:kern w:val="31"/>
          <w:sz w:val="32"/>
          <w:szCs w:val="32"/>
          <w:lang w:val="en-US" w:eastAsia="zh-CN" w:bidi="ar-SA"/>
        </w:rPr>
      </w:pPr>
      <w:r>
        <w:rPr>
          <w:rFonts w:hint="eastAsia" w:ascii="仿宋" w:hAnsi="仿宋" w:eastAsia="仿宋" w:cs="仿宋"/>
          <w:color w:val="000000"/>
          <w:kern w:val="31"/>
          <w:sz w:val="32"/>
          <w:szCs w:val="32"/>
          <w:lang w:val="en-US" w:eastAsia="zh-CN" w:bidi="ar-SA"/>
        </w:rPr>
        <w:t>红色预警：预计将要发生特别重大食品安全事件，事件会随时发生，事态正在蔓延扩大。</w:t>
      </w:r>
    </w:p>
    <w:p>
      <w:pPr>
        <w:keepNext w:val="0"/>
        <w:keepLines w:val="0"/>
        <w:pageBreakBefore w:val="0"/>
        <w:widowControl w:val="0"/>
        <w:kinsoku/>
        <w:wordWrap/>
        <w:overflowPunct/>
        <w:topLinePunct w:val="0"/>
        <w:autoSpaceDE w:val="0"/>
        <w:autoSpaceDN w:val="0"/>
        <w:bidi w:val="0"/>
        <w:adjustRightInd/>
        <w:snapToGrid/>
        <w:spacing w:before="0" w:line="600" w:lineRule="exact"/>
        <w:ind w:right="0" w:firstLine="640" w:firstLineChars="200"/>
        <w:jc w:val="both"/>
        <w:textAlignment w:val="auto"/>
        <w:rPr>
          <w:rFonts w:hint="eastAsia" w:ascii="仿宋" w:hAnsi="仿宋" w:eastAsia="仿宋" w:cs="仿宋"/>
          <w:color w:val="000000"/>
          <w:kern w:val="31"/>
          <w:sz w:val="32"/>
          <w:szCs w:val="32"/>
          <w:lang w:val="en-US" w:eastAsia="zh-CN" w:bidi="ar-SA"/>
        </w:rPr>
      </w:pPr>
      <w:r>
        <w:rPr>
          <w:rFonts w:hint="eastAsia" w:ascii="仿宋" w:hAnsi="仿宋" w:eastAsia="仿宋" w:cs="仿宋"/>
          <w:color w:val="000000"/>
          <w:kern w:val="31"/>
          <w:sz w:val="32"/>
          <w:szCs w:val="32"/>
          <w:lang w:val="en-US" w:eastAsia="zh-CN" w:bidi="ar-SA"/>
        </w:rPr>
        <w:t>橙色预警：预计将要发生重大以上食品安全事件，事件即将发生，事态正在逐步扩大。</w:t>
      </w:r>
    </w:p>
    <w:p>
      <w:pPr>
        <w:keepNext w:val="0"/>
        <w:keepLines w:val="0"/>
        <w:pageBreakBefore w:val="0"/>
        <w:widowControl w:val="0"/>
        <w:kinsoku/>
        <w:wordWrap/>
        <w:overflowPunct/>
        <w:topLinePunct w:val="0"/>
        <w:autoSpaceDE w:val="0"/>
        <w:autoSpaceDN w:val="0"/>
        <w:bidi w:val="0"/>
        <w:adjustRightInd/>
        <w:snapToGrid/>
        <w:spacing w:before="0" w:line="600" w:lineRule="exact"/>
        <w:ind w:right="0" w:firstLine="640" w:firstLineChars="200"/>
        <w:jc w:val="both"/>
        <w:textAlignment w:val="auto"/>
        <w:rPr>
          <w:rFonts w:hint="eastAsia" w:ascii="仿宋" w:hAnsi="仿宋" w:eastAsia="仿宋" w:cs="仿宋"/>
          <w:color w:val="000000"/>
          <w:kern w:val="31"/>
          <w:sz w:val="32"/>
          <w:szCs w:val="32"/>
          <w:lang w:val="en-US" w:eastAsia="zh-CN" w:bidi="ar-SA"/>
        </w:rPr>
      </w:pPr>
      <w:r>
        <w:rPr>
          <w:rFonts w:hint="eastAsia" w:ascii="仿宋" w:hAnsi="仿宋" w:eastAsia="仿宋" w:cs="仿宋"/>
          <w:color w:val="000000"/>
          <w:kern w:val="31"/>
          <w:sz w:val="32"/>
          <w:szCs w:val="32"/>
          <w:lang w:val="en-US" w:eastAsia="zh-CN" w:bidi="ar-SA"/>
        </w:rPr>
        <w:t>黄色预警：预计将要发生较大以上食品安全事件，事件已经临近，事态有扩大的趋势。</w:t>
      </w:r>
    </w:p>
    <w:p>
      <w:pPr>
        <w:keepNext w:val="0"/>
        <w:keepLines w:val="0"/>
        <w:pageBreakBefore w:val="0"/>
        <w:widowControl w:val="0"/>
        <w:kinsoku/>
        <w:wordWrap/>
        <w:overflowPunct/>
        <w:topLinePunct w:val="0"/>
        <w:autoSpaceDE w:val="0"/>
        <w:autoSpaceDN w:val="0"/>
        <w:bidi w:val="0"/>
        <w:adjustRightInd/>
        <w:snapToGrid/>
        <w:spacing w:before="0" w:line="600" w:lineRule="exact"/>
        <w:ind w:right="0" w:firstLine="640" w:firstLineChars="200"/>
        <w:jc w:val="both"/>
        <w:textAlignment w:val="auto"/>
        <w:rPr>
          <w:rFonts w:hint="eastAsia" w:ascii="仿宋" w:hAnsi="仿宋" w:eastAsia="仿宋" w:cs="仿宋"/>
          <w:color w:val="000000"/>
          <w:kern w:val="31"/>
          <w:sz w:val="32"/>
          <w:szCs w:val="32"/>
          <w:lang w:val="en-US" w:eastAsia="zh-CN" w:bidi="ar-SA"/>
        </w:rPr>
      </w:pPr>
      <w:r>
        <w:rPr>
          <w:rFonts w:hint="eastAsia" w:ascii="仿宋" w:hAnsi="仿宋" w:eastAsia="仿宋" w:cs="仿宋"/>
          <w:color w:val="000000"/>
          <w:kern w:val="31"/>
          <w:sz w:val="32"/>
          <w:szCs w:val="32"/>
          <w:lang w:val="en-US" w:eastAsia="zh-CN" w:bidi="ar-SA"/>
        </w:rPr>
        <w:t>蓝色预警：预计将要发生一般以上食品安全事件，事件即将临近，事态可能会扩大。</w:t>
      </w:r>
    </w:p>
    <w:p>
      <w:pPr>
        <w:keepNext w:val="0"/>
        <w:keepLines w:val="0"/>
        <w:pageBreakBefore w:val="0"/>
        <w:widowControl w:val="0"/>
        <w:kinsoku/>
        <w:wordWrap/>
        <w:overflowPunct/>
        <w:topLinePunct w:val="0"/>
        <w:autoSpaceDE w:val="0"/>
        <w:autoSpaceDN w:val="0"/>
        <w:bidi w:val="0"/>
        <w:adjustRightInd/>
        <w:snapToGrid/>
        <w:spacing w:before="0" w:line="600" w:lineRule="exact"/>
        <w:ind w:right="0" w:firstLine="640" w:firstLineChars="200"/>
        <w:jc w:val="both"/>
        <w:textAlignment w:val="auto"/>
        <w:rPr>
          <w:rFonts w:hint="eastAsia" w:ascii="仿宋" w:hAnsi="仿宋" w:eastAsia="仿宋" w:cs="仿宋"/>
          <w:color w:val="000000"/>
          <w:kern w:val="31"/>
          <w:sz w:val="32"/>
          <w:szCs w:val="32"/>
          <w:lang w:val="en-US" w:eastAsia="zh-CN" w:bidi="ar-SA"/>
        </w:rPr>
      </w:pPr>
      <w:r>
        <w:rPr>
          <w:rFonts w:hint="eastAsia" w:ascii="仿宋" w:hAnsi="仿宋" w:eastAsia="仿宋" w:cs="仿宋"/>
          <w:color w:val="000000"/>
          <w:kern w:val="31"/>
          <w:sz w:val="32"/>
          <w:szCs w:val="32"/>
          <w:lang w:val="en-US" w:eastAsia="zh-CN" w:bidi="ar-SA"/>
        </w:rPr>
        <w:t>各级政府和有关部门应及时向有关方面通报提醒或警示信息。宛城市场监管分局会同有关部门，根据食品安全风险评估结果、食品安全监管信息，对食品安全状况进行综合分析，对可能具有较高程度安全风险的食品，及时提出食品安全风险警示，并向社会公布。</w:t>
      </w:r>
    </w:p>
    <w:p>
      <w:pPr>
        <w:keepNext w:val="0"/>
        <w:keepLines w:val="0"/>
        <w:pageBreakBefore w:val="0"/>
        <w:widowControl w:val="0"/>
        <w:kinsoku/>
        <w:wordWrap/>
        <w:overflowPunct/>
        <w:topLinePunct w:val="0"/>
        <w:autoSpaceDE w:val="0"/>
        <w:autoSpaceDN w:val="0"/>
        <w:bidi w:val="0"/>
        <w:adjustRightInd/>
        <w:snapToGrid/>
        <w:spacing w:before="0" w:line="600" w:lineRule="exact"/>
        <w:ind w:right="0" w:firstLine="640" w:firstLineChars="200"/>
        <w:jc w:val="both"/>
        <w:textAlignment w:val="auto"/>
        <w:rPr>
          <w:rFonts w:hint="eastAsia" w:ascii="仿宋" w:hAnsi="仿宋" w:eastAsia="仿宋" w:cs="仿宋"/>
          <w:color w:val="000000"/>
          <w:kern w:val="31"/>
          <w:sz w:val="32"/>
          <w:szCs w:val="32"/>
          <w:lang w:val="en-US" w:eastAsia="zh-CN" w:bidi="ar-SA"/>
        </w:rPr>
      </w:pPr>
      <w:r>
        <w:rPr>
          <w:rFonts w:hint="eastAsia" w:ascii="楷体" w:hAnsi="楷体" w:eastAsia="楷体" w:cs="楷体"/>
          <w:color w:val="000000"/>
          <w:kern w:val="31"/>
          <w:sz w:val="32"/>
          <w:szCs w:val="32"/>
          <w:lang w:val="en-US" w:eastAsia="zh-CN" w:bidi="ar-SA"/>
        </w:rPr>
        <w:t>3.3 应急处置与救援</w:t>
      </w:r>
    </w:p>
    <w:p>
      <w:pPr>
        <w:keepNext w:val="0"/>
        <w:keepLines w:val="0"/>
        <w:pageBreakBefore w:val="0"/>
        <w:widowControl w:val="0"/>
        <w:kinsoku/>
        <w:wordWrap/>
        <w:overflowPunct/>
        <w:topLinePunct w:val="0"/>
        <w:autoSpaceDE w:val="0"/>
        <w:autoSpaceDN w:val="0"/>
        <w:bidi w:val="0"/>
        <w:adjustRightInd/>
        <w:snapToGrid/>
        <w:spacing w:before="0" w:line="600" w:lineRule="exact"/>
        <w:ind w:right="0" w:firstLine="640" w:firstLineChars="200"/>
        <w:jc w:val="both"/>
        <w:textAlignment w:val="auto"/>
        <w:rPr>
          <w:rFonts w:hint="eastAsia" w:ascii="仿宋" w:hAnsi="仿宋" w:eastAsia="仿宋" w:cs="仿宋"/>
          <w:color w:val="000000"/>
          <w:kern w:val="31"/>
          <w:sz w:val="32"/>
          <w:szCs w:val="32"/>
          <w:lang w:val="en-US" w:eastAsia="zh-CN" w:bidi="ar-SA"/>
        </w:rPr>
      </w:pPr>
      <w:r>
        <w:rPr>
          <w:rFonts w:hint="eastAsia" w:ascii="楷体" w:hAnsi="楷体" w:eastAsia="楷体" w:cs="楷体"/>
          <w:color w:val="000000"/>
          <w:kern w:val="31"/>
          <w:sz w:val="32"/>
          <w:szCs w:val="32"/>
          <w:lang w:val="en-US" w:eastAsia="zh-CN" w:bidi="ar-SA"/>
        </w:rPr>
        <w:t>3.3.1 信息报告</w:t>
      </w:r>
    </w:p>
    <w:p>
      <w:pPr>
        <w:keepNext w:val="0"/>
        <w:keepLines w:val="0"/>
        <w:pageBreakBefore w:val="0"/>
        <w:widowControl w:val="0"/>
        <w:kinsoku/>
        <w:wordWrap/>
        <w:overflowPunct/>
        <w:topLinePunct w:val="0"/>
        <w:autoSpaceDE w:val="0"/>
        <w:autoSpaceDN w:val="0"/>
        <w:bidi w:val="0"/>
        <w:adjustRightInd/>
        <w:snapToGrid/>
        <w:spacing w:before="0" w:line="600" w:lineRule="exact"/>
        <w:ind w:right="0" w:firstLine="640" w:firstLineChars="200"/>
        <w:jc w:val="both"/>
        <w:textAlignment w:val="auto"/>
        <w:rPr>
          <w:rFonts w:hint="eastAsia" w:ascii="仿宋" w:hAnsi="仿宋" w:eastAsia="仿宋" w:cs="仿宋"/>
          <w:color w:val="000000"/>
          <w:kern w:val="31"/>
          <w:sz w:val="32"/>
          <w:szCs w:val="32"/>
          <w:lang w:val="en-US" w:eastAsia="zh-CN" w:bidi="ar-SA"/>
        </w:rPr>
      </w:pPr>
      <w:r>
        <w:rPr>
          <w:rFonts w:hint="eastAsia" w:ascii="楷体" w:hAnsi="楷体" w:eastAsia="楷体" w:cs="楷体"/>
          <w:color w:val="000000"/>
          <w:kern w:val="31"/>
          <w:sz w:val="32"/>
          <w:szCs w:val="32"/>
          <w:lang w:val="en-US" w:eastAsia="zh-CN" w:bidi="ar-SA"/>
        </w:rPr>
        <w:t>3.3.1.1 报告主体和时限</w:t>
      </w:r>
    </w:p>
    <w:p>
      <w:pPr>
        <w:keepNext w:val="0"/>
        <w:keepLines w:val="0"/>
        <w:pageBreakBefore w:val="0"/>
        <w:widowControl w:val="0"/>
        <w:kinsoku/>
        <w:wordWrap/>
        <w:overflowPunct/>
        <w:topLinePunct w:val="0"/>
        <w:autoSpaceDE w:val="0"/>
        <w:autoSpaceDN w:val="0"/>
        <w:bidi w:val="0"/>
        <w:adjustRightInd/>
        <w:snapToGrid/>
        <w:spacing w:before="0" w:line="600" w:lineRule="exact"/>
        <w:ind w:right="0" w:firstLine="640" w:firstLineChars="200"/>
        <w:jc w:val="both"/>
        <w:textAlignment w:val="auto"/>
        <w:rPr>
          <w:rFonts w:hint="eastAsia" w:ascii="仿宋" w:hAnsi="仿宋" w:eastAsia="仿宋" w:cs="仿宋"/>
          <w:color w:val="000000"/>
          <w:kern w:val="31"/>
          <w:sz w:val="32"/>
          <w:szCs w:val="32"/>
          <w:lang w:val="en-US" w:eastAsia="zh-CN" w:bidi="ar-SA"/>
        </w:rPr>
      </w:pPr>
      <w:r>
        <w:rPr>
          <w:rFonts w:hint="eastAsia" w:ascii="仿宋" w:hAnsi="仿宋" w:eastAsia="仿宋" w:cs="仿宋"/>
          <w:color w:val="000000"/>
          <w:kern w:val="31"/>
          <w:sz w:val="32"/>
          <w:szCs w:val="32"/>
          <w:lang w:val="en-US" w:eastAsia="zh-CN" w:bidi="ar-SA"/>
        </w:rPr>
        <w:t>发生食品安全事件的单位或获悉食品安全事件信息的单位，应当在2小时内向宛城市场监管分局报告。接收食品安全事件病人治疗的单位（医疗卫生机构），应当在2小时内向区卫生健康委、宛城市场监管分局报告。</w:t>
      </w:r>
    </w:p>
    <w:p>
      <w:pPr>
        <w:keepNext w:val="0"/>
        <w:keepLines w:val="0"/>
        <w:pageBreakBefore w:val="0"/>
        <w:widowControl w:val="0"/>
        <w:kinsoku/>
        <w:wordWrap/>
        <w:overflowPunct/>
        <w:topLinePunct w:val="0"/>
        <w:autoSpaceDE w:val="0"/>
        <w:autoSpaceDN w:val="0"/>
        <w:bidi w:val="0"/>
        <w:adjustRightInd/>
        <w:snapToGrid/>
        <w:spacing w:before="0" w:line="600" w:lineRule="exact"/>
        <w:ind w:right="0" w:firstLine="640" w:firstLineChars="200"/>
        <w:jc w:val="both"/>
        <w:textAlignment w:val="auto"/>
        <w:rPr>
          <w:rFonts w:hint="eastAsia" w:ascii="仿宋" w:hAnsi="仿宋" w:eastAsia="仿宋" w:cs="仿宋"/>
          <w:color w:val="000000"/>
          <w:kern w:val="31"/>
          <w:sz w:val="32"/>
          <w:szCs w:val="32"/>
          <w:lang w:val="en-US" w:eastAsia="zh-CN" w:bidi="ar-SA"/>
        </w:rPr>
      </w:pPr>
      <w:r>
        <w:rPr>
          <w:rFonts w:hint="eastAsia" w:ascii="仿宋" w:hAnsi="仿宋" w:eastAsia="仿宋" w:cs="仿宋"/>
          <w:color w:val="000000"/>
          <w:kern w:val="31"/>
          <w:sz w:val="32"/>
          <w:szCs w:val="32"/>
          <w:lang w:val="en-US" w:eastAsia="zh-CN" w:bidi="ar-SA"/>
        </w:rPr>
        <w:t>医疗卫生机构发现其接收的病人属于食源性疾病病人或者疑似病人的，应当在2小时内将相关信息向区卫生健康委报告。区卫生健康委经研判认为与食品安全相关的，应当立即通报宛城市场监管分局。</w:t>
      </w:r>
    </w:p>
    <w:p>
      <w:pPr>
        <w:keepNext w:val="0"/>
        <w:keepLines w:val="0"/>
        <w:pageBreakBefore w:val="0"/>
        <w:widowControl w:val="0"/>
        <w:kinsoku/>
        <w:wordWrap/>
        <w:overflowPunct/>
        <w:topLinePunct w:val="0"/>
        <w:autoSpaceDE w:val="0"/>
        <w:autoSpaceDN w:val="0"/>
        <w:bidi w:val="0"/>
        <w:adjustRightInd/>
        <w:snapToGrid/>
        <w:spacing w:before="0" w:line="600" w:lineRule="exact"/>
        <w:ind w:right="0" w:firstLine="640" w:firstLineChars="200"/>
        <w:jc w:val="both"/>
        <w:textAlignment w:val="auto"/>
        <w:rPr>
          <w:rFonts w:hint="eastAsia" w:ascii="仿宋" w:hAnsi="仿宋" w:eastAsia="仿宋" w:cs="仿宋"/>
          <w:color w:val="000000"/>
          <w:kern w:val="31"/>
          <w:sz w:val="32"/>
          <w:szCs w:val="32"/>
          <w:lang w:val="en-US" w:eastAsia="zh-CN" w:bidi="ar-SA"/>
        </w:rPr>
      </w:pPr>
      <w:r>
        <w:rPr>
          <w:rFonts w:hint="eastAsia" w:ascii="仿宋" w:hAnsi="仿宋" w:eastAsia="仿宋" w:cs="仿宋"/>
          <w:color w:val="000000"/>
          <w:kern w:val="31"/>
          <w:sz w:val="32"/>
          <w:szCs w:val="32"/>
          <w:lang w:val="en-US" w:eastAsia="zh-CN" w:bidi="ar-SA"/>
        </w:rPr>
        <w:t>区卫生健康委在调查处理传染病或者其他突发公共卫生事件中发现与食品安全相关的信息，应当立即通报宛城市场监管分局。</w:t>
      </w:r>
    </w:p>
    <w:p>
      <w:pPr>
        <w:keepNext w:val="0"/>
        <w:keepLines w:val="0"/>
        <w:pageBreakBefore w:val="0"/>
        <w:widowControl w:val="0"/>
        <w:kinsoku/>
        <w:wordWrap/>
        <w:overflowPunct/>
        <w:topLinePunct w:val="0"/>
        <w:autoSpaceDE w:val="0"/>
        <w:autoSpaceDN w:val="0"/>
        <w:bidi w:val="0"/>
        <w:adjustRightInd/>
        <w:snapToGrid/>
        <w:spacing w:before="0" w:line="600" w:lineRule="exact"/>
        <w:ind w:right="0" w:firstLine="640" w:firstLineChars="200"/>
        <w:jc w:val="both"/>
        <w:textAlignment w:val="auto"/>
        <w:rPr>
          <w:rFonts w:hint="eastAsia" w:ascii="仿宋" w:hAnsi="仿宋" w:eastAsia="仿宋" w:cs="仿宋"/>
          <w:color w:val="000000"/>
          <w:kern w:val="31"/>
          <w:sz w:val="32"/>
          <w:szCs w:val="32"/>
          <w:lang w:val="en-US" w:eastAsia="zh-CN" w:bidi="ar-SA"/>
        </w:rPr>
      </w:pPr>
      <w:r>
        <w:rPr>
          <w:rFonts w:hint="eastAsia" w:ascii="仿宋" w:hAnsi="仿宋" w:eastAsia="仿宋" w:cs="仿宋"/>
          <w:color w:val="000000"/>
          <w:kern w:val="31"/>
          <w:sz w:val="32"/>
          <w:szCs w:val="32"/>
          <w:lang w:val="en-US" w:eastAsia="zh-CN" w:bidi="ar-SA"/>
        </w:rPr>
        <w:t>相关部门发现食品安全事件或接到食品安全事件举报，应当立即通报宛城市场监管分局；宛城市场监管分局发现食品安全事件信息中涉及其他部门的，应当及时通报。</w:t>
      </w:r>
    </w:p>
    <w:p>
      <w:pPr>
        <w:keepNext w:val="0"/>
        <w:keepLines w:val="0"/>
        <w:pageBreakBefore w:val="0"/>
        <w:widowControl w:val="0"/>
        <w:kinsoku/>
        <w:wordWrap/>
        <w:overflowPunct/>
        <w:topLinePunct w:val="0"/>
        <w:autoSpaceDE w:val="0"/>
        <w:autoSpaceDN w:val="0"/>
        <w:bidi w:val="0"/>
        <w:adjustRightInd/>
        <w:snapToGrid/>
        <w:spacing w:before="0" w:line="600" w:lineRule="exact"/>
        <w:ind w:right="0" w:firstLine="640" w:firstLineChars="200"/>
        <w:jc w:val="both"/>
        <w:textAlignment w:val="auto"/>
        <w:rPr>
          <w:rFonts w:hint="eastAsia" w:ascii="仿宋" w:hAnsi="仿宋" w:eastAsia="仿宋" w:cs="仿宋"/>
          <w:color w:val="000000"/>
          <w:kern w:val="31"/>
          <w:sz w:val="32"/>
          <w:szCs w:val="32"/>
          <w:lang w:val="en-US" w:eastAsia="zh-CN" w:bidi="ar-SA"/>
        </w:rPr>
      </w:pPr>
      <w:r>
        <w:rPr>
          <w:rFonts w:hint="eastAsia" w:ascii="仿宋" w:hAnsi="仿宋" w:eastAsia="仿宋" w:cs="仿宋"/>
          <w:color w:val="000000"/>
          <w:kern w:val="31"/>
          <w:sz w:val="32"/>
          <w:szCs w:val="32"/>
          <w:lang w:val="en-US" w:eastAsia="zh-CN" w:bidi="ar-SA"/>
        </w:rPr>
        <w:t>发生食品安全事件，接到报告的宛城市场监管分局应在2小时内向本区委、区政府和市市场监管局报告。</w:t>
      </w:r>
    </w:p>
    <w:p>
      <w:pPr>
        <w:keepNext w:val="0"/>
        <w:keepLines w:val="0"/>
        <w:pageBreakBefore w:val="0"/>
        <w:widowControl w:val="0"/>
        <w:kinsoku/>
        <w:wordWrap/>
        <w:overflowPunct/>
        <w:topLinePunct w:val="0"/>
        <w:autoSpaceDE w:val="0"/>
        <w:autoSpaceDN w:val="0"/>
        <w:bidi w:val="0"/>
        <w:adjustRightInd/>
        <w:snapToGrid/>
        <w:spacing w:before="0" w:line="600" w:lineRule="exact"/>
        <w:ind w:right="0" w:firstLine="640" w:firstLineChars="200"/>
        <w:jc w:val="both"/>
        <w:textAlignment w:val="auto"/>
        <w:rPr>
          <w:rFonts w:hint="eastAsia" w:ascii="仿宋" w:hAnsi="仿宋" w:eastAsia="仿宋" w:cs="仿宋"/>
          <w:color w:val="000000"/>
          <w:kern w:val="31"/>
          <w:sz w:val="32"/>
          <w:szCs w:val="32"/>
          <w:lang w:val="en-US" w:eastAsia="zh-CN" w:bidi="ar-SA"/>
        </w:rPr>
      </w:pPr>
      <w:r>
        <w:rPr>
          <w:rFonts w:hint="eastAsia" w:ascii="仿宋" w:hAnsi="仿宋" w:eastAsia="仿宋" w:cs="仿宋"/>
          <w:color w:val="000000"/>
          <w:kern w:val="31"/>
          <w:sz w:val="32"/>
          <w:szCs w:val="32"/>
          <w:lang w:val="en-US" w:eastAsia="zh-CN" w:bidi="ar-SA"/>
        </w:rPr>
        <w:t>一般及以上食品安全事件信息应及时报送区委、区政府。乡镇（街道）党委政府和市场监督管理所应全面掌握一般及以上食品安全事件信息。</w:t>
      </w:r>
    </w:p>
    <w:p>
      <w:pPr>
        <w:keepNext w:val="0"/>
        <w:keepLines w:val="0"/>
        <w:pageBreakBefore w:val="0"/>
        <w:widowControl w:val="0"/>
        <w:kinsoku/>
        <w:wordWrap/>
        <w:overflowPunct/>
        <w:topLinePunct w:val="0"/>
        <w:autoSpaceDE w:val="0"/>
        <w:autoSpaceDN w:val="0"/>
        <w:bidi w:val="0"/>
        <w:adjustRightInd/>
        <w:snapToGrid/>
        <w:spacing w:before="0" w:line="600" w:lineRule="exact"/>
        <w:ind w:right="0" w:firstLine="640" w:firstLineChars="200"/>
        <w:jc w:val="both"/>
        <w:textAlignment w:val="auto"/>
        <w:rPr>
          <w:rFonts w:hint="eastAsia" w:ascii="仿宋" w:hAnsi="仿宋" w:eastAsia="仿宋" w:cs="仿宋"/>
          <w:color w:val="000000"/>
          <w:kern w:val="31"/>
          <w:sz w:val="32"/>
          <w:szCs w:val="32"/>
          <w:lang w:val="en-US" w:eastAsia="zh-CN" w:bidi="ar-SA"/>
        </w:rPr>
      </w:pPr>
      <w:r>
        <w:rPr>
          <w:rFonts w:hint="eastAsia" w:ascii="仿宋" w:hAnsi="仿宋" w:eastAsia="仿宋" w:cs="仿宋"/>
          <w:color w:val="000000"/>
          <w:kern w:val="31"/>
          <w:sz w:val="32"/>
          <w:szCs w:val="32"/>
          <w:lang w:val="en-US" w:eastAsia="zh-CN" w:bidi="ar-SA"/>
        </w:rPr>
        <w:t>任何单位和个人不得对食品安全事件隐瞒、谎报、缓报，不得隐匿、伪造、毁灭有关证据。</w:t>
      </w:r>
    </w:p>
    <w:p>
      <w:pPr>
        <w:keepNext w:val="0"/>
        <w:keepLines w:val="0"/>
        <w:pageBreakBefore w:val="0"/>
        <w:widowControl w:val="0"/>
        <w:kinsoku/>
        <w:wordWrap/>
        <w:overflowPunct/>
        <w:topLinePunct w:val="0"/>
        <w:autoSpaceDE w:val="0"/>
        <w:autoSpaceDN w:val="0"/>
        <w:bidi w:val="0"/>
        <w:adjustRightInd/>
        <w:snapToGrid/>
        <w:spacing w:before="0" w:line="600" w:lineRule="exact"/>
        <w:ind w:right="0" w:firstLine="640" w:firstLineChars="200"/>
        <w:jc w:val="both"/>
        <w:textAlignment w:val="auto"/>
        <w:rPr>
          <w:rFonts w:hint="eastAsia" w:ascii="仿宋" w:hAnsi="仿宋" w:eastAsia="仿宋" w:cs="仿宋"/>
          <w:color w:val="000000"/>
          <w:kern w:val="31"/>
          <w:sz w:val="32"/>
          <w:szCs w:val="32"/>
          <w:lang w:val="en-US" w:eastAsia="zh-CN" w:bidi="ar-SA"/>
        </w:rPr>
      </w:pPr>
      <w:r>
        <w:rPr>
          <w:rFonts w:hint="eastAsia" w:ascii="楷体" w:hAnsi="楷体" w:eastAsia="楷体" w:cs="楷体"/>
          <w:color w:val="000000"/>
          <w:kern w:val="31"/>
          <w:sz w:val="32"/>
          <w:szCs w:val="32"/>
          <w:lang w:val="en-US" w:eastAsia="zh-CN" w:bidi="ar-SA"/>
        </w:rPr>
        <w:t>3.3.1.2 报告内容</w:t>
      </w:r>
    </w:p>
    <w:p>
      <w:pPr>
        <w:keepNext w:val="0"/>
        <w:keepLines w:val="0"/>
        <w:pageBreakBefore w:val="0"/>
        <w:widowControl w:val="0"/>
        <w:kinsoku/>
        <w:wordWrap/>
        <w:overflowPunct/>
        <w:topLinePunct w:val="0"/>
        <w:autoSpaceDE w:val="0"/>
        <w:autoSpaceDN w:val="0"/>
        <w:bidi w:val="0"/>
        <w:adjustRightInd/>
        <w:snapToGrid/>
        <w:spacing w:before="0" w:line="600" w:lineRule="exact"/>
        <w:ind w:right="0" w:firstLine="640" w:firstLineChars="200"/>
        <w:jc w:val="both"/>
        <w:textAlignment w:val="auto"/>
        <w:rPr>
          <w:rFonts w:hint="eastAsia" w:ascii="仿宋" w:hAnsi="仿宋" w:eastAsia="仿宋" w:cs="仿宋"/>
          <w:color w:val="000000"/>
          <w:kern w:val="31"/>
          <w:sz w:val="32"/>
          <w:szCs w:val="32"/>
          <w:lang w:val="en-US" w:eastAsia="zh-CN" w:bidi="ar-SA"/>
        </w:rPr>
      </w:pPr>
      <w:r>
        <w:rPr>
          <w:rFonts w:hint="eastAsia" w:ascii="仿宋" w:hAnsi="仿宋" w:eastAsia="仿宋" w:cs="仿宋"/>
          <w:color w:val="000000"/>
          <w:kern w:val="31"/>
          <w:sz w:val="32"/>
          <w:szCs w:val="32"/>
          <w:lang w:val="en-US" w:eastAsia="zh-CN" w:bidi="ar-SA"/>
        </w:rPr>
        <w:t>报告食品安全事件信息，应按照“初报要素、续报详情、终报结果”的原则，分步骤分重点报告。初报应当包括事件发生时间、地点、单位、危害程度、伤亡人数、信息来源（含报告时间、报告单位联系人员及联系方式）、已采取措施、事件简要经过等内容；续报应当包括工作进展、调查详情、应对措施等内容，续报应随时进行。终报应当包括事件定性、事件产生原因分析、责任追究、工作教训等内容。</w:t>
      </w:r>
    </w:p>
    <w:p>
      <w:pPr>
        <w:keepNext w:val="0"/>
        <w:keepLines w:val="0"/>
        <w:pageBreakBefore w:val="0"/>
        <w:widowControl w:val="0"/>
        <w:kinsoku/>
        <w:wordWrap/>
        <w:overflowPunct/>
        <w:topLinePunct w:val="0"/>
        <w:autoSpaceDE w:val="0"/>
        <w:autoSpaceDN w:val="0"/>
        <w:bidi w:val="0"/>
        <w:adjustRightInd/>
        <w:snapToGrid/>
        <w:spacing w:before="0" w:line="600" w:lineRule="exact"/>
        <w:ind w:right="0" w:firstLine="640" w:firstLineChars="200"/>
        <w:jc w:val="both"/>
        <w:textAlignment w:val="auto"/>
        <w:rPr>
          <w:rFonts w:hint="eastAsia" w:ascii="仿宋" w:hAnsi="仿宋" w:eastAsia="仿宋" w:cs="仿宋"/>
          <w:color w:val="000000"/>
          <w:kern w:val="31"/>
          <w:sz w:val="32"/>
          <w:szCs w:val="32"/>
          <w:lang w:val="en-US" w:eastAsia="zh-CN" w:bidi="ar-SA"/>
        </w:rPr>
      </w:pPr>
      <w:r>
        <w:rPr>
          <w:rFonts w:hint="eastAsia" w:ascii="楷体" w:hAnsi="楷体" w:eastAsia="楷体" w:cs="楷体"/>
          <w:color w:val="000000"/>
          <w:kern w:val="31"/>
          <w:sz w:val="32"/>
          <w:szCs w:val="32"/>
          <w:lang w:val="en-US" w:eastAsia="zh-CN" w:bidi="ar-SA"/>
        </w:rPr>
        <w:t>3.3.2 处置措施</w:t>
      </w:r>
    </w:p>
    <w:p>
      <w:pPr>
        <w:keepNext w:val="0"/>
        <w:keepLines w:val="0"/>
        <w:pageBreakBefore w:val="0"/>
        <w:widowControl w:val="0"/>
        <w:kinsoku/>
        <w:wordWrap/>
        <w:overflowPunct/>
        <w:topLinePunct w:val="0"/>
        <w:autoSpaceDE w:val="0"/>
        <w:autoSpaceDN w:val="0"/>
        <w:bidi w:val="0"/>
        <w:adjustRightInd/>
        <w:snapToGrid/>
        <w:spacing w:before="0" w:line="600" w:lineRule="exact"/>
        <w:ind w:right="0" w:firstLine="640" w:firstLineChars="200"/>
        <w:jc w:val="both"/>
        <w:textAlignment w:val="auto"/>
        <w:rPr>
          <w:rFonts w:hint="eastAsia" w:ascii="仿宋" w:hAnsi="仿宋" w:eastAsia="仿宋" w:cs="仿宋"/>
          <w:color w:val="000000"/>
          <w:kern w:val="31"/>
          <w:sz w:val="32"/>
          <w:szCs w:val="32"/>
          <w:lang w:val="en-US" w:eastAsia="zh-CN" w:bidi="ar-SA"/>
        </w:rPr>
      </w:pPr>
      <w:r>
        <w:rPr>
          <w:rFonts w:hint="eastAsia" w:ascii="仿宋" w:hAnsi="仿宋" w:eastAsia="仿宋" w:cs="仿宋"/>
          <w:color w:val="000000"/>
          <w:kern w:val="31"/>
          <w:sz w:val="32"/>
          <w:szCs w:val="32"/>
          <w:lang w:val="en-US" w:eastAsia="zh-CN" w:bidi="ar-SA"/>
        </w:rPr>
        <w:t>事发单位应当立即组织本单位应急队伍和工作人员开展先期应急处置与救援工作，采取措施控制事态发展。</w:t>
      </w:r>
    </w:p>
    <w:p>
      <w:pPr>
        <w:keepNext w:val="0"/>
        <w:keepLines w:val="0"/>
        <w:pageBreakBefore w:val="0"/>
        <w:widowControl w:val="0"/>
        <w:kinsoku/>
        <w:wordWrap/>
        <w:overflowPunct/>
        <w:topLinePunct w:val="0"/>
        <w:autoSpaceDE w:val="0"/>
        <w:autoSpaceDN w:val="0"/>
        <w:bidi w:val="0"/>
        <w:adjustRightInd/>
        <w:snapToGrid/>
        <w:spacing w:before="0" w:line="600" w:lineRule="exact"/>
        <w:ind w:right="0" w:firstLine="640" w:firstLineChars="200"/>
        <w:jc w:val="both"/>
        <w:textAlignment w:val="auto"/>
        <w:rPr>
          <w:rFonts w:hint="eastAsia" w:ascii="仿宋" w:hAnsi="仿宋" w:eastAsia="仿宋" w:cs="仿宋"/>
          <w:color w:val="000000"/>
          <w:kern w:val="31"/>
          <w:sz w:val="32"/>
          <w:szCs w:val="32"/>
          <w:lang w:val="en-US" w:eastAsia="zh-CN" w:bidi="ar-SA"/>
        </w:rPr>
      </w:pPr>
      <w:r>
        <w:rPr>
          <w:rFonts w:hint="eastAsia" w:ascii="仿宋" w:hAnsi="仿宋" w:eastAsia="仿宋" w:cs="仿宋"/>
          <w:color w:val="000000"/>
          <w:kern w:val="31"/>
          <w:sz w:val="32"/>
          <w:szCs w:val="32"/>
          <w:lang w:val="en-US" w:eastAsia="zh-CN" w:bidi="ar-SA"/>
        </w:rPr>
        <w:t>宛城市场监管分局接到食品安全事件报告后，在上报信息同时，应当立即会同相关部门进行调查处理，防止或者减轻事件危害。一般及以下食品安全突发事件发生后，宛城市场监管分局根据事件处置情况，及时向区食品安全委相关成员单位进行通报，相关单位按照各自职责开展应急处置工作。</w:t>
      </w:r>
    </w:p>
    <w:p>
      <w:pPr>
        <w:keepNext w:val="0"/>
        <w:keepLines w:val="0"/>
        <w:pageBreakBefore w:val="0"/>
        <w:widowControl w:val="0"/>
        <w:kinsoku/>
        <w:wordWrap/>
        <w:overflowPunct/>
        <w:topLinePunct w:val="0"/>
        <w:autoSpaceDE w:val="0"/>
        <w:autoSpaceDN w:val="0"/>
        <w:bidi w:val="0"/>
        <w:adjustRightInd/>
        <w:snapToGrid/>
        <w:spacing w:before="0" w:line="600" w:lineRule="exact"/>
        <w:ind w:right="0" w:firstLine="640" w:firstLineChars="200"/>
        <w:jc w:val="both"/>
        <w:textAlignment w:val="auto"/>
        <w:rPr>
          <w:rFonts w:hint="eastAsia" w:ascii="仿宋" w:hAnsi="仿宋" w:eastAsia="仿宋" w:cs="仿宋"/>
          <w:color w:val="000000"/>
          <w:kern w:val="31"/>
          <w:sz w:val="32"/>
          <w:szCs w:val="32"/>
          <w:lang w:val="en-US" w:eastAsia="zh-CN" w:bidi="ar-SA"/>
        </w:rPr>
      </w:pPr>
      <w:r>
        <w:rPr>
          <w:rFonts w:hint="eastAsia" w:ascii="楷体" w:hAnsi="楷体" w:eastAsia="楷体" w:cs="楷体"/>
          <w:color w:val="000000"/>
          <w:kern w:val="31"/>
          <w:sz w:val="32"/>
          <w:szCs w:val="32"/>
          <w:lang w:val="en-US" w:eastAsia="zh-CN" w:bidi="ar-SA"/>
        </w:rPr>
        <w:t>3.3.2.1 医学救援</w:t>
      </w:r>
    </w:p>
    <w:p>
      <w:pPr>
        <w:keepNext w:val="0"/>
        <w:keepLines w:val="0"/>
        <w:pageBreakBefore w:val="0"/>
        <w:widowControl w:val="0"/>
        <w:kinsoku/>
        <w:wordWrap/>
        <w:overflowPunct/>
        <w:topLinePunct w:val="0"/>
        <w:autoSpaceDE w:val="0"/>
        <w:autoSpaceDN w:val="0"/>
        <w:bidi w:val="0"/>
        <w:adjustRightInd/>
        <w:snapToGrid/>
        <w:spacing w:before="0" w:line="600" w:lineRule="exact"/>
        <w:ind w:right="0" w:firstLine="640" w:firstLineChars="200"/>
        <w:jc w:val="both"/>
        <w:textAlignment w:val="auto"/>
        <w:rPr>
          <w:rFonts w:hint="eastAsia" w:ascii="仿宋" w:hAnsi="仿宋" w:eastAsia="仿宋" w:cs="仿宋"/>
          <w:color w:val="000000"/>
          <w:kern w:val="31"/>
          <w:sz w:val="32"/>
          <w:szCs w:val="32"/>
          <w:lang w:val="en-US" w:eastAsia="zh-CN" w:bidi="ar-SA"/>
        </w:rPr>
      </w:pPr>
      <w:r>
        <w:rPr>
          <w:rFonts w:hint="eastAsia" w:ascii="仿宋" w:hAnsi="仿宋" w:eastAsia="仿宋" w:cs="仿宋"/>
          <w:color w:val="000000"/>
          <w:kern w:val="31"/>
          <w:sz w:val="32"/>
          <w:szCs w:val="32"/>
          <w:lang w:val="en-US" w:eastAsia="zh-CN" w:bidi="ar-SA"/>
        </w:rPr>
        <w:t>由医疗救治组负责，有效利用医疗资源，组织指导医疗机构救治因食品安全事件导致人身伤害的人员。提出保护公众身体健康的措施建议，做好相关人员的心理援助。</w:t>
      </w:r>
    </w:p>
    <w:p>
      <w:pPr>
        <w:keepNext w:val="0"/>
        <w:keepLines w:val="0"/>
        <w:pageBreakBefore w:val="0"/>
        <w:widowControl w:val="0"/>
        <w:kinsoku/>
        <w:wordWrap/>
        <w:overflowPunct/>
        <w:topLinePunct w:val="0"/>
        <w:autoSpaceDE w:val="0"/>
        <w:autoSpaceDN w:val="0"/>
        <w:bidi w:val="0"/>
        <w:adjustRightInd/>
        <w:snapToGrid/>
        <w:spacing w:before="0" w:line="600" w:lineRule="exact"/>
        <w:ind w:right="0" w:firstLine="640" w:firstLineChars="200"/>
        <w:jc w:val="both"/>
        <w:textAlignment w:val="auto"/>
        <w:rPr>
          <w:rFonts w:hint="eastAsia" w:ascii="仿宋" w:hAnsi="仿宋" w:eastAsia="仿宋" w:cs="仿宋"/>
          <w:color w:val="000000"/>
          <w:kern w:val="31"/>
          <w:sz w:val="32"/>
          <w:szCs w:val="32"/>
          <w:lang w:val="en-US" w:eastAsia="zh-CN" w:bidi="ar-SA"/>
        </w:rPr>
      </w:pPr>
      <w:r>
        <w:rPr>
          <w:rFonts w:hint="eastAsia" w:ascii="楷体" w:hAnsi="楷体" w:eastAsia="楷体" w:cs="楷体"/>
          <w:color w:val="000000"/>
          <w:kern w:val="31"/>
          <w:sz w:val="32"/>
          <w:szCs w:val="32"/>
          <w:lang w:val="en-US" w:eastAsia="zh-CN" w:bidi="ar-SA"/>
        </w:rPr>
        <w:t>3.3.2.2 现场处置</w:t>
      </w:r>
    </w:p>
    <w:p>
      <w:pPr>
        <w:keepNext w:val="0"/>
        <w:keepLines w:val="0"/>
        <w:pageBreakBefore w:val="0"/>
        <w:widowControl w:val="0"/>
        <w:kinsoku/>
        <w:wordWrap/>
        <w:overflowPunct/>
        <w:topLinePunct w:val="0"/>
        <w:autoSpaceDE w:val="0"/>
        <w:autoSpaceDN w:val="0"/>
        <w:bidi w:val="0"/>
        <w:adjustRightInd/>
        <w:snapToGrid/>
        <w:spacing w:before="0" w:line="600" w:lineRule="exact"/>
        <w:ind w:right="0" w:firstLine="640" w:firstLineChars="200"/>
        <w:jc w:val="both"/>
        <w:textAlignment w:val="auto"/>
        <w:rPr>
          <w:rFonts w:hint="eastAsia" w:ascii="仿宋" w:hAnsi="仿宋" w:eastAsia="仿宋" w:cs="仿宋"/>
          <w:color w:val="000000"/>
          <w:kern w:val="31"/>
          <w:sz w:val="32"/>
          <w:szCs w:val="32"/>
          <w:lang w:val="en-US" w:eastAsia="zh-CN" w:bidi="ar-SA"/>
        </w:rPr>
      </w:pPr>
      <w:r>
        <w:rPr>
          <w:rFonts w:hint="eastAsia" w:ascii="仿宋" w:hAnsi="仿宋" w:eastAsia="仿宋" w:cs="仿宋"/>
          <w:color w:val="000000"/>
          <w:kern w:val="31"/>
          <w:sz w:val="32"/>
          <w:szCs w:val="32"/>
          <w:lang w:val="en-US" w:eastAsia="zh-CN" w:bidi="ar-SA"/>
        </w:rPr>
        <w:t>由危害控制组负责，依法封存可能导致食品安全事件的食品及其原料和可能受到污染的工具、设备。待现场调查结束后，责令彻底清洗消毒被污染的场所以及用于食品生产经营的工具、设备，消除污染。</w:t>
      </w:r>
    </w:p>
    <w:p>
      <w:pPr>
        <w:keepNext w:val="0"/>
        <w:keepLines w:val="0"/>
        <w:pageBreakBefore w:val="0"/>
        <w:widowControl w:val="0"/>
        <w:kinsoku/>
        <w:wordWrap/>
        <w:overflowPunct/>
        <w:topLinePunct w:val="0"/>
        <w:autoSpaceDE w:val="0"/>
        <w:autoSpaceDN w:val="0"/>
        <w:bidi w:val="0"/>
        <w:adjustRightInd/>
        <w:snapToGrid/>
        <w:spacing w:before="0" w:line="600" w:lineRule="exact"/>
        <w:ind w:right="0" w:firstLine="640" w:firstLineChars="200"/>
        <w:jc w:val="both"/>
        <w:textAlignment w:val="auto"/>
        <w:rPr>
          <w:rFonts w:hint="eastAsia" w:ascii="仿宋" w:hAnsi="仿宋" w:eastAsia="仿宋" w:cs="仿宋"/>
          <w:color w:val="000000"/>
          <w:kern w:val="31"/>
          <w:sz w:val="32"/>
          <w:szCs w:val="32"/>
          <w:lang w:val="en-US" w:eastAsia="zh-CN" w:bidi="ar-SA"/>
        </w:rPr>
      </w:pPr>
      <w:r>
        <w:rPr>
          <w:rFonts w:hint="eastAsia" w:ascii="楷体" w:hAnsi="楷体" w:eastAsia="楷体" w:cs="楷体"/>
          <w:color w:val="000000"/>
          <w:kern w:val="31"/>
          <w:sz w:val="32"/>
          <w:szCs w:val="32"/>
          <w:lang w:val="en-US" w:eastAsia="zh-CN" w:bidi="ar-SA"/>
        </w:rPr>
        <w:t>3.3.2.3 流行病学调查</w:t>
      </w:r>
    </w:p>
    <w:p>
      <w:pPr>
        <w:keepNext w:val="0"/>
        <w:keepLines w:val="0"/>
        <w:pageBreakBefore w:val="0"/>
        <w:widowControl w:val="0"/>
        <w:kinsoku/>
        <w:wordWrap/>
        <w:overflowPunct/>
        <w:topLinePunct w:val="0"/>
        <w:autoSpaceDE w:val="0"/>
        <w:autoSpaceDN w:val="0"/>
        <w:bidi w:val="0"/>
        <w:adjustRightInd/>
        <w:snapToGrid/>
        <w:spacing w:before="0" w:line="600" w:lineRule="exact"/>
        <w:ind w:right="0" w:firstLine="640" w:firstLineChars="200"/>
        <w:jc w:val="both"/>
        <w:textAlignment w:val="auto"/>
        <w:rPr>
          <w:rFonts w:hint="eastAsia" w:ascii="仿宋" w:hAnsi="仿宋" w:eastAsia="仿宋" w:cs="仿宋"/>
          <w:color w:val="000000"/>
          <w:kern w:val="31"/>
          <w:sz w:val="32"/>
          <w:szCs w:val="32"/>
          <w:lang w:val="en-US" w:eastAsia="zh-CN" w:bidi="ar-SA"/>
        </w:rPr>
      </w:pPr>
      <w:r>
        <w:rPr>
          <w:rFonts w:hint="eastAsia" w:ascii="仿宋" w:hAnsi="仿宋" w:eastAsia="仿宋" w:cs="仿宋"/>
          <w:color w:val="000000"/>
          <w:kern w:val="31"/>
          <w:sz w:val="32"/>
          <w:szCs w:val="32"/>
          <w:lang w:val="en-US" w:eastAsia="zh-CN" w:bidi="ar-SA"/>
        </w:rPr>
        <w:t>由事件调查组负责，及时组织对事发现场进行卫生处理，并对事件有关的因素开展流行病学调查。疾病预防控制机构在完成现场流行病学调查后，应当在2日内同时向宛城市场监管分局、区卫生健康委提交初步流行病学调查报告，并在7日内提交最终调查报告。当遇有客观条件无法开展流行病学调查时，应当如实记录并报告。</w:t>
      </w:r>
    </w:p>
    <w:p>
      <w:pPr>
        <w:keepNext w:val="0"/>
        <w:keepLines w:val="0"/>
        <w:pageBreakBefore w:val="0"/>
        <w:widowControl w:val="0"/>
        <w:kinsoku/>
        <w:wordWrap/>
        <w:overflowPunct/>
        <w:topLinePunct w:val="0"/>
        <w:autoSpaceDE w:val="0"/>
        <w:autoSpaceDN w:val="0"/>
        <w:bidi w:val="0"/>
        <w:adjustRightInd/>
        <w:snapToGrid/>
        <w:spacing w:before="0" w:line="600" w:lineRule="exact"/>
        <w:ind w:right="0" w:firstLine="640" w:firstLineChars="200"/>
        <w:jc w:val="both"/>
        <w:textAlignment w:val="auto"/>
        <w:rPr>
          <w:rFonts w:hint="eastAsia" w:ascii="仿宋" w:hAnsi="仿宋" w:eastAsia="仿宋" w:cs="仿宋"/>
          <w:color w:val="000000"/>
          <w:kern w:val="31"/>
          <w:sz w:val="32"/>
          <w:szCs w:val="32"/>
          <w:lang w:val="en-US" w:eastAsia="zh-CN" w:bidi="ar-SA"/>
        </w:rPr>
      </w:pPr>
      <w:r>
        <w:rPr>
          <w:rFonts w:hint="eastAsia" w:ascii="楷体" w:hAnsi="楷体" w:eastAsia="楷体" w:cs="楷体"/>
          <w:color w:val="000000"/>
          <w:kern w:val="31"/>
          <w:sz w:val="32"/>
          <w:szCs w:val="32"/>
          <w:lang w:val="en-US" w:eastAsia="zh-CN" w:bidi="ar-SA"/>
        </w:rPr>
        <w:t>3.3.2.4 检验检测</w:t>
      </w:r>
    </w:p>
    <w:p>
      <w:pPr>
        <w:keepNext w:val="0"/>
        <w:keepLines w:val="0"/>
        <w:pageBreakBefore w:val="0"/>
        <w:widowControl w:val="0"/>
        <w:kinsoku/>
        <w:wordWrap/>
        <w:overflowPunct/>
        <w:topLinePunct w:val="0"/>
        <w:autoSpaceDE w:val="0"/>
        <w:autoSpaceDN w:val="0"/>
        <w:bidi w:val="0"/>
        <w:adjustRightInd/>
        <w:snapToGrid/>
        <w:spacing w:before="0" w:line="600" w:lineRule="exact"/>
        <w:ind w:right="0" w:firstLine="640" w:firstLineChars="200"/>
        <w:jc w:val="both"/>
        <w:textAlignment w:val="auto"/>
        <w:rPr>
          <w:rFonts w:hint="eastAsia" w:ascii="仿宋" w:hAnsi="仿宋" w:eastAsia="仿宋" w:cs="仿宋"/>
          <w:color w:val="000000"/>
          <w:kern w:val="31"/>
          <w:sz w:val="32"/>
          <w:szCs w:val="32"/>
          <w:lang w:val="en-US" w:eastAsia="zh-CN" w:bidi="ar-SA"/>
        </w:rPr>
      </w:pPr>
      <w:r>
        <w:rPr>
          <w:rFonts w:hint="eastAsia" w:ascii="仿宋" w:hAnsi="仿宋" w:eastAsia="仿宋" w:cs="仿宋"/>
          <w:color w:val="000000"/>
          <w:kern w:val="31"/>
          <w:sz w:val="32"/>
          <w:szCs w:val="32"/>
          <w:lang w:val="en-US" w:eastAsia="zh-CN" w:bidi="ar-SA"/>
        </w:rPr>
        <w:t>由检测评估组负责，组织技术机构对疑似引发食品安全事件相关样品进行检验检测，尽快查找食品安全事件发生的原因。对确认属于被污染的食品及其原料，责令生产经营者依法召回、停止经营或无害化处理；对检验合格且确定与食品安全事件无关的，应依法予以解封。</w:t>
      </w:r>
    </w:p>
    <w:p>
      <w:pPr>
        <w:keepNext w:val="0"/>
        <w:keepLines w:val="0"/>
        <w:pageBreakBefore w:val="0"/>
        <w:widowControl w:val="0"/>
        <w:kinsoku/>
        <w:wordWrap/>
        <w:overflowPunct/>
        <w:topLinePunct w:val="0"/>
        <w:autoSpaceDE w:val="0"/>
        <w:autoSpaceDN w:val="0"/>
        <w:bidi w:val="0"/>
        <w:adjustRightInd/>
        <w:snapToGrid/>
        <w:spacing w:before="0" w:line="600" w:lineRule="exact"/>
        <w:ind w:right="0" w:firstLine="640" w:firstLineChars="200"/>
        <w:jc w:val="both"/>
        <w:textAlignment w:val="auto"/>
        <w:rPr>
          <w:rFonts w:hint="eastAsia" w:ascii="仿宋" w:hAnsi="仿宋" w:eastAsia="仿宋" w:cs="仿宋"/>
          <w:color w:val="000000"/>
          <w:kern w:val="31"/>
          <w:sz w:val="32"/>
          <w:szCs w:val="32"/>
          <w:lang w:val="en-US" w:eastAsia="zh-CN" w:bidi="ar-SA"/>
        </w:rPr>
      </w:pPr>
      <w:r>
        <w:rPr>
          <w:rFonts w:hint="eastAsia" w:ascii="楷体" w:hAnsi="楷体" w:eastAsia="楷体" w:cs="楷体"/>
          <w:color w:val="000000"/>
          <w:kern w:val="31"/>
          <w:sz w:val="32"/>
          <w:szCs w:val="32"/>
          <w:lang w:val="en-US" w:eastAsia="zh-CN" w:bidi="ar-SA"/>
        </w:rPr>
        <w:t>3.3.2.5 事件调查</w:t>
      </w:r>
    </w:p>
    <w:p>
      <w:pPr>
        <w:keepNext w:val="0"/>
        <w:keepLines w:val="0"/>
        <w:pageBreakBefore w:val="0"/>
        <w:widowControl w:val="0"/>
        <w:kinsoku/>
        <w:wordWrap/>
        <w:overflowPunct/>
        <w:topLinePunct w:val="0"/>
        <w:autoSpaceDE w:val="0"/>
        <w:autoSpaceDN w:val="0"/>
        <w:bidi w:val="0"/>
        <w:adjustRightInd/>
        <w:snapToGrid/>
        <w:spacing w:before="0" w:line="600" w:lineRule="exact"/>
        <w:ind w:right="0" w:firstLine="640" w:firstLineChars="200"/>
        <w:jc w:val="both"/>
        <w:textAlignment w:val="auto"/>
        <w:rPr>
          <w:rFonts w:hint="eastAsia" w:ascii="仿宋" w:hAnsi="仿宋" w:eastAsia="仿宋" w:cs="仿宋"/>
          <w:color w:val="000000"/>
          <w:kern w:val="31"/>
          <w:sz w:val="32"/>
          <w:szCs w:val="32"/>
          <w:lang w:val="en-US" w:eastAsia="zh-CN" w:bidi="ar-SA"/>
        </w:rPr>
      </w:pPr>
      <w:r>
        <w:rPr>
          <w:rFonts w:hint="eastAsia" w:ascii="仿宋" w:hAnsi="仿宋" w:eastAsia="仿宋" w:cs="仿宋"/>
          <w:color w:val="000000"/>
          <w:kern w:val="31"/>
          <w:sz w:val="32"/>
          <w:szCs w:val="32"/>
          <w:lang w:val="en-US" w:eastAsia="zh-CN" w:bidi="ar-SA"/>
        </w:rPr>
        <w:t>由事件调查组负责，组织有关部门进行事件调查，向区委、区政府和市市场监督管理局提出事件责任调查处理报告。</w:t>
      </w:r>
    </w:p>
    <w:p>
      <w:pPr>
        <w:keepNext w:val="0"/>
        <w:keepLines w:val="0"/>
        <w:pageBreakBefore w:val="0"/>
        <w:widowControl w:val="0"/>
        <w:kinsoku/>
        <w:wordWrap/>
        <w:overflowPunct/>
        <w:topLinePunct w:val="0"/>
        <w:autoSpaceDE w:val="0"/>
        <w:autoSpaceDN w:val="0"/>
        <w:bidi w:val="0"/>
        <w:adjustRightInd/>
        <w:snapToGrid/>
        <w:spacing w:before="0" w:line="600" w:lineRule="exact"/>
        <w:ind w:right="0" w:firstLine="640" w:firstLineChars="200"/>
        <w:jc w:val="both"/>
        <w:textAlignment w:val="auto"/>
        <w:rPr>
          <w:rFonts w:hint="eastAsia" w:ascii="仿宋" w:hAnsi="仿宋" w:eastAsia="仿宋" w:cs="仿宋"/>
          <w:color w:val="000000"/>
          <w:kern w:val="31"/>
          <w:sz w:val="32"/>
          <w:szCs w:val="32"/>
          <w:lang w:val="en-US" w:eastAsia="zh-CN" w:bidi="ar-SA"/>
        </w:rPr>
      </w:pPr>
      <w:r>
        <w:rPr>
          <w:rFonts w:hint="eastAsia" w:ascii="仿宋" w:hAnsi="仿宋" w:eastAsia="仿宋" w:cs="仿宋"/>
          <w:color w:val="000000"/>
          <w:kern w:val="31"/>
          <w:sz w:val="32"/>
          <w:szCs w:val="32"/>
          <w:lang w:val="en-US" w:eastAsia="zh-CN" w:bidi="ar-SA"/>
        </w:rPr>
        <w:t>调查食品安全事件，除了查明事件单位的责任，还应当查明有关监督管理部门、食品检验机构、认证机构及其工作人员的责任。对涉嫌犯罪的，公安机关应及时介入。</w:t>
      </w:r>
    </w:p>
    <w:p>
      <w:pPr>
        <w:keepNext w:val="0"/>
        <w:keepLines w:val="0"/>
        <w:pageBreakBefore w:val="0"/>
        <w:widowControl w:val="0"/>
        <w:kinsoku/>
        <w:wordWrap/>
        <w:overflowPunct/>
        <w:topLinePunct w:val="0"/>
        <w:autoSpaceDE w:val="0"/>
        <w:autoSpaceDN w:val="0"/>
        <w:bidi w:val="0"/>
        <w:adjustRightInd/>
        <w:snapToGrid/>
        <w:spacing w:before="0" w:line="600" w:lineRule="exact"/>
        <w:ind w:right="0" w:firstLine="640" w:firstLineChars="200"/>
        <w:jc w:val="both"/>
        <w:textAlignment w:val="auto"/>
        <w:rPr>
          <w:rFonts w:hint="eastAsia" w:ascii="仿宋" w:hAnsi="仿宋" w:eastAsia="仿宋" w:cs="仿宋"/>
          <w:color w:val="000000"/>
          <w:kern w:val="31"/>
          <w:sz w:val="32"/>
          <w:szCs w:val="32"/>
          <w:lang w:val="en-US" w:eastAsia="zh-CN" w:bidi="ar-SA"/>
        </w:rPr>
      </w:pPr>
      <w:r>
        <w:rPr>
          <w:rFonts w:hint="eastAsia" w:ascii="楷体" w:hAnsi="楷体" w:eastAsia="楷体" w:cs="楷体"/>
          <w:color w:val="000000"/>
          <w:kern w:val="31"/>
          <w:sz w:val="32"/>
          <w:szCs w:val="32"/>
          <w:lang w:val="en-US" w:eastAsia="zh-CN" w:bidi="ar-SA"/>
        </w:rPr>
        <w:t>3.3.3 信息发布和舆论引导</w:t>
      </w:r>
    </w:p>
    <w:p>
      <w:pPr>
        <w:keepNext w:val="0"/>
        <w:keepLines w:val="0"/>
        <w:pageBreakBefore w:val="0"/>
        <w:widowControl w:val="0"/>
        <w:kinsoku/>
        <w:wordWrap/>
        <w:overflowPunct/>
        <w:topLinePunct w:val="0"/>
        <w:autoSpaceDE w:val="0"/>
        <w:autoSpaceDN w:val="0"/>
        <w:bidi w:val="0"/>
        <w:adjustRightInd/>
        <w:snapToGrid/>
        <w:spacing w:before="0" w:line="600" w:lineRule="exact"/>
        <w:ind w:right="0" w:firstLine="640" w:firstLineChars="200"/>
        <w:jc w:val="both"/>
        <w:textAlignment w:val="auto"/>
        <w:rPr>
          <w:rFonts w:hint="eastAsia" w:ascii="仿宋" w:hAnsi="仿宋" w:eastAsia="仿宋" w:cs="仿宋"/>
          <w:color w:val="000000"/>
          <w:kern w:val="31"/>
          <w:sz w:val="32"/>
          <w:szCs w:val="32"/>
          <w:lang w:val="en-US" w:eastAsia="zh-CN" w:bidi="ar-SA"/>
        </w:rPr>
      </w:pPr>
      <w:r>
        <w:rPr>
          <w:rFonts w:hint="eastAsia" w:ascii="仿宋" w:hAnsi="仿宋" w:eastAsia="仿宋" w:cs="仿宋"/>
          <w:color w:val="000000"/>
          <w:kern w:val="31"/>
          <w:sz w:val="32"/>
          <w:szCs w:val="32"/>
          <w:lang w:val="en-US" w:eastAsia="zh-CN" w:bidi="ar-SA"/>
        </w:rPr>
        <w:t>区应急工作指挥部在食品安全事件发生后第一时间通过权威媒体向社会发布简要信息，最迟要在5个小时内发布权威信息，随后发布初步核实情况、政府应对措施和公众防范措施等。</w:t>
      </w:r>
    </w:p>
    <w:p>
      <w:pPr>
        <w:keepNext w:val="0"/>
        <w:keepLines w:val="0"/>
        <w:pageBreakBefore w:val="0"/>
        <w:widowControl w:val="0"/>
        <w:kinsoku/>
        <w:wordWrap/>
        <w:overflowPunct/>
        <w:topLinePunct w:val="0"/>
        <w:autoSpaceDE w:val="0"/>
        <w:autoSpaceDN w:val="0"/>
        <w:bidi w:val="0"/>
        <w:adjustRightInd/>
        <w:snapToGrid/>
        <w:spacing w:before="0" w:line="600" w:lineRule="exact"/>
        <w:ind w:right="0" w:firstLine="640" w:firstLineChars="200"/>
        <w:jc w:val="both"/>
        <w:textAlignment w:val="auto"/>
        <w:rPr>
          <w:rFonts w:hint="eastAsia" w:ascii="仿宋" w:hAnsi="仿宋" w:eastAsia="仿宋" w:cs="仿宋"/>
          <w:color w:val="000000"/>
          <w:kern w:val="31"/>
          <w:sz w:val="32"/>
          <w:szCs w:val="32"/>
          <w:lang w:val="en-US" w:eastAsia="zh-CN" w:bidi="ar-SA"/>
        </w:rPr>
      </w:pPr>
      <w:r>
        <w:rPr>
          <w:rFonts w:hint="eastAsia" w:ascii="仿宋" w:hAnsi="仿宋" w:eastAsia="仿宋" w:cs="仿宋"/>
          <w:color w:val="000000"/>
          <w:kern w:val="31"/>
          <w:sz w:val="32"/>
          <w:szCs w:val="32"/>
          <w:lang w:val="en-US" w:eastAsia="zh-CN" w:bidi="ar-SA"/>
        </w:rPr>
        <w:t>对涉及较大及以上突发事件的信息发布和舆情引导，由舆情引导组负责，通过政府授权发布新闻发布稿、接受记者采访、举行新闻发布会、组织专家解读等形式，借助各类媒介，主动、及时、准确、客观向社会发布事件信息，回应社会关切，澄清不实信息，正确引导社会舆论。加强网络媒体和移动新媒体信息发布内容管理和舆情分析，引导公众依法、客观发表意见，形成积极健康的社会舆论。未经应急工作指挥部批准，参与食品安全事件应急处置工作的各有关单位和个人不得擅自对外发布相关信息。任何单位和个人不得编造、传播食品安全事件虚假信息。</w:t>
      </w:r>
    </w:p>
    <w:p>
      <w:pPr>
        <w:keepNext w:val="0"/>
        <w:keepLines w:val="0"/>
        <w:pageBreakBefore w:val="0"/>
        <w:widowControl w:val="0"/>
        <w:kinsoku/>
        <w:wordWrap/>
        <w:overflowPunct/>
        <w:topLinePunct w:val="0"/>
        <w:autoSpaceDE w:val="0"/>
        <w:autoSpaceDN w:val="0"/>
        <w:bidi w:val="0"/>
        <w:adjustRightInd/>
        <w:snapToGrid/>
        <w:spacing w:before="0" w:line="600" w:lineRule="exact"/>
        <w:ind w:right="0" w:firstLine="640" w:firstLineChars="200"/>
        <w:jc w:val="both"/>
        <w:textAlignment w:val="auto"/>
        <w:rPr>
          <w:rFonts w:hint="eastAsia" w:ascii="仿宋" w:hAnsi="仿宋" w:eastAsia="仿宋" w:cs="仿宋"/>
          <w:color w:val="000000"/>
          <w:kern w:val="31"/>
          <w:sz w:val="32"/>
          <w:szCs w:val="32"/>
          <w:lang w:val="en-US" w:eastAsia="zh-CN" w:bidi="ar-SA"/>
        </w:rPr>
      </w:pPr>
      <w:r>
        <w:rPr>
          <w:rFonts w:hint="eastAsia" w:ascii="楷体" w:hAnsi="楷体" w:eastAsia="楷体" w:cs="楷体"/>
          <w:color w:val="000000"/>
          <w:kern w:val="31"/>
          <w:sz w:val="32"/>
          <w:szCs w:val="32"/>
          <w:lang w:val="en-US" w:eastAsia="zh-CN" w:bidi="ar-SA"/>
        </w:rPr>
        <w:t>3.3.4 维护社会稳定</w:t>
      </w:r>
    </w:p>
    <w:p>
      <w:pPr>
        <w:keepNext w:val="0"/>
        <w:keepLines w:val="0"/>
        <w:pageBreakBefore w:val="0"/>
        <w:widowControl w:val="0"/>
        <w:kinsoku/>
        <w:wordWrap/>
        <w:overflowPunct/>
        <w:topLinePunct w:val="0"/>
        <w:autoSpaceDE w:val="0"/>
        <w:autoSpaceDN w:val="0"/>
        <w:bidi w:val="0"/>
        <w:adjustRightInd/>
        <w:snapToGrid/>
        <w:spacing w:before="0" w:line="600" w:lineRule="exact"/>
        <w:ind w:right="0" w:firstLine="640" w:firstLineChars="200"/>
        <w:jc w:val="both"/>
        <w:textAlignment w:val="auto"/>
        <w:rPr>
          <w:rFonts w:hint="eastAsia" w:ascii="仿宋" w:hAnsi="仿宋" w:eastAsia="仿宋" w:cs="仿宋"/>
          <w:color w:val="000000"/>
          <w:kern w:val="31"/>
          <w:sz w:val="32"/>
          <w:szCs w:val="32"/>
          <w:lang w:val="en-US" w:eastAsia="zh-CN" w:bidi="ar-SA"/>
        </w:rPr>
      </w:pPr>
      <w:r>
        <w:rPr>
          <w:rFonts w:hint="eastAsia" w:ascii="仿宋" w:hAnsi="仿宋" w:eastAsia="仿宋" w:cs="仿宋"/>
          <w:color w:val="000000"/>
          <w:kern w:val="31"/>
          <w:sz w:val="32"/>
          <w:szCs w:val="32"/>
          <w:lang w:val="en-US" w:eastAsia="zh-CN" w:bidi="ar-SA"/>
        </w:rPr>
        <w:t>由社会稳定组负责，加强对救助患者的医疗卫生机构、涉事生产经营单位等重点区域治安管控，依法查处借机传播谣言、制造社会恐慌、哄抢物资等违法犯罪行为，做好矛盾纠纷化解工作。</w:t>
      </w:r>
    </w:p>
    <w:p>
      <w:pPr>
        <w:keepNext w:val="0"/>
        <w:keepLines w:val="0"/>
        <w:pageBreakBefore w:val="0"/>
        <w:widowControl w:val="0"/>
        <w:kinsoku/>
        <w:wordWrap/>
        <w:overflowPunct/>
        <w:topLinePunct w:val="0"/>
        <w:autoSpaceDE w:val="0"/>
        <w:autoSpaceDN w:val="0"/>
        <w:bidi w:val="0"/>
        <w:adjustRightInd/>
        <w:snapToGrid/>
        <w:spacing w:before="0" w:line="600" w:lineRule="exact"/>
        <w:ind w:right="0" w:firstLine="640" w:firstLineChars="200"/>
        <w:jc w:val="both"/>
        <w:textAlignment w:val="auto"/>
        <w:rPr>
          <w:rFonts w:hint="eastAsia" w:ascii="楷体" w:hAnsi="楷体" w:eastAsia="楷体" w:cs="楷体"/>
          <w:color w:val="000000"/>
          <w:kern w:val="31"/>
          <w:sz w:val="32"/>
          <w:szCs w:val="32"/>
          <w:lang w:val="en-US" w:eastAsia="zh-CN" w:bidi="ar-SA"/>
        </w:rPr>
      </w:pPr>
      <w:r>
        <w:rPr>
          <w:rFonts w:hint="eastAsia" w:ascii="楷体" w:hAnsi="楷体" w:eastAsia="楷体" w:cs="楷体"/>
          <w:color w:val="000000"/>
          <w:kern w:val="31"/>
          <w:sz w:val="32"/>
          <w:szCs w:val="32"/>
          <w:lang w:val="en-US" w:eastAsia="zh-CN" w:bidi="ar-SA"/>
        </w:rPr>
        <w:t>3.3.5 应急解除</w:t>
      </w:r>
    </w:p>
    <w:p>
      <w:pPr>
        <w:keepNext w:val="0"/>
        <w:keepLines w:val="0"/>
        <w:pageBreakBefore w:val="0"/>
        <w:widowControl w:val="0"/>
        <w:kinsoku/>
        <w:wordWrap/>
        <w:overflowPunct/>
        <w:topLinePunct w:val="0"/>
        <w:autoSpaceDE w:val="0"/>
        <w:autoSpaceDN w:val="0"/>
        <w:bidi w:val="0"/>
        <w:adjustRightInd/>
        <w:snapToGrid/>
        <w:spacing w:before="0" w:line="600" w:lineRule="exact"/>
        <w:ind w:right="0" w:firstLine="640" w:firstLineChars="200"/>
        <w:jc w:val="both"/>
        <w:textAlignment w:val="auto"/>
        <w:rPr>
          <w:rFonts w:hint="eastAsia" w:ascii="仿宋" w:hAnsi="仿宋" w:eastAsia="仿宋" w:cs="仿宋"/>
          <w:color w:val="000000"/>
          <w:kern w:val="31"/>
          <w:sz w:val="32"/>
          <w:szCs w:val="32"/>
          <w:lang w:val="en-US" w:eastAsia="zh-CN" w:bidi="ar-SA"/>
        </w:rPr>
      </w:pPr>
      <w:r>
        <w:rPr>
          <w:rFonts w:hint="eastAsia" w:ascii="仿宋" w:hAnsi="仿宋" w:eastAsia="仿宋" w:cs="仿宋"/>
          <w:color w:val="000000"/>
          <w:kern w:val="31"/>
          <w:sz w:val="32"/>
          <w:szCs w:val="32"/>
          <w:lang w:val="en-US" w:eastAsia="zh-CN" w:bidi="ar-SA"/>
        </w:rPr>
        <w:t>当食品安全事件得到控制，且达到如下两项标准，经指挥部办公室组织专家组分析评估认为可解除响应的，应急指挥部可宣布应急响应结束。</w:t>
      </w:r>
    </w:p>
    <w:p>
      <w:pPr>
        <w:keepNext w:val="0"/>
        <w:keepLines w:val="0"/>
        <w:pageBreakBefore w:val="0"/>
        <w:widowControl w:val="0"/>
        <w:kinsoku/>
        <w:wordWrap/>
        <w:overflowPunct/>
        <w:topLinePunct w:val="0"/>
        <w:autoSpaceDE w:val="0"/>
        <w:autoSpaceDN w:val="0"/>
        <w:bidi w:val="0"/>
        <w:adjustRightInd/>
        <w:snapToGrid/>
        <w:spacing w:before="0" w:line="600" w:lineRule="exact"/>
        <w:ind w:right="0" w:firstLine="640" w:firstLineChars="200"/>
        <w:jc w:val="both"/>
        <w:textAlignment w:val="auto"/>
        <w:rPr>
          <w:rFonts w:hint="eastAsia" w:ascii="仿宋" w:hAnsi="仿宋" w:eastAsia="仿宋" w:cs="仿宋"/>
          <w:color w:val="000000"/>
          <w:kern w:val="31"/>
          <w:sz w:val="32"/>
          <w:szCs w:val="32"/>
          <w:lang w:val="en-US" w:eastAsia="zh-CN" w:bidi="ar-SA"/>
        </w:rPr>
      </w:pPr>
      <w:r>
        <w:rPr>
          <w:rFonts w:hint="eastAsia" w:ascii="仿宋" w:hAnsi="仿宋" w:eastAsia="仿宋" w:cs="仿宋"/>
          <w:color w:val="000000"/>
          <w:kern w:val="31"/>
          <w:sz w:val="32"/>
          <w:szCs w:val="32"/>
          <w:lang w:val="en-US" w:eastAsia="zh-CN" w:bidi="ar-SA"/>
        </w:rPr>
        <w:t>食品安全事件伤病员全部得到救治，原患者病情稳定24小时以上，且无新的急性病症患者出现，食源性感染性疾病在末例患者后经过最长潜伏期无新病例出现；</w:t>
      </w:r>
    </w:p>
    <w:p>
      <w:pPr>
        <w:keepNext w:val="0"/>
        <w:keepLines w:val="0"/>
        <w:pageBreakBefore w:val="0"/>
        <w:widowControl w:val="0"/>
        <w:kinsoku/>
        <w:wordWrap/>
        <w:overflowPunct/>
        <w:topLinePunct w:val="0"/>
        <w:autoSpaceDE w:val="0"/>
        <w:autoSpaceDN w:val="0"/>
        <w:bidi w:val="0"/>
        <w:adjustRightInd/>
        <w:snapToGrid/>
        <w:spacing w:before="0" w:line="600" w:lineRule="exact"/>
        <w:ind w:right="0" w:firstLine="640" w:firstLineChars="200"/>
        <w:jc w:val="both"/>
        <w:textAlignment w:val="auto"/>
        <w:rPr>
          <w:rFonts w:hint="eastAsia" w:ascii="仿宋" w:hAnsi="仿宋" w:eastAsia="仿宋" w:cs="仿宋"/>
          <w:color w:val="000000"/>
          <w:kern w:val="31"/>
          <w:sz w:val="32"/>
          <w:szCs w:val="32"/>
          <w:lang w:val="en-US" w:eastAsia="zh-CN" w:bidi="ar-SA"/>
        </w:rPr>
      </w:pPr>
      <w:r>
        <w:rPr>
          <w:rFonts w:hint="eastAsia" w:ascii="仿宋" w:hAnsi="仿宋" w:eastAsia="仿宋" w:cs="仿宋"/>
          <w:color w:val="000000"/>
          <w:kern w:val="31"/>
          <w:sz w:val="32"/>
          <w:szCs w:val="32"/>
          <w:lang w:val="en-US" w:eastAsia="zh-CN" w:bidi="ar-SA"/>
        </w:rPr>
        <w:t>事发现场得到有效控制，受污染食品得到有效清理并符合相关标准，次生、衍生事件隐患消除。</w:t>
      </w:r>
    </w:p>
    <w:p>
      <w:pPr>
        <w:keepNext w:val="0"/>
        <w:keepLines w:val="0"/>
        <w:pageBreakBefore w:val="0"/>
        <w:widowControl w:val="0"/>
        <w:kinsoku/>
        <w:wordWrap/>
        <w:overflowPunct/>
        <w:topLinePunct w:val="0"/>
        <w:autoSpaceDE w:val="0"/>
        <w:autoSpaceDN w:val="0"/>
        <w:bidi w:val="0"/>
        <w:adjustRightInd/>
        <w:snapToGrid/>
        <w:spacing w:before="0" w:line="600" w:lineRule="exact"/>
        <w:ind w:right="0" w:firstLine="640" w:firstLineChars="200"/>
        <w:jc w:val="both"/>
        <w:textAlignment w:val="auto"/>
        <w:rPr>
          <w:rFonts w:hint="eastAsia" w:ascii="仿宋" w:hAnsi="仿宋" w:eastAsia="仿宋" w:cs="仿宋"/>
          <w:color w:val="000000"/>
          <w:kern w:val="31"/>
          <w:sz w:val="32"/>
          <w:szCs w:val="32"/>
          <w:lang w:val="en-US" w:eastAsia="zh-CN" w:bidi="ar-SA"/>
        </w:rPr>
      </w:pPr>
      <w:r>
        <w:rPr>
          <w:rFonts w:hint="eastAsia" w:ascii="楷体" w:hAnsi="楷体" w:eastAsia="楷体" w:cs="楷体"/>
          <w:color w:val="000000"/>
          <w:kern w:val="31"/>
          <w:sz w:val="32"/>
          <w:szCs w:val="32"/>
          <w:lang w:val="en-US" w:eastAsia="zh-CN" w:bidi="ar-SA"/>
        </w:rPr>
        <w:t>3.4 善后处置</w:t>
      </w:r>
    </w:p>
    <w:p>
      <w:pPr>
        <w:keepNext w:val="0"/>
        <w:keepLines w:val="0"/>
        <w:pageBreakBefore w:val="0"/>
        <w:widowControl w:val="0"/>
        <w:kinsoku/>
        <w:wordWrap/>
        <w:overflowPunct/>
        <w:topLinePunct w:val="0"/>
        <w:autoSpaceDE w:val="0"/>
        <w:autoSpaceDN w:val="0"/>
        <w:bidi w:val="0"/>
        <w:adjustRightInd/>
        <w:snapToGrid/>
        <w:spacing w:before="0" w:line="600" w:lineRule="exact"/>
        <w:ind w:right="0" w:firstLine="640" w:firstLineChars="200"/>
        <w:jc w:val="both"/>
        <w:textAlignment w:val="auto"/>
        <w:rPr>
          <w:rFonts w:hint="eastAsia" w:ascii="仿宋" w:hAnsi="仿宋" w:eastAsia="仿宋" w:cs="仿宋"/>
          <w:color w:val="000000"/>
          <w:kern w:val="31"/>
          <w:sz w:val="32"/>
          <w:szCs w:val="32"/>
          <w:lang w:val="en-US" w:eastAsia="zh-CN" w:bidi="ar-SA"/>
        </w:rPr>
      </w:pPr>
      <w:r>
        <w:rPr>
          <w:rFonts w:hint="eastAsia" w:ascii="仿宋" w:hAnsi="仿宋" w:eastAsia="仿宋" w:cs="仿宋"/>
          <w:color w:val="000000"/>
          <w:kern w:val="31"/>
          <w:sz w:val="32"/>
          <w:szCs w:val="32"/>
          <w:lang w:val="en-US" w:eastAsia="zh-CN" w:bidi="ar-SA"/>
        </w:rPr>
        <w:t>事发地政府及有关部门要积极稳妥、深入细致地做好善后处置工作，消除事件影响，恢复正常秩序；完善相关政策，促进行业健康发展。</w:t>
      </w:r>
    </w:p>
    <w:p>
      <w:pPr>
        <w:keepNext w:val="0"/>
        <w:keepLines w:val="0"/>
        <w:pageBreakBefore w:val="0"/>
        <w:widowControl w:val="0"/>
        <w:kinsoku/>
        <w:wordWrap/>
        <w:overflowPunct/>
        <w:topLinePunct w:val="0"/>
        <w:autoSpaceDE w:val="0"/>
        <w:autoSpaceDN w:val="0"/>
        <w:bidi w:val="0"/>
        <w:adjustRightInd/>
        <w:snapToGrid/>
        <w:spacing w:before="0" w:line="600" w:lineRule="exact"/>
        <w:ind w:right="0" w:firstLine="640" w:firstLineChars="200"/>
        <w:jc w:val="both"/>
        <w:textAlignment w:val="auto"/>
        <w:rPr>
          <w:rFonts w:hint="eastAsia" w:ascii="仿宋" w:hAnsi="仿宋" w:eastAsia="仿宋" w:cs="仿宋"/>
          <w:color w:val="000000"/>
          <w:kern w:val="31"/>
          <w:sz w:val="32"/>
          <w:szCs w:val="32"/>
          <w:lang w:val="en-US" w:eastAsia="zh-CN" w:bidi="ar-SA"/>
        </w:rPr>
      </w:pPr>
      <w:r>
        <w:rPr>
          <w:rFonts w:hint="eastAsia" w:ascii="仿宋" w:hAnsi="仿宋" w:eastAsia="仿宋" w:cs="仿宋"/>
          <w:color w:val="000000"/>
          <w:kern w:val="31"/>
          <w:sz w:val="32"/>
          <w:szCs w:val="32"/>
          <w:lang w:val="en-US" w:eastAsia="zh-CN" w:bidi="ar-SA"/>
        </w:rPr>
        <w:t>食品安全突发事件发生后，保险机构应当及时开展应急救援人员保险受理和受害人员保险理赔工作。</w:t>
      </w:r>
    </w:p>
    <w:p>
      <w:pPr>
        <w:keepNext w:val="0"/>
        <w:keepLines w:val="0"/>
        <w:pageBreakBefore w:val="0"/>
        <w:widowControl w:val="0"/>
        <w:kinsoku/>
        <w:wordWrap/>
        <w:overflowPunct/>
        <w:topLinePunct w:val="0"/>
        <w:autoSpaceDE w:val="0"/>
        <w:autoSpaceDN w:val="0"/>
        <w:bidi w:val="0"/>
        <w:adjustRightInd/>
        <w:snapToGrid/>
        <w:spacing w:before="0" w:line="600" w:lineRule="exact"/>
        <w:ind w:right="0" w:firstLine="640" w:firstLineChars="200"/>
        <w:jc w:val="both"/>
        <w:textAlignment w:val="auto"/>
        <w:rPr>
          <w:rFonts w:hint="eastAsia" w:ascii="仿宋" w:hAnsi="仿宋" w:eastAsia="仿宋" w:cs="仿宋"/>
          <w:color w:val="000000"/>
          <w:kern w:val="31"/>
          <w:sz w:val="32"/>
          <w:szCs w:val="32"/>
          <w:lang w:val="en-US" w:eastAsia="zh-CN" w:bidi="ar-SA"/>
        </w:rPr>
      </w:pPr>
      <w:r>
        <w:rPr>
          <w:rFonts w:hint="eastAsia" w:ascii="仿宋" w:hAnsi="仿宋" w:eastAsia="仿宋" w:cs="仿宋"/>
          <w:color w:val="000000"/>
          <w:kern w:val="31"/>
          <w:sz w:val="32"/>
          <w:szCs w:val="32"/>
          <w:lang w:val="en-US" w:eastAsia="zh-CN" w:bidi="ar-SA"/>
        </w:rPr>
        <w:t>造成食品安全事件的责任单位和责任人应当按照有关规定对受害人给予赔偿，承担受害人后续治疗及保障等所需费用。</w:t>
      </w:r>
    </w:p>
    <w:p>
      <w:pPr>
        <w:keepNext w:val="0"/>
        <w:keepLines w:val="0"/>
        <w:pageBreakBefore w:val="0"/>
        <w:widowControl w:val="0"/>
        <w:kinsoku/>
        <w:wordWrap/>
        <w:overflowPunct/>
        <w:topLinePunct w:val="0"/>
        <w:autoSpaceDE w:val="0"/>
        <w:autoSpaceDN w:val="0"/>
        <w:bidi w:val="0"/>
        <w:adjustRightInd/>
        <w:snapToGrid/>
        <w:spacing w:before="0" w:line="600" w:lineRule="exact"/>
        <w:ind w:right="0" w:firstLine="640" w:firstLineChars="200"/>
        <w:jc w:val="both"/>
        <w:textAlignment w:val="auto"/>
        <w:rPr>
          <w:rFonts w:hint="eastAsia" w:ascii="仿宋" w:hAnsi="仿宋" w:eastAsia="仿宋" w:cs="仿宋"/>
          <w:color w:val="000000"/>
          <w:kern w:val="31"/>
          <w:sz w:val="32"/>
          <w:szCs w:val="32"/>
          <w:lang w:val="en-US" w:eastAsia="zh-CN" w:bidi="ar-SA"/>
        </w:rPr>
      </w:pPr>
      <w:r>
        <w:rPr>
          <w:rFonts w:hint="eastAsia" w:ascii="楷体" w:hAnsi="楷体" w:eastAsia="楷体" w:cs="楷体"/>
          <w:color w:val="000000"/>
          <w:kern w:val="31"/>
          <w:sz w:val="32"/>
          <w:szCs w:val="32"/>
          <w:lang w:val="en-US" w:eastAsia="zh-CN" w:bidi="ar-SA"/>
        </w:rPr>
        <w:t>3.5 责任追究</w:t>
      </w:r>
    </w:p>
    <w:p>
      <w:pPr>
        <w:keepNext w:val="0"/>
        <w:keepLines w:val="0"/>
        <w:pageBreakBefore w:val="0"/>
        <w:widowControl w:val="0"/>
        <w:kinsoku/>
        <w:wordWrap/>
        <w:overflowPunct/>
        <w:topLinePunct w:val="0"/>
        <w:autoSpaceDE w:val="0"/>
        <w:autoSpaceDN w:val="0"/>
        <w:bidi w:val="0"/>
        <w:adjustRightInd/>
        <w:snapToGrid/>
        <w:spacing w:before="0" w:line="600" w:lineRule="exact"/>
        <w:ind w:right="0" w:firstLine="640" w:firstLineChars="200"/>
        <w:jc w:val="both"/>
        <w:textAlignment w:val="auto"/>
        <w:rPr>
          <w:rFonts w:hint="eastAsia" w:ascii="仿宋" w:hAnsi="仿宋" w:eastAsia="仿宋" w:cs="仿宋"/>
          <w:color w:val="000000"/>
          <w:kern w:val="31"/>
          <w:sz w:val="32"/>
          <w:szCs w:val="32"/>
          <w:lang w:val="en-US" w:eastAsia="zh-CN" w:bidi="ar-SA"/>
        </w:rPr>
      </w:pPr>
      <w:r>
        <w:rPr>
          <w:rFonts w:hint="eastAsia" w:ascii="仿宋" w:hAnsi="仿宋" w:eastAsia="仿宋" w:cs="仿宋"/>
          <w:color w:val="000000"/>
          <w:kern w:val="31"/>
          <w:sz w:val="32"/>
          <w:szCs w:val="32"/>
          <w:lang w:val="en-US" w:eastAsia="zh-CN" w:bidi="ar-SA"/>
        </w:rPr>
        <w:t>对食品安全突发事件相关的地方政府和单位领导班子、领导干部未正确履行食品安全监管职责，致使发生食品安全事件的，按照有关法律法规和党纪政纪规定进行责任追究。</w:t>
      </w:r>
    </w:p>
    <w:p>
      <w:pPr>
        <w:keepNext w:val="0"/>
        <w:keepLines w:val="0"/>
        <w:pageBreakBefore w:val="0"/>
        <w:widowControl w:val="0"/>
        <w:kinsoku/>
        <w:wordWrap/>
        <w:overflowPunct/>
        <w:topLinePunct w:val="0"/>
        <w:autoSpaceDE w:val="0"/>
        <w:autoSpaceDN w:val="0"/>
        <w:bidi w:val="0"/>
        <w:adjustRightInd/>
        <w:snapToGrid/>
        <w:spacing w:before="0" w:line="600" w:lineRule="exact"/>
        <w:ind w:right="0" w:firstLine="640" w:firstLineChars="200"/>
        <w:jc w:val="both"/>
        <w:textAlignment w:val="auto"/>
        <w:rPr>
          <w:rFonts w:hint="eastAsia" w:ascii="仿宋" w:hAnsi="仿宋" w:eastAsia="仿宋" w:cs="仿宋"/>
          <w:color w:val="000000"/>
          <w:kern w:val="31"/>
          <w:sz w:val="32"/>
          <w:szCs w:val="32"/>
          <w:lang w:val="en-US" w:eastAsia="zh-CN" w:bidi="ar-SA"/>
        </w:rPr>
      </w:pPr>
      <w:r>
        <w:rPr>
          <w:rFonts w:hint="eastAsia" w:ascii="仿宋" w:hAnsi="仿宋" w:eastAsia="仿宋" w:cs="仿宋"/>
          <w:color w:val="000000"/>
          <w:kern w:val="31"/>
          <w:sz w:val="32"/>
          <w:szCs w:val="32"/>
          <w:lang w:val="en-US" w:eastAsia="zh-CN" w:bidi="ar-SA"/>
        </w:rPr>
        <w:t>对隐瞒、谎报、缓报食品安全突发事件重要情况或在应急处置工作中有其他失职、渎职行为的，依法追究有关责任单位或责任人的责任，构成犯罪的，依法追究刑事责任。</w:t>
      </w:r>
    </w:p>
    <w:p>
      <w:pPr>
        <w:keepNext w:val="0"/>
        <w:keepLines w:val="0"/>
        <w:pageBreakBefore w:val="0"/>
        <w:widowControl w:val="0"/>
        <w:kinsoku/>
        <w:wordWrap/>
        <w:overflowPunct/>
        <w:topLinePunct w:val="0"/>
        <w:autoSpaceDE w:val="0"/>
        <w:autoSpaceDN w:val="0"/>
        <w:bidi w:val="0"/>
        <w:adjustRightInd/>
        <w:snapToGrid/>
        <w:spacing w:before="0" w:line="600" w:lineRule="exact"/>
        <w:ind w:right="0" w:firstLine="640" w:firstLineChars="200"/>
        <w:jc w:val="both"/>
        <w:textAlignment w:val="auto"/>
        <w:rPr>
          <w:rFonts w:hint="eastAsia" w:ascii="仿宋" w:hAnsi="仿宋" w:eastAsia="仿宋" w:cs="仿宋"/>
          <w:color w:val="000000"/>
          <w:kern w:val="31"/>
          <w:sz w:val="32"/>
          <w:szCs w:val="32"/>
          <w:lang w:val="en-US" w:eastAsia="zh-CN" w:bidi="ar-SA"/>
        </w:rPr>
      </w:pPr>
      <w:r>
        <w:rPr>
          <w:rFonts w:hint="eastAsia" w:ascii="仿宋" w:hAnsi="仿宋" w:eastAsia="仿宋" w:cs="仿宋"/>
          <w:color w:val="000000"/>
          <w:kern w:val="31"/>
          <w:sz w:val="32"/>
          <w:szCs w:val="32"/>
          <w:lang w:val="en-US" w:eastAsia="zh-CN" w:bidi="ar-SA"/>
        </w:rPr>
        <w:t>事件发生单位及相关食品生产经营企业在发生食品安全突发事件后未及时进行处置、报告的，或隐匿、伪造、毁灭有关证据，造成严重后果的，依法追究相应责任。</w:t>
      </w:r>
    </w:p>
    <w:p>
      <w:pPr>
        <w:keepNext w:val="0"/>
        <w:keepLines w:val="0"/>
        <w:pageBreakBefore w:val="0"/>
        <w:widowControl w:val="0"/>
        <w:kinsoku/>
        <w:wordWrap/>
        <w:overflowPunct/>
        <w:topLinePunct w:val="0"/>
        <w:autoSpaceDE w:val="0"/>
        <w:autoSpaceDN w:val="0"/>
        <w:bidi w:val="0"/>
        <w:adjustRightInd/>
        <w:snapToGrid/>
        <w:spacing w:before="0" w:line="600" w:lineRule="exact"/>
        <w:ind w:right="0" w:firstLine="640" w:firstLineChars="200"/>
        <w:jc w:val="both"/>
        <w:textAlignment w:val="auto"/>
        <w:rPr>
          <w:rFonts w:hint="eastAsia" w:ascii="仿宋" w:hAnsi="仿宋" w:eastAsia="仿宋" w:cs="仿宋"/>
          <w:color w:val="000000"/>
          <w:kern w:val="31"/>
          <w:sz w:val="32"/>
          <w:szCs w:val="32"/>
          <w:lang w:val="en-US" w:eastAsia="zh-CN" w:bidi="ar-SA"/>
        </w:rPr>
      </w:pPr>
      <w:r>
        <w:rPr>
          <w:rFonts w:hint="eastAsia" w:ascii="楷体" w:hAnsi="楷体" w:eastAsia="楷体" w:cs="楷体"/>
          <w:color w:val="000000"/>
          <w:kern w:val="31"/>
          <w:sz w:val="32"/>
          <w:szCs w:val="32"/>
          <w:lang w:val="en-US" w:eastAsia="zh-CN" w:bidi="ar-SA"/>
        </w:rPr>
        <w:t>3.6 总结评估</w:t>
      </w:r>
    </w:p>
    <w:p>
      <w:pPr>
        <w:keepNext w:val="0"/>
        <w:keepLines w:val="0"/>
        <w:pageBreakBefore w:val="0"/>
        <w:widowControl w:val="0"/>
        <w:kinsoku/>
        <w:wordWrap/>
        <w:overflowPunct/>
        <w:topLinePunct w:val="0"/>
        <w:autoSpaceDE w:val="0"/>
        <w:autoSpaceDN w:val="0"/>
        <w:bidi w:val="0"/>
        <w:adjustRightInd/>
        <w:snapToGrid/>
        <w:spacing w:before="0" w:line="600" w:lineRule="exact"/>
        <w:ind w:right="0" w:firstLine="640" w:firstLineChars="200"/>
        <w:jc w:val="both"/>
        <w:textAlignment w:val="auto"/>
        <w:rPr>
          <w:rFonts w:hint="eastAsia" w:ascii="仿宋" w:hAnsi="仿宋" w:eastAsia="仿宋" w:cs="仿宋"/>
          <w:color w:val="000000"/>
          <w:kern w:val="31"/>
          <w:sz w:val="32"/>
          <w:szCs w:val="32"/>
          <w:lang w:val="en-US" w:eastAsia="zh-CN" w:bidi="ar-SA"/>
        </w:rPr>
      </w:pPr>
      <w:r>
        <w:rPr>
          <w:rFonts w:hint="eastAsia" w:ascii="仿宋" w:hAnsi="仿宋" w:eastAsia="仿宋" w:cs="仿宋"/>
          <w:color w:val="000000"/>
          <w:kern w:val="31"/>
          <w:sz w:val="32"/>
          <w:szCs w:val="32"/>
          <w:lang w:val="en-US" w:eastAsia="zh-CN" w:bidi="ar-SA"/>
        </w:rPr>
        <w:t>食品安全突发事件善后处置结束后，区政府食安办要组织食品安全委成员单位及相关部门及时分析发生突发食品安全事件原因，总结教训，提出类似事件防范和处置建议，完成总结评估报告。必要时，采取适当方式向社会公布，并通报区政府及相关部门。</w:t>
      </w:r>
    </w:p>
    <w:p>
      <w:pPr>
        <w:keepNext w:val="0"/>
        <w:keepLines w:val="0"/>
        <w:pageBreakBefore w:val="0"/>
        <w:widowControl w:val="0"/>
        <w:kinsoku/>
        <w:wordWrap/>
        <w:overflowPunct/>
        <w:topLinePunct w:val="0"/>
        <w:autoSpaceDE w:val="0"/>
        <w:autoSpaceDN w:val="0"/>
        <w:bidi w:val="0"/>
        <w:adjustRightInd/>
        <w:snapToGrid/>
        <w:spacing w:before="0" w:line="600" w:lineRule="exact"/>
        <w:ind w:right="0" w:firstLine="640" w:firstLineChars="200"/>
        <w:jc w:val="both"/>
        <w:textAlignment w:val="auto"/>
        <w:rPr>
          <w:rFonts w:hint="eastAsia" w:ascii="仿宋" w:hAnsi="仿宋" w:eastAsia="仿宋" w:cs="仿宋"/>
          <w:color w:val="000000"/>
          <w:kern w:val="31"/>
          <w:sz w:val="32"/>
          <w:szCs w:val="32"/>
          <w:lang w:val="en-US" w:eastAsia="zh-CN" w:bidi="ar-SA"/>
        </w:rPr>
      </w:pPr>
      <w:r>
        <w:rPr>
          <w:rFonts w:hint="eastAsia" w:ascii="黑体" w:hAnsi="黑体" w:eastAsia="黑体" w:cs="黑体"/>
          <w:color w:val="000000"/>
          <w:kern w:val="31"/>
          <w:sz w:val="32"/>
          <w:szCs w:val="32"/>
          <w:lang w:val="en-US" w:eastAsia="zh-CN" w:bidi="ar-SA"/>
        </w:rPr>
        <w:t>4 应急保障</w:t>
      </w:r>
    </w:p>
    <w:p>
      <w:pPr>
        <w:keepNext w:val="0"/>
        <w:keepLines w:val="0"/>
        <w:pageBreakBefore w:val="0"/>
        <w:widowControl w:val="0"/>
        <w:kinsoku/>
        <w:wordWrap/>
        <w:overflowPunct/>
        <w:topLinePunct w:val="0"/>
        <w:autoSpaceDE w:val="0"/>
        <w:autoSpaceDN w:val="0"/>
        <w:bidi w:val="0"/>
        <w:adjustRightInd/>
        <w:snapToGrid/>
        <w:spacing w:before="0" w:line="600" w:lineRule="exact"/>
        <w:ind w:right="0" w:firstLine="640" w:firstLineChars="200"/>
        <w:jc w:val="both"/>
        <w:textAlignment w:val="auto"/>
        <w:rPr>
          <w:rFonts w:hint="eastAsia" w:ascii="仿宋" w:hAnsi="仿宋" w:eastAsia="仿宋" w:cs="仿宋"/>
          <w:color w:val="000000"/>
          <w:kern w:val="31"/>
          <w:sz w:val="32"/>
          <w:szCs w:val="32"/>
          <w:lang w:val="en-US" w:eastAsia="zh-CN" w:bidi="ar-SA"/>
        </w:rPr>
      </w:pPr>
      <w:r>
        <w:rPr>
          <w:rFonts w:hint="eastAsia" w:ascii="楷体" w:hAnsi="楷体" w:eastAsia="楷体" w:cs="楷体"/>
          <w:color w:val="000000"/>
          <w:kern w:val="31"/>
          <w:sz w:val="32"/>
          <w:szCs w:val="32"/>
          <w:lang w:val="en-US" w:eastAsia="zh-CN" w:bidi="ar-SA"/>
        </w:rPr>
        <w:t>4.1 人员保障</w:t>
      </w:r>
    </w:p>
    <w:p>
      <w:pPr>
        <w:keepNext w:val="0"/>
        <w:keepLines w:val="0"/>
        <w:pageBreakBefore w:val="0"/>
        <w:widowControl w:val="0"/>
        <w:kinsoku/>
        <w:wordWrap/>
        <w:overflowPunct/>
        <w:topLinePunct w:val="0"/>
        <w:autoSpaceDE w:val="0"/>
        <w:autoSpaceDN w:val="0"/>
        <w:bidi w:val="0"/>
        <w:adjustRightInd/>
        <w:snapToGrid/>
        <w:spacing w:before="0" w:line="600" w:lineRule="exact"/>
        <w:ind w:right="0" w:firstLine="640" w:firstLineChars="200"/>
        <w:jc w:val="both"/>
        <w:textAlignment w:val="auto"/>
        <w:rPr>
          <w:rFonts w:hint="eastAsia" w:ascii="仿宋" w:hAnsi="仿宋" w:eastAsia="仿宋" w:cs="仿宋"/>
          <w:color w:val="000000"/>
          <w:kern w:val="31"/>
          <w:sz w:val="32"/>
          <w:szCs w:val="32"/>
          <w:lang w:val="en-US" w:eastAsia="zh-CN" w:bidi="ar-SA"/>
        </w:rPr>
      </w:pPr>
      <w:r>
        <w:rPr>
          <w:rFonts w:hint="eastAsia" w:ascii="仿宋" w:hAnsi="仿宋" w:eastAsia="仿宋" w:cs="仿宋"/>
          <w:color w:val="000000"/>
          <w:kern w:val="31"/>
          <w:sz w:val="32"/>
          <w:szCs w:val="32"/>
          <w:lang w:val="en-US" w:eastAsia="zh-CN" w:bidi="ar-SA"/>
        </w:rPr>
        <w:t>宛城市场监管分局应加强应急处置专业力量建设，提高快速响应和应对处置能力，相关行业领域应急队伍应积极参加食品安全事件应急处置工作。健全专家队伍，为事故核实、级别核定、评估预警和应急处置等工作提供人才支撑。技术机构、集中供餐单位、食品生产经营企业应开展食品安全事件应急处置培训，提升应急管理能力和水平。</w:t>
      </w:r>
    </w:p>
    <w:p>
      <w:pPr>
        <w:keepNext w:val="0"/>
        <w:keepLines w:val="0"/>
        <w:pageBreakBefore w:val="0"/>
        <w:widowControl w:val="0"/>
        <w:kinsoku/>
        <w:wordWrap/>
        <w:overflowPunct/>
        <w:topLinePunct w:val="0"/>
        <w:autoSpaceDE w:val="0"/>
        <w:autoSpaceDN w:val="0"/>
        <w:bidi w:val="0"/>
        <w:adjustRightInd/>
        <w:snapToGrid/>
        <w:spacing w:before="0" w:line="600" w:lineRule="exact"/>
        <w:ind w:right="0" w:firstLine="640" w:firstLineChars="200"/>
        <w:jc w:val="both"/>
        <w:textAlignment w:val="auto"/>
        <w:rPr>
          <w:rFonts w:hint="eastAsia" w:ascii="仿宋" w:hAnsi="仿宋" w:eastAsia="仿宋" w:cs="仿宋"/>
          <w:color w:val="000000"/>
          <w:kern w:val="31"/>
          <w:sz w:val="32"/>
          <w:szCs w:val="32"/>
          <w:lang w:val="en-US" w:eastAsia="zh-CN" w:bidi="ar-SA"/>
        </w:rPr>
      </w:pPr>
      <w:r>
        <w:rPr>
          <w:rFonts w:hint="eastAsia" w:ascii="楷体" w:hAnsi="楷体" w:eastAsia="楷体" w:cs="楷体"/>
          <w:color w:val="000000"/>
          <w:kern w:val="31"/>
          <w:sz w:val="32"/>
          <w:szCs w:val="32"/>
          <w:lang w:val="en-US" w:eastAsia="zh-CN" w:bidi="ar-SA"/>
        </w:rPr>
        <w:t>4.2 物资经费保障</w:t>
      </w:r>
    </w:p>
    <w:p>
      <w:pPr>
        <w:keepNext w:val="0"/>
        <w:keepLines w:val="0"/>
        <w:pageBreakBefore w:val="0"/>
        <w:widowControl w:val="0"/>
        <w:kinsoku/>
        <w:wordWrap/>
        <w:overflowPunct/>
        <w:topLinePunct w:val="0"/>
        <w:autoSpaceDE w:val="0"/>
        <w:autoSpaceDN w:val="0"/>
        <w:bidi w:val="0"/>
        <w:adjustRightInd/>
        <w:snapToGrid/>
        <w:spacing w:before="0" w:line="600" w:lineRule="exact"/>
        <w:ind w:right="0" w:firstLine="640" w:firstLineChars="200"/>
        <w:jc w:val="both"/>
        <w:textAlignment w:val="auto"/>
        <w:rPr>
          <w:rFonts w:hint="eastAsia" w:ascii="仿宋" w:hAnsi="仿宋" w:eastAsia="仿宋" w:cs="仿宋"/>
          <w:color w:val="000000"/>
          <w:kern w:val="31"/>
          <w:sz w:val="32"/>
          <w:szCs w:val="32"/>
          <w:lang w:val="en-US" w:eastAsia="zh-CN" w:bidi="ar-SA"/>
        </w:rPr>
      </w:pPr>
      <w:r>
        <w:rPr>
          <w:rFonts w:hint="eastAsia" w:ascii="仿宋" w:hAnsi="仿宋" w:eastAsia="仿宋" w:cs="仿宋"/>
          <w:color w:val="000000"/>
          <w:kern w:val="31"/>
          <w:sz w:val="32"/>
          <w:szCs w:val="32"/>
          <w:lang w:val="en-US" w:eastAsia="zh-CN" w:bidi="ar-SA"/>
        </w:rPr>
        <w:t>区政府统筹做好食品安全事故应急处置所需物资装备的储备调用工作；食品安全事件防范、应急演练和应对处置等工作所需经费，</w:t>
      </w:r>
      <w:bookmarkStart w:id="0" w:name="_GoBack"/>
      <w:bookmarkEnd w:id="0"/>
      <w:r>
        <w:rPr>
          <w:rFonts w:hint="eastAsia" w:ascii="仿宋" w:hAnsi="仿宋" w:eastAsia="仿宋" w:cs="仿宋"/>
          <w:color w:val="000000"/>
          <w:kern w:val="31"/>
          <w:sz w:val="32"/>
          <w:szCs w:val="32"/>
          <w:lang w:val="en-US" w:eastAsia="zh-CN" w:bidi="ar-SA"/>
        </w:rPr>
        <w:t>列入同级财政预算。</w:t>
      </w:r>
    </w:p>
    <w:p>
      <w:pPr>
        <w:keepNext w:val="0"/>
        <w:keepLines w:val="0"/>
        <w:pageBreakBefore w:val="0"/>
        <w:widowControl w:val="0"/>
        <w:kinsoku/>
        <w:wordWrap/>
        <w:overflowPunct/>
        <w:topLinePunct w:val="0"/>
        <w:autoSpaceDE w:val="0"/>
        <w:autoSpaceDN w:val="0"/>
        <w:bidi w:val="0"/>
        <w:adjustRightInd/>
        <w:snapToGrid/>
        <w:spacing w:before="0" w:line="600" w:lineRule="exact"/>
        <w:ind w:right="0" w:firstLine="640" w:firstLineChars="200"/>
        <w:jc w:val="both"/>
        <w:textAlignment w:val="auto"/>
        <w:rPr>
          <w:rFonts w:hint="eastAsia" w:ascii="仿宋" w:hAnsi="仿宋" w:eastAsia="仿宋" w:cs="仿宋"/>
          <w:color w:val="000000"/>
          <w:kern w:val="31"/>
          <w:sz w:val="32"/>
          <w:szCs w:val="32"/>
          <w:lang w:val="en-US" w:eastAsia="zh-CN" w:bidi="ar-SA"/>
        </w:rPr>
      </w:pPr>
      <w:r>
        <w:rPr>
          <w:rFonts w:hint="eastAsia" w:ascii="楷体" w:hAnsi="楷体" w:eastAsia="楷体" w:cs="楷体"/>
          <w:color w:val="000000"/>
          <w:kern w:val="31"/>
          <w:sz w:val="32"/>
          <w:szCs w:val="32"/>
          <w:lang w:val="en-US" w:eastAsia="zh-CN" w:bidi="ar-SA"/>
        </w:rPr>
        <w:t>4.3 医疗保障</w:t>
      </w:r>
    </w:p>
    <w:p>
      <w:pPr>
        <w:keepNext w:val="0"/>
        <w:keepLines w:val="0"/>
        <w:pageBreakBefore w:val="0"/>
        <w:widowControl w:val="0"/>
        <w:kinsoku/>
        <w:wordWrap/>
        <w:overflowPunct/>
        <w:topLinePunct w:val="0"/>
        <w:autoSpaceDE w:val="0"/>
        <w:autoSpaceDN w:val="0"/>
        <w:bidi w:val="0"/>
        <w:adjustRightInd/>
        <w:snapToGrid/>
        <w:spacing w:before="0" w:line="600" w:lineRule="exact"/>
        <w:ind w:right="0" w:firstLine="640" w:firstLineChars="200"/>
        <w:jc w:val="both"/>
        <w:textAlignment w:val="auto"/>
        <w:rPr>
          <w:rFonts w:hint="eastAsia" w:ascii="仿宋" w:hAnsi="仿宋" w:eastAsia="仿宋" w:cs="仿宋"/>
          <w:color w:val="000000"/>
          <w:kern w:val="31"/>
          <w:sz w:val="32"/>
          <w:szCs w:val="32"/>
          <w:lang w:val="en-US" w:eastAsia="zh-CN" w:bidi="ar-SA"/>
        </w:rPr>
      </w:pPr>
      <w:r>
        <w:rPr>
          <w:rFonts w:hint="eastAsia" w:ascii="仿宋" w:hAnsi="仿宋" w:eastAsia="仿宋" w:cs="仿宋"/>
          <w:color w:val="000000"/>
          <w:kern w:val="31"/>
          <w:sz w:val="32"/>
          <w:szCs w:val="32"/>
          <w:lang w:val="en-US" w:eastAsia="zh-CN" w:bidi="ar-SA"/>
        </w:rPr>
        <w:t>区卫生健康委建立功能完善、反应灵敏、运转协调、持续发展的医疗救治体系，在食品安全事件造成人员伤害时迅速开展医疗救治。</w:t>
      </w:r>
    </w:p>
    <w:p>
      <w:pPr>
        <w:keepNext w:val="0"/>
        <w:keepLines w:val="0"/>
        <w:pageBreakBefore w:val="0"/>
        <w:widowControl w:val="0"/>
        <w:kinsoku/>
        <w:wordWrap/>
        <w:overflowPunct/>
        <w:topLinePunct w:val="0"/>
        <w:autoSpaceDE w:val="0"/>
        <w:autoSpaceDN w:val="0"/>
        <w:bidi w:val="0"/>
        <w:adjustRightInd/>
        <w:snapToGrid/>
        <w:spacing w:before="0" w:line="600" w:lineRule="exact"/>
        <w:ind w:right="0" w:firstLine="640" w:firstLineChars="200"/>
        <w:jc w:val="both"/>
        <w:textAlignment w:val="auto"/>
        <w:rPr>
          <w:rFonts w:hint="eastAsia" w:ascii="仿宋" w:hAnsi="仿宋" w:eastAsia="仿宋" w:cs="仿宋"/>
          <w:color w:val="000000"/>
          <w:kern w:val="31"/>
          <w:sz w:val="32"/>
          <w:szCs w:val="32"/>
          <w:lang w:val="en-US" w:eastAsia="zh-CN" w:bidi="ar-SA"/>
        </w:rPr>
      </w:pPr>
      <w:r>
        <w:rPr>
          <w:rFonts w:hint="eastAsia" w:ascii="楷体" w:hAnsi="楷体" w:eastAsia="楷体" w:cs="楷体"/>
          <w:color w:val="000000"/>
          <w:kern w:val="31"/>
          <w:sz w:val="32"/>
          <w:szCs w:val="32"/>
          <w:lang w:val="en-US" w:eastAsia="zh-CN" w:bidi="ar-SA"/>
        </w:rPr>
        <w:t>4.4 技术保障</w:t>
      </w:r>
    </w:p>
    <w:p>
      <w:pPr>
        <w:keepNext w:val="0"/>
        <w:keepLines w:val="0"/>
        <w:pageBreakBefore w:val="0"/>
        <w:widowControl w:val="0"/>
        <w:kinsoku/>
        <w:wordWrap/>
        <w:overflowPunct/>
        <w:topLinePunct w:val="0"/>
        <w:autoSpaceDE w:val="0"/>
        <w:autoSpaceDN w:val="0"/>
        <w:bidi w:val="0"/>
        <w:adjustRightInd/>
        <w:snapToGrid/>
        <w:spacing w:before="0" w:line="600" w:lineRule="exact"/>
        <w:ind w:right="0" w:firstLine="640" w:firstLineChars="200"/>
        <w:jc w:val="both"/>
        <w:textAlignment w:val="auto"/>
        <w:rPr>
          <w:rFonts w:hint="eastAsia" w:ascii="仿宋" w:hAnsi="仿宋" w:eastAsia="仿宋" w:cs="仿宋"/>
          <w:color w:val="000000"/>
          <w:kern w:val="31"/>
          <w:sz w:val="32"/>
          <w:szCs w:val="32"/>
          <w:lang w:val="en-US" w:eastAsia="zh-CN" w:bidi="ar-SA"/>
        </w:rPr>
      </w:pPr>
      <w:r>
        <w:rPr>
          <w:rFonts w:hint="eastAsia" w:ascii="仿宋" w:hAnsi="仿宋" w:eastAsia="仿宋" w:cs="仿宋"/>
          <w:color w:val="000000"/>
          <w:kern w:val="31"/>
          <w:sz w:val="32"/>
          <w:szCs w:val="32"/>
          <w:lang w:val="en-US" w:eastAsia="zh-CN" w:bidi="ar-SA"/>
        </w:rPr>
        <w:t>加强食品安全事件信息直报系统推广、运用，提升信息报送的时效性。区卫生健康委组织完善风险评估基础数据库，健全食源性疾病监测体系。推进食品安全专业技术机构能力建设，健全各级食品和农产品质量安全检验检测体系，提升应急处置能力。</w:t>
      </w:r>
    </w:p>
    <w:p>
      <w:pPr>
        <w:keepNext w:val="0"/>
        <w:keepLines w:val="0"/>
        <w:pageBreakBefore w:val="0"/>
        <w:widowControl w:val="0"/>
        <w:kinsoku/>
        <w:wordWrap/>
        <w:overflowPunct/>
        <w:topLinePunct w:val="0"/>
        <w:autoSpaceDE w:val="0"/>
        <w:autoSpaceDN w:val="0"/>
        <w:bidi w:val="0"/>
        <w:adjustRightInd/>
        <w:snapToGrid/>
        <w:spacing w:before="0" w:line="600" w:lineRule="exact"/>
        <w:ind w:right="0" w:firstLine="640" w:firstLineChars="200"/>
        <w:jc w:val="both"/>
        <w:textAlignment w:val="auto"/>
        <w:rPr>
          <w:rFonts w:hint="eastAsia" w:ascii="仿宋" w:hAnsi="仿宋" w:eastAsia="仿宋" w:cs="仿宋"/>
          <w:color w:val="000000"/>
          <w:kern w:val="31"/>
          <w:sz w:val="32"/>
          <w:szCs w:val="32"/>
          <w:lang w:val="en-US" w:eastAsia="zh-CN" w:bidi="ar-SA"/>
        </w:rPr>
      </w:pPr>
      <w:r>
        <w:rPr>
          <w:rFonts w:hint="eastAsia" w:ascii="黑体" w:hAnsi="黑体" w:eastAsia="黑体" w:cs="黑体"/>
          <w:color w:val="000000"/>
          <w:kern w:val="31"/>
          <w:sz w:val="32"/>
          <w:szCs w:val="32"/>
          <w:lang w:val="en-US" w:eastAsia="zh-CN" w:bidi="ar-SA"/>
        </w:rPr>
        <w:t>5 预案管理</w:t>
      </w:r>
    </w:p>
    <w:p>
      <w:pPr>
        <w:keepNext w:val="0"/>
        <w:keepLines w:val="0"/>
        <w:pageBreakBefore w:val="0"/>
        <w:widowControl w:val="0"/>
        <w:kinsoku/>
        <w:wordWrap/>
        <w:overflowPunct/>
        <w:topLinePunct w:val="0"/>
        <w:autoSpaceDE w:val="0"/>
        <w:autoSpaceDN w:val="0"/>
        <w:bidi w:val="0"/>
        <w:adjustRightInd/>
        <w:snapToGrid/>
        <w:spacing w:before="0" w:line="600" w:lineRule="exact"/>
        <w:ind w:right="0" w:firstLine="640" w:firstLineChars="200"/>
        <w:jc w:val="both"/>
        <w:textAlignment w:val="auto"/>
        <w:rPr>
          <w:rFonts w:hint="eastAsia" w:ascii="仿宋" w:hAnsi="仿宋" w:eastAsia="仿宋" w:cs="仿宋"/>
          <w:color w:val="000000"/>
          <w:kern w:val="31"/>
          <w:sz w:val="32"/>
          <w:szCs w:val="32"/>
          <w:lang w:val="en-US" w:eastAsia="zh-CN" w:bidi="ar-SA"/>
        </w:rPr>
      </w:pPr>
      <w:r>
        <w:rPr>
          <w:rFonts w:hint="eastAsia" w:ascii="楷体" w:hAnsi="楷体" w:eastAsia="楷体" w:cs="楷体"/>
          <w:color w:val="000000"/>
          <w:kern w:val="31"/>
          <w:sz w:val="32"/>
          <w:szCs w:val="32"/>
          <w:lang w:val="en-US" w:eastAsia="zh-CN" w:bidi="ar-SA"/>
        </w:rPr>
        <w:t>5.1 预案编制</w:t>
      </w:r>
    </w:p>
    <w:p>
      <w:pPr>
        <w:keepNext w:val="0"/>
        <w:keepLines w:val="0"/>
        <w:pageBreakBefore w:val="0"/>
        <w:widowControl w:val="0"/>
        <w:kinsoku/>
        <w:wordWrap/>
        <w:overflowPunct/>
        <w:topLinePunct w:val="0"/>
        <w:autoSpaceDE w:val="0"/>
        <w:autoSpaceDN w:val="0"/>
        <w:bidi w:val="0"/>
        <w:adjustRightInd/>
        <w:snapToGrid/>
        <w:spacing w:before="0" w:line="600" w:lineRule="exact"/>
        <w:ind w:right="0" w:firstLine="640" w:firstLineChars="200"/>
        <w:jc w:val="both"/>
        <w:textAlignment w:val="auto"/>
        <w:rPr>
          <w:rFonts w:hint="eastAsia" w:ascii="仿宋" w:hAnsi="仿宋" w:eastAsia="仿宋" w:cs="仿宋"/>
          <w:color w:val="000000"/>
          <w:kern w:val="31"/>
          <w:sz w:val="32"/>
          <w:szCs w:val="32"/>
          <w:lang w:val="en-US" w:eastAsia="zh-CN" w:bidi="ar-SA"/>
        </w:rPr>
      </w:pPr>
      <w:r>
        <w:rPr>
          <w:rFonts w:hint="eastAsia" w:ascii="仿宋" w:hAnsi="仿宋" w:eastAsia="仿宋" w:cs="仿宋"/>
          <w:color w:val="000000"/>
          <w:kern w:val="31"/>
          <w:sz w:val="32"/>
          <w:szCs w:val="32"/>
          <w:lang w:val="en-US" w:eastAsia="zh-CN" w:bidi="ar-SA"/>
        </w:rPr>
        <w:t>本预案为全区食品安全突发事件应急处置专项预案。相关部门制定本部门食品安全事件应急预案。</w:t>
      </w:r>
    </w:p>
    <w:p>
      <w:pPr>
        <w:keepNext w:val="0"/>
        <w:keepLines w:val="0"/>
        <w:pageBreakBefore w:val="0"/>
        <w:widowControl w:val="0"/>
        <w:kinsoku/>
        <w:wordWrap/>
        <w:overflowPunct/>
        <w:topLinePunct w:val="0"/>
        <w:autoSpaceDE w:val="0"/>
        <w:autoSpaceDN w:val="0"/>
        <w:bidi w:val="0"/>
        <w:adjustRightInd/>
        <w:snapToGrid/>
        <w:spacing w:before="0" w:line="600" w:lineRule="exact"/>
        <w:ind w:right="0" w:firstLine="640" w:firstLineChars="200"/>
        <w:jc w:val="both"/>
        <w:textAlignment w:val="auto"/>
        <w:rPr>
          <w:rFonts w:hint="eastAsia" w:ascii="仿宋" w:hAnsi="仿宋" w:eastAsia="仿宋" w:cs="仿宋"/>
          <w:color w:val="000000"/>
          <w:kern w:val="31"/>
          <w:sz w:val="32"/>
          <w:szCs w:val="32"/>
          <w:lang w:val="en-US" w:eastAsia="zh-CN" w:bidi="ar-SA"/>
        </w:rPr>
      </w:pPr>
      <w:r>
        <w:rPr>
          <w:rFonts w:hint="eastAsia" w:ascii="仿宋" w:hAnsi="仿宋" w:eastAsia="仿宋" w:cs="仿宋"/>
          <w:color w:val="000000"/>
          <w:kern w:val="31"/>
          <w:sz w:val="32"/>
          <w:szCs w:val="32"/>
          <w:lang w:val="en-US" w:eastAsia="zh-CN" w:bidi="ar-SA"/>
        </w:rPr>
        <w:t>食品生产经营企业、学校、托幼机构、养老机构、建筑工地等集中用餐单位，提供餐饮服务的铁路、水路、民航运营单位等，应制定本单位食品安全事件应急预案。</w:t>
      </w:r>
    </w:p>
    <w:p>
      <w:pPr>
        <w:keepNext w:val="0"/>
        <w:keepLines w:val="0"/>
        <w:pageBreakBefore w:val="0"/>
        <w:widowControl w:val="0"/>
        <w:kinsoku/>
        <w:wordWrap/>
        <w:overflowPunct/>
        <w:topLinePunct w:val="0"/>
        <w:autoSpaceDE w:val="0"/>
        <w:autoSpaceDN w:val="0"/>
        <w:bidi w:val="0"/>
        <w:adjustRightInd/>
        <w:snapToGrid/>
        <w:spacing w:before="0" w:line="600" w:lineRule="exact"/>
        <w:ind w:right="0" w:firstLine="640" w:firstLineChars="200"/>
        <w:jc w:val="both"/>
        <w:textAlignment w:val="auto"/>
        <w:rPr>
          <w:rFonts w:hint="eastAsia" w:ascii="仿宋" w:hAnsi="仿宋" w:eastAsia="仿宋" w:cs="仿宋"/>
          <w:color w:val="000000"/>
          <w:kern w:val="31"/>
          <w:sz w:val="32"/>
          <w:szCs w:val="32"/>
          <w:lang w:val="en-US" w:eastAsia="zh-CN" w:bidi="ar-SA"/>
        </w:rPr>
      </w:pPr>
      <w:r>
        <w:rPr>
          <w:rFonts w:hint="eastAsia" w:ascii="仿宋" w:hAnsi="仿宋" w:eastAsia="仿宋" w:cs="仿宋"/>
          <w:color w:val="000000"/>
          <w:kern w:val="31"/>
          <w:sz w:val="32"/>
          <w:szCs w:val="32"/>
          <w:lang w:val="en-US" w:eastAsia="zh-CN" w:bidi="ar-SA"/>
        </w:rPr>
        <w:t>预案涉及的部门和单位应编制食品安全应急处置工作手册， 细化职责任务，明确工作流程，落实到具体责任单位和责任人。</w:t>
      </w:r>
    </w:p>
    <w:p>
      <w:pPr>
        <w:keepNext w:val="0"/>
        <w:keepLines w:val="0"/>
        <w:pageBreakBefore w:val="0"/>
        <w:widowControl w:val="0"/>
        <w:kinsoku/>
        <w:wordWrap/>
        <w:overflowPunct/>
        <w:topLinePunct w:val="0"/>
        <w:autoSpaceDE w:val="0"/>
        <w:autoSpaceDN w:val="0"/>
        <w:bidi w:val="0"/>
        <w:adjustRightInd/>
        <w:snapToGrid/>
        <w:spacing w:before="0" w:line="600" w:lineRule="exact"/>
        <w:ind w:right="0" w:firstLine="640" w:firstLineChars="200"/>
        <w:jc w:val="both"/>
        <w:textAlignment w:val="auto"/>
        <w:rPr>
          <w:rFonts w:hint="eastAsia" w:ascii="仿宋" w:hAnsi="仿宋" w:eastAsia="仿宋" w:cs="仿宋"/>
          <w:color w:val="000000"/>
          <w:kern w:val="31"/>
          <w:sz w:val="32"/>
          <w:szCs w:val="32"/>
          <w:lang w:val="en-US" w:eastAsia="zh-CN" w:bidi="ar-SA"/>
        </w:rPr>
      </w:pPr>
      <w:r>
        <w:rPr>
          <w:rFonts w:hint="eastAsia" w:ascii="楷体" w:hAnsi="楷体" w:eastAsia="楷体" w:cs="楷体"/>
          <w:color w:val="000000"/>
          <w:kern w:val="31"/>
          <w:sz w:val="32"/>
          <w:szCs w:val="32"/>
          <w:lang w:val="en-US" w:eastAsia="zh-CN" w:bidi="ar-SA"/>
        </w:rPr>
        <w:t>5.2 预案修订</w:t>
      </w:r>
    </w:p>
    <w:p>
      <w:pPr>
        <w:keepNext w:val="0"/>
        <w:keepLines w:val="0"/>
        <w:pageBreakBefore w:val="0"/>
        <w:widowControl w:val="0"/>
        <w:kinsoku/>
        <w:wordWrap/>
        <w:overflowPunct/>
        <w:topLinePunct w:val="0"/>
        <w:autoSpaceDE w:val="0"/>
        <w:autoSpaceDN w:val="0"/>
        <w:bidi w:val="0"/>
        <w:adjustRightInd/>
        <w:snapToGrid/>
        <w:spacing w:before="0" w:line="600" w:lineRule="exact"/>
        <w:ind w:right="0" w:firstLine="640" w:firstLineChars="200"/>
        <w:jc w:val="both"/>
        <w:textAlignment w:val="auto"/>
        <w:rPr>
          <w:rFonts w:hint="eastAsia" w:ascii="仿宋" w:hAnsi="仿宋" w:eastAsia="仿宋" w:cs="仿宋"/>
          <w:color w:val="000000"/>
          <w:kern w:val="31"/>
          <w:sz w:val="32"/>
          <w:szCs w:val="32"/>
          <w:lang w:val="en-US" w:eastAsia="zh-CN" w:bidi="ar-SA"/>
        </w:rPr>
      </w:pPr>
      <w:r>
        <w:rPr>
          <w:rFonts w:hint="eastAsia" w:ascii="仿宋" w:hAnsi="仿宋" w:eastAsia="仿宋" w:cs="仿宋"/>
          <w:color w:val="000000"/>
          <w:kern w:val="31"/>
          <w:sz w:val="32"/>
          <w:szCs w:val="32"/>
          <w:lang w:val="en-US" w:eastAsia="zh-CN" w:bidi="ar-SA"/>
        </w:rPr>
        <w:t>有下列情形之一，预案编制单位应当及时修订预案：</w:t>
      </w:r>
    </w:p>
    <w:p>
      <w:pPr>
        <w:keepNext w:val="0"/>
        <w:keepLines w:val="0"/>
        <w:pageBreakBefore w:val="0"/>
        <w:widowControl w:val="0"/>
        <w:kinsoku/>
        <w:wordWrap/>
        <w:overflowPunct/>
        <w:topLinePunct w:val="0"/>
        <w:autoSpaceDE w:val="0"/>
        <w:autoSpaceDN w:val="0"/>
        <w:bidi w:val="0"/>
        <w:adjustRightInd/>
        <w:snapToGrid/>
        <w:spacing w:before="0" w:line="600" w:lineRule="exact"/>
        <w:ind w:right="0" w:firstLine="640" w:firstLineChars="200"/>
        <w:jc w:val="both"/>
        <w:textAlignment w:val="auto"/>
        <w:rPr>
          <w:rFonts w:hint="eastAsia" w:ascii="仿宋" w:hAnsi="仿宋" w:eastAsia="仿宋" w:cs="仿宋"/>
          <w:color w:val="000000"/>
          <w:kern w:val="31"/>
          <w:sz w:val="32"/>
          <w:szCs w:val="32"/>
          <w:lang w:val="en-US" w:eastAsia="zh-CN" w:bidi="ar-SA"/>
        </w:rPr>
      </w:pPr>
      <w:r>
        <w:rPr>
          <w:rFonts w:hint="eastAsia" w:ascii="仿宋" w:hAnsi="仿宋" w:eastAsia="仿宋" w:cs="仿宋"/>
          <w:color w:val="000000"/>
          <w:kern w:val="31"/>
          <w:sz w:val="32"/>
          <w:szCs w:val="32"/>
          <w:lang w:val="en-US" w:eastAsia="zh-CN" w:bidi="ar-SA"/>
        </w:rPr>
        <w:t>有关法律、法规、规章、上位预案中的有关规定发生变化；</w:t>
      </w:r>
    </w:p>
    <w:p>
      <w:pPr>
        <w:keepNext w:val="0"/>
        <w:keepLines w:val="0"/>
        <w:pageBreakBefore w:val="0"/>
        <w:widowControl w:val="0"/>
        <w:kinsoku/>
        <w:wordWrap/>
        <w:overflowPunct/>
        <w:topLinePunct w:val="0"/>
        <w:autoSpaceDE w:val="0"/>
        <w:autoSpaceDN w:val="0"/>
        <w:bidi w:val="0"/>
        <w:adjustRightInd/>
        <w:snapToGrid/>
        <w:spacing w:before="0" w:line="600" w:lineRule="exact"/>
        <w:ind w:right="0" w:firstLine="640" w:firstLineChars="200"/>
        <w:jc w:val="both"/>
        <w:textAlignment w:val="auto"/>
        <w:rPr>
          <w:rFonts w:hint="eastAsia" w:ascii="仿宋" w:hAnsi="仿宋" w:eastAsia="仿宋" w:cs="仿宋"/>
          <w:color w:val="000000"/>
          <w:kern w:val="31"/>
          <w:sz w:val="32"/>
          <w:szCs w:val="32"/>
          <w:lang w:val="en-US" w:eastAsia="zh-CN" w:bidi="ar-SA"/>
        </w:rPr>
      </w:pPr>
      <w:r>
        <w:rPr>
          <w:rFonts w:hint="eastAsia" w:ascii="仿宋" w:hAnsi="仿宋" w:eastAsia="仿宋" w:cs="仿宋"/>
          <w:color w:val="000000"/>
          <w:kern w:val="31"/>
          <w:sz w:val="32"/>
          <w:szCs w:val="32"/>
          <w:lang w:val="en-US" w:eastAsia="zh-CN" w:bidi="ar-SA"/>
        </w:rPr>
        <w:t>应急指挥机构及其职责发生重大调整；</w:t>
      </w:r>
    </w:p>
    <w:p>
      <w:pPr>
        <w:keepNext w:val="0"/>
        <w:keepLines w:val="0"/>
        <w:pageBreakBefore w:val="0"/>
        <w:widowControl w:val="0"/>
        <w:kinsoku/>
        <w:wordWrap/>
        <w:overflowPunct/>
        <w:topLinePunct w:val="0"/>
        <w:autoSpaceDE w:val="0"/>
        <w:autoSpaceDN w:val="0"/>
        <w:bidi w:val="0"/>
        <w:adjustRightInd/>
        <w:snapToGrid/>
        <w:spacing w:before="0" w:line="600" w:lineRule="exact"/>
        <w:ind w:right="0" w:firstLine="640" w:firstLineChars="200"/>
        <w:jc w:val="both"/>
        <w:textAlignment w:val="auto"/>
        <w:rPr>
          <w:rFonts w:hint="eastAsia" w:ascii="仿宋" w:hAnsi="仿宋" w:eastAsia="仿宋" w:cs="仿宋"/>
          <w:color w:val="000000"/>
          <w:kern w:val="31"/>
          <w:sz w:val="32"/>
          <w:szCs w:val="32"/>
          <w:lang w:val="en-US" w:eastAsia="zh-CN" w:bidi="ar-SA"/>
        </w:rPr>
      </w:pPr>
      <w:r>
        <w:rPr>
          <w:rFonts w:hint="eastAsia" w:ascii="仿宋" w:hAnsi="仿宋" w:eastAsia="仿宋" w:cs="仿宋"/>
          <w:color w:val="000000"/>
          <w:kern w:val="31"/>
          <w:sz w:val="32"/>
          <w:szCs w:val="32"/>
          <w:lang w:val="en-US" w:eastAsia="zh-CN" w:bidi="ar-SA"/>
        </w:rPr>
        <w:t>在食品安全事件实际应对和应急演练中发现重大问题；</w:t>
      </w:r>
    </w:p>
    <w:p>
      <w:pPr>
        <w:keepNext w:val="0"/>
        <w:keepLines w:val="0"/>
        <w:pageBreakBefore w:val="0"/>
        <w:widowControl w:val="0"/>
        <w:kinsoku/>
        <w:wordWrap/>
        <w:overflowPunct/>
        <w:topLinePunct w:val="0"/>
        <w:autoSpaceDE w:val="0"/>
        <w:autoSpaceDN w:val="0"/>
        <w:bidi w:val="0"/>
        <w:adjustRightInd/>
        <w:snapToGrid/>
        <w:spacing w:before="0" w:line="600" w:lineRule="exact"/>
        <w:ind w:right="0" w:firstLine="640" w:firstLineChars="200"/>
        <w:jc w:val="both"/>
        <w:textAlignment w:val="auto"/>
        <w:rPr>
          <w:rFonts w:hint="eastAsia" w:ascii="仿宋" w:hAnsi="仿宋" w:eastAsia="仿宋" w:cs="仿宋"/>
          <w:color w:val="000000"/>
          <w:kern w:val="31"/>
          <w:sz w:val="32"/>
          <w:szCs w:val="32"/>
          <w:lang w:val="en-US" w:eastAsia="zh-CN" w:bidi="ar-SA"/>
        </w:rPr>
      </w:pPr>
      <w:r>
        <w:rPr>
          <w:rFonts w:hint="eastAsia" w:ascii="仿宋" w:hAnsi="仿宋" w:eastAsia="仿宋" w:cs="仿宋"/>
          <w:color w:val="000000"/>
          <w:kern w:val="31"/>
          <w:sz w:val="32"/>
          <w:szCs w:val="32"/>
          <w:lang w:val="en-US" w:eastAsia="zh-CN" w:bidi="ar-SA"/>
        </w:rPr>
        <w:t>预案编制单位认为应当修订的其他情况。</w:t>
      </w:r>
    </w:p>
    <w:p>
      <w:pPr>
        <w:keepNext w:val="0"/>
        <w:keepLines w:val="0"/>
        <w:pageBreakBefore w:val="0"/>
        <w:widowControl w:val="0"/>
        <w:kinsoku/>
        <w:wordWrap/>
        <w:overflowPunct/>
        <w:topLinePunct w:val="0"/>
        <w:autoSpaceDE w:val="0"/>
        <w:autoSpaceDN w:val="0"/>
        <w:bidi w:val="0"/>
        <w:adjustRightInd/>
        <w:snapToGrid/>
        <w:spacing w:before="0" w:line="600" w:lineRule="exact"/>
        <w:ind w:right="0" w:firstLine="640" w:firstLineChars="200"/>
        <w:jc w:val="both"/>
        <w:textAlignment w:val="auto"/>
        <w:rPr>
          <w:rFonts w:hint="eastAsia" w:ascii="仿宋" w:hAnsi="仿宋" w:eastAsia="仿宋" w:cs="仿宋"/>
          <w:color w:val="000000"/>
          <w:kern w:val="31"/>
          <w:sz w:val="32"/>
          <w:szCs w:val="32"/>
          <w:lang w:val="en-US" w:eastAsia="zh-CN" w:bidi="ar-SA"/>
        </w:rPr>
      </w:pPr>
      <w:r>
        <w:rPr>
          <w:rFonts w:hint="eastAsia" w:ascii="楷体" w:hAnsi="楷体" w:eastAsia="楷体" w:cs="楷体"/>
          <w:color w:val="000000"/>
          <w:kern w:val="31"/>
          <w:sz w:val="32"/>
          <w:szCs w:val="32"/>
          <w:lang w:val="en-US" w:eastAsia="zh-CN" w:bidi="ar-SA"/>
        </w:rPr>
        <w:t>5.3 预案演练</w:t>
      </w:r>
    </w:p>
    <w:p>
      <w:pPr>
        <w:keepNext w:val="0"/>
        <w:keepLines w:val="0"/>
        <w:pageBreakBefore w:val="0"/>
        <w:widowControl w:val="0"/>
        <w:kinsoku/>
        <w:wordWrap/>
        <w:overflowPunct/>
        <w:topLinePunct w:val="0"/>
        <w:autoSpaceDE w:val="0"/>
        <w:autoSpaceDN w:val="0"/>
        <w:bidi w:val="0"/>
        <w:adjustRightInd/>
        <w:snapToGrid/>
        <w:spacing w:before="0" w:line="600" w:lineRule="exact"/>
        <w:ind w:right="0" w:firstLine="640" w:firstLineChars="200"/>
        <w:jc w:val="both"/>
        <w:textAlignment w:val="auto"/>
        <w:rPr>
          <w:rFonts w:hint="eastAsia" w:ascii="仿宋" w:hAnsi="仿宋" w:eastAsia="仿宋" w:cs="仿宋"/>
          <w:color w:val="000000"/>
          <w:kern w:val="31"/>
          <w:sz w:val="32"/>
          <w:szCs w:val="32"/>
          <w:lang w:val="en-US" w:eastAsia="zh-CN" w:bidi="ar-SA"/>
        </w:rPr>
      </w:pPr>
      <w:r>
        <w:rPr>
          <w:rFonts w:hint="eastAsia" w:ascii="仿宋" w:hAnsi="仿宋" w:eastAsia="仿宋" w:cs="仿宋"/>
          <w:color w:val="000000"/>
          <w:kern w:val="31"/>
          <w:sz w:val="32"/>
          <w:szCs w:val="32"/>
          <w:lang w:val="en-US" w:eastAsia="zh-CN" w:bidi="ar-SA"/>
        </w:rPr>
        <w:t>预案编制单位根据实际情况采取实战演练、桌面演练等方式，组织开展应急演练。区级食品安全事件应急预案每2年至少进行一次应急演练。</w:t>
      </w:r>
    </w:p>
    <w:p>
      <w:pPr>
        <w:keepNext w:val="0"/>
        <w:keepLines w:val="0"/>
        <w:pageBreakBefore w:val="0"/>
        <w:widowControl w:val="0"/>
        <w:kinsoku/>
        <w:wordWrap/>
        <w:overflowPunct/>
        <w:topLinePunct w:val="0"/>
        <w:autoSpaceDE w:val="0"/>
        <w:autoSpaceDN w:val="0"/>
        <w:bidi w:val="0"/>
        <w:adjustRightInd/>
        <w:snapToGrid/>
        <w:spacing w:before="0" w:line="600" w:lineRule="exact"/>
        <w:ind w:right="0" w:firstLine="640" w:firstLineChars="200"/>
        <w:jc w:val="both"/>
        <w:textAlignment w:val="auto"/>
        <w:rPr>
          <w:rFonts w:hint="eastAsia" w:ascii="仿宋" w:hAnsi="仿宋" w:eastAsia="仿宋" w:cs="仿宋"/>
          <w:color w:val="000000"/>
          <w:kern w:val="31"/>
          <w:sz w:val="32"/>
          <w:szCs w:val="32"/>
          <w:lang w:val="en-US" w:eastAsia="zh-CN" w:bidi="ar-SA"/>
        </w:rPr>
      </w:pPr>
      <w:r>
        <w:rPr>
          <w:rFonts w:hint="eastAsia" w:ascii="楷体" w:hAnsi="楷体" w:eastAsia="楷体" w:cs="楷体"/>
          <w:color w:val="000000"/>
          <w:kern w:val="31"/>
          <w:sz w:val="32"/>
          <w:szCs w:val="32"/>
          <w:lang w:val="en-US" w:eastAsia="zh-CN" w:bidi="ar-SA"/>
        </w:rPr>
        <w:t>5.4 预案实施</w:t>
      </w:r>
    </w:p>
    <w:p>
      <w:pPr>
        <w:keepNext w:val="0"/>
        <w:keepLines w:val="0"/>
        <w:pageBreakBefore w:val="0"/>
        <w:widowControl w:val="0"/>
        <w:kinsoku/>
        <w:wordWrap/>
        <w:overflowPunct/>
        <w:topLinePunct w:val="0"/>
        <w:autoSpaceDE w:val="0"/>
        <w:autoSpaceDN w:val="0"/>
        <w:bidi w:val="0"/>
        <w:adjustRightInd/>
        <w:snapToGrid/>
        <w:spacing w:before="0" w:line="600" w:lineRule="exact"/>
        <w:ind w:right="0" w:firstLine="640" w:firstLineChars="200"/>
        <w:jc w:val="both"/>
        <w:textAlignment w:val="auto"/>
        <w:rPr>
          <w:rFonts w:hint="eastAsia" w:ascii="仿宋" w:hAnsi="仿宋" w:eastAsia="仿宋" w:cs="仿宋"/>
          <w:color w:val="000000"/>
          <w:kern w:val="31"/>
          <w:sz w:val="32"/>
          <w:szCs w:val="32"/>
          <w:lang w:val="en-US" w:eastAsia="zh-CN" w:bidi="ar-SA"/>
        </w:rPr>
      </w:pPr>
      <w:r>
        <w:rPr>
          <w:rFonts w:hint="eastAsia" w:ascii="仿宋" w:hAnsi="仿宋" w:eastAsia="仿宋" w:cs="仿宋"/>
          <w:color w:val="000000"/>
          <w:kern w:val="31"/>
          <w:sz w:val="32"/>
          <w:szCs w:val="32"/>
          <w:lang w:val="en-US" w:eastAsia="zh-CN" w:bidi="ar-SA"/>
        </w:rPr>
        <w:t>本预案自发布之日起施行。由区政府食安办负责解释。</w:t>
      </w:r>
    </w:p>
    <w:p>
      <w:pPr>
        <w:keepNext w:val="0"/>
        <w:keepLines w:val="0"/>
        <w:pageBreakBefore w:val="0"/>
        <w:widowControl w:val="0"/>
        <w:kinsoku/>
        <w:wordWrap/>
        <w:overflowPunct/>
        <w:topLinePunct w:val="0"/>
        <w:autoSpaceDE w:val="0"/>
        <w:autoSpaceDN w:val="0"/>
        <w:bidi w:val="0"/>
        <w:adjustRightInd/>
        <w:snapToGrid/>
        <w:spacing w:before="0" w:line="600" w:lineRule="exact"/>
        <w:ind w:right="0" w:firstLine="640" w:firstLineChars="200"/>
        <w:jc w:val="both"/>
        <w:textAlignment w:val="auto"/>
        <w:rPr>
          <w:rFonts w:hint="eastAsia" w:ascii="仿宋" w:hAnsi="仿宋" w:eastAsia="仿宋" w:cs="仿宋"/>
          <w:color w:val="000000"/>
          <w:kern w:val="31"/>
          <w:sz w:val="32"/>
          <w:szCs w:val="32"/>
          <w:lang w:val="en-US" w:eastAsia="zh-CN" w:bidi="ar-SA"/>
        </w:rPr>
      </w:pPr>
      <w:r>
        <w:rPr>
          <w:rFonts w:hint="eastAsia" w:ascii="仿宋" w:hAnsi="仿宋" w:eastAsia="仿宋" w:cs="仿宋"/>
          <w:color w:val="000000"/>
          <w:kern w:val="31"/>
          <w:sz w:val="32"/>
          <w:szCs w:val="32"/>
          <w:lang w:val="en-US" w:eastAsia="zh-CN" w:bidi="ar-SA"/>
        </w:rPr>
        <w:t>附表：食品安全事件分级标准</w:t>
      </w:r>
    </w:p>
    <w:p>
      <w:pPr>
        <w:pStyle w:val="3"/>
        <w:keepNext w:val="0"/>
        <w:keepLines w:val="0"/>
        <w:pageBreakBefore w:val="0"/>
        <w:widowControl w:val="0"/>
        <w:kinsoku/>
        <w:wordWrap/>
        <w:overflowPunct/>
        <w:topLinePunct w:val="0"/>
        <w:autoSpaceDE w:val="0"/>
        <w:autoSpaceDN w:val="0"/>
        <w:bidi w:val="0"/>
        <w:adjustRightInd/>
        <w:snapToGrid/>
        <w:spacing w:before="0" w:line="600" w:lineRule="exact"/>
        <w:ind w:left="0" w:firstLine="0"/>
        <w:jc w:val="both"/>
        <w:textAlignment w:val="auto"/>
        <w:rPr>
          <w:rFonts w:hint="eastAsia" w:ascii="仿宋_GB2312" w:hAnsi="仿宋_GB2312" w:eastAsia="仿宋_GB2312" w:cs="仿宋_GB2312"/>
          <w:sz w:val="32"/>
          <w:szCs w:val="32"/>
        </w:rPr>
      </w:pPr>
    </w:p>
    <w:p>
      <w:pPr>
        <w:pStyle w:val="3"/>
        <w:keepNext w:val="0"/>
        <w:keepLines w:val="0"/>
        <w:pageBreakBefore w:val="0"/>
        <w:widowControl w:val="0"/>
        <w:tabs>
          <w:tab w:val="left" w:pos="1291"/>
        </w:tabs>
        <w:kinsoku/>
        <w:wordWrap/>
        <w:overflowPunct/>
        <w:topLinePunct w:val="0"/>
        <w:autoSpaceDE w:val="0"/>
        <w:autoSpaceDN w:val="0"/>
        <w:bidi w:val="0"/>
        <w:adjustRightInd/>
        <w:snapToGrid/>
        <w:spacing w:before="0" w:line="600" w:lineRule="exact"/>
        <w:ind w:left="0" w:leftChars="0" w:firstLine="0" w:firstLineChars="0"/>
        <w:textAlignment w:val="auto"/>
        <w:rPr>
          <w:rFonts w:hint="eastAsia" w:ascii="方正小标宋简体" w:hAnsi="方正小标宋简体" w:eastAsia="方正小标宋简体" w:cs="方正小标宋简体"/>
          <w:sz w:val="44"/>
          <w:szCs w:val="44"/>
          <w:lang w:val="en-US" w:eastAsia="zh-CN"/>
        </w:rPr>
      </w:pPr>
      <w:r>
        <w:rPr>
          <w:rFonts w:hint="eastAsia" w:ascii="黑体" w:eastAsia="黑体"/>
          <w:sz w:val="32"/>
          <w:szCs w:val="44"/>
        </w:rPr>
        <w:t>附表</w:t>
      </w:r>
      <w:r>
        <w:rPr>
          <w:sz w:val="32"/>
          <w:szCs w:val="44"/>
        </w:rPr>
        <mc:AlternateContent>
          <mc:Choice Requires="wps">
            <w:drawing>
              <wp:anchor distT="0" distB="0" distL="114300" distR="114300" simplePos="0" relativeHeight="251659264" behindDoc="1" locked="0" layoutInCell="1" allowOverlap="1">
                <wp:simplePos x="0" y="0"/>
                <wp:positionH relativeFrom="page">
                  <wp:posOffset>6031865</wp:posOffset>
                </wp:positionH>
                <wp:positionV relativeFrom="paragraph">
                  <wp:posOffset>1089025</wp:posOffset>
                </wp:positionV>
                <wp:extent cx="901700" cy="3516630"/>
                <wp:effectExtent l="0" t="0" r="12700" b="7620"/>
                <wp:wrapNone/>
                <wp:docPr id="7" name="任意多边形 7"/>
                <wp:cNvGraphicFramePr/>
                <a:graphic xmlns:a="http://schemas.openxmlformats.org/drawingml/2006/main">
                  <a:graphicData uri="http://schemas.microsoft.com/office/word/2010/wordprocessingShape">
                    <wps:wsp>
                      <wps:cNvSpPr/>
                      <wps:spPr>
                        <a:xfrm>
                          <a:off x="0" y="0"/>
                          <a:ext cx="901700" cy="3516630"/>
                        </a:xfrm>
                        <a:custGeom>
                          <a:avLst/>
                          <a:gdLst/>
                          <a:ahLst/>
                          <a:cxnLst/>
                          <a:pathLst>
                            <a:path w="1420" h="5538">
                              <a:moveTo>
                                <a:pt x="1420" y="2444"/>
                              </a:moveTo>
                              <a:lnTo>
                                <a:pt x="0" y="2444"/>
                              </a:lnTo>
                              <a:lnTo>
                                <a:pt x="0" y="5538"/>
                              </a:lnTo>
                              <a:lnTo>
                                <a:pt x="1420" y="5538"/>
                              </a:lnTo>
                              <a:lnTo>
                                <a:pt x="1420" y="2444"/>
                              </a:lnTo>
                              <a:close/>
                              <a:moveTo>
                                <a:pt x="1420" y="0"/>
                              </a:moveTo>
                              <a:lnTo>
                                <a:pt x="0" y="0"/>
                              </a:lnTo>
                              <a:lnTo>
                                <a:pt x="0" y="2439"/>
                              </a:lnTo>
                              <a:lnTo>
                                <a:pt x="1420" y="2439"/>
                              </a:lnTo>
                              <a:lnTo>
                                <a:pt x="1420" y="0"/>
                              </a:lnTo>
                              <a:close/>
                            </a:path>
                          </a:pathLst>
                        </a:custGeom>
                        <a:solidFill>
                          <a:srgbClr val="FFFFFF"/>
                        </a:solidFill>
                        <a:ln>
                          <a:noFill/>
                        </a:ln>
                      </wps:spPr>
                      <wps:bodyPr upright="1"/>
                    </wps:wsp>
                  </a:graphicData>
                </a:graphic>
              </wp:anchor>
            </w:drawing>
          </mc:Choice>
          <mc:Fallback>
            <w:pict>
              <v:shape id="_x0000_s1026" o:spid="_x0000_s1026" o:spt="100" style="position:absolute;left:0pt;margin-left:474.95pt;margin-top:85.75pt;height:276.9pt;width:71pt;mso-position-horizontal-relative:page;z-index:-251657216;mso-width-relative:page;mso-height-relative:page;" fillcolor="#FFFFFF" filled="t" stroked="f" coordsize="1420,5538" o:gfxdata="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ki3pMdoAAAAMAQAADwAAAAAAAAABACAAAAAi&#10;AAAAZHJzL2Rvd25yZXYueG1sUEsBAhQAFAAAAAgAh07iQLz+e69BAgAAYAUAAA4AAAAAAAAAAQAg&#10;AAAAKQEAAGRycy9lMm9Eb2MueG1sUEsFBgAAAAAGAAYAWQEAANwFAAAAAA==&#10;" path="m1420,2444l0,2444,0,5538,1420,5538,1420,2444xm1420,0l0,0,0,2439,1420,2439,1420,0xe">
                <v:fill on="t" focussize="0,0"/>
                <v:stroke on="f"/>
                <v:imagedata o:title=""/>
                <o:lock v:ext="edit" aspectratio="f"/>
              </v:shape>
            </w:pict>
          </mc:Fallback>
        </mc:AlternateContent>
      </w:r>
      <w:r>
        <w:rPr>
          <w:rFonts w:hint="eastAsia" w:ascii="黑体" w:eastAsia="黑体"/>
          <w:sz w:val="32"/>
          <w:szCs w:val="44"/>
          <w:lang w:val="en-US" w:eastAsia="zh-CN"/>
        </w:rPr>
        <w:t xml:space="preserve">  </w:t>
      </w:r>
      <w:r>
        <w:rPr>
          <w:rFonts w:hint="eastAsia" w:ascii="黑体" w:eastAsia="黑体"/>
          <w:lang w:val="en-US" w:eastAsia="zh-CN"/>
        </w:rPr>
        <w:t xml:space="preserve">         </w:t>
      </w:r>
      <w:r>
        <w:rPr>
          <w:rFonts w:hint="eastAsia" w:ascii="方正小标宋简体" w:hAnsi="方正小标宋简体" w:eastAsia="方正小标宋简体" w:cs="方正小标宋简体"/>
          <w:sz w:val="44"/>
          <w:szCs w:val="44"/>
          <w:lang w:val="en-US" w:eastAsia="zh-CN"/>
        </w:rPr>
        <w:t xml:space="preserve"> </w:t>
      </w:r>
    </w:p>
    <w:p>
      <w:pPr>
        <w:pStyle w:val="3"/>
        <w:keepNext w:val="0"/>
        <w:keepLines w:val="0"/>
        <w:pageBreakBefore w:val="0"/>
        <w:widowControl w:val="0"/>
        <w:tabs>
          <w:tab w:val="left" w:pos="1291"/>
        </w:tabs>
        <w:kinsoku/>
        <w:wordWrap/>
        <w:overflowPunct/>
        <w:topLinePunct w:val="0"/>
        <w:autoSpaceDE w:val="0"/>
        <w:autoSpaceDN w:val="0"/>
        <w:bidi w:val="0"/>
        <w:adjustRightInd/>
        <w:snapToGrid/>
        <w:spacing w:before="0" w:line="600" w:lineRule="exact"/>
        <w:ind w:left="0" w:leftChars="0" w:firstLine="0" w:firstLine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食品安全事件分级、响应标准</w:t>
      </w:r>
    </w:p>
    <w:tbl>
      <w:tblPr>
        <w:tblStyle w:val="8"/>
        <w:tblpPr w:leftFromText="180" w:rightFromText="180" w:vertAnchor="text" w:horzAnchor="page" w:tblpXSpec="center" w:tblpY="55"/>
        <w:tblOverlap w:val="never"/>
        <w:tblW w:w="993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0"/>
        <w:gridCol w:w="7671"/>
        <w:gridCol w:w="14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7" w:hRule="atLeast"/>
          <w:jc w:val="center"/>
        </w:trPr>
        <w:tc>
          <w:tcPr>
            <w:tcW w:w="840" w:type="dxa"/>
            <w:vAlign w:val="center"/>
          </w:tcPr>
          <w:p>
            <w:pPr>
              <w:pStyle w:val="12"/>
              <w:keepNext w:val="0"/>
              <w:keepLines w:val="0"/>
              <w:pageBreakBefore w:val="0"/>
              <w:widowControl w:val="0"/>
              <w:kinsoku/>
              <w:wordWrap/>
              <w:overflowPunct/>
              <w:topLinePunct w:val="0"/>
              <w:autoSpaceDE w:val="0"/>
              <w:autoSpaceDN w:val="0"/>
              <w:bidi w:val="0"/>
              <w:adjustRightInd/>
              <w:snapToGrid/>
              <w:spacing w:before="0" w:line="300" w:lineRule="exact"/>
              <w:ind w:left="136" w:right="130"/>
              <w:textAlignment w:val="auto"/>
              <w:rPr>
                <w:rFonts w:hint="eastAsia" w:ascii="楷体" w:eastAsia="楷体"/>
                <w:b/>
                <w:sz w:val="28"/>
              </w:rPr>
            </w:pPr>
            <w:r>
              <w:rPr>
                <w:rFonts w:hint="eastAsia" w:ascii="楷体" w:eastAsia="楷体"/>
                <w:b/>
                <w:sz w:val="28"/>
              </w:rPr>
              <w:t>事件分级</w:t>
            </w:r>
          </w:p>
        </w:tc>
        <w:tc>
          <w:tcPr>
            <w:tcW w:w="7671" w:type="dxa"/>
            <w:vAlign w:val="center"/>
          </w:tcPr>
          <w:p>
            <w:pPr>
              <w:pStyle w:val="12"/>
              <w:keepNext w:val="0"/>
              <w:keepLines w:val="0"/>
              <w:pageBreakBefore w:val="0"/>
              <w:widowControl w:val="0"/>
              <w:kinsoku/>
              <w:wordWrap/>
              <w:overflowPunct/>
              <w:topLinePunct w:val="0"/>
              <w:autoSpaceDE w:val="0"/>
              <w:autoSpaceDN w:val="0"/>
              <w:bidi w:val="0"/>
              <w:adjustRightInd/>
              <w:snapToGrid/>
              <w:spacing w:before="0" w:line="300" w:lineRule="exact"/>
              <w:ind w:left="3248" w:right="3243"/>
              <w:jc w:val="center"/>
              <w:textAlignment w:val="auto"/>
              <w:rPr>
                <w:rFonts w:hint="eastAsia" w:ascii="楷体" w:eastAsia="楷体"/>
                <w:b/>
                <w:sz w:val="28"/>
              </w:rPr>
            </w:pPr>
            <w:r>
              <w:rPr>
                <w:rFonts w:hint="eastAsia" w:ascii="楷体" w:eastAsia="楷体"/>
                <w:b/>
                <w:sz w:val="28"/>
              </w:rPr>
              <w:t>评估指标</w:t>
            </w:r>
          </w:p>
        </w:tc>
        <w:tc>
          <w:tcPr>
            <w:tcW w:w="1425" w:type="dxa"/>
            <w:vAlign w:val="center"/>
          </w:tcPr>
          <w:p>
            <w:pPr>
              <w:pStyle w:val="12"/>
              <w:keepNext w:val="0"/>
              <w:keepLines w:val="0"/>
              <w:pageBreakBefore w:val="0"/>
              <w:widowControl w:val="0"/>
              <w:kinsoku/>
              <w:wordWrap/>
              <w:overflowPunct/>
              <w:topLinePunct w:val="0"/>
              <w:autoSpaceDE w:val="0"/>
              <w:autoSpaceDN w:val="0"/>
              <w:bidi w:val="0"/>
              <w:adjustRightInd/>
              <w:snapToGrid/>
              <w:spacing w:before="0" w:line="300" w:lineRule="exact"/>
              <w:ind w:left="147"/>
              <w:textAlignment w:val="auto"/>
              <w:rPr>
                <w:rFonts w:hint="eastAsia" w:ascii="楷体" w:eastAsia="楷体"/>
                <w:b/>
                <w:sz w:val="28"/>
              </w:rPr>
            </w:pPr>
            <w:r>
              <w:rPr>
                <w:rFonts w:hint="eastAsia" w:ascii="楷体" w:eastAsia="楷体"/>
                <w:b/>
                <w:sz w:val="28"/>
              </w:rPr>
              <w:t>响应级别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62" w:hRule="atLeast"/>
          <w:jc w:val="center"/>
        </w:trPr>
        <w:tc>
          <w:tcPr>
            <w:tcW w:w="840" w:type="dxa"/>
            <w:tcBorders>
              <w:top w:val="nil"/>
              <w:bottom w:val="nil"/>
            </w:tcBorders>
            <w:vAlign w:val="center"/>
          </w:tcPr>
          <w:p>
            <w:pPr>
              <w:pStyle w:val="12"/>
              <w:keepNext w:val="0"/>
              <w:keepLines w:val="0"/>
              <w:pageBreakBefore w:val="0"/>
              <w:widowControl w:val="0"/>
              <w:kinsoku/>
              <w:wordWrap/>
              <w:overflowPunct/>
              <w:topLinePunct w:val="0"/>
              <w:autoSpaceDE w:val="0"/>
              <w:autoSpaceDN w:val="0"/>
              <w:bidi w:val="0"/>
              <w:adjustRightInd/>
              <w:snapToGrid/>
              <w:spacing w:before="0" w:line="360" w:lineRule="exact"/>
              <w:ind w:left="140" w:right="125"/>
              <w:jc w:val="center"/>
              <w:textAlignment w:val="auto"/>
              <w:rPr>
                <w:rFonts w:hint="eastAsia" w:ascii="楷体" w:eastAsia="楷体"/>
                <w:sz w:val="28"/>
              </w:rPr>
            </w:pPr>
            <w:r>
              <w:rPr>
                <w:rFonts w:hint="eastAsia" w:ascii="楷体" w:eastAsia="楷体"/>
                <w:sz w:val="28"/>
              </w:rPr>
              <w:t>特别重大</w:t>
            </w:r>
          </w:p>
        </w:tc>
        <w:tc>
          <w:tcPr>
            <w:tcW w:w="7671" w:type="dxa"/>
            <w:tcBorders>
              <w:top w:val="nil"/>
              <w:bottom w:val="nil"/>
            </w:tcBorders>
            <w:vAlign w:val="center"/>
          </w:tcPr>
          <w:p>
            <w:pPr>
              <w:pStyle w:val="12"/>
              <w:keepNext w:val="0"/>
              <w:keepLines w:val="0"/>
              <w:pageBreakBefore w:val="0"/>
              <w:widowControl w:val="0"/>
              <w:kinsoku/>
              <w:wordWrap/>
              <w:overflowPunct/>
              <w:topLinePunct w:val="0"/>
              <w:autoSpaceDE w:val="0"/>
              <w:autoSpaceDN w:val="0"/>
              <w:bidi w:val="0"/>
              <w:adjustRightInd/>
              <w:snapToGrid/>
              <w:spacing w:before="0" w:line="360" w:lineRule="exact"/>
              <w:ind w:left="108"/>
              <w:jc w:val="both"/>
              <w:textAlignment w:val="auto"/>
              <w:rPr>
                <w:rFonts w:hint="eastAsia"/>
                <w:spacing w:val="-3"/>
                <w:sz w:val="28"/>
                <w:lang w:eastAsia="zh-CN"/>
              </w:rPr>
            </w:pPr>
            <w:r>
              <w:rPr>
                <w:rFonts w:hint="eastAsia"/>
                <w:sz w:val="28"/>
                <w:lang w:eastAsia="zh-CN"/>
              </w:rPr>
              <w:t>（</w:t>
            </w:r>
            <w:r>
              <w:rPr>
                <w:rFonts w:hint="eastAsia"/>
                <w:sz w:val="28"/>
                <w:lang w:val="en-US" w:eastAsia="zh-CN"/>
              </w:rPr>
              <w:t>1</w:t>
            </w:r>
            <w:r>
              <w:rPr>
                <w:rFonts w:hint="eastAsia"/>
                <w:sz w:val="28"/>
                <w:lang w:eastAsia="zh-CN"/>
              </w:rPr>
              <w:t>）</w:t>
            </w:r>
            <w:r>
              <w:rPr>
                <w:sz w:val="28"/>
              </w:rPr>
              <w:t>受污染食品流入</w:t>
            </w:r>
            <w:r>
              <w:rPr>
                <w:rFonts w:ascii="Times New Roman" w:eastAsia="Times New Roman"/>
                <w:sz w:val="28"/>
              </w:rPr>
              <w:t>2</w:t>
            </w:r>
            <w:r>
              <w:rPr>
                <w:sz w:val="28"/>
              </w:rPr>
              <w:t>个以上省份或国（境）外（含港澳台</w:t>
            </w:r>
            <w:r>
              <w:rPr>
                <w:w w:val="100"/>
                <w:sz w:val="28"/>
              </w:rPr>
              <w:t>地区</w:t>
            </w:r>
            <w:r>
              <w:rPr>
                <w:rFonts w:hint="eastAsia"/>
                <w:w w:val="100"/>
                <w:sz w:val="28"/>
                <w:lang w:eastAsia="zh-CN"/>
              </w:rPr>
              <w:t>），</w:t>
            </w:r>
            <w:r>
              <w:rPr>
                <w:spacing w:val="-2"/>
                <w:w w:val="100"/>
                <w:sz w:val="28"/>
              </w:rPr>
              <w:t>造成特别严重健康损害后果的；或经评估认为事件危</w:t>
            </w:r>
            <w:r>
              <w:rPr>
                <w:spacing w:val="-3"/>
                <w:sz w:val="28"/>
              </w:rPr>
              <w:t>害特别严重的</w:t>
            </w:r>
            <w:r>
              <w:rPr>
                <w:rFonts w:hint="eastAsia"/>
                <w:spacing w:val="-3"/>
                <w:sz w:val="28"/>
                <w:lang w:eastAsia="zh-CN"/>
              </w:rPr>
              <w:t>；</w:t>
            </w:r>
          </w:p>
          <w:p>
            <w:pPr>
              <w:pStyle w:val="12"/>
              <w:keepNext w:val="0"/>
              <w:keepLines w:val="0"/>
              <w:pageBreakBefore w:val="0"/>
              <w:widowControl w:val="0"/>
              <w:kinsoku/>
              <w:wordWrap/>
              <w:overflowPunct/>
              <w:topLinePunct w:val="0"/>
              <w:autoSpaceDE w:val="0"/>
              <w:autoSpaceDN w:val="0"/>
              <w:bidi w:val="0"/>
              <w:adjustRightInd/>
              <w:snapToGrid/>
              <w:spacing w:before="0" w:line="360" w:lineRule="exact"/>
              <w:ind w:left="108"/>
              <w:jc w:val="both"/>
              <w:textAlignment w:val="auto"/>
              <w:rPr>
                <w:sz w:val="28"/>
              </w:rPr>
            </w:pPr>
            <w:r>
              <w:rPr>
                <w:rFonts w:hint="eastAsia" w:eastAsia="宋体"/>
                <w:sz w:val="28"/>
                <w:lang w:eastAsia="zh-CN"/>
              </w:rPr>
              <w:t>（</w:t>
            </w:r>
            <w:r>
              <w:rPr>
                <w:rFonts w:hint="eastAsia" w:eastAsia="宋体"/>
                <w:sz w:val="28"/>
                <w:lang w:val="en-US" w:eastAsia="zh-CN"/>
              </w:rPr>
              <w:t>2</w:t>
            </w:r>
            <w:r>
              <w:rPr>
                <w:rFonts w:hint="eastAsia" w:eastAsia="宋体"/>
                <w:sz w:val="28"/>
                <w:lang w:eastAsia="zh-CN"/>
              </w:rPr>
              <w:t>）</w:t>
            </w:r>
            <w:r>
              <w:rPr>
                <w:rFonts w:ascii="Times New Roman" w:eastAsia="Times New Roman"/>
                <w:sz w:val="28"/>
              </w:rPr>
              <w:t>1</w:t>
            </w:r>
            <w:r>
              <w:rPr>
                <w:sz w:val="28"/>
              </w:rPr>
              <w:t>起食品安全事件出现</w:t>
            </w:r>
            <w:r>
              <w:rPr>
                <w:rFonts w:ascii="Times New Roman" w:eastAsia="Times New Roman"/>
                <w:sz w:val="28"/>
              </w:rPr>
              <w:t>30</w:t>
            </w:r>
            <w:r>
              <w:rPr>
                <w:sz w:val="28"/>
              </w:rPr>
              <w:t>人以上死亡的；</w:t>
            </w:r>
          </w:p>
          <w:p>
            <w:pPr>
              <w:pStyle w:val="12"/>
              <w:keepNext w:val="0"/>
              <w:keepLines w:val="0"/>
              <w:pageBreakBefore w:val="0"/>
              <w:widowControl w:val="0"/>
              <w:kinsoku/>
              <w:wordWrap/>
              <w:overflowPunct/>
              <w:topLinePunct w:val="0"/>
              <w:autoSpaceDE w:val="0"/>
              <w:autoSpaceDN w:val="0"/>
              <w:bidi w:val="0"/>
              <w:adjustRightInd/>
              <w:snapToGrid/>
              <w:spacing w:before="0" w:line="360" w:lineRule="exact"/>
              <w:ind w:left="108"/>
              <w:jc w:val="both"/>
              <w:textAlignment w:val="auto"/>
              <w:rPr>
                <w:rFonts w:hint="eastAsia"/>
                <w:sz w:val="28"/>
                <w:lang w:eastAsia="zh-CN"/>
              </w:rPr>
            </w:pPr>
            <w:r>
              <w:rPr>
                <w:rFonts w:hint="eastAsia"/>
                <w:spacing w:val="-19"/>
                <w:sz w:val="28"/>
                <w:lang w:eastAsia="zh-CN"/>
              </w:rPr>
              <w:t>（</w:t>
            </w:r>
            <w:r>
              <w:rPr>
                <w:rFonts w:hint="eastAsia"/>
                <w:spacing w:val="-19"/>
                <w:sz w:val="28"/>
                <w:lang w:val="en-US" w:eastAsia="zh-CN"/>
              </w:rPr>
              <w:t>3</w:t>
            </w:r>
            <w:r>
              <w:rPr>
                <w:rFonts w:hint="eastAsia"/>
                <w:spacing w:val="-19"/>
                <w:sz w:val="28"/>
                <w:lang w:eastAsia="zh-CN"/>
              </w:rPr>
              <w:t>）</w:t>
            </w:r>
            <w:r>
              <w:rPr>
                <w:spacing w:val="-9"/>
                <w:sz w:val="28"/>
              </w:rPr>
              <w:t>党中央、国务院认定的其他特别重大级别食品安全事件。</w:t>
            </w:r>
          </w:p>
        </w:tc>
        <w:tc>
          <w:tcPr>
            <w:tcW w:w="1425" w:type="dxa"/>
            <w:tcBorders>
              <w:top w:val="nil"/>
              <w:bottom w:val="nil"/>
            </w:tcBorders>
            <w:vAlign w:val="center"/>
          </w:tcPr>
          <w:p>
            <w:pPr>
              <w:pStyle w:val="12"/>
              <w:keepNext w:val="0"/>
              <w:keepLines w:val="0"/>
              <w:pageBreakBefore w:val="0"/>
              <w:widowControl w:val="0"/>
              <w:kinsoku/>
              <w:wordWrap/>
              <w:overflowPunct/>
              <w:topLinePunct w:val="0"/>
              <w:autoSpaceDE w:val="0"/>
              <w:autoSpaceDN w:val="0"/>
              <w:bidi w:val="0"/>
              <w:adjustRightInd/>
              <w:snapToGrid/>
              <w:spacing w:before="0" w:line="360" w:lineRule="exact"/>
              <w:jc w:val="center"/>
              <w:textAlignment w:val="auto"/>
              <w:rPr>
                <w:sz w:val="28"/>
              </w:rPr>
            </w:pPr>
            <w:r>
              <w:rPr>
                <w:sz w:val="28"/>
              </w:rPr>
              <w:t>一级响应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2" w:hRule="atLeast"/>
          <w:jc w:val="center"/>
        </w:trPr>
        <w:tc>
          <w:tcPr>
            <w:tcW w:w="840" w:type="dxa"/>
            <w:vAlign w:val="center"/>
          </w:tcPr>
          <w:p>
            <w:pPr>
              <w:pStyle w:val="12"/>
              <w:keepNext w:val="0"/>
              <w:keepLines w:val="0"/>
              <w:pageBreakBefore w:val="0"/>
              <w:widowControl w:val="0"/>
              <w:kinsoku/>
              <w:wordWrap/>
              <w:overflowPunct/>
              <w:topLinePunct w:val="0"/>
              <w:autoSpaceDE w:val="0"/>
              <w:autoSpaceDN w:val="0"/>
              <w:bidi w:val="0"/>
              <w:adjustRightInd/>
              <w:snapToGrid/>
              <w:spacing w:before="0" w:line="600" w:lineRule="exact"/>
              <w:ind w:right="109"/>
              <w:jc w:val="both"/>
              <w:textAlignment w:val="auto"/>
              <w:rPr>
                <w:rFonts w:hint="eastAsia" w:ascii="楷体" w:eastAsia="楷体"/>
                <w:sz w:val="28"/>
              </w:rPr>
            </w:pPr>
            <w:r>
              <w:rPr>
                <w:rFonts w:hint="eastAsia" w:ascii="楷体" w:eastAsia="楷体"/>
                <w:sz w:val="28"/>
              </w:rPr>
              <w:t>重大</w:t>
            </w:r>
          </w:p>
        </w:tc>
        <w:tc>
          <w:tcPr>
            <w:tcW w:w="7671" w:type="dxa"/>
            <w:vAlign w:val="center"/>
          </w:tcPr>
          <w:p>
            <w:pPr>
              <w:pStyle w:val="12"/>
              <w:keepNext w:val="0"/>
              <w:keepLines w:val="0"/>
              <w:pageBreakBefore w:val="0"/>
              <w:widowControl w:val="0"/>
              <w:numPr>
                <w:ilvl w:val="0"/>
                <w:numId w:val="0"/>
              </w:numPr>
              <w:tabs>
                <w:tab w:val="left" w:pos="809"/>
              </w:tabs>
              <w:kinsoku/>
              <w:wordWrap/>
              <w:overflowPunct/>
              <w:topLinePunct w:val="0"/>
              <w:autoSpaceDE w:val="0"/>
              <w:autoSpaceDN w:val="0"/>
              <w:bidi w:val="0"/>
              <w:adjustRightInd/>
              <w:snapToGrid/>
              <w:spacing w:before="0" w:after="0" w:line="360" w:lineRule="exact"/>
              <w:ind w:left="108" w:leftChars="0" w:right="95" w:rightChars="0"/>
              <w:jc w:val="both"/>
              <w:textAlignment w:val="auto"/>
              <w:rPr>
                <w:sz w:val="28"/>
              </w:rPr>
            </w:pPr>
            <w:r>
              <w:rPr>
                <w:rFonts w:hint="eastAsia"/>
                <w:spacing w:val="-8"/>
                <w:sz w:val="28"/>
                <w:lang w:eastAsia="zh-CN"/>
              </w:rPr>
              <w:t>（</w:t>
            </w:r>
            <w:r>
              <w:rPr>
                <w:rFonts w:hint="eastAsia"/>
                <w:spacing w:val="-8"/>
                <w:sz w:val="28"/>
                <w:lang w:val="en-US" w:eastAsia="zh-CN"/>
              </w:rPr>
              <w:t>1</w:t>
            </w:r>
            <w:r>
              <w:rPr>
                <w:rFonts w:hint="eastAsia"/>
                <w:spacing w:val="-8"/>
                <w:sz w:val="28"/>
                <w:lang w:eastAsia="zh-CN"/>
              </w:rPr>
              <w:t>）</w:t>
            </w:r>
            <w:r>
              <w:rPr>
                <w:spacing w:val="-8"/>
                <w:sz w:val="28"/>
              </w:rPr>
              <w:t>受污染食品流入</w:t>
            </w:r>
            <w:r>
              <w:rPr>
                <w:rFonts w:ascii="Times New Roman" w:eastAsia="Times New Roman"/>
                <w:sz w:val="28"/>
              </w:rPr>
              <w:t>2</w:t>
            </w:r>
            <w:r>
              <w:rPr>
                <w:sz w:val="28"/>
              </w:rPr>
              <w:t>个以上地市，造成或经评估认为可能</w:t>
            </w:r>
            <w:r>
              <w:rPr>
                <w:spacing w:val="-3"/>
                <w:sz w:val="28"/>
              </w:rPr>
              <w:t>造成对社会公众健康产生严重损害的食品安全事件；</w:t>
            </w:r>
          </w:p>
          <w:p>
            <w:pPr>
              <w:pStyle w:val="12"/>
              <w:keepNext w:val="0"/>
              <w:keepLines w:val="0"/>
              <w:pageBreakBefore w:val="0"/>
              <w:widowControl w:val="0"/>
              <w:numPr>
                <w:ilvl w:val="0"/>
                <w:numId w:val="0"/>
              </w:numPr>
              <w:tabs>
                <w:tab w:val="left" w:pos="809"/>
              </w:tabs>
              <w:kinsoku/>
              <w:wordWrap/>
              <w:overflowPunct/>
              <w:topLinePunct w:val="0"/>
              <w:autoSpaceDE w:val="0"/>
              <w:autoSpaceDN w:val="0"/>
              <w:bidi w:val="0"/>
              <w:adjustRightInd/>
              <w:snapToGrid/>
              <w:spacing w:before="0" w:after="0" w:line="360" w:lineRule="exact"/>
              <w:ind w:left="108" w:leftChars="0" w:right="-44" w:rightChars="0"/>
              <w:jc w:val="both"/>
              <w:textAlignment w:val="auto"/>
              <w:rPr>
                <w:sz w:val="28"/>
              </w:rPr>
            </w:pPr>
            <w:r>
              <w:rPr>
                <w:rFonts w:hint="eastAsia"/>
                <w:spacing w:val="-3"/>
                <w:sz w:val="28"/>
                <w:lang w:eastAsia="zh-CN"/>
              </w:rPr>
              <w:t>（</w:t>
            </w:r>
            <w:r>
              <w:rPr>
                <w:rFonts w:hint="eastAsia"/>
                <w:spacing w:val="-3"/>
                <w:sz w:val="28"/>
                <w:lang w:val="en-US" w:eastAsia="zh-CN"/>
              </w:rPr>
              <w:t>2</w:t>
            </w:r>
            <w:r>
              <w:rPr>
                <w:rFonts w:hint="eastAsia"/>
                <w:spacing w:val="-3"/>
                <w:sz w:val="28"/>
                <w:lang w:eastAsia="zh-CN"/>
              </w:rPr>
              <w:t>）</w:t>
            </w:r>
            <w:r>
              <w:rPr>
                <w:spacing w:val="-3"/>
                <w:sz w:val="28"/>
              </w:rPr>
              <w:t>发现在我国首次出现的新的污染物引起的食品安全事件，造成严重健康损害后果，并有扩散趋势的；</w:t>
            </w:r>
          </w:p>
          <w:p>
            <w:pPr>
              <w:pStyle w:val="12"/>
              <w:keepNext w:val="0"/>
              <w:keepLines w:val="0"/>
              <w:pageBreakBefore w:val="0"/>
              <w:widowControl w:val="0"/>
              <w:kinsoku/>
              <w:wordWrap/>
              <w:overflowPunct/>
              <w:topLinePunct w:val="0"/>
              <w:autoSpaceDE w:val="0"/>
              <w:autoSpaceDN w:val="0"/>
              <w:bidi w:val="0"/>
              <w:adjustRightInd/>
              <w:snapToGrid/>
              <w:spacing w:before="0" w:line="360" w:lineRule="exact"/>
              <w:ind w:left="108" w:right="97"/>
              <w:jc w:val="both"/>
              <w:textAlignment w:val="auto"/>
              <w:rPr>
                <w:sz w:val="28"/>
              </w:rPr>
            </w:pPr>
            <w:r>
              <w:rPr>
                <w:rFonts w:hint="eastAsia" w:ascii="Times New Roman" w:eastAsia="宋体"/>
                <w:sz w:val="28"/>
                <w:lang w:eastAsia="zh-CN"/>
              </w:rPr>
              <w:t>（</w:t>
            </w:r>
            <w:r>
              <w:rPr>
                <w:rFonts w:hint="eastAsia" w:ascii="Times New Roman" w:eastAsia="宋体"/>
                <w:sz w:val="28"/>
                <w:lang w:val="en-US" w:eastAsia="zh-CN"/>
              </w:rPr>
              <w:t>3</w:t>
            </w:r>
            <w:r>
              <w:rPr>
                <w:rFonts w:hint="eastAsia" w:ascii="Times New Roman" w:eastAsia="宋体"/>
                <w:sz w:val="28"/>
                <w:lang w:eastAsia="zh-CN"/>
              </w:rPr>
              <w:t>）</w:t>
            </w:r>
            <w:r>
              <w:rPr>
                <w:rFonts w:ascii="Times New Roman" w:eastAsia="Times New Roman"/>
                <w:sz w:val="28"/>
              </w:rPr>
              <w:t xml:space="preserve">1 </w:t>
            </w:r>
            <w:r>
              <w:rPr>
                <w:sz w:val="28"/>
              </w:rPr>
              <w:t>起食品安全事件涉及人数在</w:t>
            </w:r>
            <w:r>
              <w:rPr>
                <w:rFonts w:ascii="Times New Roman" w:eastAsia="Times New Roman"/>
                <w:sz w:val="28"/>
              </w:rPr>
              <w:t>100</w:t>
            </w:r>
            <w:r>
              <w:rPr>
                <w:sz w:val="28"/>
              </w:rPr>
              <w:t>人以上并出现死亡病例；或出现</w:t>
            </w:r>
            <w:r>
              <w:rPr>
                <w:rFonts w:ascii="Times New Roman" w:eastAsia="Times New Roman"/>
                <w:sz w:val="28"/>
              </w:rPr>
              <w:t>10</w:t>
            </w:r>
            <w:r>
              <w:rPr>
                <w:sz w:val="28"/>
              </w:rPr>
              <w:t>人以上、</w:t>
            </w:r>
            <w:r>
              <w:rPr>
                <w:rFonts w:ascii="Times New Roman" w:eastAsia="Times New Roman"/>
                <w:sz w:val="28"/>
              </w:rPr>
              <w:t>29</w:t>
            </w:r>
            <w:r>
              <w:rPr>
                <w:sz w:val="28"/>
              </w:rPr>
              <w:t>人以下死亡的；</w:t>
            </w:r>
          </w:p>
          <w:p>
            <w:pPr>
              <w:pStyle w:val="12"/>
              <w:keepNext w:val="0"/>
              <w:keepLines w:val="0"/>
              <w:pageBreakBefore w:val="0"/>
              <w:widowControl w:val="0"/>
              <w:kinsoku/>
              <w:wordWrap/>
              <w:overflowPunct/>
              <w:topLinePunct w:val="0"/>
              <w:autoSpaceDE w:val="0"/>
              <w:autoSpaceDN w:val="0"/>
              <w:bidi w:val="0"/>
              <w:adjustRightInd/>
              <w:snapToGrid/>
              <w:spacing w:before="0" w:line="360" w:lineRule="exact"/>
              <w:ind w:left="108"/>
              <w:jc w:val="both"/>
              <w:textAlignment w:val="auto"/>
              <w:rPr>
                <w:sz w:val="28"/>
              </w:rPr>
            </w:pPr>
            <w:r>
              <w:rPr>
                <w:rFonts w:hint="eastAsia"/>
                <w:sz w:val="28"/>
                <w:lang w:eastAsia="zh-CN"/>
              </w:rPr>
              <w:t>（</w:t>
            </w:r>
            <w:r>
              <w:rPr>
                <w:rFonts w:hint="eastAsia"/>
                <w:sz w:val="28"/>
                <w:lang w:val="en-US" w:eastAsia="zh-CN"/>
              </w:rPr>
              <w:t>4</w:t>
            </w:r>
            <w:r>
              <w:rPr>
                <w:rFonts w:hint="eastAsia"/>
                <w:sz w:val="28"/>
                <w:lang w:eastAsia="zh-CN"/>
              </w:rPr>
              <w:t>）</w:t>
            </w:r>
            <w:r>
              <w:rPr>
                <w:sz w:val="28"/>
              </w:rPr>
              <w:t>省级党委、政府认定的其他重大级别食品安全事件。</w:t>
            </w:r>
          </w:p>
        </w:tc>
        <w:tc>
          <w:tcPr>
            <w:tcW w:w="1425" w:type="dxa"/>
            <w:vAlign w:val="center"/>
          </w:tcPr>
          <w:p>
            <w:pPr>
              <w:pStyle w:val="12"/>
              <w:keepNext w:val="0"/>
              <w:keepLines w:val="0"/>
              <w:pageBreakBefore w:val="0"/>
              <w:widowControl w:val="0"/>
              <w:kinsoku/>
              <w:wordWrap/>
              <w:overflowPunct/>
              <w:topLinePunct w:val="0"/>
              <w:autoSpaceDE w:val="0"/>
              <w:autoSpaceDN w:val="0"/>
              <w:bidi w:val="0"/>
              <w:adjustRightInd/>
              <w:snapToGrid/>
              <w:spacing w:before="0" w:line="600" w:lineRule="exact"/>
              <w:jc w:val="center"/>
              <w:textAlignment w:val="auto"/>
              <w:rPr>
                <w:sz w:val="28"/>
              </w:rPr>
            </w:pPr>
            <w:r>
              <w:rPr>
                <w:sz w:val="28"/>
              </w:rPr>
              <w:t>二级响应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7" w:hRule="atLeast"/>
          <w:jc w:val="center"/>
        </w:trPr>
        <w:tc>
          <w:tcPr>
            <w:tcW w:w="840" w:type="dxa"/>
            <w:vAlign w:val="center"/>
          </w:tcPr>
          <w:p>
            <w:pPr>
              <w:pStyle w:val="12"/>
              <w:keepNext w:val="0"/>
              <w:keepLines w:val="0"/>
              <w:pageBreakBefore w:val="0"/>
              <w:widowControl w:val="0"/>
              <w:kinsoku/>
              <w:wordWrap/>
              <w:overflowPunct/>
              <w:topLinePunct w:val="0"/>
              <w:autoSpaceDE w:val="0"/>
              <w:autoSpaceDN w:val="0"/>
              <w:bidi w:val="0"/>
              <w:adjustRightInd/>
              <w:snapToGrid/>
              <w:spacing w:before="0" w:line="600" w:lineRule="exact"/>
              <w:ind w:right="109"/>
              <w:jc w:val="both"/>
              <w:textAlignment w:val="auto"/>
              <w:rPr>
                <w:rFonts w:hint="eastAsia" w:ascii="楷体" w:eastAsia="楷体"/>
                <w:sz w:val="28"/>
              </w:rPr>
            </w:pPr>
            <w:r>
              <w:rPr>
                <w:rFonts w:hint="eastAsia" w:ascii="楷体" w:eastAsia="楷体"/>
                <w:sz w:val="28"/>
              </w:rPr>
              <w:t>较大</w:t>
            </w:r>
          </w:p>
        </w:tc>
        <w:tc>
          <w:tcPr>
            <w:tcW w:w="7671" w:type="dxa"/>
            <w:vAlign w:val="center"/>
          </w:tcPr>
          <w:p>
            <w:pPr>
              <w:pStyle w:val="12"/>
              <w:keepNext w:val="0"/>
              <w:keepLines w:val="0"/>
              <w:pageBreakBefore w:val="0"/>
              <w:widowControl w:val="0"/>
              <w:kinsoku/>
              <w:wordWrap/>
              <w:overflowPunct/>
              <w:topLinePunct w:val="0"/>
              <w:autoSpaceDE w:val="0"/>
              <w:autoSpaceDN w:val="0"/>
              <w:bidi w:val="0"/>
              <w:adjustRightInd/>
              <w:snapToGrid/>
              <w:spacing w:before="0" w:line="360" w:lineRule="exact"/>
              <w:ind w:left="108" w:right="95"/>
              <w:textAlignment w:val="auto"/>
              <w:rPr>
                <w:sz w:val="28"/>
              </w:rPr>
            </w:pPr>
            <w:r>
              <w:rPr>
                <w:spacing w:val="-14"/>
                <w:sz w:val="28"/>
              </w:rPr>
              <w:t>（</w:t>
            </w:r>
            <w:r>
              <w:rPr>
                <w:rFonts w:ascii="Times New Roman" w:eastAsia="Times New Roman"/>
                <w:spacing w:val="-14"/>
                <w:sz w:val="28"/>
              </w:rPr>
              <w:t>1</w:t>
            </w:r>
            <w:r>
              <w:rPr>
                <w:spacing w:val="-14"/>
                <w:sz w:val="28"/>
              </w:rPr>
              <w:t>）</w:t>
            </w:r>
            <w:r>
              <w:rPr>
                <w:spacing w:val="-11"/>
                <w:sz w:val="28"/>
              </w:rPr>
              <w:t>受污染食品流入</w:t>
            </w:r>
            <w:r>
              <w:rPr>
                <w:rFonts w:ascii="Times New Roman" w:eastAsia="Times New Roman"/>
                <w:sz w:val="28"/>
              </w:rPr>
              <w:t>2</w:t>
            </w:r>
            <w:r>
              <w:rPr>
                <w:spacing w:val="-11"/>
                <w:sz w:val="28"/>
              </w:rPr>
              <w:t>个以上县</w:t>
            </w:r>
            <w:r>
              <w:rPr>
                <w:sz w:val="28"/>
              </w:rPr>
              <w:t>（</w:t>
            </w:r>
            <w:r>
              <w:rPr>
                <w:spacing w:val="-3"/>
                <w:sz w:val="28"/>
              </w:rPr>
              <w:t>市</w:t>
            </w:r>
            <w:r>
              <w:rPr>
                <w:spacing w:val="-89"/>
                <w:sz w:val="28"/>
              </w:rPr>
              <w:t>）</w:t>
            </w:r>
            <w:r>
              <w:rPr>
                <w:spacing w:val="-12"/>
                <w:sz w:val="28"/>
              </w:rPr>
              <w:t>，已造成严重健康损害</w:t>
            </w:r>
            <w:r>
              <w:rPr>
                <w:spacing w:val="-5"/>
                <w:sz w:val="28"/>
              </w:rPr>
              <w:t>后果的；</w:t>
            </w:r>
          </w:p>
          <w:p>
            <w:pPr>
              <w:pStyle w:val="12"/>
              <w:keepNext w:val="0"/>
              <w:keepLines w:val="0"/>
              <w:pageBreakBefore w:val="0"/>
              <w:widowControl w:val="0"/>
              <w:kinsoku/>
              <w:wordWrap/>
              <w:overflowPunct/>
              <w:topLinePunct w:val="0"/>
              <w:autoSpaceDE w:val="0"/>
              <w:autoSpaceDN w:val="0"/>
              <w:bidi w:val="0"/>
              <w:adjustRightInd/>
              <w:snapToGrid/>
              <w:spacing w:before="0" w:line="360" w:lineRule="exact"/>
              <w:ind w:left="108" w:right="97"/>
              <w:textAlignment w:val="auto"/>
              <w:rPr>
                <w:sz w:val="28"/>
              </w:rPr>
            </w:pPr>
            <w:r>
              <w:rPr>
                <w:spacing w:val="2"/>
                <w:sz w:val="28"/>
              </w:rPr>
              <w:t>（</w:t>
            </w:r>
            <w:r>
              <w:rPr>
                <w:rFonts w:ascii="Times New Roman" w:eastAsia="Times New Roman"/>
                <w:spacing w:val="2"/>
                <w:sz w:val="28"/>
              </w:rPr>
              <w:t>2</w:t>
            </w:r>
            <w:r>
              <w:rPr>
                <w:spacing w:val="2"/>
                <w:sz w:val="28"/>
              </w:rPr>
              <w:t>）</w:t>
            </w:r>
            <w:r>
              <w:rPr>
                <w:rFonts w:ascii="Times New Roman" w:eastAsia="Times New Roman"/>
                <w:spacing w:val="2"/>
                <w:sz w:val="28"/>
              </w:rPr>
              <w:t>1</w:t>
            </w:r>
            <w:r>
              <w:rPr>
                <w:spacing w:val="-4"/>
                <w:sz w:val="28"/>
              </w:rPr>
              <w:t>起食品安全事件涉及人数在</w:t>
            </w:r>
            <w:r>
              <w:rPr>
                <w:rFonts w:ascii="Times New Roman" w:eastAsia="Times New Roman"/>
                <w:sz w:val="28"/>
              </w:rPr>
              <w:t>100</w:t>
            </w:r>
            <w:r>
              <w:rPr>
                <w:sz w:val="28"/>
              </w:rPr>
              <w:t>人以上；或出现死亡</w:t>
            </w:r>
            <w:r>
              <w:rPr>
                <w:spacing w:val="-2"/>
                <w:sz w:val="28"/>
              </w:rPr>
              <w:t>病例的；</w:t>
            </w:r>
          </w:p>
          <w:p>
            <w:pPr>
              <w:pStyle w:val="12"/>
              <w:keepNext w:val="0"/>
              <w:keepLines w:val="0"/>
              <w:pageBreakBefore w:val="0"/>
              <w:widowControl w:val="0"/>
              <w:kinsoku/>
              <w:wordWrap/>
              <w:overflowPunct/>
              <w:topLinePunct w:val="0"/>
              <w:autoSpaceDE w:val="0"/>
              <w:autoSpaceDN w:val="0"/>
              <w:bidi w:val="0"/>
              <w:adjustRightInd/>
              <w:snapToGrid/>
              <w:spacing w:before="0" w:line="360" w:lineRule="exact"/>
              <w:ind w:left="108"/>
              <w:textAlignment w:val="auto"/>
              <w:rPr>
                <w:sz w:val="28"/>
              </w:rPr>
            </w:pPr>
            <w:r>
              <w:rPr>
                <w:sz w:val="28"/>
              </w:rPr>
              <w:t>（</w:t>
            </w:r>
            <w:r>
              <w:rPr>
                <w:rFonts w:ascii="Times New Roman" w:eastAsia="Times New Roman"/>
                <w:sz w:val="28"/>
              </w:rPr>
              <w:t>3</w:t>
            </w:r>
            <w:r>
              <w:rPr>
                <w:sz w:val="28"/>
              </w:rPr>
              <w:t>）市级党委、政府认定的其他较大级别食品安全事件。</w:t>
            </w:r>
          </w:p>
        </w:tc>
        <w:tc>
          <w:tcPr>
            <w:tcW w:w="1425" w:type="dxa"/>
            <w:vAlign w:val="center"/>
          </w:tcPr>
          <w:p>
            <w:pPr>
              <w:pStyle w:val="12"/>
              <w:keepNext w:val="0"/>
              <w:keepLines w:val="0"/>
              <w:pageBreakBefore w:val="0"/>
              <w:widowControl w:val="0"/>
              <w:kinsoku/>
              <w:wordWrap/>
              <w:overflowPunct/>
              <w:topLinePunct w:val="0"/>
              <w:autoSpaceDE w:val="0"/>
              <w:autoSpaceDN w:val="0"/>
              <w:bidi w:val="0"/>
              <w:adjustRightInd/>
              <w:snapToGrid/>
              <w:spacing w:before="0" w:line="600" w:lineRule="exact"/>
              <w:jc w:val="center"/>
              <w:textAlignment w:val="auto"/>
              <w:rPr>
                <w:sz w:val="28"/>
              </w:rPr>
            </w:pPr>
            <w:r>
              <w:rPr>
                <w:sz w:val="28"/>
              </w:rPr>
              <w:t>三级响应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7" w:hRule="atLeast"/>
          <w:jc w:val="center"/>
        </w:trPr>
        <w:tc>
          <w:tcPr>
            <w:tcW w:w="840" w:type="dxa"/>
            <w:vAlign w:val="center"/>
          </w:tcPr>
          <w:p>
            <w:pPr>
              <w:pStyle w:val="12"/>
              <w:keepNext w:val="0"/>
              <w:keepLines w:val="0"/>
              <w:pageBreakBefore w:val="0"/>
              <w:widowControl w:val="0"/>
              <w:kinsoku/>
              <w:wordWrap/>
              <w:overflowPunct/>
              <w:topLinePunct w:val="0"/>
              <w:autoSpaceDE w:val="0"/>
              <w:autoSpaceDN w:val="0"/>
              <w:bidi w:val="0"/>
              <w:adjustRightInd/>
              <w:snapToGrid/>
              <w:spacing w:before="0" w:line="600" w:lineRule="exact"/>
              <w:ind w:right="109"/>
              <w:jc w:val="both"/>
              <w:textAlignment w:val="auto"/>
              <w:rPr>
                <w:rFonts w:hint="eastAsia" w:ascii="楷体" w:eastAsia="楷体"/>
                <w:sz w:val="28"/>
              </w:rPr>
            </w:pPr>
            <w:r>
              <w:rPr>
                <w:rFonts w:hint="eastAsia" w:ascii="楷体" w:eastAsia="楷体"/>
                <w:sz w:val="28"/>
              </w:rPr>
              <w:t>一般</w:t>
            </w:r>
          </w:p>
        </w:tc>
        <w:tc>
          <w:tcPr>
            <w:tcW w:w="7671" w:type="dxa"/>
            <w:vAlign w:val="center"/>
          </w:tcPr>
          <w:p>
            <w:pPr>
              <w:pStyle w:val="12"/>
              <w:keepNext w:val="0"/>
              <w:keepLines w:val="0"/>
              <w:pageBreakBefore w:val="0"/>
              <w:widowControl w:val="0"/>
              <w:kinsoku/>
              <w:wordWrap/>
              <w:overflowPunct/>
              <w:topLinePunct w:val="0"/>
              <w:autoSpaceDE w:val="0"/>
              <w:autoSpaceDN w:val="0"/>
              <w:bidi w:val="0"/>
              <w:adjustRightInd/>
              <w:snapToGrid/>
              <w:spacing w:before="0" w:line="360" w:lineRule="exact"/>
              <w:ind w:left="108" w:right="-44"/>
              <w:textAlignment w:val="auto"/>
              <w:rPr>
                <w:sz w:val="28"/>
              </w:rPr>
            </w:pPr>
            <w:r>
              <w:rPr>
                <w:spacing w:val="-19"/>
                <w:sz w:val="28"/>
              </w:rPr>
              <w:t>（</w:t>
            </w:r>
            <w:r>
              <w:rPr>
                <w:rFonts w:ascii="Times New Roman" w:eastAsia="Times New Roman"/>
                <w:spacing w:val="-19"/>
                <w:sz w:val="28"/>
              </w:rPr>
              <w:t>1</w:t>
            </w:r>
            <w:r>
              <w:rPr>
                <w:spacing w:val="-19"/>
                <w:sz w:val="28"/>
              </w:rPr>
              <w:t>）</w:t>
            </w:r>
            <w:r>
              <w:rPr>
                <w:spacing w:val="-8"/>
                <w:sz w:val="28"/>
              </w:rPr>
              <w:t>存在健康损害的污染食品，已造成严重健康损害后果的；</w:t>
            </w:r>
          </w:p>
          <w:p>
            <w:pPr>
              <w:pStyle w:val="12"/>
              <w:keepNext w:val="0"/>
              <w:keepLines w:val="0"/>
              <w:pageBreakBefore w:val="0"/>
              <w:widowControl w:val="0"/>
              <w:kinsoku/>
              <w:wordWrap/>
              <w:overflowPunct/>
              <w:topLinePunct w:val="0"/>
              <w:autoSpaceDE w:val="0"/>
              <w:autoSpaceDN w:val="0"/>
              <w:bidi w:val="0"/>
              <w:adjustRightInd/>
              <w:snapToGrid/>
              <w:spacing w:before="0" w:line="360" w:lineRule="exact"/>
              <w:ind w:left="108" w:right="95"/>
              <w:textAlignment w:val="auto"/>
              <w:rPr>
                <w:sz w:val="28"/>
              </w:rPr>
            </w:pPr>
            <w:r>
              <w:rPr>
                <w:spacing w:val="-10"/>
                <w:sz w:val="28"/>
              </w:rPr>
              <w:t>（</w:t>
            </w:r>
            <w:r>
              <w:rPr>
                <w:rFonts w:ascii="Times New Roman" w:eastAsia="Times New Roman"/>
                <w:spacing w:val="-10"/>
                <w:sz w:val="28"/>
              </w:rPr>
              <w:t>2</w:t>
            </w:r>
            <w:r>
              <w:rPr>
                <w:spacing w:val="-10"/>
                <w:sz w:val="28"/>
              </w:rPr>
              <w:t>）</w:t>
            </w:r>
            <w:r>
              <w:rPr>
                <w:rFonts w:ascii="Times New Roman" w:eastAsia="Times New Roman"/>
                <w:spacing w:val="-10"/>
                <w:sz w:val="28"/>
              </w:rPr>
              <w:t>1</w:t>
            </w:r>
            <w:r>
              <w:rPr>
                <w:spacing w:val="-9"/>
                <w:sz w:val="28"/>
              </w:rPr>
              <w:t>起食品安全事件涉及人数在</w:t>
            </w:r>
            <w:r>
              <w:rPr>
                <w:rFonts w:ascii="Times New Roman" w:eastAsia="Times New Roman"/>
                <w:sz w:val="28"/>
              </w:rPr>
              <w:t>30</w:t>
            </w:r>
            <w:r>
              <w:rPr>
                <w:spacing w:val="-11"/>
                <w:sz w:val="28"/>
              </w:rPr>
              <w:t>人以上、</w:t>
            </w:r>
            <w:r>
              <w:rPr>
                <w:rFonts w:ascii="Times New Roman" w:eastAsia="Times New Roman"/>
                <w:sz w:val="28"/>
              </w:rPr>
              <w:t>99</w:t>
            </w:r>
            <w:r>
              <w:rPr>
                <w:spacing w:val="-9"/>
                <w:sz w:val="28"/>
              </w:rPr>
              <w:t>人以下，且</w:t>
            </w:r>
            <w:r>
              <w:rPr>
                <w:spacing w:val="-3"/>
                <w:sz w:val="28"/>
              </w:rPr>
              <w:t>未出现死亡病例的；</w:t>
            </w:r>
          </w:p>
          <w:p>
            <w:pPr>
              <w:pStyle w:val="12"/>
              <w:keepNext w:val="0"/>
              <w:keepLines w:val="0"/>
              <w:pageBreakBefore w:val="0"/>
              <w:widowControl w:val="0"/>
              <w:kinsoku/>
              <w:wordWrap/>
              <w:overflowPunct/>
              <w:topLinePunct w:val="0"/>
              <w:autoSpaceDE w:val="0"/>
              <w:autoSpaceDN w:val="0"/>
              <w:bidi w:val="0"/>
              <w:adjustRightInd/>
              <w:snapToGrid/>
              <w:spacing w:before="0" w:line="360" w:lineRule="exact"/>
              <w:ind w:left="108"/>
              <w:textAlignment w:val="auto"/>
              <w:rPr>
                <w:sz w:val="28"/>
              </w:rPr>
            </w:pPr>
            <w:r>
              <w:rPr>
                <w:sz w:val="28"/>
              </w:rPr>
              <w:t>（</w:t>
            </w:r>
            <w:r>
              <w:rPr>
                <w:rFonts w:ascii="Times New Roman" w:eastAsia="Times New Roman"/>
                <w:sz w:val="28"/>
              </w:rPr>
              <w:t>3</w:t>
            </w:r>
            <w:r>
              <w:rPr>
                <w:sz w:val="28"/>
              </w:rPr>
              <w:t>）县级党委、政府认定的其他一般级别食品安全事件。</w:t>
            </w:r>
          </w:p>
        </w:tc>
        <w:tc>
          <w:tcPr>
            <w:tcW w:w="1425" w:type="dxa"/>
            <w:vAlign w:val="center"/>
          </w:tcPr>
          <w:p>
            <w:pPr>
              <w:pStyle w:val="12"/>
              <w:keepNext w:val="0"/>
              <w:keepLines w:val="0"/>
              <w:pageBreakBefore w:val="0"/>
              <w:widowControl w:val="0"/>
              <w:kinsoku/>
              <w:wordWrap/>
              <w:overflowPunct/>
              <w:topLinePunct w:val="0"/>
              <w:autoSpaceDE w:val="0"/>
              <w:autoSpaceDN w:val="0"/>
              <w:bidi w:val="0"/>
              <w:adjustRightInd/>
              <w:snapToGrid/>
              <w:spacing w:before="0" w:line="600" w:lineRule="exact"/>
              <w:jc w:val="center"/>
              <w:textAlignment w:val="auto"/>
              <w:rPr>
                <w:sz w:val="28"/>
              </w:rPr>
            </w:pPr>
            <w:r>
              <w:rPr>
                <w:sz w:val="28"/>
              </w:rPr>
              <w:t>四级响应</w:t>
            </w:r>
          </w:p>
        </w:tc>
      </w:tr>
    </w:tbl>
    <w:p>
      <w:pPr>
        <w:pStyle w:val="12"/>
        <w:keepNext w:val="0"/>
        <w:keepLines w:val="0"/>
        <w:pageBreakBefore w:val="0"/>
        <w:widowControl w:val="0"/>
        <w:kinsoku/>
        <w:wordWrap/>
        <w:overflowPunct/>
        <w:topLinePunct w:val="0"/>
        <w:autoSpaceDE w:val="0"/>
        <w:autoSpaceDN w:val="0"/>
        <w:bidi w:val="0"/>
        <w:adjustRightInd/>
        <w:snapToGrid/>
        <w:spacing w:before="0" w:line="360" w:lineRule="exact"/>
        <w:ind w:left="108" w:right="95"/>
        <w:textAlignment w:val="auto"/>
        <w:rPr>
          <w:spacing w:val="-9"/>
          <w:sz w:val="28"/>
        </w:rPr>
      </w:pPr>
      <w:r>
        <w:rPr>
          <w:rFonts w:hint="eastAsia"/>
          <w:spacing w:val="-9"/>
          <w:sz w:val="28"/>
        </w:rPr>
        <w:t>注：“以上”、“以下”均含本数。</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宋体" w:hAnsi="宋体" w:eastAsia="仿宋_GB2312" w:cs="仿宋_GB2312"/>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b/>
          <w:kern w:val="2"/>
          <w:sz w:val="32"/>
          <w:szCs w:val="20"/>
        </w:rPr>
      </w:pPr>
    </w:p>
    <w:p>
      <w:pPr>
        <w:pStyle w:val="2"/>
        <w:rPr>
          <w:rFonts w:hint="eastAsia" w:ascii="宋体" w:hAnsi="宋体" w:eastAsia="宋体"/>
          <w:b/>
          <w:kern w:val="2"/>
          <w:sz w:val="32"/>
          <w:szCs w:val="20"/>
        </w:rPr>
      </w:pPr>
    </w:p>
    <w:p>
      <w:pPr>
        <w:pStyle w:val="2"/>
        <w:rPr>
          <w:rFonts w:hint="eastAsia" w:ascii="宋体" w:hAnsi="宋体" w:eastAsia="宋体"/>
          <w:b/>
          <w:kern w:val="2"/>
          <w:sz w:val="32"/>
          <w:szCs w:val="20"/>
        </w:rPr>
      </w:pPr>
    </w:p>
    <w:p>
      <w:pPr>
        <w:pStyle w:val="2"/>
        <w:rPr>
          <w:rFonts w:hint="eastAsia" w:ascii="宋体" w:hAnsi="宋体" w:eastAsia="宋体"/>
          <w:b/>
          <w:kern w:val="2"/>
          <w:sz w:val="32"/>
          <w:szCs w:val="20"/>
        </w:rPr>
      </w:pPr>
    </w:p>
    <w:p>
      <w:pPr>
        <w:pStyle w:val="2"/>
        <w:rPr>
          <w:rFonts w:hint="eastAsia" w:ascii="宋体" w:hAnsi="宋体" w:eastAsia="宋体"/>
          <w:b/>
          <w:kern w:val="2"/>
          <w:sz w:val="32"/>
          <w:szCs w:val="20"/>
        </w:rPr>
      </w:pPr>
    </w:p>
    <w:p>
      <w:pPr>
        <w:pStyle w:val="2"/>
        <w:rPr>
          <w:rFonts w:hint="eastAsia" w:ascii="宋体" w:hAnsi="宋体" w:eastAsia="宋体"/>
          <w:b/>
          <w:kern w:val="2"/>
          <w:sz w:val="32"/>
          <w:szCs w:val="20"/>
        </w:rPr>
      </w:pPr>
    </w:p>
    <w:p>
      <w:pPr>
        <w:pStyle w:val="2"/>
        <w:rPr>
          <w:rFonts w:hint="eastAsia" w:ascii="宋体" w:hAnsi="宋体" w:eastAsia="宋体"/>
          <w:b/>
          <w:kern w:val="2"/>
          <w:sz w:val="32"/>
          <w:szCs w:val="20"/>
        </w:rPr>
      </w:pPr>
    </w:p>
    <w:p>
      <w:pPr>
        <w:pStyle w:val="2"/>
        <w:rPr>
          <w:rFonts w:hint="eastAsia" w:ascii="宋体" w:hAnsi="宋体" w:eastAsia="宋体"/>
          <w:b/>
          <w:kern w:val="2"/>
          <w:sz w:val="32"/>
          <w:szCs w:val="20"/>
        </w:rPr>
      </w:pPr>
    </w:p>
    <w:p>
      <w:pPr>
        <w:pStyle w:val="2"/>
        <w:rPr>
          <w:rFonts w:hint="eastAsia" w:ascii="宋体" w:hAnsi="宋体" w:eastAsia="宋体"/>
          <w:b/>
          <w:kern w:val="2"/>
          <w:sz w:val="32"/>
          <w:szCs w:val="20"/>
        </w:rPr>
      </w:pPr>
    </w:p>
    <w:p>
      <w:pPr>
        <w:pStyle w:val="2"/>
        <w:rPr>
          <w:rFonts w:hint="eastAsia" w:ascii="宋体" w:hAnsi="宋体" w:eastAsia="宋体"/>
          <w:b/>
          <w:kern w:val="2"/>
          <w:sz w:val="32"/>
          <w:szCs w:val="20"/>
        </w:rPr>
      </w:pPr>
    </w:p>
    <w:p>
      <w:pPr>
        <w:pStyle w:val="2"/>
        <w:rPr>
          <w:rFonts w:hint="eastAsia" w:ascii="宋体" w:hAnsi="宋体" w:eastAsia="宋体"/>
          <w:b/>
          <w:kern w:val="2"/>
          <w:sz w:val="32"/>
          <w:szCs w:val="20"/>
        </w:rPr>
      </w:pPr>
    </w:p>
    <w:p>
      <w:pPr>
        <w:pStyle w:val="2"/>
        <w:rPr>
          <w:rFonts w:hint="eastAsia" w:ascii="宋体" w:hAnsi="宋体" w:eastAsia="宋体"/>
          <w:b/>
          <w:kern w:val="2"/>
          <w:sz w:val="32"/>
          <w:szCs w:val="20"/>
        </w:rPr>
      </w:pPr>
    </w:p>
    <w:p>
      <w:pPr>
        <w:pStyle w:val="2"/>
        <w:rPr>
          <w:rFonts w:hint="eastAsia" w:ascii="宋体" w:hAnsi="宋体" w:eastAsia="宋体"/>
          <w:b/>
          <w:kern w:val="2"/>
          <w:sz w:val="32"/>
          <w:szCs w:val="20"/>
        </w:rPr>
      </w:pPr>
    </w:p>
    <w:p>
      <w:pPr>
        <w:pStyle w:val="2"/>
        <w:rPr>
          <w:rFonts w:hint="eastAsia" w:ascii="宋体" w:hAnsi="宋体" w:eastAsia="宋体"/>
          <w:b/>
          <w:kern w:val="2"/>
          <w:sz w:val="32"/>
          <w:szCs w:val="20"/>
        </w:rPr>
      </w:pPr>
    </w:p>
    <w:p>
      <w:pPr>
        <w:pStyle w:val="2"/>
        <w:rPr>
          <w:rFonts w:hint="eastAsia" w:ascii="宋体" w:hAnsi="宋体" w:eastAsia="宋体"/>
          <w:b/>
          <w:kern w:val="2"/>
          <w:sz w:val="32"/>
          <w:szCs w:val="20"/>
        </w:rPr>
      </w:pPr>
    </w:p>
    <w:p>
      <w:pPr>
        <w:pStyle w:val="2"/>
        <w:rPr>
          <w:rFonts w:hint="eastAsia" w:ascii="宋体" w:hAnsi="宋体" w:eastAsia="宋体"/>
          <w:b/>
          <w:kern w:val="2"/>
          <w:sz w:val="32"/>
          <w:szCs w:val="20"/>
        </w:rPr>
      </w:pPr>
    </w:p>
    <w:p>
      <w:pPr>
        <w:pStyle w:val="2"/>
        <w:rPr>
          <w:rFonts w:hint="eastAsia" w:ascii="宋体" w:hAnsi="宋体" w:eastAsia="宋体"/>
          <w:b/>
          <w:kern w:val="2"/>
          <w:sz w:val="32"/>
          <w:szCs w:val="20"/>
        </w:rPr>
      </w:pPr>
    </w:p>
    <w:p>
      <w:pPr>
        <w:pStyle w:val="2"/>
        <w:rPr>
          <w:rFonts w:hint="eastAsia" w:ascii="宋体" w:hAnsi="宋体" w:eastAsia="宋体"/>
          <w:b/>
          <w:kern w:val="2"/>
          <w:sz w:val="32"/>
          <w:szCs w:val="20"/>
        </w:rPr>
      </w:pPr>
    </w:p>
    <w:p>
      <w:pPr>
        <w:pStyle w:val="2"/>
        <w:rPr>
          <w:rFonts w:hint="eastAsia" w:ascii="宋体" w:hAnsi="宋体" w:eastAsia="宋体"/>
          <w:b/>
          <w:kern w:val="2"/>
          <w:sz w:val="32"/>
          <w:szCs w:val="20"/>
        </w:rPr>
      </w:pPr>
    </w:p>
    <w:p>
      <w:pPr>
        <w:pStyle w:val="2"/>
        <w:rPr>
          <w:rFonts w:hint="eastAsia" w:ascii="宋体" w:hAnsi="宋体" w:eastAsia="宋体"/>
          <w:b/>
          <w:kern w:val="2"/>
          <w:sz w:val="32"/>
          <w:szCs w:val="20"/>
        </w:rPr>
      </w:pPr>
    </w:p>
    <w:p>
      <w:pPr>
        <w:pStyle w:val="2"/>
        <w:rPr>
          <w:rFonts w:hint="eastAsia" w:ascii="宋体" w:hAnsi="宋体" w:eastAsia="宋体"/>
          <w:b/>
          <w:kern w:val="2"/>
          <w:sz w:val="32"/>
          <w:szCs w:val="20"/>
        </w:rPr>
      </w:pPr>
    </w:p>
    <w:p>
      <w:pPr>
        <w:pStyle w:val="2"/>
        <w:rPr>
          <w:rFonts w:hint="eastAsia" w:ascii="宋体" w:hAnsi="宋体" w:eastAsia="宋体"/>
          <w:b/>
          <w:kern w:val="2"/>
          <w:sz w:val="32"/>
          <w:szCs w:val="20"/>
        </w:rPr>
      </w:pPr>
    </w:p>
    <w:p>
      <w:pPr>
        <w:spacing w:line="80" w:lineRule="exact"/>
        <w:rPr>
          <w:rFonts w:hint="eastAsia" w:ascii="宋体" w:hAnsi="宋体" w:eastAsia="宋体"/>
          <w:b/>
          <w:kern w:val="2"/>
          <w:sz w:val="32"/>
          <w:szCs w:val="20"/>
        </w:rPr>
      </w:pPr>
    </w:p>
    <w:p>
      <w:pPr>
        <w:spacing w:line="80" w:lineRule="exact"/>
        <w:rPr>
          <w:rFonts w:hint="eastAsia" w:ascii="宋体" w:hAnsi="宋体" w:eastAsia="宋体"/>
          <w:b/>
          <w:kern w:val="2"/>
          <w:sz w:val="32"/>
          <w:szCs w:val="20"/>
        </w:rPr>
      </w:pPr>
    </w:p>
    <w:p>
      <w:pPr>
        <w:spacing w:line="80" w:lineRule="exact"/>
        <w:rPr>
          <w:rFonts w:hint="eastAsia" w:ascii="宋体" w:hAnsi="宋体" w:eastAsia="宋体"/>
          <w:b/>
          <w:kern w:val="2"/>
          <w:sz w:val="32"/>
          <w:szCs w:val="20"/>
        </w:rPr>
      </w:pPr>
    </w:p>
    <w:p>
      <w:pPr>
        <w:spacing w:line="80" w:lineRule="exact"/>
        <w:rPr>
          <w:rFonts w:hint="eastAsia" w:ascii="宋体" w:hAnsi="宋体" w:eastAsia="宋体"/>
          <w:b/>
          <w:kern w:val="2"/>
          <w:sz w:val="32"/>
          <w:szCs w:val="20"/>
        </w:rPr>
      </w:pPr>
    </w:p>
    <w:tbl>
      <w:tblPr>
        <w:tblStyle w:val="8"/>
        <w:tblW w:w="0" w:type="auto"/>
        <w:tblInd w:w="125" w:type="dxa"/>
        <w:tblBorders>
          <w:top w:val="single" w:color="auto" w:sz="8"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820"/>
      </w:tblGrid>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820" w:type="dxa"/>
            <w:tcBorders>
              <w:tl2br w:val="nil"/>
              <w:tr2bl w:val="nil"/>
            </w:tcBorders>
            <w:noWrap w:val="0"/>
            <w:vAlign w:val="center"/>
          </w:tcPr>
          <w:p>
            <w:pPr>
              <w:ind w:firstLine="150" w:firstLineChars="50"/>
              <w:rPr>
                <w:rFonts w:ascii="宋体" w:hAnsi="宋体" w:eastAsia="仿宋_GB2312"/>
                <w:spacing w:val="-10"/>
                <w:kern w:val="2"/>
                <w:sz w:val="28"/>
                <w:szCs w:val="28"/>
              </w:rPr>
            </w:pPr>
            <w:r>
              <w:rPr>
                <w:rFonts w:hint="eastAsia" w:ascii="宋体" w:hAnsi="宋体" w:eastAsia="仿宋_GB2312"/>
                <w:spacing w:val="-10"/>
                <w:kern w:val="2"/>
                <w:sz w:val="32"/>
                <w:szCs w:val="32"/>
                <w:lang w:val="en-US" w:eastAsia="zh-CN"/>
              </w:rPr>
              <w:t>南阳市宛城区</w:t>
            </w:r>
            <w:r>
              <w:rPr>
                <w:rFonts w:hint="eastAsia" w:ascii="仿宋_GB2312" w:eastAsia="仿宋_GB2312" w:cs="FZXBSK--GBK1-0"/>
                <w:spacing w:val="-10"/>
                <w:kern w:val="0"/>
                <w:sz w:val="32"/>
                <w:szCs w:val="32"/>
              </w:rPr>
              <w:t>人民政府食品安全委员会</w:t>
            </w:r>
            <w:r>
              <w:rPr>
                <w:rFonts w:hint="eastAsia" w:ascii="宋体" w:hAnsi="宋体" w:eastAsia="仿宋_GB2312"/>
                <w:spacing w:val="-10"/>
                <w:kern w:val="2"/>
                <w:sz w:val="32"/>
                <w:szCs w:val="32"/>
              </w:rPr>
              <w:t xml:space="preserve">   2022年</w:t>
            </w:r>
            <w:r>
              <w:rPr>
                <w:rFonts w:hint="eastAsia" w:ascii="宋体" w:hAnsi="宋体" w:eastAsia="仿宋_GB2312"/>
                <w:spacing w:val="-10"/>
                <w:kern w:val="2"/>
                <w:sz w:val="32"/>
                <w:szCs w:val="32"/>
                <w:lang w:val="en-US" w:eastAsia="zh-CN"/>
              </w:rPr>
              <w:t>12</w:t>
            </w:r>
            <w:r>
              <w:rPr>
                <w:rFonts w:hint="eastAsia" w:ascii="宋体" w:hAnsi="宋体" w:eastAsia="仿宋_GB2312"/>
                <w:spacing w:val="-10"/>
                <w:kern w:val="2"/>
                <w:sz w:val="32"/>
                <w:szCs w:val="32"/>
              </w:rPr>
              <w:t>月</w:t>
            </w:r>
            <w:r>
              <w:rPr>
                <w:rFonts w:hint="eastAsia" w:ascii="宋体" w:hAnsi="宋体" w:eastAsia="仿宋_GB2312"/>
                <w:spacing w:val="-10"/>
                <w:kern w:val="2"/>
                <w:sz w:val="32"/>
                <w:szCs w:val="32"/>
                <w:lang w:val="en-US" w:eastAsia="zh-CN"/>
              </w:rPr>
              <w:t>16</w:t>
            </w:r>
            <w:r>
              <w:rPr>
                <w:rFonts w:hint="eastAsia" w:ascii="宋体" w:hAnsi="宋体" w:eastAsia="仿宋_GB2312"/>
                <w:spacing w:val="-10"/>
                <w:kern w:val="2"/>
                <w:sz w:val="32"/>
                <w:szCs w:val="32"/>
              </w:rPr>
              <w:t>日印发</w:t>
            </w:r>
          </w:p>
        </w:tc>
      </w:tr>
    </w:tbl>
    <w:p>
      <w:pPr>
        <w:keepNext w:val="0"/>
        <w:keepLines w:val="0"/>
        <w:pageBreakBefore w:val="0"/>
        <w:widowControl w:val="0"/>
        <w:tabs>
          <w:tab w:val="left" w:pos="603"/>
        </w:tabs>
        <w:kinsoku/>
        <w:wordWrap/>
        <w:overflowPunct/>
        <w:topLinePunct w:val="0"/>
        <w:autoSpaceDE/>
        <w:autoSpaceDN/>
        <w:bidi w:val="0"/>
        <w:adjustRightInd/>
        <w:snapToGrid/>
        <w:spacing w:line="20" w:lineRule="exact"/>
        <w:jc w:val="left"/>
        <w:textAlignment w:val="auto"/>
        <w:rPr>
          <w:rFonts w:ascii="Times New Roman" w:hAnsi="Times New Roman" w:eastAsia="方正仿宋简体" w:cs="Times New Roman"/>
          <w:kern w:val="31"/>
          <w:sz w:val="21"/>
          <w:szCs w:val="31"/>
          <w:lang w:val="en-US" w:eastAsia="zh-CN" w:bidi="ar-SA"/>
        </w:rPr>
      </w:pPr>
    </w:p>
    <w:sectPr>
      <w:footerReference r:id="rId3" w:type="default"/>
      <w:pgSz w:w="11906" w:h="16838"/>
      <w:pgMar w:top="1871" w:right="1531" w:bottom="1757" w:left="1531" w:header="851" w:footer="1417" w:gutter="0"/>
      <w:pgBorders>
        <w:top w:val="none" w:sz="0" w:space="0"/>
        <w:left w:val="none" w:sz="0" w:space="0"/>
        <w:bottom w:val="none" w:sz="0" w:space="0"/>
        <w:right w:val="none" w:sz="0" w:space="0"/>
      </w:pgBorders>
      <w:cols w:space="72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2010601030101010101"/>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CESI仿宋-GB2312">
    <w:altName w:val="仿宋"/>
    <w:panose1 w:val="02000500000000000000"/>
    <w:charset w:val="86"/>
    <w:family w:val="auto"/>
    <w:pitch w:val="default"/>
    <w:sig w:usb0="00000000" w:usb1="00000000" w:usb2="00000010" w:usb3="00000000" w:csb0="0004000F" w:csb1="00000000"/>
  </w:font>
  <w:font w:name="楷体">
    <w:panose1 w:val="02010609060101010101"/>
    <w:charset w:val="86"/>
    <w:family w:val="auto"/>
    <w:pitch w:val="default"/>
    <w:sig w:usb0="800002BF" w:usb1="38CF7CFA" w:usb2="00000016" w:usb3="00000000" w:csb0="00040001" w:csb1="00000000"/>
  </w:font>
  <w:font w:name="FZXBSK--GBK1-0">
    <w:altName w:val="等线"/>
    <w:panose1 w:val="00000000000000000000"/>
    <w:charset w:val="86"/>
    <w:family w:val="auto"/>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0"/>
        <w:rFonts w:hint="eastAsia" w:ascii="宋体" w:hAnsi="宋体"/>
        <w:sz w:val="28"/>
      </w:rPr>
    </w:pPr>
    <w:r>
      <w:rPr>
        <w:rStyle w:val="10"/>
        <w:rFonts w:hint="eastAsia" w:ascii="宋体" w:hAnsi="宋体"/>
        <w:color w:val="FFFFFF"/>
        <w:sz w:val="28"/>
      </w:rPr>
      <w:t>—</w:t>
    </w:r>
    <w:r>
      <w:rPr>
        <w:rStyle w:val="10"/>
        <w:rFonts w:hint="eastAsia" w:ascii="宋体" w:hAnsi="宋体"/>
        <w:sz w:val="28"/>
      </w:rPr>
      <w:t xml:space="preserve">— </w:t>
    </w:r>
    <w:r>
      <w:rPr>
        <w:rFonts w:ascii="宋体" w:hAnsi="宋体"/>
        <w:sz w:val="28"/>
      </w:rPr>
      <w:fldChar w:fldCharType="begin"/>
    </w:r>
    <w:r>
      <w:rPr>
        <w:rStyle w:val="10"/>
        <w:rFonts w:ascii="宋体" w:hAnsi="宋体"/>
        <w:sz w:val="28"/>
      </w:rPr>
      <w:instrText xml:space="preserve">PAGE  </w:instrText>
    </w:r>
    <w:r>
      <w:rPr>
        <w:rFonts w:ascii="宋体" w:hAnsi="宋体"/>
        <w:sz w:val="28"/>
      </w:rPr>
      <w:fldChar w:fldCharType="separate"/>
    </w:r>
    <w:r>
      <w:rPr>
        <w:rStyle w:val="10"/>
        <w:rFonts w:ascii="宋体" w:hAnsi="宋体"/>
        <w:sz w:val="28"/>
      </w:rPr>
      <w:t>2</w:t>
    </w:r>
    <w:r>
      <w:rPr>
        <w:rFonts w:ascii="宋体" w:hAnsi="宋体"/>
        <w:sz w:val="28"/>
      </w:rPr>
      <w:fldChar w:fldCharType="end"/>
    </w:r>
    <w:r>
      <w:rPr>
        <w:rStyle w:val="10"/>
        <w:rFonts w:hint="eastAsia" w:ascii="宋体" w:hAnsi="宋体"/>
        <w:sz w:val="28"/>
      </w:rPr>
      <w:t xml:space="preserve"> —</w:t>
    </w:r>
    <w:r>
      <w:rPr>
        <w:rStyle w:val="10"/>
        <w:rFonts w:hint="eastAsia" w:ascii="宋体" w:hAnsi="宋体"/>
        <w:color w:val="FFFFFF"/>
        <w:sz w:val="28"/>
      </w:rPr>
      <w:t>—</w:t>
    </w:r>
  </w:p>
  <w:p>
    <w:pPr>
      <w:pStyle w:val="5"/>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g3MGMwZGJkMWE4MjkyNTZlZjI3ZmRkY2MwNDJiMzAifQ=="/>
  </w:docVars>
  <w:rsids>
    <w:rsidRoot w:val="4A2E3C8F"/>
    <w:rsid w:val="008953F8"/>
    <w:rsid w:val="00C44682"/>
    <w:rsid w:val="016A5229"/>
    <w:rsid w:val="01FB2325"/>
    <w:rsid w:val="02144BFA"/>
    <w:rsid w:val="022655F4"/>
    <w:rsid w:val="025263E9"/>
    <w:rsid w:val="02ED4364"/>
    <w:rsid w:val="032F6537"/>
    <w:rsid w:val="04212517"/>
    <w:rsid w:val="04844854"/>
    <w:rsid w:val="075C3866"/>
    <w:rsid w:val="07807554"/>
    <w:rsid w:val="085F360E"/>
    <w:rsid w:val="0880536B"/>
    <w:rsid w:val="08C6368D"/>
    <w:rsid w:val="09420839"/>
    <w:rsid w:val="09AC5238"/>
    <w:rsid w:val="09C921F2"/>
    <w:rsid w:val="0A5D1DCF"/>
    <w:rsid w:val="0B0E131B"/>
    <w:rsid w:val="0B5D3D75"/>
    <w:rsid w:val="0B7C2FC7"/>
    <w:rsid w:val="0C211EF5"/>
    <w:rsid w:val="0C285E2F"/>
    <w:rsid w:val="0C30706F"/>
    <w:rsid w:val="0C970E9C"/>
    <w:rsid w:val="0CE642FD"/>
    <w:rsid w:val="0D5A03EC"/>
    <w:rsid w:val="0D9C49BC"/>
    <w:rsid w:val="0DAC4BAD"/>
    <w:rsid w:val="0EAC6E81"/>
    <w:rsid w:val="0ECA37AB"/>
    <w:rsid w:val="10262C63"/>
    <w:rsid w:val="106621BE"/>
    <w:rsid w:val="10A65B52"/>
    <w:rsid w:val="10CC380A"/>
    <w:rsid w:val="11B03029"/>
    <w:rsid w:val="12BB150A"/>
    <w:rsid w:val="12CD386A"/>
    <w:rsid w:val="138228A6"/>
    <w:rsid w:val="13F310AE"/>
    <w:rsid w:val="14EA0703"/>
    <w:rsid w:val="151B539B"/>
    <w:rsid w:val="153320AA"/>
    <w:rsid w:val="15634011"/>
    <w:rsid w:val="16893F4C"/>
    <w:rsid w:val="17465999"/>
    <w:rsid w:val="17855360"/>
    <w:rsid w:val="17A879C9"/>
    <w:rsid w:val="17F673BF"/>
    <w:rsid w:val="19B25567"/>
    <w:rsid w:val="1A0C2EC9"/>
    <w:rsid w:val="1A951111"/>
    <w:rsid w:val="1AED589C"/>
    <w:rsid w:val="1BD417C5"/>
    <w:rsid w:val="1CA613B3"/>
    <w:rsid w:val="1CB3587E"/>
    <w:rsid w:val="1CCD6AD3"/>
    <w:rsid w:val="1E032835"/>
    <w:rsid w:val="1E28404A"/>
    <w:rsid w:val="1F6414BC"/>
    <w:rsid w:val="1F8D23B7"/>
    <w:rsid w:val="20EE3329"/>
    <w:rsid w:val="222D7E81"/>
    <w:rsid w:val="2265586D"/>
    <w:rsid w:val="2269726E"/>
    <w:rsid w:val="22FF7A6F"/>
    <w:rsid w:val="25140E84"/>
    <w:rsid w:val="2573204F"/>
    <w:rsid w:val="25C1725E"/>
    <w:rsid w:val="25E03518"/>
    <w:rsid w:val="2702368A"/>
    <w:rsid w:val="27337CE7"/>
    <w:rsid w:val="2753038A"/>
    <w:rsid w:val="27D36DD5"/>
    <w:rsid w:val="27D50D9F"/>
    <w:rsid w:val="2A067935"/>
    <w:rsid w:val="2A5A1A2F"/>
    <w:rsid w:val="2ADE7F6A"/>
    <w:rsid w:val="2BAC62BA"/>
    <w:rsid w:val="2C1C51EE"/>
    <w:rsid w:val="2CF77A09"/>
    <w:rsid w:val="2D371BB4"/>
    <w:rsid w:val="2D834DF9"/>
    <w:rsid w:val="2E3600BD"/>
    <w:rsid w:val="2ED95618"/>
    <w:rsid w:val="2EDD678B"/>
    <w:rsid w:val="2F452CAE"/>
    <w:rsid w:val="2F7E3ACA"/>
    <w:rsid w:val="306929CC"/>
    <w:rsid w:val="31D200FD"/>
    <w:rsid w:val="324E1E79"/>
    <w:rsid w:val="324E75E7"/>
    <w:rsid w:val="32777762"/>
    <w:rsid w:val="33136C1F"/>
    <w:rsid w:val="33CF0D98"/>
    <w:rsid w:val="342B057B"/>
    <w:rsid w:val="348E0C53"/>
    <w:rsid w:val="34F12F90"/>
    <w:rsid w:val="35286956"/>
    <w:rsid w:val="3599165E"/>
    <w:rsid w:val="37554894"/>
    <w:rsid w:val="377834F5"/>
    <w:rsid w:val="37A83DDA"/>
    <w:rsid w:val="37C16C4A"/>
    <w:rsid w:val="382F44FB"/>
    <w:rsid w:val="394538AA"/>
    <w:rsid w:val="396F26D5"/>
    <w:rsid w:val="3A0164E7"/>
    <w:rsid w:val="3A9C399E"/>
    <w:rsid w:val="3B443E1A"/>
    <w:rsid w:val="3C1F4887"/>
    <w:rsid w:val="3C541977"/>
    <w:rsid w:val="3EF63FC3"/>
    <w:rsid w:val="3F1F5DA0"/>
    <w:rsid w:val="3FE060DB"/>
    <w:rsid w:val="405E3BCF"/>
    <w:rsid w:val="40925627"/>
    <w:rsid w:val="410302D3"/>
    <w:rsid w:val="417D0085"/>
    <w:rsid w:val="42BD0BDC"/>
    <w:rsid w:val="42D737C5"/>
    <w:rsid w:val="443175E8"/>
    <w:rsid w:val="443A04B0"/>
    <w:rsid w:val="444F55DD"/>
    <w:rsid w:val="44555450"/>
    <w:rsid w:val="44562E10"/>
    <w:rsid w:val="45C2075D"/>
    <w:rsid w:val="45F823D0"/>
    <w:rsid w:val="46130FB8"/>
    <w:rsid w:val="46345E62"/>
    <w:rsid w:val="46893028"/>
    <w:rsid w:val="473A2575"/>
    <w:rsid w:val="478B1022"/>
    <w:rsid w:val="47A3636C"/>
    <w:rsid w:val="48030BB8"/>
    <w:rsid w:val="481E59F2"/>
    <w:rsid w:val="4A2E3C8F"/>
    <w:rsid w:val="4AE64EED"/>
    <w:rsid w:val="4AE9678B"/>
    <w:rsid w:val="4C0D2006"/>
    <w:rsid w:val="4D144ECF"/>
    <w:rsid w:val="4D6E2F78"/>
    <w:rsid w:val="4E51609D"/>
    <w:rsid w:val="4EB413C0"/>
    <w:rsid w:val="4EE748AB"/>
    <w:rsid w:val="4F021BCA"/>
    <w:rsid w:val="4FBE68EE"/>
    <w:rsid w:val="5023629C"/>
    <w:rsid w:val="508A631B"/>
    <w:rsid w:val="511856D5"/>
    <w:rsid w:val="51BA49DE"/>
    <w:rsid w:val="53536E98"/>
    <w:rsid w:val="54603AE5"/>
    <w:rsid w:val="54FC70BB"/>
    <w:rsid w:val="56C97471"/>
    <w:rsid w:val="577675F9"/>
    <w:rsid w:val="5785783C"/>
    <w:rsid w:val="57957137"/>
    <w:rsid w:val="5813309A"/>
    <w:rsid w:val="59F91E1B"/>
    <w:rsid w:val="5AC621DF"/>
    <w:rsid w:val="5B490AD6"/>
    <w:rsid w:val="5C1473E0"/>
    <w:rsid w:val="5C741C2D"/>
    <w:rsid w:val="5CEB0141"/>
    <w:rsid w:val="5D7C348F"/>
    <w:rsid w:val="5EBB1D95"/>
    <w:rsid w:val="5FF4009D"/>
    <w:rsid w:val="607951D8"/>
    <w:rsid w:val="60AA3E6F"/>
    <w:rsid w:val="61BD7BD2"/>
    <w:rsid w:val="626866FE"/>
    <w:rsid w:val="62C70D09"/>
    <w:rsid w:val="63DB7766"/>
    <w:rsid w:val="642F52DB"/>
    <w:rsid w:val="646B7484"/>
    <w:rsid w:val="64790728"/>
    <w:rsid w:val="65FA13F5"/>
    <w:rsid w:val="66664CDC"/>
    <w:rsid w:val="67112E9A"/>
    <w:rsid w:val="674212A6"/>
    <w:rsid w:val="67B0620F"/>
    <w:rsid w:val="688431F8"/>
    <w:rsid w:val="68C61A62"/>
    <w:rsid w:val="68E02B24"/>
    <w:rsid w:val="699D27C3"/>
    <w:rsid w:val="69AF5F2D"/>
    <w:rsid w:val="6ACF4D1C"/>
    <w:rsid w:val="6B2C2051"/>
    <w:rsid w:val="6B312009"/>
    <w:rsid w:val="6B6712DB"/>
    <w:rsid w:val="6CA65E33"/>
    <w:rsid w:val="6D01750D"/>
    <w:rsid w:val="6E21682C"/>
    <w:rsid w:val="6EFA4214"/>
    <w:rsid w:val="6F405FB2"/>
    <w:rsid w:val="70C25205"/>
    <w:rsid w:val="711315BD"/>
    <w:rsid w:val="72563E57"/>
    <w:rsid w:val="72855F71"/>
    <w:rsid w:val="72F86CBC"/>
    <w:rsid w:val="74911176"/>
    <w:rsid w:val="750E0FCF"/>
    <w:rsid w:val="769F401E"/>
    <w:rsid w:val="76B86E8E"/>
    <w:rsid w:val="778356EE"/>
    <w:rsid w:val="77D47CF8"/>
    <w:rsid w:val="78056103"/>
    <w:rsid w:val="7AFD5319"/>
    <w:rsid w:val="7B2A3852"/>
    <w:rsid w:val="7B3A2568"/>
    <w:rsid w:val="7B787C13"/>
    <w:rsid w:val="7BC71922"/>
    <w:rsid w:val="7C8E270A"/>
    <w:rsid w:val="7DA43CC8"/>
    <w:rsid w:val="7DDD71DA"/>
    <w:rsid w:val="7E2766A8"/>
    <w:rsid w:val="7EC30AC6"/>
    <w:rsid w:val="7F3F07EA"/>
    <w:rsid w:val="7F4D0390"/>
    <w:rsid w:val="7FCE14D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简体" w:cs="Times New Roman"/>
      <w:kern w:val="31"/>
      <w:sz w:val="21"/>
      <w:szCs w:val="31"/>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正文缩进1"/>
    <w:basedOn w:val="1"/>
    <w:qFormat/>
    <w:uiPriority w:val="0"/>
    <w:pPr>
      <w:ind w:firstLine="420" w:firstLineChars="200"/>
    </w:pPr>
  </w:style>
  <w:style w:type="paragraph" w:styleId="3">
    <w:name w:val="Body Text"/>
    <w:basedOn w:val="1"/>
    <w:next w:val="4"/>
    <w:unhideWhenUsed/>
    <w:qFormat/>
    <w:uiPriority w:val="99"/>
    <w:pPr>
      <w:spacing w:after="120"/>
    </w:pPr>
  </w:style>
  <w:style w:type="paragraph" w:styleId="4">
    <w:name w:val="Body Text First Indent"/>
    <w:basedOn w:val="3"/>
    <w:next w:val="3"/>
    <w:qFormat/>
    <w:uiPriority w:val="0"/>
    <w:pPr>
      <w:ind w:firstLine="720"/>
    </w:pPr>
  </w:style>
  <w:style w:type="paragraph" w:styleId="5">
    <w:name w:val="footer"/>
    <w:basedOn w:val="1"/>
    <w:uiPriority w:val="0"/>
    <w:pPr>
      <w:tabs>
        <w:tab w:val="center" w:pos="4153"/>
        <w:tab w:val="right" w:pos="8306"/>
      </w:tabs>
      <w:snapToGrid w:val="0"/>
      <w:jc w:val="left"/>
    </w:pPr>
    <w:rPr>
      <w:sz w:val="18"/>
      <w:szCs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styleId="10">
    <w:name w:val="page number"/>
    <w:qFormat/>
    <w:uiPriority w:val="0"/>
  </w:style>
  <w:style w:type="paragraph" w:styleId="11">
    <w:name w:val="List Paragraph"/>
    <w:basedOn w:val="1"/>
    <w:qFormat/>
    <w:uiPriority w:val="1"/>
    <w:pPr>
      <w:ind w:left="651" w:hanging="800"/>
    </w:pPr>
    <w:rPr>
      <w:rFonts w:ascii="宋体" w:hAnsi="宋体" w:eastAsia="宋体" w:cs="宋体"/>
      <w:lang w:val="en-US" w:eastAsia="zh-CN" w:bidi="ar-SA"/>
    </w:rPr>
  </w:style>
  <w:style w:type="paragraph" w:customStyle="1" w:styleId="12">
    <w:name w:val="Table Paragraph"/>
    <w:basedOn w:val="1"/>
    <w:qFormat/>
    <w:uiPriority w:val="1"/>
    <w:rPr>
      <w:rFonts w:ascii="仿宋" w:hAnsi="仿宋" w:eastAsia="仿宋" w:cs="仿宋"/>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8537</Words>
  <Characters>8686</Characters>
  <Lines>0</Lines>
  <Paragraphs>0</Paragraphs>
  <TotalTime>6</TotalTime>
  <ScaleCrop>false</ScaleCrop>
  <LinksUpToDate>false</LinksUpToDate>
  <CharactersWithSpaces>8749</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2022-10-28T07:09:00Z</dcterms:created>
  <dc:creator>admin</dc:creator>
  <cp:lastModifiedBy>嘿嘿@二呀</cp:lastModifiedBy>
  <cp:lastPrinted>2023-01-11T09:10:00Z</cp:lastPrinted>
  <dcterms:modified xsi:type="dcterms:W3CDTF">2023-05-24T07:16:51Z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92A9C13E0CA14417B1BD58862E67F53B</vt:lpwstr>
  </property>
</Properties>
</file>