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</w:t>
      </w:r>
      <w:r>
        <w:rPr>
          <w:rFonts w:ascii="黑体" w:hAnsi="黑体" w:eastAsia="黑体"/>
          <w:szCs w:val="32"/>
        </w:rPr>
        <w:t>件</w:t>
      </w:r>
      <w:r>
        <w:rPr>
          <w:rFonts w:hint="eastAsia" w:ascii="黑体" w:hAnsi="黑体" w:eastAsia="黑体"/>
          <w:szCs w:val="32"/>
        </w:rPr>
        <w:t>1</w:t>
      </w:r>
    </w:p>
    <w:p>
      <w:pPr>
        <w:spacing w:line="680" w:lineRule="exact"/>
        <w:ind w:firstLine="885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宛城区2021年涉企行政事业性收费目录清单</w:t>
      </w:r>
    </w:p>
    <w:bookmarkEnd w:id="0"/>
    <w:p>
      <w:pPr>
        <w:spacing w:line="200" w:lineRule="exact"/>
        <w:ind w:firstLine="883"/>
        <w:jc w:val="center"/>
        <w:rPr>
          <w:b/>
          <w:sz w:val="44"/>
          <w:szCs w:val="44"/>
        </w:rPr>
      </w:pPr>
    </w:p>
    <w:tbl>
      <w:tblPr>
        <w:tblStyle w:val="3"/>
        <w:tblW w:w="14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850"/>
        <w:gridCol w:w="3828"/>
        <w:gridCol w:w="850"/>
        <w:gridCol w:w="1843"/>
        <w:gridCol w:w="1701"/>
        <w:gridCol w:w="4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tblHeader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部门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编号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收费项目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批准</w:t>
            </w:r>
          </w:p>
          <w:p>
            <w:pPr>
              <w:spacing w:line="370" w:lineRule="exact"/>
              <w:jc w:val="center"/>
              <w:rPr>
                <w:rFonts w:hint="eastAsia"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机关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资金管理</w:t>
            </w:r>
          </w:p>
          <w:p>
            <w:pPr>
              <w:spacing w:line="370" w:lineRule="exact"/>
              <w:jc w:val="center"/>
              <w:rPr>
                <w:rFonts w:hint="eastAsia"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方式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收费标准</w:t>
            </w:r>
          </w:p>
        </w:tc>
        <w:tc>
          <w:tcPr>
            <w:tcW w:w="4464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文件依据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一、自然资源部门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464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37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土地复垦费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中央批准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纳入地方国库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见文件</w:t>
            </w:r>
          </w:p>
        </w:tc>
        <w:tc>
          <w:tcPr>
            <w:tcW w:w="4464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《土地管理法》，《土地复垦条例》，豫发改收费〔2006〕1263号，财税〔2014〕77号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（1）集体、个体因地下采煤、采矿等生产建设造成耕地塌陷或者待塌陷以该矿设计生产量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1.3—1.8元/吨</w:t>
            </w:r>
          </w:p>
        </w:tc>
        <w:tc>
          <w:tcPr>
            <w:tcW w:w="4464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（2）中央和省属企业因地下采煤、采矿等造成土地塌陷或因生产建设中挖损、压占造成土地破坏，影响种植的耕地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7—9元/平方米</w:t>
            </w:r>
          </w:p>
        </w:tc>
        <w:tc>
          <w:tcPr>
            <w:tcW w:w="4464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（3）因排放粉煤灰、煤矸石、选矿、尾沙、冶炼矿渣等压占土地的，压占破坏耕地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4元/平方米</w:t>
            </w:r>
          </w:p>
        </w:tc>
        <w:tc>
          <w:tcPr>
            <w:tcW w:w="4464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（4）废弃的建筑物、水利工程、铁路用地、公路用地以及停止和迁移的企业用地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4.5元/平方米</w:t>
            </w:r>
          </w:p>
        </w:tc>
        <w:tc>
          <w:tcPr>
            <w:tcW w:w="4464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土地闲置费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中央批准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纳入地方国库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详见文件</w:t>
            </w:r>
          </w:p>
        </w:tc>
        <w:tc>
          <w:tcPr>
            <w:tcW w:w="4464" w:type="dxa"/>
            <w:noWrap w:val="0"/>
            <w:vAlign w:val="top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《土地管理法》，《城市房地产管理法》，豫财预外字〔1999〕40号，国发〔2008〕3号，财税〔2014〕77号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不动产登记费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中央批准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纳入中央和地方国库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详见文件</w:t>
            </w:r>
          </w:p>
        </w:tc>
        <w:tc>
          <w:tcPr>
            <w:tcW w:w="4464" w:type="dxa"/>
            <w:noWrap w:val="0"/>
            <w:vAlign w:val="top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《物权法》，财税〔2014〕77号，财税〔2016〕79号，发改价格规〔2016〕2559号，豫发改收费〔2017〕61号，财税〔2019〕45号，财税〔2019〕53号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4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耕地开垦费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中央批准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纳入地方国库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详见文件</w:t>
            </w:r>
          </w:p>
        </w:tc>
        <w:tc>
          <w:tcPr>
            <w:tcW w:w="4464" w:type="dxa"/>
            <w:noWrap w:val="0"/>
            <w:vAlign w:val="top"/>
          </w:tcPr>
          <w:p>
            <w:pPr>
              <w:spacing w:line="37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《土地管理法》，《土地管理法实施条例》，豫财预外字〔1999〕40号，豫财综〔2004〕106号，财税〔2014〕77号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二、水利部门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464" w:type="dxa"/>
            <w:noWrap w:val="0"/>
            <w:vAlign w:val="top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水土保持补偿费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中央批准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纳入中央和地方国库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详见文件</w:t>
            </w:r>
          </w:p>
        </w:tc>
        <w:tc>
          <w:tcPr>
            <w:tcW w:w="4464" w:type="dxa"/>
            <w:noWrap w:val="0"/>
            <w:vAlign w:val="top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10"/>
                <w:sz w:val="28"/>
                <w:szCs w:val="28"/>
              </w:rPr>
              <w:t>《水土保持法》，豫财预外字〔2000〕33号，财综〔2014〕8号，发改价格〔2014〕886号，发改价格〔2017〕1186号，豫发改收费〔2018〕1079号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三、农业部门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464" w:type="dxa"/>
            <w:noWrap w:val="0"/>
            <w:vAlign w:val="top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6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渔业资源增殖保护费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中央批准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纳入中央和地方国库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详见文件</w:t>
            </w:r>
          </w:p>
        </w:tc>
        <w:tc>
          <w:tcPr>
            <w:tcW w:w="4464" w:type="dxa"/>
            <w:noWrap w:val="0"/>
            <w:vAlign w:val="top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《渔业法》，价费字〔1992〕452号，豫政文〔1992〕108号，计价格〔1994〕400号，豫财综〔2004〕106号，财综〔2012〕97号，财税〔2014〕101号，发改价格〔2015〕2136号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四、法院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464" w:type="dxa"/>
            <w:noWrap w:val="0"/>
            <w:vAlign w:val="top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7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诉讼费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中央批准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纳入中央和地方国库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详见文件</w:t>
            </w:r>
          </w:p>
        </w:tc>
        <w:tc>
          <w:tcPr>
            <w:tcW w:w="4464" w:type="dxa"/>
            <w:noWrap w:val="0"/>
            <w:vAlign w:val="top"/>
          </w:tcPr>
          <w:p>
            <w:pPr>
              <w:spacing w:line="370" w:lineRule="exact"/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《民事诉讼法》，《行政诉讼法》，《诉讼费用交纳办法》，国务院令481号，豫财预外字〔1998〕26号，豫财预〔2002〕169号，财行〔2003〕275号</w:t>
            </w:r>
          </w:p>
        </w:tc>
      </w:tr>
    </w:tbl>
    <w:p/>
    <w:sectPr>
      <w:pgSz w:w="16838" w:h="11906" w:orient="landscape"/>
      <w:pgMar w:top="1644" w:right="2098" w:bottom="1417" w:left="198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05D01"/>
    <w:rsid w:val="1C62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2022-01-13T03:16:00Z</dcterms:created>
  <dc:creator>Administrator</dc:creator>
  <cp:lastModifiedBy>舍多</cp:lastModifiedBy>
  <dcterms:modified xsi:type="dcterms:W3CDTF">2022-01-13T03:18:06Z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7C7E00605BC84C0E9CB54514297EEBAC</vt:lpwstr>
  </property>
</Properties>
</file>