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E1F38">
      <w:pPr>
        <w:spacing w:line="800" w:lineRule="exact"/>
        <w:jc w:val="center"/>
        <w:rPr>
          <w:rFonts w:hint="eastAsia" w:ascii="Arial Unicode MS" w:hAnsi="Arial Unicode MS" w:eastAsia="Arial Unicode MS" w:cs="Arial Unicode MS"/>
          <w:color w:val="000000"/>
          <w:sz w:val="44"/>
          <w:szCs w:val="44"/>
          <w:highlight w:val="none"/>
        </w:rPr>
      </w:pPr>
      <w:r>
        <w:rPr>
          <w:rFonts w:hint="eastAsia" w:ascii="Arial Unicode MS" w:hAnsi="Arial Unicode MS" w:eastAsia="Arial Unicode MS" w:cs="Arial Unicode MS"/>
          <w:color w:val="000000"/>
          <w:sz w:val="44"/>
          <w:szCs w:val="44"/>
          <w:highlight w:val="none"/>
          <w:lang w:eastAsia="zh-CN"/>
        </w:rPr>
        <w:t>唐河县</w:t>
      </w:r>
      <w:r>
        <w:rPr>
          <w:rFonts w:hint="eastAsia" w:ascii="Arial Unicode MS" w:hAnsi="Arial Unicode MS" w:eastAsia="Arial Unicode MS" w:cs="Arial Unicode MS"/>
          <w:color w:val="000000"/>
          <w:sz w:val="44"/>
          <w:szCs w:val="44"/>
          <w:highlight w:val="none"/>
        </w:rPr>
        <w:t>烟草制品零售点</w:t>
      </w:r>
    </w:p>
    <w:p w14:paraId="4B8174A2">
      <w:pPr>
        <w:spacing w:line="800" w:lineRule="exact"/>
        <w:jc w:val="center"/>
        <w:rPr>
          <w:rFonts w:hint="eastAsia" w:ascii="Arial Unicode MS" w:hAnsi="Arial Unicode MS" w:eastAsia="Arial Unicode MS" w:cs="Arial Unicode MS"/>
          <w:color w:val="000000"/>
          <w:sz w:val="44"/>
          <w:szCs w:val="44"/>
          <w:highlight w:val="none"/>
        </w:rPr>
      </w:pPr>
      <w:r>
        <w:rPr>
          <w:rFonts w:hint="eastAsia" w:ascii="Arial Unicode MS" w:hAnsi="Arial Unicode MS" w:eastAsia="Arial Unicode MS" w:cs="Arial Unicode MS"/>
          <w:color w:val="000000"/>
          <w:sz w:val="44"/>
          <w:szCs w:val="44"/>
          <w:highlight w:val="none"/>
        </w:rPr>
        <w:t>合理布局规定（</w:t>
      </w:r>
      <w:r>
        <w:rPr>
          <w:rFonts w:hint="eastAsia" w:ascii="Arial Unicode MS" w:hAnsi="Arial Unicode MS" w:eastAsia="Arial Unicode MS" w:cs="Arial Unicode MS"/>
          <w:color w:val="000000"/>
          <w:sz w:val="44"/>
          <w:szCs w:val="44"/>
          <w:highlight w:val="none"/>
          <w:lang w:val="en-US" w:eastAsia="zh-CN"/>
        </w:rPr>
        <w:t>草案</w:t>
      </w:r>
      <w:r>
        <w:rPr>
          <w:rFonts w:hint="eastAsia" w:ascii="Arial Unicode MS" w:hAnsi="Arial Unicode MS" w:eastAsia="Arial Unicode MS" w:cs="Arial Unicode MS"/>
          <w:color w:val="000000"/>
          <w:sz w:val="44"/>
          <w:szCs w:val="44"/>
          <w:highlight w:val="none"/>
        </w:rPr>
        <w:t>）</w:t>
      </w:r>
    </w:p>
    <w:p w14:paraId="7C7B6E72">
      <w:pPr>
        <w:spacing w:line="640" w:lineRule="exact"/>
        <w:jc w:val="center"/>
        <w:rPr>
          <w:rFonts w:hint="eastAsia" w:ascii="Arial Unicode MS" w:eastAsia="Arial Unicode MS"/>
          <w:color w:val="000000"/>
          <w:sz w:val="44"/>
          <w:szCs w:val="44"/>
          <w:highlight w:val="none"/>
        </w:rPr>
      </w:pPr>
    </w:p>
    <w:p w14:paraId="790EE551">
      <w:pPr>
        <w:spacing w:line="640" w:lineRule="exact"/>
        <w:jc w:val="center"/>
        <w:rPr>
          <w:rFonts w:ascii="仿宋_GB2312" w:hAnsi="仿宋" w:eastAsia="仿宋_GB2312" w:cs="楷体"/>
          <w:color w:val="000000"/>
          <w:kern w:val="0"/>
          <w:sz w:val="32"/>
          <w:szCs w:val="32"/>
          <w:highlight w:val="none"/>
          <w:shd w:val="clear" w:color="auto" w:fill="FFFFFF"/>
        </w:rPr>
      </w:pPr>
      <w:r>
        <w:rPr>
          <w:rFonts w:hint="eastAsia" w:ascii="黑体" w:hAnsi="黑体" w:eastAsia="黑体" w:cs="黑体"/>
          <w:color w:val="000000"/>
          <w:kern w:val="0"/>
          <w:sz w:val="32"/>
          <w:szCs w:val="32"/>
          <w:highlight w:val="none"/>
          <w:shd w:val="clear" w:color="auto" w:fill="FFFFFF"/>
        </w:rPr>
        <w:t>第一章  总  则</w:t>
      </w:r>
    </w:p>
    <w:p w14:paraId="47096A22">
      <w:pPr>
        <w:spacing w:line="640" w:lineRule="exact"/>
        <w:ind w:firstLine="632" w:firstLineChars="200"/>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Cs/>
          <w:color w:val="000000"/>
          <w:kern w:val="0"/>
          <w:sz w:val="32"/>
          <w:szCs w:val="32"/>
          <w:highlight w:val="none"/>
          <w:shd w:val="clear" w:color="auto" w:fill="FFFFFF"/>
        </w:rPr>
        <w:t>第一条</w:t>
      </w:r>
      <w:r>
        <w:rPr>
          <w:rFonts w:ascii="仿宋" w:hAnsi="仿宋" w:eastAsia="仿宋" w:cs="黑体"/>
          <w:bCs/>
          <w:color w:val="000000"/>
          <w:kern w:val="0"/>
          <w:sz w:val="32"/>
          <w:szCs w:val="32"/>
          <w:highlight w:val="none"/>
          <w:shd w:val="clear" w:color="auto" w:fill="FFFFFF"/>
        </w:rPr>
        <w:t xml:space="preserve">  </w:t>
      </w:r>
      <w:r>
        <w:rPr>
          <w:rFonts w:hint="eastAsia" w:ascii="仿宋_GB2312" w:hAnsi="仿宋_GB2312" w:eastAsia="仿宋_GB2312" w:cs="仿宋_GB2312"/>
          <w:color w:val="000000"/>
          <w:kern w:val="0"/>
          <w:sz w:val="32"/>
          <w:szCs w:val="32"/>
          <w:highlight w:val="none"/>
          <w:shd w:val="clear" w:color="auto" w:fill="FFFFFF"/>
        </w:rPr>
        <w:t>为规范烟草制品零售市场经营秩序，维护国家利益、消费者利益，加强烟草专卖零售许可证的管理，促进烟草市场健康发展，保护未成年人权益，根据《中华人民共和国烟草专卖法》《中华人民共和国行政许可法》《中华人民共和国未成年人保护法》《中华人民共和国烟草专卖法实施条例》《烟草专卖许可证管理办法》《烟草专卖许可证管理办法实施细则》等法律、法规、规章和规范性文件的规定，结合本辖区实际，制订本规定。</w:t>
      </w:r>
    </w:p>
    <w:p w14:paraId="1A404245">
      <w:pPr>
        <w:pStyle w:val="2"/>
        <w:spacing w:after="0" w:line="640" w:lineRule="exact"/>
        <w:ind w:firstLine="632" w:firstLineChars="200"/>
        <w:jc w:val="left"/>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 xml:space="preserve">第二条  </w:t>
      </w:r>
      <w:r>
        <w:rPr>
          <w:rFonts w:hint="eastAsia" w:ascii="仿宋_GB2312" w:hAnsi="仿宋_GB2312" w:eastAsia="仿宋_GB2312" w:cs="仿宋_GB2312"/>
          <w:color w:val="000000"/>
          <w:kern w:val="0"/>
          <w:sz w:val="32"/>
          <w:szCs w:val="32"/>
          <w:highlight w:val="none"/>
          <w:shd w:val="clear" w:color="auto" w:fill="FFFFFF"/>
        </w:rPr>
        <w:t>本规定适用于</w:t>
      </w:r>
      <w:r>
        <w:rPr>
          <w:rFonts w:hint="eastAsia" w:ascii="仿宋_GB2312" w:hAnsi="仿宋_GB2312" w:eastAsia="仿宋_GB2312" w:cs="仿宋_GB2312"/>
          <w:color w:val="000000"/>
          <w:kern w:val="0"/>
          <w:sz w:val="32"/>
          <w:szCs w:val="32"/>
          <w:highlight w:val="none"/>
          <w:shd w:val="clear" w:color="auto" w:fill="FFFFFF"/>
          <w:lang w:eastAsia="zh-CN"/>
        </w:rPr>
        <w:t>唐河县</w:t>
      </w:r>
      <w:r>
        <w:rPr>
          <w:rFonts w:hint="eastAsia" w:ascii="仿宋_GB2312" w:hAnsi="仿宋_GB2312" w:eastAsia="仿宋_GB2312" w:cs="仿宋_GB2312"/>
          <w:color w:val="000000"/>
          <w:kern w:val="0"/>
          <w:sz w:val="32"/>
          <w:szCs w:val="32"/>
          <w:highlight w:val="none"/>
          <w:shd w:val="clear" w:color="auto" w:fill="FFFFFF"/>
        </w:rPr>
        <w:t>范围内烟草制品零售点的设置与管理。</w:t>
      </w:r>
    </w:p>
    <w:p w14:paraId="52ED81CE">
      <w:pPr>
        <w:spacing w:line="640" w:lineRule="exact"/>
        <w:ind w:firstLine="632" w:firstLineChars="200"/>
        <w:jc w:val="left"/>
        <w:rPr>
          <w:rFonts w:ascii="仿宋" w:hAnsi="仿宋" w:eastAsia="仿宋" w:cs="仿宋"/>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第三条</w:t>
      </w:r>
      <w:r>
        <w:rPr>
          <w:rFonts w:ascii="仿宋" w:hAnsi="仿宋" w:eastAsia="仿宋" w:cs="仿宋"/>
          <w:color w:val="000000"/>
          <w:kern w:val="0"/>
          <w:sz w:val="32"/>
          <w:szCs w:val="32"/>
          <w:highlight w:val="none"/>
          <w:shd w:val="clear" w:color="auto" w:fill="FFFFFF"/>
        </w:rPr>
        <w:t xml:space="preserve">  </w:t>
      </w:r>
      <w:r>
        <w:rPr>
          <w:rFonts w:hint="eastAsia" w:ascii="仿宋_GB2312" w:hAnsi="仿宋_GB2312" w:eastAsia="仿宋_GB2312" w:cs="仿宋_GB2312"/>
          <w:color w:val="000000"/>
          <w:kern w:val="0"/>
          <w:sz w:val="32"/>
          <w:szCs w:val="32"/>
          <w:highlight w:val="none"/>
          <w:shd w:val="clear" w:color="auto" w:fill="FFFFFF"/>
        </w:rPr>
        <w:t>烟草制品零售点（以下简称“零售点”）是指依法取得烟草专卖零售许可证从事烟草制品零售业务的公民、法人及其他组织开展烟草制品零售业务的经营场所。</w:t>
      </w:r>
    </w:p>
    <w:p w14:paraId="34B9CE0C">
      <w:pPr>
        <w:pStyle w:val="2"/>
        <w:spacing w:after="0" w:line="640" w:lineRule="exact"/>
        <w:ind w:firstLine="632" w:firstLineChars="200"/>
        <w:jc w:val="left"/>
        <w:rPr>
          <w:rFonts w:ascii="仿宋" w:hAnsi="仿宋" w:eastAsia="仿宋" w:cs="仿宋"/>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第四条</w:t>
      </w:r>
      <w:r>
        <w:rPr>
          <w:rFonts w:ascii="仿宋" w:hAnsi="仿宋" w:eastAsia="仿宋" w:cs="黑体"/>
          <w:bCs/>
          <w:color w:val="000000"/>
          <w:kern w:val="0"/>
          <w:sz w:val="32"/>
          <w:szCs w:val="32"/>
          <w:highlight w:val="none"/>
          <w:shd w:val="clear" w:color="auto" w:fill="FFFFFF"/>
        </w:rPr>
        <w:t xml:space="preserve">  </w:t>
      </w:r>
      <w:r>
        <w:rPr>
          <w:rFonts w:hint="eastAsia" w:ascii="仿宋_GB2312" w:hAnsi="仿宋_GB2312" w:eastAsia="仿宋_GB2312" w:cs="仿宋_GB2312"/>
          <w:color w:val="000000"/>
          <w:kern w:val="0"/>
          <w:sz w:val="32"/>
          <w:szCs w:val="32"/>
          <w:highlight w:val="none"/>
          <w:shd w:val="clear" w:color="auto" w:fill="FFFFFF"/>
        </w:rPr>
        <w:t>烟草制品零售点合理布局以市场为导向，遵循依法行政、科学规定、服务社会、均衡发展的原则。</w:t>
      </w:r>
    </w:p>
    <w:p w14:paraId="791A2F26">
      <w:pPr>
        <w:spacing w:line="640" w:lineRule="exact"/>
        <w:ind w:firstLine="632" w:firstLineChars="200"/>
        <w:jc w:val="center"/>
        <w:rPr>
          <w:rFonts w:hint="eastAsia" w:ascii="黑体" w:hAnsi="黑体" w:eastAsia="黑体" w:cs="黑体"/>
          <w:color w:val="000000"/>
          <w:kern w:val="0"/>
          <w:sz w:val="32"/>
          <w:szCs w:val="32"/>
          <w:highlight w:val="none"/>
          <w:shd w:val="clear" w:color="auto" w:fill="FFFFFF"/>
        </w:rPr>
      </w:pPr>
    </w:p>
    <w:p w14:paraId="7A7F03B8">
      <w:pPr>
        <w:widowControl/>
        <w:shd w:val="clear" w:color="auto" w:fill="FFFFFF"/>
        <w:spacing w:line="640" w:lineRule="exact"/>
        <w:jc w:val="center"/>
        <w:rPr>
          <w:rFonts w:hint="eastAsia" w:ascii="黑体" w:hAnsi="宋体" w:eastAsia="黑体" w:cs="黑体"/>
          <w:bCs/>
          <w:color w:val="000000"/>
          <w:kern w:val="0"/>
          <w:sz w:val="31"/>
          <w:szCs w:val="31"/>
          <w:highlight w:val="none"/>
          <w:shd w:val="clear" w:color="auto" w:fill="FFFFFF"/>
          <w:lang w:bidi="ar"/>
        </w:rPr>
      </w:pPr>
      <w:r>
        <w:rPr>
          <w:rFonts w:hint="eastAsia" w:ascii="黑体" w:hAnsi="宋体" w:eastAsia="黑体" w:cs="黑体"/>
          <w:bCs/>
          <w:color w:val="000000"/>
          <w:kern w:val="0"/>
          <w:sz w:val="31"/>
          <w:szCs w:val="31"/>
          <w:highlight w:val="none"/>
          <w:shd w:val="clear" w:color="auto" w:fill="FFFFFF"/>
          <w:lang w:bidi="ar"/>
        </w:rPr>
        <w:t>第二章</w:t>
      </w:r>
      <w:r>
        <w:rPr>
          <w:rFonts w:ascii="黑体" w:hAnsi="黑体" w:eastAsia="黑体" w:cs="黑体"/>
          <w:color w:val="000000"/>
          <w:kern w:val="0"/>
          <w:sz w:val="32"/>
          <w:szCs w:val="32"/>
          <w:highlight w:val="none"/>
          <w:shd w:val="clear" w:color="auto" w:fill="FFFFFF"/>
        </w:rPr>
        <w:t xml:space="preserve">  </w:t>
      </w:r>
      <w:r>
        <w:rPr>
          <w:rFonts w:hint="eastAsia" w:ascii="黑体" w:hAnsi="黑体" w:eastAsia="黑体" w:cs="黑体"/>
          <w:color w:val="000000"/>
          <w:kern w:val="0"/>
          <w:sz w:val="32"/>
          <w:szCs w:val="32"/>
          <w:highlight w:val="none"/>
          <w:shd w:val="clear" w:color="auto" w:fill="FFFFFF"/>
        </w:rPr>
        <w:t xml:space="preserve"> </w:t>
      </w:r>
      <w:r>
        <w:rPr>
          <w:rFonts w:hint="eastAsia" w:ascii="黑体" w:hAnsi="宋体" w:eastAsia="黑体" w:cs="黑体"/>
          <w:bCs/>
          <w:color w:val="000000"/>
          <w:kern w:val="0"/>
          <w:sz w:val="31"/>
          <w:szCs w:val="31"/>
          <w:highlight w:val="none"/>
          <w:shd w:val="clear" w:color="auto" w:fill="FFFFFF"/>
          <w:lang w:bidi="ar"/>
        </w:rPr>
        <w:t>合理布局规定标准</w:t>
      </w:r>
    </w:p>
    <w:p w14:paraId="6FF32462">
      <w:pPr>
        <w:widowControl/>
        <w:shd w:val="clear" w:color="auto" w:fill="FFFFFF"/>
        <w:spacing w:line="640" w:lineRule="exact"/>
        <w:ind w:firstLine="632" w:firstLineChars="200"/>
        <w:rPr>
          <w:rFonts w:ascii="仿宋_GB2312" w:hAnsi="黑体" w:eastAsia="仿宋_GB2312"/>
          <w:b/>
          <w:color w:val="000000"/>
          <w:kern w:val="0"/>
          <w:sz w:val="32"/>
          <w:szCs w:val="32"/>
          <w:highlight w:val="none"/>
        </w:rPr>
      </w:pPr>
      <w:r>
        <w:rPr>
          <w:rFonts w:hint="eastAsia" w:ascii="楷体_GB2312" w:hAnsi="楷体_GB2312" w:eastAsia="楷体_GB2312" w:cs="楷体_GB2312"/>
          <w:bCs/>
          <w:color w:val="000000"/>
          <w:kern w:val="0"/>
          <w:sz w:val="32"/>
          <w:szCs w:val="32"/>
          <w:highlight w:val="none"/>
          <w:shd w:val="clear" w:color="auto" w:fill="FFFFFF"/>
        </w:rPr>
        <w:t>第五条</w:t>
      </w:r>
      <w:r>
        <w:rPr>
          <w:rFonts w:hint="eastAsia" w:ascii="仿宋_GB2312" w:hAnsi="仿宋_GB2312" w:eastAsia="仿宋_GB2312" w:cs="仿宋_GB2312"/>
          <w:color w:val="000000"/>
          <w:kern w:val="0"/>
          <w:sz w:val="32"/>
          <w:szCs w:val="32"/>
          <w:highlight w:val="none"/>
          <w:shd w:val="clear" w:color="auto" w:fill="FFFFFF"/>
        </w:rPr>
        <w:t xml:space="preserve">  为了合理满足消费需求、防止无序竞争、落实控烟履约要求，</w:t>
      </w:r>
      <w:r>
        <w:rPr>
          <w:rFonts w:hint="eastAsia" w:ascii="仿宋_GB2312" w:hAnsi="黑体" w:eastAsia="仿宋_GB2312"/>
          <w:color w:val="000000"/>
          <w:kern w:val="0"/>
          <w:sz w:val="32"/>
          <w:szCs w:val="32"/>
          <w:highlight w:val="none"/>
        </w:rPr>
        <w:t>零售点布局规定采取“容量管理+间距调整”的模式，</w:t>
      </w:r>
      <w:r>
        <w:rPr>
          <w:rFonts w:hint="eastAsia" w:ascii="仿宋_GB2312" w:hAnsi="仿宋_GB2312" w:eastAsia="仿宋_GB2312" w:cs="仿宋_GB2312"/>
          <w:color w:val="000000"/>
          <w:kern w:val="0"/>
          <w:sz w:val="32"/>
          <w:szCs w:val="32"/>
          <w:highlight w:val="none"/>
          <w:shd w:val="clear" w:color="auto" w:fill="FFFFFF"/>
        </w:rPr>
        <w:t>以街道、乡镇和相对稳定、独立的区域组合划分为最小市场单元，设定单元内的零售点指导数，定期对市场单元和零售点指导数动态</w:t>
      </w:r>
      <w:r>
        <w:rPr>
          <w:rFonts w:hint="eastAsia" w:ascii="仿宋_GB2312" w:hAnsi="黑体" w:eastAsia="仿宋_GB2312"/>
          <w:color w:val="000000"/>
          <w:kern w:val="0"/>
          <w:sz w:val="32"/>
          <w:szCs w:val="32"/>
          <w:highlight w:val="none"/>
        </w:rPr>
        <w:t>调整。</w:t>
      </w:r>
    </w:p>
    <w:p w14:paraId="35A0EEB2">
      <w:pPr>
        <w:pStyle w:val="2"/>
        <w:spacing w:after="0" w:line="640" w:lineRule="exact"/>
        <w:ind w:firstLine="632" w:firstLineChars="200"/>
        <w:jc w:val="left"/>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 xml:space="preserve">第六条  </w:t>
      </w:r>
      <w:r>
        <w:rPr>
          <w:rFonts w:hint="eastAsia" w:ascii="仿宋_GB2312" w:hAnsi="仿宋_GB2312" w:eastAsia="仿宋_GB2312" w:cs="仿宋_GB2312"/>
          <w:color w:val="000000"/>
          <w:kern w:val="0"/>
          <w:sz w:val="32"/>
          <w:szCs w:val="32"/>
          <w:highlight w:val="none"/>
          <w:shd w:val="clear" w:color="auto" w:fill="FFFFFF"/>
        </w:rPr>
        <w:t>本规定所称零售点指导数是指各市场单元内可设置零售点数量的上限，零售点数量达到或者超过总量指导数上限的市场单元，不予设置零售点，按照“退一进一”原则，根据排队轮候顺序依法受理。</w:t>
      </w:r>
    </w:p>
    <w:p w14:paraId="167F1147">
      <w:pPr>
        <w:widowControl/>
        <w:shd w:val="clear" w:color="auto" w:fill="FFFFFF"/>
        <w:spacing w:line="640" w:lineRule="exact"/>
        <w:ind w:firstLine="615"/>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第七条</w:t>
      </w:r>
      <w:r>
        <w:rPr>
          <w:rFonts w:ascii="仿宋" w:hAnsi="仿宋" w:eastAsia="仿宋" w:cs="黑体"/>
          <w:bCs/>
          <w:color w:val="000000"/>
          <w:sz w:val="32"/>
          <w:szCs w:val="32"/>
          <w:highlight w:val="none"/>
          <w:shd w:val="clear" w:color="auto" w:fill="FFFFFF"/>
        </w:rPr>
        <w:t xml:space="preserve"> </w:t>
      </w:r>
      <w:r>
        <w:rPr>
          <w:rFonts w:hint="eastAsia" w:ascii="仿宋_GB2312" w:hAnsi="仿宋_GB2312" w:eastAsia="仿宋_GB2312" w:cs="仿宋_GB2312"/>
          <w:color w:val="000000"/>
          <w:kern w:val="0"/>
          <w:sz w:val="32"/>
          <w:szCs w:val="32"/>
          <w:highlight w:val="none"/>
          <w:shd w:val="clear" w:color="auto" w:fill="FFFFFF"/>
        </w:rPr>
        <w:t xml:space="preserve"> 烟草专卖局根据人口数量、交通状况、经济发展水平等因素，将辖区细分为发展区域、均衡区域、控制区域，实施不同的布局标准。</w:t>
      </w:r>
    </w:p>
    <w:p w14:paraId="2B66993D">
      <w:pPr>
        <w:widowControl/>
        <w:shd w:val="clear" w:color="auto" w:fill="FFFFFF"/>
        <w:spacing w:line="640" w:lineRule="exact"/>
        <w:ind w:firstLine="615"/>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发展区域：消费需求相对旺盛、零售点增长空间较大的区域；</w:t>
      </w:r>
    </w:p>
    <w:p w14:paraId="2E562430">
      <w:pPr>
        <w:widowControl/>
        <w:shd w:val="clear" w:color="auto" w:fill="FFFFFF"/>
        <w:spacing w:line="640" w:lineRule="exact"/>
        <w:ind w:firstLine="615"/>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均衡区域：零售点数量较为合理、可满足消费者日常需求的区域；</w:t>
      </w:r>
    </w:p>
    <w:p w14:paraId="2DF09831">
      <w:pPr>
        <w:widowControl/>
        <w:shd w:val="clear" w:color="auto" w:fill="FFFFFF"/>
        <w:spacing w:line="640" w:lineRule="exact"/>
        <w:ind w:firstLine="615"/>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控制区域：布局空间已饱和、零售点数量已超出该区域日常需求的区域。</w:t>
      </w:r>
    </w:p>
    <w:p w14:paraId="00EF9D02">
      <w:pPr>
        <w:pStyle w:val="3"/>
        <w:shd w:val="clear" w:color="auto" w:fill="FFFFFF"/>
        <w:spacing w:before="0" w:beforeAutospacing="0" w:after="0" w:afterAutospacing="0" w:line="640" w:lineRule="exact"/>
        <w:ind w:firstLine="632" w:firstLineChars="20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烟草专卖行政主管部门可以根据市场发展变化对上述区域划分实施动态调整，定期向社会公布，引导申请人理性申办烟草专卖零售许可证。</w:t>
      </w:r>
    </w:p>
    <w:p w14:paraId="67FD8639">
      <w:pPr>
        <w:pStyle w:val="3"/>
        <w:shd w:val="clear" w:color="auto" w:fill="FFFFFF"/>
        <w:spacing w:before="0" w:beforeAutospacing="0" w:after="0" w:afterAutospacing="0" w:line="640" w:lineRule="exact"/>
        <w:ind w:firstLine="632" w:firstLineChars="200"/>
        <w:rPr>
          <w:rFonts w:hint="eastAsia" w:ascii="仿宋_GB2312" w:hAnsi="仿宋_GB2312" w:eastAsia="仿宋_GB2312" w:cs="仿宋_GB2312"/>
          <w:color w:val="000000"/>
          <w:sz w:val="32"/>
          <w:szCs w:val="32"/>
          <w:highlight w:val="none"/>
          <w:shd w:val="clear" w:color="auto" w:fill="FFFFFF"/>
        </w:rPr>
      </w:pPr>
      <w:r>
        <w:rPr>
          <w:rFonts w:hint="eastAsia" w:ascii="楷体" w:hAnsi="楷体" w:eastAsia="楷体" w:cs="黑体"/>
          <w:bCs/>
          <w:color w:val="000000"/>
          <w:sz w:val="32"/>
          <w:szCs w:val="32"/>
          <w:highlight w:val="none"/>
          <w:shd w:val="clear" w:color="auto" w:fill="FFFFFF"/>
        </w:rPr>
        <w:t>第八条</w:t>
      </w:r>
      <w:r>
        <w:rPr>
          <w:rFonts w:ascii="仿宋" w:hAnsi="仿宋" w:eastAsia="仿宋" w:cs="黑体"/>
          <w:bCs/>
          <w:color w:val="000000"/>
          <w:sz w:val="32"/>
          <w:szCs w:val="32"/>
          <w:highlight w:val="none"/>
          <w:shd w:val="clear" w:color="auto" w:fill="FFFFFF"/>
        </w:rPr>
        <w:t xml:space="preserve">  </w:t>
      </w:r>
      <w:r>
        <w:rPr>
          <w:rFonts w:hint="eastAsia" w:ascii="仿宋" w:hAnsi="仿宋" w:eastAsia="仿宋" w:cs="仿宋"/>
          <w:color w:val="000000"/>
          <w:sz w:val="32"/>
          <w:szCs w:val="32"/>
          <w:highlight w:val="none"/>
          <w:shd w:val="clear" w:color="auto" w:fill="FFFFFF"/>
        </w:rPr>
        <w:t>在市场单元格数量调控模式基础上，市场单元新设零售点应同时满足间距控制标准，本辖区内的烟草制品零售点，两个零售点间距不低</w:t>
      </w:r>
      <w:r>
        <w:rPr>
          <w:rFonts w:hint="eastAsia" w:ascii="仿宋_GB2312" w:hAnsi="仿宋_GB2312" w:eastAsia="仿宋_GB2312" w:cs="仿宋_GB2312"/>
          <w:color w:val="000000"/>
          <w:sz w:val="32"/>
          <w:szCs w:val="32"/>
          <w:highlight w:val="none"/>
          <w:shd w:val="clear" w:color="auto" w:fill="FFFFFF"/>
        </w:rPr>
        <w:t>于50米（不受距离限制及放宽情形的除外）。</w:t>
      </w:r>
    </w:p>
    <w:p w14:paraId="4B0A7738">
      <w:pPr>
        <w:pStyle w:val="3"/>
        <w:shd w:val="clear" w:color="auto" w:fill="FFFFFF"/>
        <w:spacing w:before="0" w:beforeAutospacing="0" w:after="0" w:afterAutospacing="0" w:line="640" w:lineRule="exact"/>
        <w:ind w:firstLine="632" w:firstLineChars="200"/>
        <w:rPr>
          <w:rFonts w:hint="eastAsia" w:ascii="仿宋_GB2312" w:hAnsi="仿宋_GB2312" w:eastAsia="仿宋_GB2312" w:cs="仿宋_GB2312"/>
          <w:color w:val="000000"/>
          <w:sz w:val="32"/>
          <w:szCs w:val="32"/>
          <w:highlight w:val="none"/>
          <w:shd w:val="clear" w:color="auto" w:fill="FFFFFF"/>
        </w:rPr>
      </w:pPr>
      <w:r>
        <w:rPr>
          <w:rFonts w:hint="eastAsia" w:ascii="楷体_GB2312" w:hAnsi="楷体_GB2312" w:eastAsia="楷体_GB2312" w:cs="楷体_GB2312"/>
          <w:bCs/>
          <w:color w:val="000000"/>
          <w:sz w:val="32"/>
          <w:szCs w:val="32"/>
          <w:highlight w:val="none"/>
          <w:shd w:val="clear" w:color="auto" w:fill="FFFFFF"/>
        </w:rPr>
        <w:t xml:space="preserve">第九条  </w:t>
      </w:r>
      <w:r>
        <w:rPr>
          <w:rFonts w:hint="eastAsia" w:ascii="仿宋_GB2312" w:hAnsi="仿宋_GB2312" w:eastAsia="仿宋_GB2312" w:cs="仿宋_GB2312"/>
          <w:color w:val="000000"/>
          <w:sz w:val="32"/>
          <w:szCs w:val="32"/>
          <w:highlight w:val="none"/>
          <w:shd w:val="clear" w:color="auto" w:fill="FFFFFF"/>
        </w:rPr>
        <w:t>有下列情形之一的，可不受</w:t>
      </w:r>
      <w:r>
        <w:rPr>
          <w:rFonts w:hint="eastAsia" w:ascii="仿宋_GB2312" w:hAnsi="仿宋_GB2312" w:eastAsia="仿宋_GB2312" w:cs="仿宋_GB2312"/>
          <w:color w:val="000000"/>
          <w:kern w:val="0"/>
          <w:sz w:val="32"/>
          <w:szCs w:val="32"/>
          <w:highlight w:val="none"/>
          <w:shd w:val="clear" w:color="auto" w:fill="FFFFFF"/>
        </w:rPr>
        <w:t>间距和</w:t>
      </w:r>
      <w:r>
        <w:rPr>
          <w:rFonts w:hint="eastAsia" w:ascii="仿宋_GB2312" w:hAnsi="仿宋_GB2312" w:eastAsia="仿宋_GB2312" w:cs="仿宋_GB2312"/>
          <w:color w:val="000000"/>
          <w:sz w:val="32"/>
          <w:szCs w:val="32"/>
          <w:highlight w:val="none"/>
          <w:shd w:val="clear" w:color="auto" w:fill="FFFFFF"/>
        </w:rPr>
        <w:t>指导数限制。</w:t>
      </w:r>
    </w:p>
    <w:p w14:paraId="243A6788">
      <w:pPr>
        <w:widowControl/>
        <w:spacing w:line="640" w:lineRule="exact"/>
        <w:ind w:firstLine="632" w:firstLineChars="200"/>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（一）新建车站、机场、候车厅、单侧高速服务区内，可设置1个零售点；</w:t>
      </w:r>
    </w:p>
    <w:p w14:paraId="62ABAA1D">
      <w:pPr>
        <w:widowControl/>
        <w:spacing w:line="640" w:lineRule="exact"/>
        <w:ind w:firstLine="632" w:firstLineChars="200"/>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（二）客房在100间以上的宾馆酒店，建筑面积在1000平方米以上的饭店、度假村、娱乐场所、体育场馆等场所，可设置1个零售点；</w:t>
      </w:r>
    </w:p>
    <w:p w14:paraId="7101845F">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（三）单层经营面积在300平方米以上的超市、商场、购物中心（平层开放式，不含各楼层隔层、夹层、仓储、办公、楼梯等非营业性质面积），可设置1个零售点；</w:t>
      </w:r>
    </w:p>
    <w:p w14:paraId="6D620BD6">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rPr>
        <w:t>（四）在南阳市范围内拥有20家以上同一法定代表人的直营品牌连锁店申领的</w:t>
      </w:r>
      <w:r>
        <w:rPr>
          <w:rFonts w:hint="eastAsia" w:ascii="仿宋_GB2312" w:hAnsi="仿宋_GB2312" w:eastAsia="仿宋_GB2312" w:cs="仿宋_GB2312"/>
          <w:color w:val="000000"/>
          <w:kern w:val="0"/>
          <w:sz w:val="32"/>
          <w:szCs w:val="32"/>
          <w:highlight w:val="none"/>
          <w:shd w:val="clear" w:color="auto" w:fill="FFFFFF"/>
          <w:lang w:eastAsia="zh-CN"/>
        </w:rPr>
        <w:t>；</w:t>
      </w:r>
    </w:p>
    <w:p w14:paraId="55AF83B4">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rPr>
        <w:t>（</w:t>
      </w:r>
      <w:r>
        <w:rPr>
          <w:rFonts w:hint="eastAsia" w:ascii="仿宋_GB2312" w:hAnsi="仿宋_GB2312" w:eastAsia="仿宋_GB2312" w:cs="仿宋_GB2312"/>
          <w:color w:val="000000"/>
          <w:kern w:val="0"/>
          <w:sz w:val="32"/>
          <w:szCs w:val="32"/>
          <w:highlight w:val="none"/>
          <w:shd w:val="clear" w:color="auto" w:fill="FFFFFF"/>
          <w:lang w:eastAsia="zh-CN"/>
        </w:rPr>
        <w:t>五</w:t>
      </w:r>
      <w:r>
        <w:rPr>
          <w:rFonts w:hint="eastAsia" w:ascii="仿宋_GB2312" w:hAnsi="仿宋_GB2312" w:eastAsia="仿宋_GB2312" w:cs="仿宋_GB2312"/>
          <w:color w:val="000000"/>
          <w:kern w:val="0"/>
          <w:sz w:val="32"/>
          <w:szCs w:val="32"/>
          <w:highlight w:val="none"/>
          <w:shd w:val="clear" w:color="auto" w:fill="FFFFFF"/>
        </w:rPr>
        <w:t>）经营场所位于中小学、幼儿园周围限制区域，在许可证有效期限届满前变更到其他地址经营的</w:t>
      </w:r>
      <w:r>
        <w:rPr>
          <w:rFonts w:hint="eastAsia" w:ascii="仿宋_GB2312" w:hAnsi="仿宋_GB2312" w:eastAsia="仿宋_GB2312" w:cs="仿宋_GB2312"/>
          <w:color w:val="000000"/>
          <w:kern w:val="0"/>
          <w:sz w:val="32"/>
          <w:szCs w:val="32"/>
          <w:highlight w:val="none"/>
          <w:shd w:val="clear" w:color="auto" w:fill="FFFFFF"/>
          <w:lang w:eastAsia="zh-CN"/>
        </w:rPr>
        <w:t>；</w:t>
      </w:r>
    </w:p>
    <w:p w14:paraId="03EC5943">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lang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六</w:t>
      </w:r>
      <w:r>
        <w:rPr>
          <w:rFonts w:hint="eastAsia" w:ascii="仿宋_GB2312" w:hAnsi="仿宋_GB2312" w:eastAsia="仿宋_GB2312" w:cs="仿宋_GB2312"/>
          <w:color w:val="000000"/>
          <w:kern w:val="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rPr>
        <w:t>非家庭经营持证个体户，原持证人死亡或者丧失民事行为能</w:t>
      </w:r>
      <w:r>
        <w:rPr>
          <w:rFonts w:hint="eastAsia" w:ascii="仿宋_GB2312" w:hAnsi="仿宋_GB2312" w:eastAsia="仿宋_GB2312" w:cs="仿宋_GB2312"/>
          <w:color w:val="000000"/>
          <w:kern w:val="0"/>
          <w:sz w:val="32"/>
          <w:szCs w:val="32"/>
          <w:highlight w:val="none"/>
          <w:shd w:val="clear" w:color="auto" w:fill="FFFFFF"/>
        </w:rPr>
        <w:t>力的，原烟草专卖零售许可证注销后</w:t>
      </w:r>
      <w:r>
        <w:rPr>
          <w:rFonts w:hint="eastAsia" w:ascii="仿宋_GB2312" w:hAnsi="仿宋_GB2312" w:eastAsia="仿宋_GB2312" w:cs="仿宋_GB2312"/>
          <w:color w:val="000000"/>
          <w:kern w:val="0"/>
          <w:sz w:val="32"/>
          <w:szCs w:val="32"/>
          <w:highlight w:val="none"/>
          <w:shd w:val="clear" w:color="auto" w:fill="FFFFFF"/>
          <w:lang w:val="en-US" w:eastAsia="zh-CN"/>
        </w:rPr>
        <w:t>90日自然日</w:t>
      </w:r>
      <w:r>
        <w:rPr>
          <w:rFonts w:hint="eastAsia" w:ascii="仿宋_GB2312" w:hAnsi="仿宋_GB2312" w:eastAsia="仿宋_GB2312" w:cs="仿宋_GB2312"/>
          <w:color w:val="000000"/>
          <w:kern w:val="0"/>
          <w:sz w:val="32"/>
          <w:szCs w:val="32"/>
          <w:highlight w:val="none"/>
          <w:shd w:val="clear" w:color="auto" w:fill="FFFFFF"/>
        </w:rPr>
        <w:t>内，</w:t>
      </w:r>
      <w:r>
        <w:rPr>
          <w:rFonts w:hint="eastAsia" w:ascii="仿宋_GB2312" w:hAnsi="仿宋_GB2312" w:eastAsia="仿宋_GB2312" w:cs="仿宋_GB2312"/>
          <w:color w:val="000000"/>
          <w:sz w:val="32"/>
          <w:szCs w:val="32"/>
          <w:highlight w:val="none"/>
        </w:rPr>
        <w:t>原持证人</w:t>
      </w:r>
      <w:r>
        <w:rPr>
          <w:rFonts w:hint="eastAsia" w:ascii="仿宋_GB2312" w:hAnsi="仿宋_GB2312" w:eastAsia="仿宋_GB2312" w:cs="仿宋_GB2312"/>
          <w:color w:val="000000"/>
          <w:sz w:val="32"/>
          <w:szCs w:val="32"/>
          <w:highlight w:val="none"/>
          <w:lang w:val="en-US" w:eastAsia="zh-CN"/>
        </w:rPr>
        <w:t>内部家庭成员（具备完全民事行为能力的</w:t>
      </w:r>
      <w:r>
        <w:rPr>
          <w:rFonts w:hint="eastAsia" w:ascii="仿宋_GB2312" w:hAnsi="仿宋_GB2312" w:eastAsia="仿宋_GB2312" w:cs="仿宋_GB2312"/>
          <w:color w:val="000000"/>
          <w:kern w:val="0"/>
          <w:sz w:val="32"/>
          <w:szCs w:val="32"/>
          <w:highlight w:val="none"/>
          <w:shd w:val="clear" w:color="auto" w:fill="FFFFFF"/>
        </w:rPr>
        <w:t>配偶、父母</w:t>
      </w:r>
      <w:r>
        <w:rPr>
          <w:rFonts w:hint="eastAsia" w:ascii="仿宋_GB2312" w:hAnsi="仿宋_GB2312" w:eastAsia="仿宋_GB2312" w:cs="仿宋_GB2312"/>
          <w:color w:val="000000"/>
          <w:kern w:val="0"/>
          <w:sz w:val="32"/>
          <w:szCs w:val="32"/>
          <w:highlight w:val="none"/>
          <w:shd w:val="clear" w:color="auto" w:fill="FFFFFF"/>
          <w:lang w:val="en-US" w:eastAsia="zh-CN"/>
        </w:rPr>
        <w:t>或</w:t>
      </w:r>
      <w:r>
        <w:rPr>
          <w:rFonts w:hint="eastAsia" w:ascii="仿宋_GB2312" w:hAnsi="仿宋_GB2312" w:eastAsia="仿宋_GB2312" w:cs="仿宋_GB2312"/>
          <w:color w:val="000000"/>
          <w:kern w:val="0"/>
          <w:sz w:val="32"/>
          <w:szCs w:val="32"/>
          <w:highlight w:val="none"/>
          <w:shd w:val="clear" w:color="auto" w:fill="FFFFFF"/>
        </w:rPr>
        <w:t>子女</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kern w:val="0"/>
          <w:sz w:val="32"/>
          <w:szCs w:val="32"/>
          <w:highlight w:val="none"/>
          <w:shd w:val="clear" w:color="auto" w:fill="FFFFFF"/>
        </w:rPr>
        <w:t>在原址重新申请的；</w:t>
      </w:r>
    </w:p>
    <w:p w14:paraId="52E62350">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七</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kern w:val="0"/>
          <w:sz w:val="32"/>
          <w:szCs w:val="32"/>
          <w:highlight w:val="none"/>
          <w:shd w:val="clear" w:color="auto" w:fill="FFFFFF"/>
        </w:rPr>
        <w:t>经营时间3年以上、无违法行为且主动申请歇业，歇业1年以上不超过2年的，原持证人在原址重新申请的；</w:t>
      </w:r>
    </w:p>
    <w:p w14:paraId="66654B14">
      <w:pPr>
        <w:spacing w:line="640" w:lineRule="exact"/>
        <w:ind w:firstLine="632" w:firstLineChars="200"/>
        <w:jc w:val="left"/>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rPr>
        <w:t>（</w:t>
      </w:r>
      <w:r>
        <w:rPr>
          <w:rFonts w:hint="eastAsia" w:ascii="仿宋_GB2312" w:hAnsi="仿宋_GB2312" w:eastAsia="仿宋_GB2312" w:cs="仿宋_GB2312"/>
          <w:color w:val="000000"/>
          <w:kern w:val="0"/>
          <w:sz w:val="32"/>
          <w:szCs w:val="32"/>
          <w:highlight w:val="none"/>
          <w:shd w:val="clear" w:color="auto" w:fill="FFFFFF"/>
          <w:lang w:val="en-US" w:eastAsia="zh-CN"/>
        </w:rPr>
        <w:t>八</w:t>
      </w:r>
      <w:r>
        <w:rPr>
          <w:rFonts w:hint="eastAsia" w:ascii="仿宋_GB2312" w:hAnsi="仿宋_GB2312" w:eastAsia="仿宋_GB2312" w:cs="仿宋_GB2312"/>
          <w:color w:val="000000"/>
          <w:kern w:val="0"/>
          <w:sz w:val="32"/>
          <w:szCs w:val="32"/>
          <w:highlight w:val="none"/>
          <w:shd w:val="clear" w:color="auto" w:fill="FFFFFF"/>
        </w:rPr>
        <w:t>）其他有地市级以上政府政策扶持需要的情形。</w:t>
      </w:r>
    </w:p>
    <w:p w14:paraId="223EBA9E">
      <w:pPr>
        <w:spacing w:line="640" w:lineRule="exact"/>
        <w:ind w:firstLine="632" w:firstLineChars="200"/>
        <w:rPr>
          <w:rFonts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第十条</w:t>
      </w:r>
      <w:r>
        <w:rPr>
          <w:rFonts w:hint="eastAsia" w:ascii="仿宋" w:hAnsi="仿宋" w:eastAsia="仿宋" w:cs="仿宋"/>
          <w:color w:val="000000"/>
          <w:sz w:val="32"/>
          <w:szCs w:val="32"/>
          <w:highlight w:val="none"/>
        </w:rPr>
        <w:t xml:space="preserve">  </w:t>
      </w:r>
      <w:r>
        <w:rPr>
          <w:rFonts w:hint="eastAsia" w:ascii="仿宋_GB2312" w:hAnsi="仿宋_GB2312" w:eastAsia="仿宋_GB2312" w:cs="仿宋_GB2312"/>
          <w:color w:val="000000"/>
          <w:kern w:val="0"/>
          <w:sz w:val="32"/>
          <w:szCs w:val="32"/>
          <w:highlight w:val="none"/>
          <w:shd w:val="clear" w:color="auto" w:fill="FFFFFF"/>
        </w:rPr>
        <w:t>有下列情形之一的，在间距上予以放宽：</w:t>
      </w:r>
    </w:p>
    <w:p w14:paraId="4A642C75">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rPr>
        <w:t>（一）因道路规定、城市建设造成无法在核定经营地址经营，持证人申请变更到其他地址经营的，与最近零售点间距不低于30米</w:t>
      </w:r>
      <w:r>
        <w:rPr>
          <w:rFonts w:hint="eastAsia" w:ascii="仿宋_GB2312" w:hAnsi="仿宋_GB2312" w:eastAsia="仿宋_GB2312" w:cs="仿宋_GB2312"/>
          <w:color w:val="000000"/>
          <w:kern w:val="0"/>
          <w:sz w:val="32"/>
          <w:szCs w:val="32"/>
          <w:highlight w:val="none"/>
          <w:shd w:val="clear" w:color="auto" w:fill="FFFFFF"/>
          <w:lang w:eastAsia="zh-CN"/>
        </w:rPr>
        <w:t>；</w:t>
      </w:r>
    </w:p>
    <w:p w14:paraId="6D604589">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（二）具有完全民事行为能力且营业执照组成形式为个体经营的残疾人、残疾军人、烈士家属、因公牺牲军人家属等重点优抚对象，首次申领烟草专卖零售许可证，本人实际经营的，与最近零售点间距不低于30米</w:t>
      </w:r>
      <w:r>
        <w:rPr>
          <w:rFonts w:hint="eastAsia" w:ascii="仿宋_GB2312" w:hAnsi="仿宋_GB2312" w:eastAsia="仿宋_GB2312" w:cs="仿宋_GB2312"/>
          <w:color w:val="000000"/>
          <w:kern w:val="0"/>
          <w:sz w:val="32"/>
          <w:szCs w:val="32"/>
          <w:highlight w:val="none"/>
          <w:shd w:val="clear" w:color="auto" w:fill="FFFFFF"/>
          <w:lang w:eastAsia="zh-CN"/>
        </w:rPr>
        <w:t>；</w:t>
      </w:r>
    </w:p>
    <w:p w14:paraId="71913E55">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rPr>
        <w:t>（三）发展区域内的零售点，单层经营面积超过50㎡的，与最近零售点间距不低于30米。</w:t>
      </w:r>
    </w:p>
    <w:p w14:paraId="76D5AA76">
      <w:pPr>
        <w:spacing w:line="640" w:lineRule="exact"/>
        <w:ind w:firstLine="632" w:firstLineChars="200"/>
        <w:jc w:val="left"/>
        <w:rPr>
          <w:rFonts w:hint="eastAsia" w:ascii="楷体_GB2312" w:hAnsi="楷体_GB2312" w:eastAsia="楷体_GB2312" w:cs="楷体_GB2312"/>
          <w:bCs/>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第十一条  新办申请在实地核查零售点最近间距时，不受存在本规定第九条、第十条、两年内申请停业累计超过12个月的持证商户以及被县级烟草专卖局纳入严重失信名单的持证户限制。</w:t>
      </w:r>
    </w:p>
    <w:p w14:paraId="7C85C462">
      <w:pPr>
        <w:spacing w:line="640" w:lineRule="exact"/>
        <w:ind w:firstLine="632" w:firstLineChars="200"/>
        <w:jc w:val="left"/>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第十</w:t>
      </w:r>
      <w:r>
        <w:rPr>
          <w:rFonts w:hint="eastAsia" w:ascii="楷体_GB2312" w:hAnsi="楷体_GB2312" w:eastAsia="楷体_GB2312" w:cs="楷体_GB2312"/>
          <w:bCs/>
          <w:color w:val="000000"/>
          <w:kern w:val="0"/>
          <w:sz w:val="32"/>
          <w:szCs w:val="32"/>
          <w:highlight w:val="none"/>
          <w:shd w:val="clear" w:color="auto" w:fill="FFFFFF"/>
          <w:lang w:val="en-US" w:eastAsia="zh-CN"/>
        </w:rPr>
        <w:t>二</w:t>
      </w:r>
      <w:r>
        <w:rPr>
          <w:rFonts w:hint="eastAsia" w:ascii="楷体_GB2312" w:hAnsi="楷体_GB2312" w:eastAsia="楷体_GB2312" w:cs="楷体_GB2312"/>
          <w:bCs/>
          <w:color w:val="000000"/>
          <w:kern w:val="0"/>
          <w:sz w:val="32"/>
          <w:szCs w:val="32"/>
          <w:highlight w:val="none"/>
          <w:shd w:val="clear" w:color="auto" w:fill="FFFFFF"/>
        </w:rPr>
        <w:t>条</w:t>
      </w:r>
      <w:r>
        <w:rPr>
          <w:rFonts w:hint="eastAsia" w:ascii="楷体" w:hAnsi="楷体" w:eastAsia="楷体" w:cs="黑体"/>
          <w:bCs/>
          <w:color w:val="000000"/>
          <w:kern w:val="0"/>
          <w:sz w:val="32"/>
          <w:szCs w:val="32"/>
          <w:highlight w:val="none"/>
          <w:shd w:val="clear" w:color="auto" w:fill="FFFFFF"/>
        </w:rPr>
        <w:t xml:space="preserve">  </w:t>
      </w:r>
      <w:r>
        <w:rPr>
          <w:rFonts w:hint="eastAsia" w:ascii="仿宋_GB2312" w:hAnsi="仿宋_GB2312" w:eastAsia="仿宋_GB2312" w:cs="仿宋_GB2312"/>
          <w:color w:val="000000"/>
          <w:kern w:val="0"/>
          <w:sz w:val="32"/>
          <w:szCs w:val="32"/>
          <w:highlight w:val="none"/>
          <w:shd w:val="clear" w:color="auto" w:fill="FFFFFF"/>
        </w:rPr>
        <w:t>单独经营雪茄烟（不经营卷烟）的零售点，不受指导数和间距的限制（中小学、幼儿园周围的限制距离除外）。雪茄烟专营商户经营范围增加卷烟的，应当适用本布局规定的指导数量和间距条件。</w:t>
      </w:r>
    </w:p>
    <w:p w14:paraId="10861F0D">
      <w:pPr>
        <w:spacing w:line="640" w:lineRule="exact"/>
        <w:ind w:firstLine="632" w:firstLineChars="200"/>
        <w:jc w:val="left"/>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第十</w:t>
      </w:r>
      <w:r>
        <w:rPr>
          <w:rFonts w:hint="eastAsia" w:ascii="楷体_GB2312" w:hAnsi="楷体_GB2312" w:eastAsia="楷体_GB2312" w:cs="楷体_GB2312"/>
          <w:bCs/>
          <w:color w:val="000000"/>
          <w:kern w:val="0"/>
          <w:sz w:val="32"/>
          <w:szCs w:val="32"/>
          <w:highlight w:val="none"/>
          <w:shd w:val="clear" w:color="auto" w:fill="FFFFFF"/>
          <w:lang w:val="en-US" w:eastAsia="zh-CN"/>
        </w:rPr>
        <w:t>三</w:t>
      </w:r>
      <w:r>
        <w:rPr>
          <w:rFonts w:hint="eastAsia" w:ascii="楷体_GB2312" w:hAnsi="楷体_GB2312" w:eastAsia="楷体_GB2312" w:cs="楷体_GB2312"/>
          <w:bCs/>
          <w:color w:val="000000"/>
          <w:kern w:val="0"/>
          <w:sz w:val="32"/>
          <w:szCs w:val="32"/>
          <w:highlight w:val="none"/>
          <w:shd w:val="clear" w:color="auto" w:fill="FFFFFF"/>
        </w:rPr>
        <w:t>条</w:t>
      </w:r>
      <w:r>
        <w:rPr>
          <w:rFonts w:hint="eastAsia" w:ascii="仿宋_GB2312" w:hAnsi="仿宋_GB2312" w:eastAsia="仿宋_GB2312" w:cs="仿宋_GB2312"/>
          <w:color w:val="000000"/>
          <w:kern w:val="0"/>
          <w:sz w:val="32"/>
          <w:szCs w:val="32"/>
          <w:highlight w:val="none"/>
          <w:shd w:val="clear" w:color="auto" w:fill="FFFFFF"/>
        </w:rPr>
        <w:t xml:space="preserve">  其他类业态申请经营烟草制品零售业务的，按照以下标准审批发放烟草专卖零售许可证：</w:t>
      </w:r>
    </w:p>
    <w:p w14:paraId="11F7652A">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（一）与烟草制品零售业务没有直接或间接互补营销关系的其他业态类型，不得超过辖区内零售点总量的</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rPr>
        <w:t>%；</w:t>
      </w:r>
    </w:p>
    <w:p w14:paraId="1E653FA0">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（二）因历史原因持有烟草专卖零售许可证的其他类业态已经超过</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rPr>
        <w:t>%的，不再办理其他类业态烟草专卖零售许可证；</w:t>
      </w:r>
    </w:p>
    <w:p w14:paraId="5E99D413">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（三）当其他类业态烟草专卖零售许可证的数量总和低于</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rPr>
        <w:t>%时，按照“退一进一”的原则办理烟草专卖零售许可证。</w:t>
      </w:r>
    </w:p>
    <w:p w14:paraId="36BB524B">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第十</w:t>
      </w:r>
      <w:r>
        <w:rPr>
          <w:rFonts w:hint="eastAsia" w:ascii="楷体_GB2312" w:hAnsi="楷体_GB2312" w:eastAsia="楷体_GB2312" w:cs="楷体_GB2312"/>
          <w:bCs/>
          <w:color w:val="000000"/>
          <w:kern w:val="0"/>
          <w:sz w:val="32"/>
          <w:szCs w:val="32"/>
          <w:highlight w:val="none"/>
          <w:shd w:val="clear" w:color="auto" w:fill="FFFFFF"/>
          <w:lang w:eastAsia="zh-CN"/>
        </w:rPr>
        <w:t>四</w:t>
      </w:r>
      <w:r>
        <w:rPr>
          <w:rFonts w:hint="eastAsia" w:ascii="楷体_GB2312" w:hAnsi="楷体_GB2312" w:eastAsia="楷体_GB2312" w:cs="楷体_GB2312"/>
          <w:bCs/>
          <w:color w:val="000000"/>
          <w:kern w:val="0"/>
          <w:sz w:val="32"/>
          <w:szCs w:val="32"/>
          <w:highlight w:val="none"/>
          <w:shd w:val="clear" w:color="auto" w:fill="FFFFFF"/>
        </w:rPr>
        <w:t>条</w:t>
      </w:r>
      <w:r>
        <w:rPr>
          <w:rFonts w:hint="eastAsia" w:ascii="仿宋" w:hAnsi="仿宋" w:eastAsia="仿宋" w:cs="仿宋"/>
          <w:color w:val="000000"/>
          <w:sz w:val="32"/>
          <w:szCs w:val="32"/>
          <w:highlight w:val="none"/>
        </w:rPr>
        <w:t xml:space="preserve">  </w:t>
      </w:r>
      <w:r>
        <w:rPr>
          <w:rFonts w:hint="eastAsia" w:ascii="仿宋_GB2312" w:hAnsi="仿宋_GB2312" w:eastAsia="仿宋_GB2312" w:cs="仿宋_GB2312"/>
          <w:color w:val="000000"/>
          <w:kern w:val="0"/>
          <w:sz w:val="32"/>
          <w:szCs w:val="32"/>
          <w:highlight w:val="none"/>
          <w:shd w:val="clear" w:color="auto" w:fill="FFFFFF"/>
        </w:rPr>
        <w:t>有下列情形之一的，不予设置烟草制品零售点:</w:t>
      </w:r>
    </w:p>
    <w:p w14:paraId="08E24B51">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（一）申请人无固定经营场所的；</w:t>
      </w:r>
    </w:p>
    <w:p w14:paraId="627CB3C0">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（二）申请人不具备申请资格的；</w:t>
      </w:r>
    </w:p>
    <w:p w14:paraId="43191136">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（三）申请人的经营场所与住所不相独立的；</w:t>
      </w:r>
    </w:p>
    <w:p w14:paraId="273298EF">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（四）取消从事烟草专卖业务资格不满三年的；</w:t>
      </w:r>
    </w:p>
    <w:p w14:paraId="33858CB6">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（五）因申请人隐瞒有关情况或者提供虚假材料的，申请人在一年内再次申请烟草专卖许可证的；</w:t>
      </w:r>
    </w:p>
    <w:p w14:paraId="47CEBBCC">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（六）因申请人以欺骗、贿赂等不正当手段取得的烟草专卖许可证被撤销后，申请人三年内再次提出申请的；</w:t>
      </w:r>
    </w:p>
    <w:p w14:paraId="23E79C8E">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（七）未领取烟草专卖零售许可证经营烟草专卖品业务，并且一年内被执法机关处罚两次以上，在三年内申请领取烟草专卖零售许可证的；</w:t>
      </w:r>
    </w:p>
    <w:p w14:paraId="147B0452">
      <w:pPr>
        <w:spacing w:line="640" w:lineRule="exact"/>
        <w:ind w:firstLine="632" w:firstLineChars="200"/>
        <w:rPr>
          <w:rFonts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（八）未领取烟草专卖零售许可证经营烟草专卖品业务被追究刑事责任，在三年内申请领取烟草专卖零售许可证的；</w:t>
      </w:r>
    </w:p>
    <w:p w14:paraId="448B83D8">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（九）经营场所基于安全因素不适宜经营卷烟，经消防等职能部门认定的安全隐患，生产、经营、储存有毒有害、易挥发类物质，不符合食品安全标准，容易造成卷烟污染的；</w:t>
      </w:r>
    </w:p>
    <w:p w14:paraId="6FC8A089">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十）经营场所位于中小学内部或中小学供师生日常出入的通道口最短可通行距离100米范围以内的，经营场所位于幼儿园内部或幼儿园供师生日常出入使用的通道口最短可通行距离50米范围以内的（以下简称“中小学、幼儿园周围”）；供师生日常出入的通道口之外的消防通道、后勤通道、应急通道、垃圾通道等，按照中小学、幼儿园周围间距减半执行；</w:t>
      </w:r>
    </w:p>
    <w:p w14:paraId="7BAE4224">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（十一）一个经营场所已经办理了烟草专卖零售许可证的；</w:t>
      </w:r>
    </w:p>
    <w:p w14:paraId="0815E0A5">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（十二）外商投资的商业企业或者个体工商户或者以特许、吸纳加盟店及其他再投资等形式变相从事烟草专卖品经营业务的；</w:t>
      </w:r>
    </w:p>
    <w:p w14:paraId="4AC29D7E">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（十三）公民、法人或者其他组织利用自动售货机或者其他自动售货形式，销售或者变相销售烟草制品的；</w:t>
      </w:r>
    </w:p>
    <w:p w14:paraId="590C4ACE">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（十四）除了取得烟草专卖生产企业许可证或者烟草专卖批发企业许可证的企业依法销售烟草专卖品外，任何公民、法人或者其他组织通过信息网络销售烟草专卖品的；</w:t>
      </w:r>
    </w:p>
    <w:p w14:paraId="230664E6">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（十五）申请人为无民事行为能力人或者限制行为能力人的；</w:t>
      </w:r>
    </w:p>
    <w:p w14:paraId="561845A0">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（十六）经营场所位于国家机关、党政机关内部和医疗机构内部的；</w:t>
      </w:r>
    </w:p>
    <w:p w14:paraId="0D185399">
      <w:pPr>
        <w:spacing w:line="640" w:lineRule="exact"/>
        <w:ind w:firstLine="632" w:firstLineChars="200"/>
        <w:rPr>
          <w:rFonts w:ascii="仿宋" w:hAnsi="仿宋" w:eastAsia="仿宋" w:cs="仿宋"/>
          <w:color w:val="00000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（十七）相关法律、法规、规章和烟草专卖行政主管部门及政府行政规范性文件规定的其它情形。</w:t>
      </w:r>
    </w:p>
    <w:p w14:paraId="0DF2E784">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第十</w:t>
      </w:r>
      <w:r>
        <w:rPr>
          <w:rFonts w:hint="eastAsia" w:ascii="楷体_GB2312" w:hAnsi="楷体_GB2312" w:eastAsia="楷体_GB2312" w:cs="楷体_GB2312"/>
          <w:bCs/>
          <w:color w:val="000000"/>
          <w:kern w:val="0"/>
          <w:sz w:val="32"/>
          <w:szCs w:val="32"/>
          <w:highlight w:val="none"/>
          <w:shd w:val="clear" w:color="auto" w:fill="FFFFFF"/>
          <w:lang w:eastAsia="zh-CN"/>
        </w:rPr>
        <w:t>五</w:t>
      </w:r>
      <w:r>
        <w:rPr>
          <w:rFonts w:hint="eastAsia" w:ascii="楷体_GB2312" w:hAnsi="楷体_GB2312" w:eastAsia="楷体_GB2312" w:cs="楷体_GB2312"/>
          <w:bCs/>
          <w:color w:val="000000"/>
          <w:kern w:val="0"/>
          <w:sz w:val="32"/>
          <w:szCs w:val="32"/>
          <w:highlight w:val="none"/>
          <w:shd w:val="clear" w:color="auto" w:fill="FFFFFF"/>
        </w:rPr>
        <w:t xml:space="preserve">条  </w:t>
      </w:r>
      <w:r>
        <w:rPr>
          <w:rFonts w:hint="eastAsia" w:ascii="仿宋_GB2312" w:hAnsi="仿宋_GB2312" w:eastAsia="仿宋_GB2312" w:cs="仿宋_GB2312"/>
          <w:color w:val="000000"/>
          <w:kern w:val="0"/>
          <w:sz w:val="32"/>
          <w:szCs w:val="32"/>
          <w:highlight w:val="none"/>
          <w:shd w:val="clear" w:color="auto" w:fill="FFFFFF"/>
        </w:rPr>
        <w:t>有下列情形之一的，烟草专卖零售许可证有效期届满后不予延续：</w:t>
      </w:r>
    </w:p>
    <w:p w14:paraId="6101883E">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（一）经营场所基于安全因素不适宜经营卷烟的；</w:t>
      </w:r>
    </w:p>
    <w:p w14:paraId="61D1894A">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（二）中小学、幼儿园周围；</w:t>
      </w:r>
    </w:p>
    <w:p w14:paraId="482FE619">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（三）经营主体发生变化的；</w:t>
      </w:r>
    </w:p>
    <w:p w14:paraId="14674E3E">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（四）不再具备固定经营场所的；</w:t>
      </w:r>
    </w:p>
    <w:p w14:paraId="5AE57E1A">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（五）经营场所不再与住所相独立的；</w:t>
      </w:r>
    </w:p>
    <w:p w14:paraId="4D99C798">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 xml:space="preserve">（六）经营场所条件发生变化导致其既不符合取得许可时也不符合申请延续时的烟草制品零售点合理布局规定要求的； </w:t>
      </w:r>
    </w:p>
    <w:p w14:paraId="4116AAE4">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（七）非法生产经营烟草专卖品数额在5万元以上或者违法所得数额在2万元以上或者非法经营卷烟20万支以上，未被追究刑事责任的；</w:t>
      </w:r>
    </w:p>
    <w:p w14:paraId="6109E540">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（八）因非法生产经营烟草专卖品被追究刑事责任的；</w:t>
      </w:r>
    </w:p>
    <w:p w14:paraId="0FF4E6A2">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（九）买卖、出租、出借或者以其他形式非法转让烟草专卖许可证的；</w:t>
      </w:r>
    </w:p>
    <w:p w14:paraId="7A45F120">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（十）被市场监管部门吊销营业执照的；</w:t>
      </w:r>
    </w:p>
    <w:p w14:paraId="2AB04B6D">
      <w:pPr>
        <w:spacing w:line="640" w:lineRule="exact"/>
        <w:ind w:firstLine="632" w:firstLineChars="200"/>
        <w:rPr>
          <w:rFonts w:ascii="仿宋" w:hAnsi="仿宋" w:eastAsia="仿宋" w:cs="仿宋"/>
          <w:color w:val="00000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（十一）其他严重违法行为的。</w:t>
      </w:r>
    </w:p>
    <w:p w14:paraId="4B91754D">
      <w:pPr>
        <w:spacing w:line="640" w:lineRule="exact"/>
        <w:ind w:firstLine="632" w:firstLineChars="200"/>
        <w:jc w:val="center"/>
        <w:rPr>
          <w:rFonts w:ascii="仿宋_GB2312" w:hAnsi="仿宋_GB2312" w:eastAsia="仿宋_GB2312" w:cs="仿宋_GB2312"/>
          <w:color w:val="000000"/>
          <w:kern w:val="0"/>
          <w:sz w:val="32"/>
          <w:szCs w:val="32"/>
          <w:highlight w:val="none"/>
          <w:shd w:val="clear" w:color="auto" w:fill="FFFFFF"/>
        </w:rPr>
      </w:pPr>
      <w:r>
        <w:rPr>
          <w:rFonts w:hint="eastAsia" w:ascii="黑体" w:hAnsi="黑体" w:eastAsia="黑体" w:cs="黑体"/>
          <w:color w:val="000000"/>
          <w:kern w:val="0"/>
          <w:sz w:val="32"/>
          <w:szCs w:val="32"/>
          <w:highlight w:val="none"/>
          <w:shd w:val="clear" w:color="auto" w:fill="FFFFFF"/>
        </w:rPr>
        <w:t>第三章   附  则</w:t>
      </w:r>
    </w:p>
    <w:p w14:paraId="006BCECF">
      <w:pPr>
        <w:spacing w:line="640" w:lineRule="exact"/>
        <w:ind w:firstLine="631"/>
        <w:rPr>
          <w:rFonts w:hint="eastAsia" w:ascii="仿宋_GB2312" w:hAnsi="宋体" w:eastAsia="仿宋_GB2312" w:cs="仿宋_GB2312"/>
          <w:color w:val="000000"/>
          <w:kern w:val="0"/>
          <w:sz w:val="31"/>
          <w:szCs w:val="31"/>
          <w:highlight w:val="none"/>
          <w:lang w:bidi="ar"/>
        </w:rPr>
      </w:pPr>
      <w:r>
        <w:rPr>
          <w:rFonts w:hint="eastAsia" w:ascii="楷体_GB2312" w:hAnsi="楷体_GB2312" w:eastAsia="楷体_GB2312" w:cs="楷体_GB2312"/>
          <w:bCs/>
          <w:color w:val="000000"/>
          <w:kern w:val="0"/>
          <w:sz w:val="32"/>
          <w:szCs w:val="32"/>
          <w:highlight w:val="none"/>
          <w:shd w:val="clear" w:color="auto" w:fill="FFFFFF"/>
        </w:rPr>
        <w:t>第十</w:t>
      </w:r>
      <w:r>
        <w:rPr>
          <w:rFonts w:hint="eastAsia" w:ascii="楷体_GB2312" w:hAnsi="楷体_GB2312" w:eastAsia="楷体_GB2312" w:cs="楷体_GB2312"/>
          <w:bCs/>
          <w:color w:val="000000"/>
          <w:kern w:val="0"/>
          <w:sz w:val="32"/>
          <w:szCs w:val="32"/>
          <w:highlight w:val="none"/>
          <w:shd w:val="clear" w:color="auto" w:fill="FFFFFF"/>
          <w:lang w:eastAsia="zh-CN"/>
        </w:rPr>
        <w:t>六</w:t>
      </w:r>
      <w:r>
        <w:rPr>
          <w:rFonts w:hint="eastAsia" w:ascii="楷体_GB2312" w:hAnsi="楷体_GB2312" w:eastAsia="楷体_GB2312" w:cs="楷体_GB2312"/>
          <w:bCs/>
          <w:color w:val="000000"/>
          <w:kern w:val="0"/>
          <w:sz w:val="32"/>
          <w:szCs w:val="32"/>
          <w:highlight w:val="none"/>
          <w:shd w:val="clear" w:color="auto" w:fill="FFFFFF"/>
        </w:rPr>
        <w:t xml:space="preserve">条  </w:t>
      </w:r>
      <w:r>
        <w:rPr>
          <w:rFonts w:hint="eastAsia" w:ascii="仿宋_GB2312" w:hAnsi="仿宋_GB2312" w:eastAsia="仿宋_GB2312" w:cs="仿宋_GB2312"/>
          <w:color w:val="000000"/>
          <w:kern w:val="0"/>
          <w:sz w:val="32"/>
          <w:szCs w:val="32"/>
          <w:highlight w:val="none"/>
          <w:shd w:val="clear" w:color="auto" w:fill="FFFFFF"/>
        </w:rPr>
        <w:t>本规定所称“经营场所”是指市场主体从事经营活动的营业场所，应当与经营范围相适应，依法取得使用权，具有合法的产权权属、使用功能及法定用途，不属于违法建设、危险建筑、被征收房屋等依法不能用作经营场所的房屋。</w:t>
      </w:r>
    </w:p>
    <w:p w14:paraId="346530B7">
      <w:pPr>
        <w:widowControl/>
        <w:spacing w:line="640" w:lineRule="exact"/>
        <w:ind w:firstLine="632" w:firstLineChars="200"/>
        <w:jc w:val="left"/>
        <w:rPr>
          <w:rFonts w:hint="eastAsia" w:ascii="仿宋_GB2312" w:hAnsi="宋体" w:eastAsia="仿宋_GB2312" w:cs="仿宋_GB2312"/>
          <w:color w:val="000000"/>
          <w:kern w:val="0"/>
          <w:sz w:val="31"/>
          <w:szCs w:val="31"/>
          <w:highlight w:val="none"/>
          <w:lang w:bidi="ar"/>
        </w:rPr>
      </w:pPr>
      <w:r>
        <w:rPr>
          <w:rFonts w:hint="eastAsia" w:ascii="楷体_GB2312" w:hAnsi="楷体_GB2312" w:eastAsia="楷体_GB2312" w:cs="楷体_GB2312"/>
          <w:bCs/>
          <w:color w:val="000000"/>
          <w:kern w:val="0"/>
          <w:sz w:val="32"/>
          <w:szCs w:val="32"/>
          <w:highlight w:val="none"/>
          <w:shd w:val="clear" w:color="auto" w:fill="FFFFFF"/>
        </w:rPr>
        <w:t>第十</w:t>
      </w:r>
      <w:r>
        <w:rPr>
          <w:rFonts w:hint="eastAsia" w:ascii="楷体_GB2312" w:hAnsi="楷体_GB2312" w:eastAsia="楷体_GB2312" w:cs="楷体_GB2312"/>
          <w:bCs/>
          <w:color w:val="000000"/>
          <w:kern w:val="0"/>
          <w:sz w:val="32"/>
          <w:szCs w:val="32"/>
          <w:highlight w:val="none"/>
          <w:shd w:val="clear" w:color="auto" w:fill="FFFFFF"/>
          <w:lang w:val="en-US" w:eastAsia="zh-CN"/>
        </w:rPr>
        <w:t>七</w:t>
      </w:r>
      <w:r>
        <w:rPr>
          <w:rFonts w:hint="eastAsia" w:ascii="楷体_GB2312" w:hAnsi="楷体_GB2312" w:eastAsia="楷体_GB2312" w:cs="楷体_GB2312"/>
          <w:bCs/>
          <w:color w:val="000000"/>
          <w:kern w:val="0"/>
          <w:sz w:val="32"/>
          <w:szCs w:val="32"/>
          <w:highlight w:val="none"/>
          <w:shd w:val="clear" w:color="auto" w:fill="FFFFFF"/>
        </w:rPr>
        <w:t xml:space="preserve">条  </w:t>
      </w:r>
      <w:r>
        <w:rPr>
          <w:rFonts w:ascii="仿宋_GB2312" w:hAnsi="宋体" w:eastAsia="仿宋_GB2312" w:cs="仿宋_GB2312"/>
          <w:color w:val="000000"/>
          <w:kern w:val="0"/>
          <w:sz w:val="31"/>
          <w:szCs w:val="31"/>
          <w:highlight w:val="none"/>
          <w:lang w:bidi="ar"/>
        </w:rPr>
        <w:t>本规定所称“与住所相独立”，是指经营场所与居</w:t>
      </w:r>
      <w:r>
        <w:rPr>
          <w:rFonts w:hint="eastAsia" w:ascii="仿宋_GB2312" w:hAnsi="宋体" w:eastAsia="仿宋_GB2312" w:cs="仿宋_GB2312"/>
          <w:color w:val="000000"/>
          <w:kern w:val="0"/>
          <w:sz w:val="31"/>
          <w:szCs w:val="31"/>
          <w:highlight w:val="none"/>
          <w:lang w:bidi="ar"/>
        </w:rPr>
        <w:t>住场所从空间上相分离，两者在空间上相独立，在物理特性上应有实体墙或固定的物理隔断等隔离，经营行为不受生活活动的影响。</w:t>
      </w:r>
    </w:p>
    <w:p w14:paraId="0FF93734">
      <w:pPr>
        <w:widowControl/>
        <w:spacing w:line="640" w:lineRule="exact"/>
        <w:ind w:firstLine="632" w:firstLineChars="200"/>
        <w:jc w:val="left"/>
        <w:rPr>
          <w:rFonts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w:t>
      </w:r>
      <w:r>
        <w:rPr>
          <w:rFonts w:hint="eastAsia" w:ascii="楷体_GB2312" w:hAnsi="楷体_GB2312" w:eastAsia="楷体_GB2312" w:cs="楷体_GB2312"/>
          <w:bCs/>
          <w:color w:val="000000"/>
          <w:kern w:val="0"/>
          <w:sz w:val="32"/>
          <w:szCs w:val="32"/>
          <w:highlight w:val="none"/>
          <w:shd w:val="clear" w:color="auto" w:fill="FFFFFF"/>
          <w:lang w:val="en-US" w:eastAsia="zh-CN"/>
        </w:rPr>
        <w:t>十八</w:t>
      </w:r>
      <w:r>
        <w:rPr>
          <w:rFonts w:hint="eastAsia" w:ascii="楷体_GB2312" w:hAnsi="楷体_GB2312" w:eastAsia="楷体_GB2312" w:cs="楷体_GB2312"/>
          <w:bCs/>
          <w:color w:val="000000"/>
          <w:kern w:val="0"/>
          <w:sz w:val="32"/>
          <w:szCs w:val="32"/>
          <w:highlight w:val="none"/>
          <w:shd w:val="clear" w:color="auto" w:fill="FFFFFF"/>
        </w:rPr>
        <w:t xml:space="preserve">条  </w:t>
      </w:r>
      <w:r>
        <w:rPr>
          <w:rFonts w:hint="eastAsia" w:ascii="仿宋_GB2312" w:hAnsi="仿宋_GB2312" w:eastAsia="仿宋_GB2312" w:cs="仿宋_GB2312"/>
          <w:color w:val="000000"/>
          <w:kern w:val="0"/>
          <w:sz w:val="32"/>
          <w:szCs w:val="32"/>
          <w:highlight w:val="none"/>
          <w:shd w:val="clear" w:color="auto" w:fill="FFFFFF"/>
        </w:rPr>
        <w:t>本规定中“与烟草制品零售业务没有直接或间接互补营销关系的其他业态类型”包括但不限于主营通信器材、电子商品、五金建材、建筑装潢、家电家具、修理修配、车辆租赁销售（机动、非机动）、汽车相关（维修、销售、美容等）、美容美发美甲、化妆品店、药妆医械、洗涤护理、鲜花店、烘焙店、水果蔬菜、文化体育用品、音像制品、移动业务服务、金融证券、仪器仪表、金银珠宝、物流快递、服装制售、鞋帽箱包、寄卖典当、古董店、传真打印、照相馆、成人用品店、祭祀佛具、废品回收、农资农具、科教文卫、创意设计、摄影摄像、中介服务、安保服务、快餐小吃、宠物服务等。</w:t>
      </w:r>
    </w:p>
    <w:p w14:paraId="3B1A4CC8">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w:t>
      </w:r>
      <w:r>
        <w:rPr>
          <w:rFonts w:hint="eastAsia" w:ascii="楷体_GB2312" w:hAnsi="楷体_GB2312" w:eastAsia="楷体_GB2312" w:cs="楷体_GB2312"/>
          <w:bCs/>
          <w:color w:val="000000"/>
          <w:kern w:val="0"/>
          <w:sz w:val="32"/>
          <w:szCs w:val="32"/>
          <w:highlight w:val="none"/>
          <w:shd w:val="clear" w:color="auto" w:fill="FFFFFF"/>
          <w:lang w:val="en-US" w:eastAsia="zh-CN"/>
        </w:rPr>
        <w:t>十九</w:t>
      </w:r>
      <w:r>
        <w:rPr>
          <w:rFonts w:hint="eastAsia" w:ascii="楷体_GB2312" w:hAnsi="楷体_GB2312" w:eastAsia="楷体_GB2312" w:cs="楷体_GB2312"/>
          <w:bCs/>
          <w:color w:val="000000"/>
          <w:kern w:val="0"/>
          <w:sz w:val="32"/>
          <w:szCs w:val="32"/>
          <w:highlight w:val="none"/>
          <w:shd w:val="clear" w:color="auto" w:fill="FFFFFF"/>
        </w:rPr>
        <w:t>条</w:t>
      </w:r>
      <w:r>
        <w:rPr>
          <w:rFonts w:hint="eastAsia" w:ascii="楷体" w:hAnsi="楷体" w:eastAsia="楷体" w:cs="楷体"/>
          <w:color w:val="000000"/>
          <w:sz w:val="32"/>
          <w:szCs w:val="32"/>
          <w:highlight w:val="none"/>
        </w:rPr>
        <w:t xml:space="preserve">  </w:t>
      </w:r>
      <w:r>
        <w:rPr>
          <w:rFonts w:hint="eastAsia" w:ascii="仿宋_GB2312" w:hAnsi="仿宋_GB2312" w:eastAsia="仿宋_GB2312" w:cs="仿宋_GB2312"/>
          <w:color w:val="000000"/>
          <w:kern w:val="0"/>
          <w:sz w:val="32"/>
          <w:szCs w:val="32"/>
          <w:highlight w:val="none"/>
          <w:shd w:val="clear" w:color="auto" w:fill="FFFFFF"/>
        </w:rPr>
        <w:t>本规定所称“距离”是指拟从事烟草制品零售业务经营场所与参照零售点或中小学校、幼儿园之间的步行最短距离。（距离测量时，以依法可通行的最短距离为标准，按照两个参照点最近一侧的门沿进行测量，不得穿越隔离护栏、护墙、花坛、花园、建筑物等设施或禁止性道路标线）。</w:t>
      </w:r>
    </w:p>
    <w:p w14:paraId="625B851F">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第二十条</w:t>
      </w:r>
      <w:r>
        <w:rPr>
          <w:rFonts w:hint="eastAsia" w:ascii="楷体" w:hAnsi="楷体" w:eastAsia="楷体" w:cs="楷体"/>
          <w:color w:val="000000"/>
          <w:sz w:val="32"/>
          <w:szCs w:val="32"/>
          <w:highlight w:val="none"/>
        </w:rPr>
        <w:t xml:space="preserve">  </w:t>
      </w:r>
      <w:r>
        <w:rPr>
          <w:rFonts w:hint="eastAsia" w:ascii="仿宋_GB2312" w:hAnsi="仿宋_GB2312" w:eastAsia="仿宋_GB2312" w:cs="仿宋_GB2312"/>
          <w:color w:val="000000"/>
          <w:kern w:val="0"/>
          <w:sz w:val="32"/>
          <w:szCs w:val="32"/>
          <w:highlight w:val="none"/>
          <w:shd w:val="clear" w:color="auto" w:fill="FFFFFF"/>
        </w:rPr>
        <w:t>本规定所称“中小学”引用《中华人民共和国未成年人保护法》的“学校”含义：指普通中小学、中等职业学校、特殊教育学校、专门学校。</w:t>
      </w:r>
    </w:p>
    <w:p w14:paraId="081B0A03">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特殊教育学校”：特殊教育学校是指由政府、企业事业组织、社会团体、其他社会组织及公民个人依法举办的专门对残疾儿童、少年实施义务教育的机构。（见《特殊教育学校暂行规程》，中华人民共和国教育部令，1998年12月2日颁布）。</w:t>
      </w:r>
    </w:p>
    <w:p w14:paraId="63BEF144">
      <w:pPr>
        <w:spacing w:line="640" w:lineRule="exact"/>
        <w:ind w:firstLine="632" w:firstLineChars="20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专门学校”：国家加强专门学校建设，对有严重不良行为的未成年人进行专门教育。专门教育是国民教育体系的组成部分，是对有严重不良行为的未成年人进行教育和矫治的重要保护处分措施。（见《中华人民共和国预防未成年人犯罪法》，自2021年6月1日起施行）。</w:t>
      </w:r>
    </w:p>
    <w:p w14:paraId="0F5B5640">
      <w:pPr>
        <w:spacing w:line="640" w:lineRule="exact"/>
        <w:ind w:firstLine="632" w:firstLineChars="200"/>
        <w:rPr>
          <w:rFonts w:ascii="仿宋" w:hAnsi="仿宋" w:eastAsia="仿宋" w:cs="仿宋"/>
          <w:color w:val="000000"/>
          <w:sz w:val="32"/>
          <w:szCs w:val="32"/>
          <w:highlight w:val="none"/>
        </w:rPr>
      </w:pPr>
      <w:r>
        <w:rPr>
          <w:rFonts w:hint="eastAsia" w:ascii="仿宋_GB2312" w:hAnsi="仿宋_GB2312" w:eastAsia="仿宋_GB2312" w:cs="仿宋_GB2312"/>
          <w:color w:val="000000"/>
          <w:kern w:val="0"/>
          <w:sz w:val="32"/>
          <w:szCs w:val="32"/>
          <w:highlight w:val="none"/>
          <w:shd w:val="clear" w:color="auto" w:fill="FFFFFF"/>
        </w:rPr>
        <w:t xml:space="preserve">宾馆酒店客房数量以相关机构认定的客房数量为准。 </w:t>
      </w:r>
      <w:r>
        <w:rPr>
          <w:rFonts w:hint="eastAsia" w:ascii="仿宋" w:hAnsi="仿宋" w:eastAsia="仿宋" w:cs="仿宋"/>
          <w:color w:val="000000"/>
          <w:sz w:val="32"/>
          <w:szCs w:val="32"/>
          <w:highlight w:val="none"/>
        </w:rPr>
        <w:t xml:space="preserve"> </w:t>
      </w:r>
    </w:p>
    <w:p w14:paraId="089F5C9B">
      <w:pPr>
        <w:spacing w:line="640" w:lineRule="exact"/>
        <w:ind w:firstLine="631"/>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第二十</w:t>
      </w:r>
      <w:r>
        <w:rPr>
          <w:rFonts w:hint="eastAsia" w:ascii="楷体_GB2312" w:hAnsi="楷体_GB2312" w:eastAsia="楷体_GB2312" w:cs="楷体_GB2312"/>
          <w:bCs/>
          <w:color w:val="000000"/>
          <w:kern w:val="0"/>
          <w:sz w:val="32"/>
          <w:szCs w:val="32"/>
          <w:highlight w:val="none"/>
          <w:shd w:val="clear" w:color="auto" w:fill="FFFFFF"/>
          <w:lang w:val="en-US" w:eastAsia="zh-CN"/>
        </w:rPr>
        <w:t>一</w:t>
      </w:r>
      <w:r>
        <w:rPr>
          <w:rFonts w:hint="eastAsia" w:ascii="楷体_GB2312" w:hAnsi="楷体_GB2312" w:eastAsia="楷体_GB2312" w:cs="楷体_GB2312"/>
          <w:bCs/>
          <w:color w:val="000000"/>
          <w:kern w:val="0"/>
          <w:sz w:val="32"/>
          <w:szCs w:val="32"/>
          <w:highlight w:val="none"/>
          <w:shd w:val="clear" w:color="auto" w:fill="FFFFFF"/>
        </w:rPr>
        <w:t>条</w:t>
      </w:r>
      <w:r>
        <w:rPr>
          <w:rFonts w:hint="eastAsia" w:ascii="楷体" w:hAnsi="楷体" w:eastAsia="楷体" w:cs="楷体"/>
          <w:color w:val="000000"/>
          <w:sz w:val="32"/>
          <w:szCs w:val="32"/>
          <w:highlight w:val="none"/>
        </w:rPr>
        <w:t xml:space="preserve"> </w:t>
      </w:r>
      <w:r>
        <w:rPr>
          <w:rFonts w:hint="eastAsia" w:ascii="仿宋_GB2312" w:hAnsi="仿宋_GB2312" w:eastAsia="仿宋_GB2312" w:cs="仿宋_GB2312"/>
          <w:color w:val="000000"/>
          <w:kern w:val="0"/>
          <w:sz w:val="32"/>
          <w:szCs w:val="32"/>
          <w:highlight w:val="none"/>
          <w:shd w:val="clear" w:color="auto" w:fill="FFFFFF"/>
        </w:rPr>
        <w:t>本规定所称“幼儿园”指具有幼儿园性质的学前教育机构。</w:t>
      </w:r>
    </w:p>
    <w:p w14:paraId="68F335F8">
      <w:pPr>
        <w:spacing w:line="640" w:lineRule="exact"/>
        <w:rPr>
          <w:rFonts w:hint="eastAsia" w:ascii="仿宋_GB2312" w:hAnsi="仿宋_GB2312" w:eastAsia="仿宋_GB2312" w:cs="仿宋_GB2312"/>
          <w:color w:val="000000"/>
          <w:kern w:val="0"/>
          <w:sz w:val="32"/>
          <w:szCs w:val="32"/>
          <w:highlight w:val="none"/>
          <w:shd w:val="clear" w:color="auto" w:fill="FFFFFF"/>
        </w:rPr>
      </w:pPr>
      <w:r>
        <w:rPr>
          <w:rFonts w:hint="eastAsia" w:ascii="仿宋" w:hAnsi="仿宋" w:eastAsia="仿宋" w:cs="仿宋"/>
          <w:color w:val="000000"/>
          <w:sz w:val="32"/>
          <w:szCs w:val="32"/>
          <w:highlight w:val="none"/>
        </w:rPr>
        <w:t xml:space="preserve">   </w:t>
      </w:r>
      <w:r>
        <w:rPr>
          <w:rFonts w:hint="eastAsia" w:ascii="楷体_GB2312" w:hAnsi="楷体_GB2312" w:eastAsia="楷体_GB2312" w:cs="楷体_GB2312"/>
          <w:bCs/>
          <w:color w:val="000000"/>
          <w:kern w:val="0"/>
          <w:sz w:val="32"/>
          <w:szCs w:val="32"/>
          <w:highlight w:val="none"/>
          <w:shd w:val="clear" w:color="auto" w:fill="FFFFFF"/>
        </w:rPr>
        <w:t xml:space="preserve"> 第二十</w:t>
      </w:r>
      <w:r>
        <w:rPr>
          <w:rFonts w:hint="eastAsia" w:ascii="楷体_GB2312" w:hAnsi="楷体_GB2312" w:eastAsia="楷体_GB2312" w:cs="楷体_GB2312"/>
          <w:bCs/>
          <w:color w:val="000000"/>
          <w:kern w:val="0"/>
          <w:sz w:val="32"/>
          <w:szCs w:val="32"/>
          <w:highlight w:val="none"/>
          <w:shd w:val="clear" w:color="auto" w:fill="FFFFFF"/>
          <w:lang w:val="en-US" w:eastAsia="zh-CN"/>
        </w:rPr>
        <w:t>二</w:t>
      </w:r>
      <w:r>
        <w:rPr>
          <w:rFonts w:hint="eastAsia" w:ascii="楷体_GB2312" w:hAnsi="楷体_GB2312" w:eastAsia="楷体_GB2312" w:cs="楷体_GB2312"/>
          <w:bCs/>
          <w:color w:val="000000"/>
          <w:kern w:val="0"/>
          <w:sz w:val="32"/>
          <w:szCs w:val="32"/>
          <w:highlight w:val="none"/>
          <w:shd w:val="clear" w:color="auto" w:fill="FFFFFF"/>
        </w:rPr>
        <w:t xml:space="preserve">条 </w:t>
      </w:r>
      <w:r>
        <w:rPr>
          <w:rFonts w:hint="eastAsia" w:ascii="仿宋_GB2312" w:hAnsi="仿宋_GB2312" w:eastAsia="仿宋_GB2312" w:cs="仿宋_GB2312"/>
          <w:color w:val="000000"/>
          <w:kern w:val="0"/>
          <w:sz w:val="32"/>
          <w:szCs w:val="32"/>
          <w:highlight w:val="none"/>
          <w:shd w:val="clear" w:color="auto" w:fill="FFFFFF"/>
        </w:rPr>
        <w:t>本规定所称的“以内”、“以上”、“不低于”、“不得超过”均含本数。</w:t>
      </w:r>
    </w:p>
    <w:p w14:paraId="4BF0DD1B">
      <w:pPr>
        <w:spacing w:line="640" w:lineRule="exact"/>
        <w:rPr>
          <w:rFonts w:hint="eastAsia" w:ascii="仿宋_GB2312" w:hAnsi="仿宋_GB2312" w:eastAsia="仿宋_GB2312" w:cs="仿宋_GB2312"/>
          <w:color w:val="000000"/>
          <w:kern w:val="0"/>
          <w:sz w:val="32"/>
          <w:szCs w:val="32"/>
          <w:highlight w:val="none"/>
          <w:shd w:val="clear" w:color="auto" w:fill="FFFFFF"/>
        </w:rPr>
      </w:pPr>
      <w:r>
        <w:rPr>
          <w:rFonts w:hint="eastAsia" w:ascii="仿宋" w:hAnsi="仿宋" w:eastAsia="仿宋" w:cs="仿宋"/>
          <w:color w:val="000000"/>
          <w:sz w:val="32"/>
          <w:szCs w:val="32"/>
          <w:highlight w:val="none"/>
        </w:rPr>
        <w:t xml:space="preserve">    </w:t>
      </w:r>
      <w:r>
        <w:rPr>
          <w:rFonts w:hint="eastAsia" w:ascii="楷体_GB2312" w:hAnsi="楷体_GB2312" w:eastAsia="楷体_GB2312" w:cs="楷体_GB2312"/>
          <w:bCs/>
          <w:color w:val="000000"/>
          <w:kern w:val="0"/>
          <w:sz w:val="32"/>
          <w:szCs w:val="32"/>
          <w:highlight w:val="none"/>
          <w:shd w:val="clear" w:color="auto" w:fill="FFFFFF"/>
        </w:rPr>
        <w:t>第二十</w:t>
      </w:r>
      <w:r>
        <w:rPr>
          <w:rFonts w:hint="eastAsia" w:ascii="楷体_GB2312" w:hAnsi="楷体_GB2312" w:eastAsia="楷体_GB2312" w:cs="楷体_GB2312"/>
          <w:bCs/>
          <w:color w:val="000000"/>
          <w:kern w:val="0"/>
          <w:sz w:val="32"/>
          <w:szCs w:val="32"/>
          <w:highlight w:val="none"/>
          <w:shd w:val="clear" w:color="auto" w:fill="FFFFFF"/>
          <w:lang w:val="en-US" w:eastAsia="zh-CN"/>
        </w:rPr>
        <w:t>三</w:t>
      </w:r>
      <w:r>
        <w:rPr>
          <w:rFonts w:hint="eastAsia" w:ascii="楷体_GB2312" w:hAnsi="楷体_GB2312" w:eastAsia="楷体_GB2312" w:cs="楷体_GB2312"/>
          <w:bCs/>
          <w:color w:val="000000"/>
          <w:kern w:val="0"/>
          <w:sz w:val="32"/>
          <w:szCs w:val="32"/>
          <w:highlight w:val="none"/>
          <w:shd w:val="clear" w:color="auto" w:fill="FFFFFF"/>
        </w:rPr>
        <w:t>条</w:t>
      </w:r>
      <w:r>
        <w:rPr>
          <w:rFonts w:hint="eastAsia" w:ascii="仿宋" w:hAnsi="仿宋" w:eastAsia="仿宋" w:cs="仿宋"/>
          <w:color w:val="000000"/>
          <w:sz w:val="32"/>
          <w:szCs w:val="32"/>
          <w:highlight w:val="none"/>
        </w:rPr>
        <w:t xml:space="preserve"> </w:t>
      </w:r>
      <w:r>
        <w:rPr>
          <w:rFonts w:hint="eastAsia" w:ascii="仿宋_GB2312" w:hAnsi="仿宋_GB2312" w:eastAsia="仿宋_GB2312" w:cs="仿宋_GB2312"/>
          <w:color w:val="000000"/>
          <w:kern w:val="0"/>
          <w:sz w:val="32"/>
          <w:szCs w:val="32"/>
          <w:highlight w:val="none"/>
          <w:shd w:val="clear" w:color="auto" w:fill="FFFFFF"/>
        </w:rPr>
        <w:t>本规定由</w:t>
      </w:r>
      <w:r>
        <w:rPr>
          <w:rFonts w:hint="eastAsia" w:ascii="仿宋_GB2312" w:hAnsi="仿宋_GB2312" w:eastAsia="仿宋_GB2312" w:cs="仿宋_GB2312"/>
          <w:color w:val="000000"/>
          <w:kern w:val="0"/>
          <w:sz w:val="32"/>
          <w:szCs w:val="32"/>
          <w:highlight w:val="none"/>
          <w:shd w:val="clear" w:color="auto" w:fill="FFFFFF"/>
          <w:lang w:val="en-US" w:eastAsia="zh-CN"/>
        </w:rPr>
        <w:t>唐河县</w:t>
      </w:r>
      <w:r>
        <w:rPr>
          <w:rFonts w:hint="eastAsia" w:ascii="仿宋_GB2312" w:hAnsi="仿宋_GB2312" w:eastAsia="仿宋_GB2312" w:cs="仿宋_GB2312"/>
          <w:color w:val="000000"/>
          <w:kern w:val="0"/>
          <w:sz w:val="32"/>
          <w:szCs w:val="32"/>
          <w:highlight w:val="none"/>
          <w:shd w:val="clear" w:color="auto" w:fill="FFFFFF"/>
        </w:rPr>
        <w:t>烟草专卖局负责解释。</w:t>
      </w:r>
    </w:p>
    <w:p w14:paraId="41C50F38">
      <w:pPr>
        <w:spacing w:line="640" w:lineRule="exact"/>
        <w:ind w:firstLine="632" w:firstLineChars="200"/>
        <w:jc w:val="left"/>
        <w:rPr>
          <w:rFonts w:hint="eastAsia" w:ascii="黑体" w:hAnsi="黑体" w:eastAsia="黑体" w:cs="仿宋"/>
          <w:color w:val="000000"/>
          <w:sz w:val="32"/>
          <w:szCs w:val="32"/>
          <w:highlight w:val="none"/>
          <w:shd w:val="clear" w:color="auto" w:fill="FFFFFF"/>
        </w:rPr>
      </w:pPr>
      <w:r>
        <w:rPr>
          <w:rFonts w:hint="eastAsia" w:ascii="楷体_GB2312" w:hAnsi="楷体_GB2312" w:eastAsia="楷体_GB2312" w:cs="楷体_GB2312"/>
          <w:bCs/>
          <w:color w:val="000000"/>
          <w:kern w:val="0"/>
          <w:sz w:val="32"/>
          <w:szCs w:val="32"/>
          <w:highlight w:val="none"/>
          <w:shd w:val="clear" w:color="auto" w:fill="FFFFFF"/>
        </w:rPr>
        <w:t>第二十</w:t>
      </w:r>
      <w:r>
        <w:rPr>
          <w:rFonts w:hint="eastAsia" w:ascii="楷体_GB2312" w:hAnsi="楷体_GB2312" w:eastAsia="楷体_GB2312" w:cs="楷体_GB2312"/>
          <w:bCs/>
          <w:color w:val="000000"/>
          <w:kern w:val="0"/>
          <w:sz w:val="32"/>
          <w:szCs w:val="32"/>
          <w:highlight w:val="none"/>
          <w:shd w:val="clear" w:color="auto" w:fill="FFFFFF"/>
          <w:lang w:eastAsia="zh-CN"/>
        </w:rPr>
        <w:t>四</w:t>
      </w:r>
      <w:r>
        <w:rPr>
          <w:rFonts w:hint="eastAsia" w:ascii="楷体_GB2312" w:hAnsi="楷体_GB2312" w:eastAsia="楷体_GB2312" w:cs="楷体_GB2312"/>
          <w:bCs/>
          <w:color w:val="000000"/>
          <w:kern w:val="0"/>
          <w:sz w:val="32"/>
          <w:szCs w:val="32"/>
          <w:highlight w:val="none"/>
          <w:shd w:val="clear" w:color="auto" w:fill="FFFFFF"/>
        </w:rPr>
        <w:t>条</w:t>
      </w:r>
      <w:r>
        <w:rPr>
          <w:rFonts w:hint="eastAsia" w:ascii="仿宋" w:hAnsi="仿宋" w:eastAsia="仿宋" w:cs="仿宋"/>
          <w:color w:val="000000"/>
          <w:sz w:val="32"/>
          <w:szCs w:val="32"/>
          <w:highlight w:val="none"/>
        </w:rPr>
        <w:t xml:space="preserve"> </w:t>
      </w:r>
      <w:r>
        <w:rPr>
          <w:rFonts w:hint="eastAsia" w:ascii="仿宋_GB2312" w:hAnsi="仿宋_GB2312" w:eastAsia="仿宋_GB2312" w:cs="仿宋_GB2312"/>
          <w:color w:val="000000"/>
          <w:kern w:val="0"/>
          <w:sz w:val="32"/>
          <w:szCs w:val="32"/>
          <w:highlight w:val="none"/>
          <w:shd w:val="clear" w:color="auto" w:fill="FFFFFF"/>
        </w:rPr>
        <w:t>本规定自****年**月**日起施行。</w:t>
      </w:r>
      <w:r>
        <w:rPr>
          <w:rFonts w:hint="eastAsia" w:ascii="仿宋_GB2312" w:hAnsi="仿宋_GB2312" w:eastAsia="仿宋_GB2312" w:cs="仿宋_GB2312"/>
          <w:color w:val="000000"/>
          <w:kern w:val="0"/>
          <w:sz w:val="32"/>
          <w:szCs w:val="32"/>
          <w:highlight w:val="none"/>
          <w:shd w:val="clear" w:color="auto" w:fill="FFFFFF"/>
          <w:lang w:val="en-US" w:eastAsia="zh-CN"/>
        </w:rPr>
        <w:t>2024</w:t>
      </w:r>
      <w:r>
        <w:rPr>
          <w:rFonts w:hint="eastAsia" w:ascii="仿宋_GB2312" w:hAnsi="仿宋_GB2312" w:eastAsia="仿宋_GB2312" w:cs="仿宋_GB2312"/>
          <w:color w:val="000000"/>
          <w:kern w:val="0"/>
          <w:sz w:val="32"/>
          <w:szCs w:val="32"/>
          <w:highlight w:val="none"/>
          <w:shd w:val="clear" w:color="auto" w:fill="FFFFFF"/>
        </w:rPr>
        <w:t>年</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rPr>
        <w:t>月</w:t>
      </w:r>
      <w:r>
        <w:rPr>
          <w:rFonts w:hint="eastAsia" w:ascii="仿宋_GB2312" w:hAnsi="仿宋_GB2312" w:eastAsia="仿宋_GB2312" w:cs="仿宋_GB2312"/>
          <w:color w:val="000000"/>
          <w:kern w:val="0"/>
          <w:sz w:val="32"/>
          <w:szCs w:val="32"/>
          <w:highlight w:val="none"/>
          <w:shd w:val="clear" w:color="auto" w:fill="FFFFFF"/>
          <w:lang w:val="en-US" w:eastAsia="zh-CN"/>
        </w:rPr>
        <w:t>8</w:t>
      </w:r>
      <w:r>
        <w:rPr>
          <w:rFonts w:hint="eastAsia" w:ascii="仿宋_GB2312" w:hAnsi="仿宋_GB2312" w:eastAsia="仿宋_GB2312" w:cs="仿宋_GB2312"/>
          <w:color w:val="000000"/>
          <w:kern w:val="0"/>
          <w:sz w:val="32"/>
          <w:szCs w:val="32"/>
          <w:highlight w:val="none"/>
          <w:shd w:val="clear" w:color="auto" w:fill="FFFFFF"/>
        </w:rPr>
        <w:t>日实施的</w:t>
      </w:r>
      <w:r>
        <w:rPr>
          <w:rFonts w:hint="eastAsia" w:ascii="仿宋_GB2312" w:hAnsi="仿宋_GB2312" w:eastAsia="仿宋_GB2312" w:cs="仿宋_GB2312"/>
          <w:color w:val="000000"/>
          <w:kern w:val="0"/>
          <w:sz w:val="32"/>
          <w:szCs w:val="32"/>
          <w:highlight w:val="none"/>
          <w:shd w:val="clear" w:color="auto" w:fill="FFFFFF"/>
          <w:lang w:val="en"/>
        </w:rPr>
        <w:t>《唐河县烟草制品零售点合理布局规划》唐烟〔2024〕1 号</w:t>
      </w:r>
      <w:r>
        <w:rPr>
          <w:rFonts w:hint="eastAsia" w:ascii="仿宋_GB2312" w:hAnsi="仿宋_GB2312" w:eastAsia="仿宋_GB2312" w:cs="仿宋_GB2312"/>
          <w:color w:val="000000"/>
          <w:kern w:val="0"/>
          <w:sz w:val="32"/>
          <w:szCs w:val="32"/>
          <w:highlight w:val="none"/>
          <w:shd w:val="clear" w:color="auto" w:fill="FFFFFF"/>
        </w:rPr>
        <w:t>同时废止。</w:t>
      </w:r>
    </w:p>
    <w:p w14:paraId="5C2A2565">
      <w:pPr>
        <w:widowControl/>
        <w:jc w:val="left"/>
        <w:rPr>
          <w:rFonts w:hint="eastAsia" w:ascii="黑体" w:hAnsi="黑体" w:eastAsia="黑体" w:cs="仿宋"/>
          <w:color w:val="000000"/>
          <w:sz w:val="32"/>
          <w:szCs w:val="32"/>
          <w:highlight w:val="none"/>
          <w:shd w:val="clear" w:color="auto" w:fill="FFFFFF"/>
        </w:rPr>
      </w:pPr>
    </w:p>
    <w:p w14:paraId="540E729D">
      <w:pPr>
        <w:widowControl/>
        <w:jc w:val="left"/>
        <w:rPr>
          <w:rFonts w:hint="eastAsia" w:ascii="黑体" w:hAnsi="黑体" w:eastAsia="黑体" w:cs="仿宋"/>
          <w:color w:val="000000"/>
          <w:sz w:val="32"/>
          <w:szCs w:val="32"/>
          <w:highlight w:val="none"/>
          <w:shd w:val="clear" w:color="auto" w:fill="FFFFFF"/>
        </w:rPr>
      </w:pPr>
    </w:p>
    <w:p w14:paraId="61BCF9FF">
      <w:pPr>
        <w:widowControl/>
        <w:jc w:val="left"/>
        <w:rPr>
          <w:rFonts w:hint="eastAsia" w:ascii="黑体" w:hAnsi="黑体" w:eastAsia="黑体" w:cs="仿宋"/>
          <w:color w:val="000000"/>
          <w:sz w:val="32"/>
          <w:szCs w:val="32"/>
          <w:highlight w:val="none"/>
          <w:shd w:val="clear" w:color="auto" w:fill="FFFFFF"/>
        </w:rPr>
      </w:pPr>
    </w:p>
    <w:p w14:paraId="1FF39E0D">
      <w:pPr>
        <w:widowControl/>
        <w:jc w:val="left"/>
        <w:rPr>
          <w:rFonts w:hint="eastAsia" w:ascii="黑体" w:hAnsi="黑体" w:eastAsia="黑体" w:cs="仿宋"/>
          <w:color w:val="000000"/>
          <w:sz w:val="32"/>
          <w:szCs w:val="32"/>
          <w:highlight w:val="none"/>
          <w:shd w:val="clear" w:color="auto" w:fill="FFFFFF"/>
        </w:rPr>
      </w:pPr>
    </w:p>
    <w:p w14:paraId="10B2FC33">
      <w:pPr>
        <w:widowControl/>
        <w:jc w:val="left"/>
        <w:rPr>
          <w:rFonts w:hint="eastAsia" w:ascii="黑体" w:hAnsi="黑体" w:eastAsia="黑体" w:cs="仿宋"/>
          <w:color w:val="000000"/>
          <w:sz w:val="32"/>
          <w:szCs w:val="32"/>
          <w:highlight w:val="none"/>
          <w:shd w:val="clear" w:color="auto" w:fill="FFFFFF"/>
        </w:rPr>
      </w:pPr>
    </w:p>
    <w:p w14:paraId="0351F899">
      <w:pPr>
        <w:widowControl/>
        <w:jc w:val="left"/>
        <w:rPr>
          <w:rFonts w:hint="eastAsia" w:ascii="黑体" w:hAnsi="黑体" w:eastAsia="黑体" w:cs="仿宋"/>
          <w:color w:val="000000"/>
          <w:sz w:val="32"/>
          <w:szCs w:val="32"/>
          <w:highlight w:val="none"/>
          <w:shd w:val="clear" w:color="auto" w:fill="FFFFFF"/>
        </w:rPr>
      </w:pPr>
    </w:p>
    <w:p w14:paraId="4BB09102">
      <w:pPr>
        <w:widowControl/>
        <w:jc w:val="left"/>
        <w:rPr>
          <w:rFonts w:ascii="黑体" w:hAnsi="黑体" w:eastAsia="黑体" w:cs="仿宋"/>
          <w:color w:val="000000"/>
          <w:sz w:val="32"/>
          <w:szCs w:val="32"/>
          <w:highlight w:val="none"/>
          <w:shd w:val="clear" w:color="auto" w:fill="FFFFFF"/>
        </w:rPr>
      </w:pPr>
      <w:r>
        <w:rPr>
          <w:rFonts w:hint="eastAsia" w:ascii="黑体" w:hAnsi="黑体" w:eastAsia="黑体" w:cs="仿宋"/>
          <w:color w:val="000000"/>
          <w:sz w:val="32"/>
          <w:szCs w:val="32"/>
          <w:highlight w:val="none"/>
          <w:shd w:val="clear" w:color="auto" w:fill="FFFFFF"/>
        </w:rPr>
        <w:t>附件1</w:t>
      </w:r>
    </w:p>
    <w:p w14:paraId="203BFE0A">
      <w:pPr>
        <w:pStyle w:val="3"/>
        <w:shd w:val="clear" w:color="auto" w:fill="FFFFFF"/>
        <w:spacing w:before="0" w:beforeAutospacing="0" w:after="0" w:afterAutospacing="0" w:line="800" w:lineRule="exact"/>
        <w:jc w:val="center"/>
        <w:rPr>
          <w:rFonts w:hint="eastAsia" w:ascii="Arial Unicode MS" w:hAnsi="仿宋" w:eastAsia="Arial Unicode MS" w:cs="仿宋"/>
          <w:color w:val="000000"/>
          <w:sz w:val="44"/>
          <w:szCs w:val="44"/>
          <w:highlight w:val="none"/>
          <w:shd w:val="clear" w:color="auto" w:fill="FFFFFF"/>
        </w:rPr>
      </w:pPr>
      <w:r>
        <w:rPr>
          <w:rFonts w:hint="eastAsia" w:ascii="Arial Unicode MS" w:eastAsia="Arial Unicode MS"/>
          <w:color w:val="000000"/>
          <w:sz w:val="44"/>
          <w:szCs w:val="44"/>
          <w:highlight w:val="none"/>
          <w:lang w:eastAsia="zh-CN"/>
        </w:rPr>
        <w:t>唐河县</w:t>
      </w:r>
      <w:r>
        <w:rPr>
          <w:rFonts w:hint="eastAsia" w:ascii="Arial Unicode MS" w:hAnsi="仿宋" w:eastAsia="Arial Unicode MS" w:cs="仿宋"/>
          <w:color w:val="000000"/>
          <w:sz w:val="44"/>
          <w:szCs w:val="44"/>
          <w:highlight w:val="none"/>
          <w:shd w:val="clear" w:color="auto" w:fill="FFFFFF"/>
        </w:rPr>
        <w:t>草制品零售点经营场所</w:t>
      </w:r>
    </w:p>
    <w:p w14:paraId="4AA9C6A8">
      <w:pPr>
        <w:pStyle w:val="3"/>
        <w:shd w:val="clear" w:color="auto" w:fill="FFFFFF"/>
        <w:spacing w:before="0" w:beforeAutospacing="0" w:after="0" w:afterAutospacing="0" w:line="800" w:lineRule="exact"/>
        <w:jc w:val="center"/>
        <w:rPr>
          <w:rFonts w:ascii="Arial Unicode MS" w:hAnsi="仿宋" w:eastAsia="Arial Unicode MS" w:cs="仿宋"/>
          <w:color w:val="000000"/>
          <w:sz w:val="44"/>
          <w:szCs w:val="44"/>
          <w:highlight w:val="none"/>
          <w:shd w:val="clear" w:color="auto" w:fill="FFFFFF"/>
        </w:rPr>
      </w:pPr>
      <w:r>
        <w:rPr>
          <w:rFonts w:hint="eastAsia" w:ascii="Arial Unicode MS" w:hAnsi="仿宋" w:eastAsia="Arial Unicode MS" w:cs="仿宋"/>
          <w:color w:val="000000"/>
          <w:sz w:val="44"/>
          <w:szCs w:val="44"/>
          <w:highlight w:val="none"/>
          <w:shd w:val="clear" w:color="auto" w:fill="FFFFFF"/>
        </w:rPr>
        <w:t>间距测量标准</w:t>
      </w:r>
    </w:p>
    <w:p w14:paraId="1B430E32">
      <w:pPr>
        <w:spacing w:line="580" w:lineRule="exact"/>
        <w:ind w:left="640"/>
        <w:rPr>
          <w:rFonts w:ascii="仿宋" w:hAnsi="仿宋" w:eastAsia="仿宋" w:cs="仿宋"/>
          <w:color w:val="000000"/>
          <w:sz w:val="32"/>
          <w:szCs w:val="32"/>
          <w:highlight w:val="none"/>
        </w:rPr>
      </w:pPr>
    </w:p>
    <w:p w14:paraId="6518104B">
      <w:pPr>
        <w:spacing w:line="640" w:lineRule="exact"/>
        <w:ind w:firstLine="63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一、《规定》中“距离、间距”指新申请方与测量参照物之间,按“边对边”原则测量的可通行最短距离。测量参照物指周边最近的持证零售户或中小学校、幼儿园</w:t>
      </w:r>
      <w:r>
        <w:rPr>
          <w:rFonts w:hint="eastAsia" w:ascii="仿宋_GB2312" w:hAnsi="仿宋_GB2312" w:eastAsia="仿宋_GB2312" w:cs="仿宋_GB2312"/>
          <w:color w:val="000000"/>
          <w:kern w:val="0"/>
          <w:sz w:val="32"/>
          <w:szCs w:val="32"/>
          <w:highlight w:val="none"/>
          <w:shd w:val="clear" w:color="auto" w:fill="FFFFFF"/>
        </w:rPr>
        <w:t>供师生日常出入的通道口和</w:t>
      </w:r>
      <w:r>
        <w:rPr>
          <w:rFonts w:hint="eastAsia" w:ascii="仿宋_GB2312" w:hAnsi="仿宋_GB2312" w:eastAsia="仿宋_GB2312" w:cs="仿宋_GB2312"/>
          <w:color w:val="000000"/>
          <w:sz w:val="32"/>
          <w:szCs w:val="32"/>
          <w:highlight w:val="none"/>
        </w:rPr>
        <w:t>中小学校、幼儿园</w:t>
      </w:r>
      <w:r>
        <w:rPr>
          <w:rFonts w:hint="eastAsia" w:ascii="仿宋_GB2312" w:hAnsi="仿宋_GB2312" w:eastAsia="仿宋_GB2312" w:cs="仿宋_GB2312"/>
          <w:color w:val="000000"/>
          <w:kern w:val="0"/>
          <w:sz w:val="32"/>
          <w:szCs w:val="32"/>
          <w:highlight w:val="none"/>
          <w:shd w:val="clear" w:color="auto" w:fill="FFFFFF"/>
        </w:rPr>
        <w:t>供师生日常出入的通道口之外的消防通道、后勤通道、应急通道、垃圾通道等</w:t>
      </w:r>
      <w:r>
        <w:rPr>
          <w:rFonts w:hint="eastAsia" w:ascii="仿宋_GB2312" w:hAnsi="仿宋_GB2312" w:eastAsia="仿宋_GB2312" w:cs="仿宋_GB2312"/>
          <w:color w:val="000000"/>
          <w:sz w:val="32"/>
          <w:szCs w:val="32"/>
          <w:highlight w:val="none"/>
        </w:rPr>
        <w:t>。现场核查新申请方与参照物之间的测量以“不违反交通规定、可通行最短距离”为总体原则。具体场所测量示意图如下：</w:t>
      </w:r>
    </w:p>
    <w:p w14:paraId="0E152332">
      <w:pPr>
        <w:spacing w:line="640" w:lineRule="exact"/>
        <w:ind w:firstLine="63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1.申请方和测量参照物在同一侧马路的，参照图1测量，距离=a。</w:t>
      </w:r>
    </w:p>
    <w:p w14:paraId="0878066B">
      <w:pPr>
        <w:jc w:val="center"/>
        <w:rPr>
          <w:rFonts w:ascii="仿宋_GB2312" w:hAnsi="仿宋" w:eastAsia="仿宋_GB2312" w:cs="仿宋"/>
          <w:color w:val="000000"/>
          <w:szCs w:val="32"/>
          <w:highlight w:val="none"/>
        </w:rPr>
      </w:pPr>
      <w:r>
        <w:rPr>
          <w:rFonts w:hint="eastAsia" w:ascii="仿宋_GB2312" w:hAnsi="仿宋" w:eastAsia="仿宋_GB2312" w:cs="仿宋"/>
          <w:color w:val="000000"/>
          <w:szCs w:val="32"/>
          <w:highlight w:val="none"/>
        </w:rPr>
        <w:drawing>
          <wp:inline distT="0" distB="0" distL="114300" distR="114300">
            <wp:extent cx="4248150" cy="1333500"/>
            <wp:effectExtent l="0" t="0" r="0" b="0"/>
            <wp:docPr id="3" name="图片 1" descr="1629271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629271796(1)"/>
                    <pic:cNvPicPr>
                      <a:picLocks noChangeAspect="1"/>
                    </pic:cNvPicPr>
                  </pic:nvPicPr>
                  <pic:blipFill>
                    <a:blip r:embed="rId4"/>
                    <a:stretch>
                      <a:fillRect/>
                    </a:stretch>
                  </pic:blipFill>
                  <pic:spPr>
                    <a:xfrm>
                      <a:off x="0" y="0"/>
                      <a:ext cx="4248150" cy="1333500"/>
                    </a:xfrm>
                    <a:prstGeom prst="rect">
                      <a:avLst/>
                    </a:prstGeom>
                    <a:noFill/>
                    <a:ln>
                      <a:noFill/>
                    </a:ln>
                  </pic:spPr>
                </pic:pic>
              </a:graphicData>
            </a:graphic>
          </wp:inline>
        </w:drawing>
      </w:r>
    </w:p>
    <w:p w14:paraId="35787137">
      <w:pPr>
        <w:spacing w:line="640" w:lineRule="exact"/>
        <w:ind w:firstLine="63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2.申请方和测量参照物在马路两侧，马路中间设有隔离带的，从隔离带最近开口处作为测量通道,参照图2测量，距离=a+b+c。</w:t>
      </w:r>
    </w:p>
    <w:p w14:paraId="3A424597">
      <w:pPr>
        <w:jc w:val="center"/>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drawing>
          <wp:inline distT="0" distB="0" distL="114300" distR="114300">
            <wp:extent cx="3419475" cy="3162300"/>
            <wp:effectExtent l="0" t="0" r="9525" b="0"/>
            <wp:docPr id="2" name="图片 2" descr="1629271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9271936(1)"/>
                    <pic:cNvPicPr>
                      <a:picLocks noChangeAspect="1"/>
                    </pic:cNvPicPr>
                  </pic:nvPicPr>
                  <pic:blipFill>
                    <a:blip r:embed="rId5"/>
                    <a:stretch>
                      <a:fillRect/>
                    </a:stretch>
                  </pic:blipFill>
                  <pic:spPr>
                    <a:xfrm>
                      <a:off x="0" y="0"/>
                      <a:ext cx="3419475" cy="3162300"/>
                    </a:xfrm>
                    <a:prstGeom prst="rect">
                      <a:avLst/>
                    </a:prstGeom>
                    <a:noFill/>
                    <a:ln>
                      <a:noFill/>
                    </a:ln>
                  </pic:spPr>
                </pic:pic>
              </a:graphicData>
            </a:graphic>
          </wp:inline>
        </w:drawing>
      </w:r>
    </w:p>
    <w:p w14:paraId="514525E5">
      <w:pPr>
        <w:spacing w:line="640" w:lineRule="exact"/>
        <w:ind w:firstLine="63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3.申请方和测量参照物在马路两侧，马路中间没有隔离带但是有斑马线的，参照图3测量，距离=a+b+c。</w:t>
      </w:r>
    </w:p>
    <w:p w14:paraId="05A02841">
      <w:pPr>
        <w:jc w:val="center"/>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drawing>
          <wp:inline distT="0" distB="0" distL="114300" distR="114300">
            <wp:extent cx="2933700" cy="2686050"/>
            <wp:effectExtent l="0" t="0" r="0" b="0"/>
            <wp:docPr id="4" name="图片 3" descr="1629272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629272024(1)"/>
                    <pic:cNvPicPr>
                      <a:picLocks noChangeAspect="1"/>
                    </pic:cNvPicPr>
                  </pic:nvPicPr>
                  <pic:blipFill>
                    <a:blip r:embed="rId6"/>
                    <a:stretch>
                      <a:fillRect/>
                    </a:stretch>
                  </pic:blipFill>
                  <pic:spPr>
                    <a:xfrm>
                      <a:off x="0" y="0"/>
                      <a:ext cx="2933700" cy="2686050"/>
                    </a:xfrm>
                    <a:prstGeom prst="rect">
                      <a:avLst/>
                    </a:prstGeom>
                    <a:noFill/>
                    <a:ln>
                      <a:noFill/>
                    </a:ln>
                  </pic:spPr>
                </pic:pic>
              </a:graphicData>
            </a:graphic>
          </wp:inline>
        </w:drawing>
      </w:r>
    </w:p>
    <w:p w14:paraId="3250E1AB">
      <w:pPr>
        <w:spacing w:line="640" w:lineRule="exact"/>
        <w:ind w:firstLine="63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4.申请方和测量参照物在马路两侧，马路中间没有斑马线或者隔离带的，参照图4测量，距离=a。</w:t>
      </w:r>
    </w:p>
    <w:p w14:paraId="78DA427C">
      <w:pPr>
        <w:jc w:val="center"/>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drawing>
          <wp:inline distT="0" distB="0" distL="114300" distR="114300">
            <wp:extent cx="3152775" cy="2667000"/>
            <wp:effectExtent l="0" t="0" r="9525" b="0"/>
            <wp:docPr id="5" name="图片 4" descr="162927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629272084(1)"/>
                    <pic:cNvPicPr>
                      <a:picLocks noChangeAspect="1"/>
                    </pic:cNvPicPr>
                  </pic:nvPicPr>
                  <pic:blipFill>
                    <a:blip r:embed="rId7"/>
                    <a:stretch>
                      <a:fillRect/>
                    </a:stretch>
                  </pic:blipFill>
                  <pic:spPr>
                    <a:xfrm>
                      <a:off x="0" y="0"/>
                      <a:ext cx="3152775" cy="2667000"/>
                    </a:xfrm>
                    <a:prstGeom prst="rect">
                      <a:avLst/>
                    </a:prstGeom>
                    <a:noFill/>
                    <a:ln>
                      <a:noFill/>
                    </a:ln>
                  </pic:spPr>
                </pic:pic>
              </a:graphicData>
            </a:graphic>
          </wp:inline>
        </w:drawing>
      </w:r>
    </w:p>
    <w:p w14:paraId="39D497AC">
      <w:pPr>
        <w:jc w:val="center"/>
        <w:rPr>
          <w:rFonts w:ascii="仿宋_GB2312" w:hAnsi="仿宋" w:eastAsia="仿宋_GB2312" w:cs="仿宋"/>
          <w:color w:val="000000"/>
          <w:sz w:val="32"/>
          <w:szCs w:val="32"/>
          <w:highlight w:val="none"/>
        </w:rPr>
      </w:pPr>
    </w:p>
    <w:p w14:paraId="6A8AFC44">
      <w:pPr>
        <w:spacing w:line="640" w:lineRule="exact"/>
        <w:ind w:firstLine="63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5.申请方和测量参照物处于马路拐角位置，参照图5测量，距离=a+b。</w:t>
      </w:r>
    </w:p>
    <w:p w14:paraId="2F3B59D2">
      <w:pPr>
        <w:jc w:val="center"/>
        <w:rPr>
          <w:rFonts w:ascii="仿宋_GB2312" w:hAnsi="宋体" w:eastAsia="仿宋_GB2312"/>
          <w:color w:val="000000"/>
          <w:sz w:val="32"/>
          <w:szCs w:val="32"/>
          <w:highlight w:val="none"/>
        </w:rPr>
      </w:pPr>
      <w:r>
        <w:rPr>
          <w:rFonts w:hint="eastAsia" w:ascii="仿宋_GB2312" w:hAnsi="仿宋" w:eastAsia="仿宋_GB2312" w:cs="仿宋"/>
          <w:color w:val="000000"/>
          <w:sz w:val="32"/>
          <w:szCs w:val="32"/>
          <w:highlight w:val="none"/>
        </w:rPr>
        <w:drawing>
          <wp:inline distT="0" distB="0" distL="114300" distR="114300">
            <wp:extent cx="3133725" cy="3343275"/>
            <wp:effectExtent l="0" t="0" r="9525" b="9525"/>
            <wp:docPr id="1" name="图片 5" descr="1629272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629272184(1)"/>
                    <pic:cNvPicPr>
                      <a:picLocks noChangeAspect="1"/>
                    </pic:cNvPicPr>
                  </pic:nvPicPr>
                  <pic:blipFill>
                    <a:blip r:embed="rId8"/>
                    <a:stretch>
                      <a:fillRect/>
                    </a:stretch>
                  </pic:blipFill>
                  <pic:spPr>
                    <a:xfrm>
                      <a:off x="0" y="0"/>
                      <a:ext cx="3133725" cy="3343275"/>
                    </a:xfrm>
                    <a:prstGeom prst="rect">
                      <a:avLst/>
                    </a:prstGeom>
                    <a:noFill/>
                    <a:ln>
                      <a:noFill/>
                    </a:ln>
                  </pic:spPr>
                </pic:pic>
              </a:graphicData>
            </a:graphic>
          </wp:inline>
        </w:drawing>
      </w:r>
    </w:p>
    <w:p w14:paraId="20329EFB">
      <w:pPr>
        <w:numPr>
          <w:ilvl w:val="0"/>
          <w:numId w:val="1"/>
        </w:numPr>
        <w:spacing w:line="640" w:lineRule="exact"/>
        <w:ind w:firstLine="632"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本测量办法由</w:t>
      </w:r>
      <w:r>
        <w:rPr>
          <w:rFonts w:hint="eastAsia" w:ascii="仿宋_GB2312" w:hAnsi="仿宋_GB2312" w:eastAsia="仿宋_GB2312" w:cs="仿宋_GB2312"/>
          <w:color w:val="000000"/>
          <w:kern w:val="0"/>
          <w:sz w:val="32"/>
          <w:szCs w:val="32"/>
          <w:highlight w:val="none"/>
          <w:shd w:val="clear" w:color="auto" w:fill="FFFFFF"/>
          <w:lang w:val="en-US" w:eastAsia="zh-CN"/>
        </w:rPr>
        <w:t>唐河县</w:t>
      </w:r>
      <w:r>
        <w:rPr>
          <w:rFonts w:hint="eastAsia" w:ascii="仿宋_GB2312" w:hAnsi="仿宋_GB2312" w:eastAsia="仿宋_GB2312" w:cs="仿宋_GB2312"/>
          <w:color w:val="000000"/>
          <w:kern w:val="0"/>
          <w:sz w:val="32"/>
          <w:szCs w:val="32"/>
          <w:highlight w:val="none"/>
          <w:shd w:val="clear" w:color="auto" w:fill="FFFFFF"/>
        </w:rPr>
        <w:t>烟草专卖局</w:t>
      </w:r>
      <w:r>
        <w:rPr>
          <w:rFonts w:hint="eastAsia" w:ascii="仿宋_GB2312" w:hAnsi="仿宋_GB2312" w:eastAsia="仿宋_GB2312" w:cs="仿宋_GB2312"/>
          <w:color w:val="000000"/>
          <w:sz w:val="32"/>
          <w:szCs w:val="32"/>
          <w:highlight w:val="none"/>
        </w:rPr>
        <w:t>负责解释。如遇本办法未明确测量方法的特殊情形时，其测量方法由</w:t>
      </w:r>
      <w:r>
        <w:rPr>
          <w:rFonts w:hint="eastAsia" w:ascii="仿宋_GB2312" w:hAnsi="仿宋_GB2312" w:eastAsia="仿宋_GB2312" w:cs="仿宋_GB2312"/>
          <w:color w:val="000000"/>
          <w:kern w:val="0"/>
          <w:sz w:val="32"/>
          <w:szCs w:val="32"/>
          <w:highlight w:val="none"/>
          <w:shd w:val="clear" w:color="auto" w:fill="FFFFFF"/>
        </w:rPr>
        <w:t>唐河县烟草专卖局</w:t>
      </w:r>
      <w:r>
        <w:rPr>
          <w:rFonts w:hint="eastAsia" w:ascii="仿宋_GB2312" w:hAnsi="仿宋_GB2312" w:eastAsia="仿宋_GB2312" w:cs="仿宋_GB2312"/>
          <w:color w:val="000000"/>
          <w:sz w:val="32"/>
          <w:szCs w:val="32"/>
          <w:highlight w:val="none"/>
        </w:rPr>
        <w:t>确定。</w:t>
      </w:r>
      <w:bookmarkStart w:id="0" w:name="Fuzhu"/>
      <w:bookmarkEnd w:id="0"/>
    </w:p>
    <w:p w14:paraId="564A3DE9">
      <w:bookmarkStart w:id="1" w:name="_GoBack"/>
      <w:bookmarkEnd w:id="1"/>
    </w:p>
    <w:sectPr>
      <w:pgSz w:w="11906" w:h="16838"/>
      <w:pgMar w:top="2098" w:right="1474" w:bottom="1985" w:left="1588" w:header="851" w:footer="992" w:gutter="0"/>
      <w:cols w:space="720" w:num="1"/>
      <w:rtlGutter w:val="1"/>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A4D03"/>
    <w:multiLevelType w:val="singleLevel"/>
    <w:tmpl w:val="2ACA4D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YTVjNGI0YmM5ZjM5ZjRmOTJiMTUwMjFlZjRhYjkifQ=="/>
  </w:docVars>
  <w:rsids>
    <w:rsidRoot w:val="00000000"/>
    <w:rsid w:val="03386352"/>
    <w:rsid w:val="6D9C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hAnsi="Times New Roman"/>
    </w:rPr>
  </w:style>
  <w:style w:type="paragraph" w:styleId="3">
    <w:name w:val="Normal (Web)"/>
    <w:basedOn w:val="1"/>
    <w:qFormat/>
    <w:uiPriority w:val="0"/>
    <w:pPr>
      <w:spacing w:before="100" w:beforeAutospacing="1" w:after="100" w:afterAutospacing="1"/>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457</Words>
  <Characters>477</Characters>
  <Lines>0</Lines>
  <Paragraphs>0</Paragraphs>
  <TotalTime>0</TotalTime>
  <ScaleCrop>false</ScaleCrop>
  <LinksUpToDate>false</LinksUpToDate>
  <CharactersWithSpaces>477</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2024-08-05T02:23:00Z</dcterms:created>
  <dc:creator>Administrator</dc:creator>
  <cp:lastModifiedBy>闻风知露</cp:lastModifiedBy>
  <dcterms:modified xsi:type="dcterms:W3CDTF">2024-08-05T02:38:58Z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995BA11AABE4481C968277BFF2A48AE4_12</vt:lpwstr>
  </property>
</Properties>
</file>