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sz w:val="36"/>
          <w:szCs w:val="36"/>
        </w:rPr>
      </w:pPr>
      <w:r>
        <w:rPr>
          <w:rFonts w:hint="eastAsia" w:ascii="方正小标宋简体" w:hAnsi="Arial" w:eastAsia="方正小标宋简体" w:cs="Arial"/>
          <w:sz w:val="48"/>
          <w:szCs w:val="48"/>
          <w:lang w:eastAsia="zh-CN"/>
        </w:rPr>
        <w:t>2022年特岗教师补助资金项目绩效评价报告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sz w:val="32"/>
          <w:szCs w:val="32"/>
        </w:rPr>
      </w:pPr>
      <w:r>
        <w:rPr>
          <w:rFonts w:hint="eastAsia" w:ascii="仿宋_GB2312"/>
          <w:sz w:val="32"/>
          <w:szCs w:val="32"/>
        </w:rPr>
        <w:t>为确实做好20</w:t>
      </w:r>
      <w:r>
        <w:rPr>
          <w:rFonts w:hint="eastAsia" w:ascii="仿宋_GB2312"/>
          <w:sz w:val="32"/>
          <w:szCs w:val="32"/>
          <w:lang w:val="en-US" w:eastAsia="zh-CN"/>
        </w:rPr>
        <w:t>22</w:t>
      </w:r>
      <w:r>
        <w:rPr>
          <w:rFonts w:hint="eastAsia" w:ascii="仿宋_GB2312"/>
          <w:sz w:val="32"/>
          <w:szCs w:val="32"/>
        </w:rPr>
        <w:t>年度</w:t>
      </w:r>
      <w:r>
        <w:rPr>
          <w:rFonts w:hint="eastAsia" w:ascii="仿宋_GB2312"/>
          <w:sz w:val="32"/>
          <w:szCs w:val="32"/>
          <w:lang w:val="en-US" w:eastAsia="zh-CN"/>
        </w:rPr>
        <w:t>预算资金绩效项目</w:t>
      </w:r>
      <w:r>
        <w:rPr>
          <w:rFonts w:hint="eastAsia" w:ascii="仿宋_GB2312"/>
          <w:sz w:val="32"/>
          <w:szCs w:val="32"/>
        </w:rPr>
        <w:t>自评工作，提高财政资金使用效益，根据《</w:t>
      </w:r>
      <w:r>
        <w:rPr>
          <w:rFonts w:hint="eastAsia" w:ascii="仿宋_GB2312"/>
          <w:sz w:val="32"/>
          <w:szCs w:val="32"/>
          <w:lang w:val="en-US" w:eastAsia="zh-CN"/>
        </w:rPr>
        <w:t>唐河县</w:t>
      </w:r>
      <w:r>
        <w:rPr>
          <w:rFonts w:hint="eastAsia" w:ascii="仿宋_GB2312"/>
          <w:sz w:val="32"/>
          <w:szCs w:val="32"/>
        </w:rPr>
        <w:t>财政局关于开展2022年度县级预算绩效自评、项目支出部门绩效评价和财政重点绩效评价工作的通知》（</w:t>
      </w:r>
      <w:r>
        <w:rPr>
          <w:rFonts w:hint="eastAsia" w:ascii="仿宋_GB2312"/>
          <w:sz w:val="32"/>
          <w:szCs w:val="32"/>
          <w:lang w:val="en-US" w:eastAsia="zh-CN"/>
        </w:rPr>
        <w:t>唐财</w:t>
      </w:r>
      <w:r>
        <w:rPr>
          <w:rFonts w:hint="eastAsia" w:ascii="仿宋_GB2312"/>
          <w:sz w:val="32"/>
          <w:szCs w:val="32"/>
        </w:rPr>
        <w:t>〔202</w:t>
      </w:r>
      <w:r>
        <w:rPr>
          <w:rFonts w:hint="eastAsia" w:ascii="仿宋_GB2312"/>
          <w:sz w:val="32"/>
          <w:szCs w:val="32"/>
          <w:lang w:val="en-US" w:eastAsia="zh-CN"/>
        </w:rPr>
        <w:t>3</w:t>
      </w:r>
      <w:r>
        <w:rPr>
          <w:rFonts w:hint="eastAsia" w:ascii="仿宋_GB2312"/>
          <w:sz w:val="32"/>
          <w:szCs w:val="32"/>
        </w:rPr>
        <w:t>〕</w:t>
      </w:r>
      <w:r>
        <w:rPr>
          <w:rFonts w:hint="eastAsia" w:ascii="仿宋_GB2312"/>
          <w:sz w:val="32"/>
          <w:szCs w:val="32"/>
          <w:lang w:val="en-US" w:eastAsia="zh-CN"/>
        </w:rPr>
        <w:t>53</w:t>
      </w:r>
      <w:r>
        <w:rPr>
          <w:rFonts w:hint="eastAsia" w:ascii="仿宋_GB2312"/>
          <w:sz w:val="32"/>
          <w:szCs w:val="32"/>
        </w:rPr>
        <w:t>号）文件精神，结合实际，现将我单位整体支出绩效</w:t>
      </w:r>
      <w:r>
        <w:rPr>
          <w:rFonts w:hint="eastAsia" w:ascii="仿宋_GB2312"/>
          <w:sz w:val="32"/>
          <w:szCs w:val="32"/>
          <w:lang w:val="en-US" w:eastAsia="zh-CN"/>
        </w:rPr>
        <w:t>评价</w:t>
      </w:r>
      <w:r>
        <w:rPr>
          <w:rFonts w:hint="eastAsia" w:ascii="仿宋_GB2312"/>
          <w:sz w:val="32"/>
          <w:szCs w:val="32"/>
        </w:rPr>
        <w:t>结果报告如下：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基本情况</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640" w:leftChars="0" w:firstLine="0" w:firstLineChars="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项目概况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1.项目背景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eastAsia="仿宋_GB2312" w:cs="仿宋_GB2312"/>
          <w:kern w:val="44"/>
          <w:sz w:val="32"/>
          <w:szCs w:val="32"/>
        </w:rPr>
      </w:pPr>
      <w:r>
        <w:rPr>
          <w:rFonts w:hint="eastAsia" w:ascii="仿宋_GB2312"/>
          <w:sz w:val="32"/>
          <w:szCs w:val="32"/>
          <w:lang w:val="en-US" w:eastAsia="zh-CN"/>
        </w:rPr>
        <w:t>特岗教师是中央实施的一项对中西部地区农村义务教育的特殊政策。引导和鼓励高校毕业生从事农村义务教育工作，创新农村学校教师的补充机制，逐步解决了农村学校师资总量不足和结构不合理等问题，提高农村教师队伍的整体素质，促进城乡教育均衡发展</w:t>
      </w:r>
      <w:r>
        <w:rPr>
          <w:rFonts w:hint="eastAsia" w:ascii="仿宋_GB2312" w:eastAsia="仿宋_GB2312" w:cs="仿宋_GB2312"/>
          <w:kern w:val="44"/>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2.主要内容及实施情况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仿宋_GB2312"/>
          <w:sz w:val="32"/>
          <w:szCs w:val="32"/>
          <w:lang w:val="en-US"/>
        </w:rPr>
      </w:pPr>
      <w:r>
        <w:rPr>
          <w:rFonts w:hint="eastAsia" w:ascii="仿宋_GB2312"/>
          <w:sz w:val="32"/>
          <w:szCs w:val="32"/>
        </w:rPr>
        <w:t>为保障特岗教师待遇，根据《南阳市教育局、财政局、人力资源和社会保障局、编办转发&lt;河南省教育厅 河南省财政厅 河南省人力资源和社会保障厅 河南省编办关于全面加强特岗教师管理工作的意见&gt;的通知》（宛教〔2018〕89号）文件要求，2022年度我县特岗教师享有固定绩效工资331元/人月</w:t>
      </w:r>
      <w:r>
        <w:rPr>
          <w:rFonts w:hint="eastAsia" w:ascii="仿宋_GB2312"/>
          <w:sz w:val="32"/>
          <w:szCs w:val="32"/>
          <w:lang w:eastAsia="zh-CN"/>
        </w:rPr>
        <w:t>，“五险一金”单位部分</w:t>
      </w:r>
      <w:r>
        <w:rPr>
          <w:rFonts w:hint="eastAsia" w:ascii="仿宋_GB2312"/>
          <w:sz w:val="32"/>
          <w:szCs w:val="32"/>
          <w:lang w:val="en-US" w:eastAsia="zh-CN"/>
        </w:rPr>
        <w:t>1115.83</w:t>
      </w:r>
      <w:r>
        <w:rPr>
          <w:rFonts w:hint="eastAsia" w:ascii="仿宋_GB2312"/>
          <w:sz w:val="32"/>
          <w:szCs w:val="32"/>
        </w:rPr>
        <w:t>/人月</w:t>
      </w:r>
      <w:r>
        <w:rPr>
          <w:rFonts w:hint="eastAsia" w:ascii="仿宋_GB2312"/>
          <w:sz w:val="32"/>
          <w:szCs w:val="32"/>
          <w:lang w:eastAsia="zh-CN"/>
        </w:rPr>
        <w:t>，大额医疗互助单位部分</w:t>
      </w:r>
      <w:r>
        <w:rPr>
          <w:rFonts w:hint="eastAsia" w:ascii="仿宋_GB2312"/>
          <w:sz w:val="32"/>
          <w:szCs w:val="32"/>
          <w:lang w:val="en-US" w:eastAsia="zh-CN"/>
        </w:rPr>
        <w:t>191</w:t>
      </w:r>
      <w:r>
        <w:rPr>
          <w:rFonts w:hint="eastAsia" w:ascii="仿宋_GB2312"/>
          <w:sz w:val="32"/>
          <w:szCs w:val="32"/>
        </w:rPr>
        <w:t>/人</w:t>
      </w:r>
      <w:r>
        <w:rPr>
          <w:rFonts w:hint="eastAsia" w:ascii="仿宋_GB2312"/>
          <w:sz w:val="32"/>
          <w:szCs w:val="32"/>
          <w:lang w:eastAsia="zh-CN"/>
        </w:rPr>
        <w:t>年</w:t>
      </w:r>
      <w:r>
        <w:rPr>
          <w:rFonts w:hint="eastAsia" w:ascii="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3.资金投入和使用情况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sz w:val="32"/>
          <w:szCs w:val="32"/>
        </w:rPr>
      </w:pPr>
      <w:r>
        <w:rPr>
          <w:rFonts w:hint="eastAsia" w:ascii="仿宋_GB2312"/>
          <w:sz w:val="32"/>
          <w:szCs w:val="32"/>
          <w:lang w:val="en-US" w:eastAsia="zh-CN"/>
        </w:rPr>
        <w:t>2022年度特岗教师</w:t>
      </w:r>
      <w:r>
        <w:rPr>
          <w:rFonts w:hint="eastAsia" w:ascii="仿宋_GB2312"/>
          <w:sz w:val="32"/>
          <w:szCs w:val="32"/>
        </w:rPr>
        <w:t>预算指标为</w:t>
      </w:r>
      <w:r>
        <w:rPr>
          <w:rFonts w:hint="eastAsia" w:ascii="仿宋_GB2312"/>
          <w:sz w:val="32"/>
          <w:szCs w:val="32"/>
          <w:lang w:val="en-US" w:eastAsia="zh-CN"/>
        </w:rPr>
        <w:t>1510</w:t>
      </w:r>
      <w:r>
        <w:rPr>
          <w:rFonts w:hint="eastAsia" w:ascii="仿宋_GB2312"/>
          <w:sz w:val="32"/>
          <w:szCs w:val="32"/>
        </w:rPr>
        <w:t>万元</w:t>
      </w:r>
      <w:r>
        <w:rPr>
          <w:rFonts w:hint="eastAsia" w:ascii="仿宋_GB2312"/>
          <w:sz w:val="32"/>
          <w:szCs w:val="32"/>
          <w:lang w:val="en-US" w:eastAsia="zh-CN"/>
        </w:rPr>
        <w:t>,</w:t>
      </w:r>
      <w:r>
        <w:rPr>
          <w:rFonts w:hint="eastAsia" w:ascii="仿宋_GB2312"/>
          <w:sz w:val="32"/>
          <w:szCs w:val="32"/>
        </w:rPr>
        <w:t>因9月新聘任特岗教师400名</w:t>
      </w:r>
      <w:r>
        <w:rPr>
          <w:rFonts w:hint="eastAsia" w:ascii="仿宋_GB2312"/>
          <w:sz w:val="32"/>
          <w:szCs w:val="32"/>
          <w:lang w:val="en-US" w:eastAsia="zh-CN"/>
        </w:rPr>
        <w:t>,</w:t>
      </w:r>
      <w:r>
        <w:rPr>
          <w:rFonts w:hint="eastAsia" w:ascii="仿宋_GB2312"/>
          <w:sz w:val="32"/>
          <w:szCs w:val="32"/>
        </w:rPr>
        <w:t>截至20</w:t>
      </w:r>
      <w:r>
        <w:rPr>
          <w:rFonts w:hint="eastAsia" w:ascii="仿宋_GB2312"/>
          <w:sz w:val="32"/>
          <w:szCs w:val="32"/>
          <w:lang w:val="en-US" w:eastAsia="zh-CN"/>
        </w:rPr>
        <w:t>22</w:t>
      </w:r>
      <w:r>
        <w:rPr>
          <w:rFonts w:hint="eastAsia" w:ascii="仿宋_GB2312"/>
          <w:sz w:val="32"/>
          <w:szCs w:val="32"/>
        </w:rPr>
        <w:t>年12月31日，县财政局实际拨付预算资金为</w:t>
      </w:r>
      <w:r>
        <w:rPr>
          <w:rFonts w:hint="eastAsia" w:ascii="仿宋_GB2312"/>
          <w:sz w:val="32"/>
          <w:szCs w:val="32"/>
          <w:lang w:val="en-US" w:eastAsia="zh-CN"/>
        </w:rPr>
        <w:t>1620.25</w:t>
      </w:r>
      <w:r>
        <w:rPr>
          <w:rFonts w:hint="eastAsia" w:ascii="仿宋_GB2312"/>
          <w:sz w:val="32"/>
          <w:szCs w:val="32"/>
        </w:rPr>
        <w:t>万元，资金拨付率为10</w:t>
      </w:r>
      <w:r>
        <w:rPr>
          <w:rFonts w:hint="eastAsia" w:ascii="仿宋_GB2312"/>
          <w:sz w:val="32"/>
          <w:szCs w:val="32"/>
          <w:lang w:val="en-US" w:eastAsia="zh-CN"/>
        </w:rPr>
        <w:t>7.3</w:t>
      </w:r>
      <w:r>
        <w:rPr>
          <w:rFonts w:hint="eastAsia" w:ascii="仿宋_GB2312"/>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640" w:leftChars="0" w:firstLine="0" w:firstLineChars="0"/>
        <w:textAlignment w:val="auto"/>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项目绩效目标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eastAsia="仿宋_GB2312" w:cs="仿宋_GB2312"/>
          <w:kern w:val="44"/>
          <w:sz w:val="32"/>
          <w:szCs w:val="32"/>
        </w:rPr>
      </w:pPr>
      <w:r>
        <w:rPr>
          <w:rFonts w:hint="eastAsia" w:ascii="仿宋_GB2312" w:eastAsia="仿宋_GB2312" w:cs="仿宋_GB2312"/>
          <w:kern w:val="44"/>
          <w:sz w:val="32"/>
          <w:szCs w:val="32"/>
        </w:rPr>
        <w:t>唐河县2022年特岗教师“五险一金”已全部缴纳到位</w:t>
      </w:r>
      <w:r>
        <w:rPr>
          <w:rFonts w:hint="eastAsia" w:ascii="仿宋_GB2312" w:cs="仿宋_GB2312"/>
          <w:kern w:val="44"/>
          <w:sz w:val="32"/>
          <w:szCs w:val="32"/>
          <w:lang w:eastAsia="zh-CN"/>
        </w:rPr>
        <w:t>，绩效工资全部发放到位，</w:t>
      </w:r>
      <w:r>
        <w:rPr>
          <w:rFonts w:hint="eastAsia" w:ascii="仿宋_GB2312" w:eastAsia="仿宋_GB2312" w:cs="仿宋_GB2312"/>
          <w:kern w:val="44"/>
          <w:sz w:val="32"/>
          <w:szCs w:val="32"/>
        </w:rPr>
        <w:t>特岗教师覆盖全县大部分边乡村区学校，保障了特岗教师的基本待遇，提高了特岗教师的生活指数。</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绩效评价工作开展情况</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仿宋_GB2312" w:eastAsia="仿宋_GB2312"/>
          <w:sz w:val="32"/>
          <w:szCs w:val="32"/>
          <w:lang w:val="en-US" w:eastAsia="zh-CN"/>
        </w:rPr>
      </w:pPr>
      <w:r>
        <w:rPr>
          <w:rFonts w:hint="eastAsia" w:ascii="仿宋_GB2312"/>
          <w:sz w:val="32"/>
          <w:szCs w:val="32"/>
          <w:lang w:val="en-US" w:eastAsia="zh-CN"/>
        </w:rPr>
        <w:t xml:space="preserve">    </w:t>
      </w:r>
      <w:r>
        <w:rPr>
          <w:rFonts w:hint="eastAsia" w:ascii="黑体" w:hAnsi="黑体" w:eastAsia="黑体" w:cs="黑体"/>
          <w:bCs/>
          <w:sz w:val="32"/>
          <w:szCs w:val="32"/>
          <w:lang w:val="en-US" w:eastAsia="zh-CN"/>
        </w:rPr>
        <w:t>（一）绩效评价目的、对象和范围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sz w:val="32"/>
          <w:szCs w:val="32"/>
          <w:lang w:val="en-US" w:eastAsia="zh-CN"/>
        </w:rPr>
      </w:pPr>
      <w:r>
        <w:rPr>
          <w:rFonts w:hint="eastAsia" w:ascii="仿宋_GB2312"/>
          <w:sz w:val="32"/>
          <w:szCs w:val="32"/>
          <w:lang w:val="en-US" w:eastAsia="zh-CN"/>
        </w:rPr>
        <w:t>本次绩效评价考察2022年特岗教师补助资金的使用情况及各项目标任务完成情况，客观评价项目绩效，并结合项目开展情况，深入分析有关问题、发展趋势与内在需求，为下一步项目开展提供依据和参考建议。评价对象是2022年特岗补助</w:t>
      </w:r>
      <w:r>
        <w:rPr>
          <w:rFonts w:hint="eastAsia" w:ascii="仿宋_GB2312"/>
          <w:sz w:val="32"/>
          <w:szCs w:val="32"/>
        </w:rPr>
        <w:t>资金</w:t>
      </w:r>
      <w:r>
        <w:rPr>
          <w:rFonts w:hint="eastAsia" w:ascii="仿宋_GB2312"/>
          <w:sz w:val="32"/>
          <w:szCs w:val="32"/>
          <w:lang w:val="en-US" w:eastAsia="zh-CN"/>
        </w:rPr>
        <w:t>1620.25</w:t>
      </w:r>
      <w:r>
        <w:rPr>
          <w:rFonts w:hint="eastAsia" w:ascii="仿宋_GB2312"/>
          <w:sz w:val="32"/>
          <w:szCs w:val="32"/>
        </w:rPr>
        <w:t>万元</w:t>
      </w:r>
      <w:r>
        <w:rPr>
          <w:rFonts w:hint="eastAsia" w:ascii="仿宋_GB2312"/>
          <w:sz w:val="32"/>
          <w:szCs w:val="32"/>
          <w:lang w:val="en-US" w:eastAsia="zh-CN"/>
        </w:rPr>
        <w:t>。评价涉及时间段：2022年1月1日至2022年12月31日。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（二）评价指标体系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sz w:val="32"/>
          <w:szCs w:val="32"/>
          <w:lang w:val="en-US" w:eastAsia="zh-CN"/>
        </w:rPr>
      </w:pPr>
      <w:r>
        <w:rPr>
          <w:rFonts w:hint="eastAsia" w:ascii="仿宋_GB2312"/>
          <w:sz w:val="32"/>
          <w:szCs w:val="32"/>
          <w:lang w:val="en-US" w:eastAsia="zh-CN"/>
        </w:rPr>
        <w:t>本次评价指标体系按照产出-效益-满意度的逻辑路径分层设定，划分为4项一级指标、8项二级指标、8项三级指标，总分值100分，一是产出（30分），主要评价特岗教师享受人数、资金享受月数、特岗教师补助标准、发放情况、补助情况。二是效益（20分），主要评价特岗教师工作积极性、社会保障待遇。三是满意度（10分），主要评价学校、老师的满意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（三）绩效评价原则、评价方法和标准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sz w:val="32"/>
          <w:szCs w:val="32"/>
          <w:lang w:val="en-US" w:eastAsia="zh-CN"/>
        </w:rPr>
      </w:pPr>
      <w:r>
        <w:rPr>
          <w:rFonts w:hint="eastAsia" w:ascii="仿宋_GB2312"/>
          <w:sz w:val="32"/>
          <w:szCs w:val="32"/>
          <w:lang w:val="en-US" w:eastAsia="zh-CN"/>
        </w:rPr>
        <w:t>本次绩效评价坚持科学公正、公开透明、统筹兼顾、绩效相关的评价原则，根据设定的绩效目标，以定量和定性、现场调研和非现场调研相结合的方式进行，采取比较法、因素分析法、公众评判法、实地调研法等评价方法，依据计划标准、行业标准、历史标准等评价标准，对专项资金的效率性和效益性进行客观公正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（四）绩效评价工作过程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ascii="仿宋_GB2312"/>
          <w:sz w:val="32"/>
          <w:szCs w:val="32"/>
          <w:lang w:val="en-US" w:eastAsia="zh-CN"/>
        </w:rPr>
      </w:pPr>
      <w:r>
        <w:rPr>
          <w:rFonts w:hint="default" w:ascii="仿宋_GB2312"/>
          <w:sz w:val="32"/>
          <w:szCs w:val="32"/>
          <w:lang w:val="en-US" w:eastAsia="zh-CN"/>
        </w:rPr>
        <w:t>本次绩效评价工作期间为 202</w:t>
      </w:r>
      <w:r>
        <w:rPr>
          <w:rFonts w:hint="eastAsia" w:ascii="仿宋_GB2312"/>
          <w:sz w:val="32"/>
          <w:szCs w:val="32"/>
          <w:lang w:val="en-US" w:eastAsia="zh-CN"/>
        </w:rPr>
        <w:t>3</w:t>
      </w:r>
      <w:r>
        <w:rPr>
          <w:rFonts w:hint="default" w:ascii="仿宋_GB2312"/>
          <w:sz w:val="32"/>
          <w:szCs w:val="32"/>
          <w:lang w:val="en-US" w:eastAsia="zh-CN"/>
        </w:rPr>
        <w:t>年</w:t>
      </w:r>
      <w:r>
        <w:rPr>
          <w:rFonts w:hint="eastAsia" w:ascii="仿宋_GB2312"/>
          <w:sz w:val="32"/>
          <w:szCs w:val="32"/>
          <w:lang w:val="en-US" w:eastAsia="zh-CN"/>
        </w:rPr>
        <w:t>10</w:t>
      </w:r>
      <w:r>
        <w:rPr>
          <w:rFonts w:hint="default" w:ascii="仿宋_GB2312"/>
          <w:sz w:val="32"/>
          <w:szCs w:val="32"/>
          <w:lang w:val="en-US" w:eastAsia="zh-CN"/>
        </w:rPr>
        <w:t>月</w:t>
      </w:r>
      <w:r>
        <w:rPr>
          <w:rFonts w:hint="eastAsia" w:ascii="仿宋_GB2312"/>
          <w:sz w:val="32"/>
          <w:szCs w:val="32"/>
          <w:lang w:val="en-US" w:eastAsia="zh-CN"/>
        </w:rPr>
        <w:t>15</w:t>
      </w:r>
      <w:r>
        <w:rPr>
          <w:rFonts w:hint="default" w:ascii="仿宋_GB2312"/>
          <w:sz w:val="32"/>
          <w:szCs w:val="32"/>
          <w:lang w:val="en-US" w:eastAsia="zh-CN"/>
        </w:rPr>
        <w:t>日至</w:t>
      </w:r>
      <w:r>
        <w:rPr>
          <w:rFonts w:hint="eastAsia" w:ascii="仿宋_GB2312"/>
          <w:sz w:val="32"/>
          <w:szCs w:val="32"/>
          <w:lang w:val="en-US" w:eastAsia="zh-CN"/>
        </w:rPr>
        <w:t>11</w:t>
      </w:r>
      <w:r>
        <w:rPr>
          <w:rFonts w:hint="default" w:ascii="仿宋_GB2312"/>
          <w:sz w:val="32"/>
          <w:szCs w:val="32"/>
          <w:lang w:val="en-US" w:eastAsia="zh-CN"/>
        </w:rPr>
        <w:t>月</w:t>
      </w:r>
      <w:r>
        <w:rPr>
          <w:rFonts w:hint="eastAsia" w:ascii="仿宋_GB2312"/>
          <w:sz w:val="32"/>
          <w:szCs w:val="32"/>
          <w:lang w:val="en-US" w:eastAsia="zh-CN"/>
        </w:rPr>
        <w:t>20</w:t>
      </w:r>
      <w:r>
        <w:rPr>
          <w:rFonts w:hint="default" w:ascii="仿宋_GB2312"/>
          <w:sz w:val="32"/>
          <w:szCs w:val="32"/>
          <w:lang w:val="en-US" w:eastAsia="zh-CN"/>
        </w:rPr>
        <w:t>日，历经前期准备、现场实施、数据分析与报告撰写等阶段。在此基础上，按要求形成初步评价报告，并根据相关部门、</w:t>
      </w:r>
      <w:r>
        <w:rPr>
          <w:rFonts w:hint="eastAsia" w:ascii="仿宋_GB2312"/>
          <w:sz w:val="32"/>
          <w:szCs w:val="32"/>
          <w:lang w:val="en-US" w:eastAsia="zh-CN"/>
        </w:rPr>
        <w:t>领导</w:t>
      </w:r>
      <w:r>
        <w:rPr>
          <w:rFonts w:hint="default" w:ascii="仿宋_GB2312"/>
          <w:sz w:val="32"/>
          <w:szCs w:val="32"/>
          <w:lang w:val="en-US" w:eastAsia="zh-CN"/>
        </w:rPr>
        <w:t>意见进行修改完善，形成最终绩效评价报告。</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综合评价情况及评价结论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ascii="仿宋_GB2312"/>
          <w:sz w:val="32"/>
          <w:szCs w:val="32"/>
          <w:lang w:val="en-US" w:eastAsia="zh-CN"/>
        </w:rPr>
      </w:pPr>
      <w:r>
        <w:rPr>
          <w:rFonts w:hint="eastAsia" w:ascii="黑体" w:hAnsi="黑体" w:eastAsia="黑体" w:cs="黑体"/>
          <w:bCs/>
          <w:sz w:val="32"/>
          <w:szCs w:val="32"/>
          <w:lang w:val="en-US" w:eastAsia="zh-CN"/>
        </w:rPr>
        <w:t>（一）综合评价情况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ascii="仿宋_GB2312"/>
          <w:sz w:val="32"/>
          <w:szCs w:val="32"/>
          <w:lang w:val="en-US" w:eastAsia="zh-CN"/>
        </w:rPr>
      </w:pPr>
      <w:r>
        <w:rPr>
          <w:rFonts w:hint="default" w:ascii="仿宋_GB2312"/>
          <w:sz w:val="32"/>
          <w:szCs w:val="32"/>
          <w:lang w:val="en-US" w:eastAsia="zh-CN"/>
        </w:rPr>
        <w:t>202</w:t>
      </w:r>
      <w:r>
        <w:rPr>
          <w:rFonts w:hint="eastAsia" w:ascii="仿宋_GB2312"/>
          <w:sz w:val="32"/>
          <w:szCs w:val="32"/>
          <w:lang w:val="en-US" w:eastAsia="zh-CN"/>
        </w:rPr>
        <w:t>2</w:t>
      </w:r>
      <w:r>
        <w:rPr>
          <w:rFonts w:hint="default" w:ascii="仿宋_GB2312"/>
          <w:sz w:val="32"/>
          <w:szCs w:val="32"/>
          <w:lang w:val="en-US" w:eastAsia="zh-CN"/>
        </w:rPr>
        <w:t>年</w:t>
      </w:r>
      <w:r>
        <w:rPr>
          <w:rFonts w:hint="eastAsia" w:ascii="仿宋_GB2312"/>
          <w:sz w:val="32"/>
          <w:szCs w:val="32"/>
          <w:lang w:val="en-US" w:eastAsia="zh-CN"/>
        </w:rPr>
        <w:t>特岗教师补助资金项目</w:t>
      </w:r>
      <w:r>
        <w:rPr>
          <w:rFonts w:hint="default" w:ascii="仿宋_GB2312"/>
          <w:sz w:val="32"/>
          <w:szCs w:val="32"/>
          <w:lang w:val="en-US" w:eastAsia="zh-CN"/>
        </w:rPr>
        <w:t>基本完成年初目标，</w:t>
      </w:r>
      <w:r>
        <w:rPr>
          <w:rFonts w:hint="eastAsia" w:eastAsia="仿宋_GB2312" w:cs="Times New Roman"/>
          <w:kern w:val="2"/>
          <w:sz w:val="32"/>
          <w:szCs w:val="32"/>
          <w:lang w:val="en-US" w:eastAsia="zh-CN" w:bidi="ar-SA"/>
        </w:rPr>
        <w:t>引导和鼓励高校毕业生从事农村义务教育工作，创新农村学校教师的补充机制，逐步解决了农村学校师资总量不足和结构不合理等问题，提高农村教师队伍的整体素质，促进城乡教育均衡发展。</w:t>
      </w:r>
      <w:r>
        <w:rPr>
          <w:rFonts w:hint="default" w:ascii="仿宋_GB2312"/>
          <w:sz w:val="32"/>
          <w:szCs w:val="32"/>
          <w:lang w:val="en-US" w:eastAsia="zh-CN"/>
        </w:rPr>
        <w:t>但项目也存在聚焦程度</w:t>
      </w:r>
      <w:r>
        <w:rPr>
          <w:rFonts w:hint="eastAsia" w:ascii="仿宋_GB2312"/>
          <w:sz w:val="32"/>
          <w:szCs w:val="32"/>
          <w:lang w:val="en-US" w:eastAsia="zh-CN"/>
        </w:rPr>
        <w:t>欠缺</w:t>
      </w:r>
      <w:r>
        <w:rPr>
          <w:rFonts w:hint="default" w:ascii="仿宋_GB2312"/>
          <w:sz w:val="32"/>
          <w:szCs w:val="32"/>
          <w:lang w:val="en-US" w:eastAsia="zh-CN"/>
        </w:rPr>
        <w:t>、绩效目标设置</w:t>
      </w:r>
      <w:r>
        <w:rPr>
          <w:rFonts w:hint="eastAsia" w:ascii="仿宋_GB2312"/>
          <w:sz w:val="32"/>
          <w:szCs w:val="32"/>
          <w:lang w:val="en-US" w:eastAsia="zh-CN"/>
        </w:rPr>
        <w:t>的合理性与明确性有待提高</w:t>
      </w:r>
      <w:r>
        <w:rPr>
          <w:rFonts w:hint="default" w:ascii="仿宋_GB2312"/>
          <w:sz w:val="32"/>
          <w:szCs w:val="32"/>
          <w:lang w:val="en-US" w:eastAsia="zh-CN"/>
        </w:rPr>
        <w:t>等问题。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（二）总体评价结论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sz w:val="32"/>
          <w:szCs w:val="32"/>
          <w:lang w:val="en-US" w:eastAsia="zh-CN"/>
        </w:rPr>
      </w:pPr>
      <w:r>
        <w:rPr>
          <w:rFonts w:hint="eastAsia" w:ascii="仿宋_GB2312"/>
          <w:sz w:val="32"/>
          <w:szCs w:val="32"/>
          <w:lang w:val="en-US" w:eastAsia="zh-CN"/>
        </w:rPr>
        <w:t>依据绩效评价指标体系进行评分，</w:t>
      </w:r>
      <w:r>
        <w:rPr>
          <w:rFonts w:hint="default" w:ascii="仿宋_GB2312"/>
          <w:sz w:val="32"/>
          <w:szCs w:val="32"/>
          <w:lang w:val="en-US" w:eastAsia="zh-CN"/>
        </w:rPr>
        <w:t>202</w:t>
      </w:r>
      <w:r>
        <w:rPr>
          <w:rFonts w:hint="eastAsia" w:ascii="仿宋_GB2312"/>
          <w:sz w:val="32"/>
          <w:szCs w:val="32"/>
          <w:lang w:val="en-US" w:eastAsia="zh-CN"/>
        </w:rPr>
        <w:t>2</w:t>
      </w:r>
      <w:r>
        <w:rPr>
          <w:rFonts w:hint="default" w:ascii="仿宋_GB2312"/>
          <w:sz w:val="32"/>
          <w:szCs w:val="32"/>
          <w:lang w:val="en-US" w:eastAsia="zh-CN"/>
        </w:rPr>
        <w:t>年</w:t>
      </w:r>
      <w:r>
        <w:rPr>
          <w:rFonts w:hint="eastAsia" w:ascii="仿宋_GB2312"/>
          <w:sz w:val="32"/>
          <w:szCs w:val="32"/>
          <w:lang w:val="en-US" w:eastAsia="zh-CN"/>
        </w:rPr>
        <w:t>特岗教师补助资金项目总体得分为98分，该项目评价等级为“优”。具体得分情况如下：项目资金执行率得分10分，资金管理情况得分20分，产出指标得分40分，效益指标得分23分，满意度得分5分，得分率98%。</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绩效评价指标分析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sz w:val="32"/>
          <w:szCs w:val="32"/>
        </w:rPr>
      </w:pPr>
      <w:r>
        <w:rPr>
          <w:rFonts w:hint="eastAsia" w:ascii="黑体" w:hAnsi="黑体" w:eastAsia="黑体" w:cs="黑体"/>
          <w:bCs/>
          <w:sz w:val="32"/>
          <w:szCs w:val="32"/>
          <w:lang w:val="en-US" w:eastAsia="zh-CN"/>
        </w:rPr>
        <w:t>（一）预算执行比较到位。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sz w:val="32"/>
          <w:szCs w:val="32"/>
        </w:rPr>
      </w:pPr>
      <w:r>
        <w:rPr>
          <w:rFonts w:hint="eastAsia" w:ascii="仿宋_GB2312"/>
          <w:sz w:val="32"/>
          <w:szCs w:val="32"/>
        </w:rPr>
        <w:t>预算执行方面，从严控制行政经费，压缩公务费开支，严格控制“三公”经费，支出总额控制在预算总额以内；资产配置严格政府采购，按照预算科目规定使用财政资金，保障资金支出的规范化、制度化。预算管理方面，切实有效地执行了内部财务管理制度、资产内部管理制度，预算资金按规定管理使用，较好地完成了当年任务目标。202</w:t>
      </w:r>
      <w:r>
        <w:rPr>
          <w:rFonts w:hint="eastAsia" w:ascii="仿宋_GB2312"/>
          <w:sz w:val="32"/>
          <w:szCs w:val="32"/>
          <w:lang w:val="en-US" w:eastAsia="zh-CN"/>
        </w:rPr>
        <w:t>2</w:t>
      </w:r>
      <w:r>
        <w:rPr>
          <w:rFonts w:hint="eastAsia" w:ascii="仿宋_GB2312"/>
          <w:sz w:val="32"/>
          <w:szCs w:val="32"/>
        </w:rPr>
        <w:t>年全面完成了上级主管部门下达我单位的各项工作任务和重点工作计划。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（二）产出指标执行比较到位。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0"/>
        <w:rPr>
          <w:rFonts w:hint="eastAsia" w:ascii="仿宋_GB2312"/>
          <w:sz w:val="32"/>
          <w:szCs w:val="32"/>
        </w:rPr>
      </w:pPr>
      <w:r>
        <w:rPr>
          <w:rFonts w:hint="eastAsia" w:ascii="仿宋_GB2312"/>
          <w:b/>
          <w:bCs/>
          <w:sz w:val="32"/>
          <w:szCs w:val="32"/>
          <w:lang w:val="en-US" w:eastAsia="zh-CN"/>
        </w:rPr>
        <w:t>1.</w:t>
      </w:r>
      <w:r>
        <w:rPr>
          <w:rFonts w:hint="eastAsia" w:ascii="仿宋_GB2312"/>
          <w:b/>
          <w:bCs/>
          <w:sz w:val="32"/>
          <w:szCs w:val="32"/>
        </w:rPr>
        <w:t>数量指标：</w:t>
      </w:r>
      <w:r>
        <w:rPr>
          <w:rFonts w:hint="eastAsia" w:ascii="仿宋_GB2312"/>
          <w:sz w:val="32"/>
          <w:szCs w:val="32"/>
          <w:lang w:val="en-US" w:eastAsia="zh-CN"/>
        </w:rPr>
        <w:t>唐河县2022年度,1-8月在岗特岗教师800人，9-12月1186人（含服务期满留任特岗教师234人）</w:t>
      </w:r>
      <w:r>
        <w:rPr>
          <w:rFonts w:hint="eastAsia" w:ascii="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0"/>
        <w:rPr>
          <w:rFonts w:hint="eastAsia" w:ascii="仿宋_GB2312"/>
          <w:sz w:val="32"/>
          <w:szCs w:val="32"/>
        </w:rPr>
      </w:pPr>
      <w:r>
        <w:rPr>
          <w:rFonts w:hint="eastAsia" w:ascii="仿宋_GB2312"/>
          <w:b/>
          <w:bCs/>
          <w:sz w:val="32"/>
          <w:szCs w:val="32"/>
          <w:lang w:val="en-US" w:eastAsia="zh-CN"/>
        </w:rPr>
        <w:t>2.质量指标：</w:t>
      </w:r>
      <w:r>
        <w:rPr>
          <w:rFonts w:hint="eastAsia" w:ascii="仿宋_GB2312"/>
          <w:sz w:val="32"/>
          <w:szCs w:val="32"/>
        </w:rPr>
        <w:t>特根据《南阳市教育局、财政局、人力资源和社会保障局、编办转发&lt;河南省教育厅 河南省财政厅 河南省人力资源和社会保障厅 河南省编办关于全面加强特岗教师管理工作的意见&gt;的通知》（宛教〔2018〕89号）文件精神，每年做好预算，教体局统计特岗教师实际人数并上报至财政局，财政局根据实际人数拨付“五险一金”单位部分资金和绩效工资到用人单位，由用人单位用来缴纳特岗“五险一金”和发放特岗教师绩效工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0"/>
        <w:rPr>
          <w:rFonts w:hint="eastAsia" w:ascii="仿宋_GB2312"/>
          <w:sz w:val="32"/>
          <w:szCs w:val="32"/>
        </w:rPr>
      </w:pPr>
      <w:r>
        <w:rPr>
          <w:rFonts w:hint="eastAsia" w:ascii="仿宋_GB2312"/>
          <w:b/>
          <w:bCs/>
          <w:sz w:val="32"/>
          <w:szCs w:val="32"/>
          <w:lang w:val="en-US" w:eastAsia="zh-CN"/>
        </w:rPr>
        <w:t>3.效益指标：</w:t>
      </w:r>
      <w:r>
        <w:rPr>
          <w:rFonts w:hint="eastAsia" w:ascii="仿宋_GB2312"/>
          <w:sz w:val="32"/>
          <w:szCs w:val="32"/>
          <w:lang w:eastAsia="zh-CN"/>
        </w:rPr>
        <w:t>特岗教师社会保障待遇得到享受，教师工作积极性提升，</w:t>
      </w:r>
      <w:r>
        <w:rPr>
          <w:rFonts w:hint="eastAsia" w:ascii="仿宋_GB2312"/>
          <w:sz w:val="32"/>
          <w:szCs w:val="32"/>
        </w:rPr>
        <w:t>提高农村教师队伍的整体素质</w:t>
      </w:r>
      <w:r>
        <w:rPr>
          <w:rFonts w:hint="eastAsia" w:ascii="仿宋_GB2312"/>
          <w:sz w:val="32"/>
          <w:szCs w:val="32"/>
          <w:lang w:eastAsia="zh-CN"/>
        </w:rPr>
        <w:t>，</w:t>
      </w:r>
      <w:r>
        <w:rPr>
          <w:rFonts w:hint="eastAsia" w:ascii="仿宋_GB2312"/>
          <w:sz w:val="32"/>
          <w:szCs w:val="32"/>
          <w:lang w:val="en-US" w:eastAsia="zh-CN"/>
        </w:rPr>
        <w:t>农村义务教育阶段学校教育教学质量显著提高</w:t>
      </w:r>
      <w:r>
        <w:rPr>
          <w:rFonts w:hint="eastAsia" w:ascii="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0"/>
        <w:rPr>
          <w:rFonts w:hint="eastAsia" w:ascii="仿宋_GB2312"/>
          <w:sz w:val="32"/>
          <w:szCs w:val="32"/>
          <w:lang w:val="en-US" w:eastAsia="zh-CN"/>
        </w:rPr>
      </w:pPr>
      <w:r>
        <w:rPr>
          <w:rFonts w:hint="eastAsia" w:ascii="仿宋_GB2312"/>
          <w:b/>
          <w:bCs/>
          <w:sz w:val="32"/>
          <w:szCs w:val="32"/>
          <w:lang w:val="en-US" w:eastAsia="zh-CN"/>
        </w:rPr>
        <w:t>4.时效指标：</w:t>
      </w:r>
      <w:r>
        <w:rPr>
          <w:rFonts w:hint="eastAsia" w:ascii="仿宋_GB2312"/>
          <w:sz w:val="32"/>
          <w:szCs w:val="32"/>
          <w:lang w:val="en-US" w:eastAsia="zh-CN"/>
        </w:rPr>
        <w:t>2022年特岗教师“五险一金”已全部缴纳到位。绩效工资发放到位。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0"/>
        <w:rPr>
          <w:rFonts w:hint="default" w:ascii="仿宋_GB2312"/>
          <w:b/>
          <w:bCs/>
          <w:sz w:val="32"/>
          <w:szCs w:val="32"/>
          <w:lang w:val="en-US" w:eastAsia="zh-CN"/>
        </w:rPr>
      </w:pPr>
      <w:r>
        <w:rPr>
          <w:rFonts w:hint="eastAsia" w:ascii="仿宋_GB2312"/>
          <w:b/>
          <w:bCs/>
          <w:sz w:val="32"/>
          <w:szCs w:val="32"/>
          <w:lang w:val="en-US" w:eastAsia="zh-CN"/>
        </w:rPr>
        <w:t>5.</w:t>
      </w:r>
      <w:r>
        <w:rPr>
          <w:rFonts w:hint="default" w:ascii="仿宋_GB2312"/>
          <w:b/>
          <w:bCs/>
          <w:sz w:val="32"/>
          <w:szCs w:val="32"/>
          <w:lang w:val="en-US" w:eastAsia="zh-CN"/>
        </w:rPr>
        <w:t>社会效益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仿宋_GB2312"/>
          <w:sz w:val="32"/>
          <w:szCs w:val="32"/>
          <w:lang w:val="en-US" w:eastAsia="zh-CN"/>
        </w:rPr>
      </w:pPr>
      <w:r>
        <w:rPr>
          <w:rFonts w:hint="default" w:ascii="仿宋_GB2312"/>
          <w:sz w:val="32"/>
          <w:szCs w:val="32"/>
          <w:lang w:val="en-US" w:eastAsia="zh-CN"/>
        </w:rPr>
        <w:t>唐河县2022年特岗教师覆盖全县大部分边乡村区学校，保障了特岗教师的基本待遇，提高了特岗教师的生活指数。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0"/>
        <w:rPr>
          <w:rFonts w:hint="eastAsia" w:ascii="仿宋_GB2312"/>
          <w:sz w:val="32"/>
          <w:szCs w:val="32"/>
        </w:rPr>
      </w:pPr>
      <w:r>
        <w:rPr>
          <w:rFonts w:hint="eastAsia" w:ascii="仿宋_GB2312"/>
          <w:b/>
          <w:bCs/>
          <w:sz w:val="32"/>
          <w:szCs w:val="32"/>
          <w:lang w:val="en-US" w:eastAsia="zh-CN"/>
        </w:rPr>
        <w:t>6.满意度指标：</w:t>
      </w:r>
      <w:r>
        <w:rPr>
          <w:rFonts w:hint="eastAsia" w:ascii="仿宋_GB2312"/>
          <w:sz w:val="32"/>
          <w:szCs w:val="32"/>
        </w:rPr>
        <w:t>保障了特岗教师的基本待遇，提高了特岗教师的生活指数</w:t>
      </w:r>
      <w:r>
        <w:rPr>
          <w:rFonts w:hint="eastAsia" w:ascii="仿宋_GB2312"/>
          <w:sz w:val="32"/>
          <w:szCs w:val="32"/>
          <w:lang w:eastAsia="zh-CN"/>
        </w:rPr>
        <w:t>，学校和教师都满意</w:t>
      </w:r>
      <w:r>
        <w:rPr>
          <w:rFonts w:hint="eastAsia" w:ascii="仿宋_GB2312"/>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主要经验及做法、存在的问题及整改措施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outlineLvl w:val="0"/>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（一）主要经验及做法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sz w:val="32"/>
          <w:szCs w:val="32"/>
          <w:lang w:eastAsia="zh-CN"/>
        </w:rPr>
      </w:pPr>
      <w:r>
        <w:rPr>
          <w:rFonts w:hint="eastAsia" w:ascii="仿宋_GB2312"/>
          <w:sz w:val="32"/>
          <w:szCs w:val="32"/>
          <w:lang w:val="en-US" w:eastAsia="zh-CN"/>
        </w:rPr>
        <w:t>每年做好预算，教体局统计特岗教师实际人数并上报至财政局，财政局根据实际人数拨付相关资金到用人单位，由用人单位用来缴纳特岗“五险一金”和发放教师绩效工资</w:t>
      </w:r>
      <w:r>
        <w:rPr>
          <w:rFonts w:hint="eastAsia" w:ascii="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outlineLvl w:val="0"/>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（二）存在的问题及整改措施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0"/>
        <w:rPr>
          <w:rFonts w:hint="eastAsia" w:ascii="仿宋_GB2312"/>
          <w:sz w:val="32"/>
          <w:szCs w:val="32"/>
        </w:rPr>
      </w:pPr>
      <w:r>
        <w:rPr>
          <w:rFonts w:hint="eastAsia" w:ascii="仿宋_GB2312"/>
          <w:b/>
          <w:bCs/>
          <w:sz w:val="32"/>
          <w:szCs w:val="32"/>
          <w:lang w:val="en-US" w:eastAsia="zh-CN"/>
        </w:rPr>
        <w:t>1.存在问题：</w:t>
      </w:r>
      <w:r>
        <w:rPr>
          <w:rFonts w:hint="eastAsia" w:ascii="仿宋_GB2312"/>
          <w:sz w:val="32"/>
          <w:szCs w:val="32"/>
        </w:rPr>
        <w:t>预算编制工作有待细化。预算编制不够明确和细化，预算编制的合理性需要提高，预算执行力度还要进一步加强。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0"/>
        <w:rPr>
          <w:rFonts w:hint="eastAsia" w:ascii="仿宋_GB2312" w:eastAsia="仿宋_GB2312"/>
          <w:sz w:val="32"/>
          <w:szCs w:val="32"/>
          <w:lang w:val="en-US" w:eastAsia="zh-CN"/>
        </w:rPr>
      </w:pPr>
      <w:r>
        <w:rPr>
          <w:rFonts w:hint="eastAsia" w:ascii="仿宋_GB2312"/>
          <w:b/>
          <w:bCs/>
          <w:sz w:val="32"/>
          <w:szCs w:val="32"/>
          <w:lang w:val="en-US" w:eastAsia="zh-CN"/>
        </w:rPr>
        <w:t>2.整改措施</w:t>
      </w:r>
      <w:r>
        <w:rPr>
          <w:rFonts w:hint="eastAsia" w:ascii="仿宋_GB2312"/>
          <w:sz w:val="32"/>
          <w:szCs w:val="32"/>
          <w:lang w:val="en-US" w:eastAsia="zh-CN"/>
        </w:rPr>
        <w:t>：一是</w:t>
      </w:r>
      <w:r>
        <w:rPr>
          <w:rFonts w:hint="eastAsia" w:ascii="仿宋_GB2312"/>
          <w:sz w:val="32"/>
          <w:szCs w:val="32"/>
        </w:rPr>
        <w:t>细化预算编制工作，认真做好预算的编制。进一步加强单位内部机构各</w:t>
      </w:r>
      <w:r>
        <w:rPr>
          <w:rFonts w:hint="eastAsia" w:ascii="仿宋_GB2312"/>
          <w:sz w:val="32"/>
          <w:szCs w:val="32"/>
          <w:lang w:val="en-US" w:eastAsia="zh-CN"/>
        </w:rPr>
        <w:t>科</w:t>
      </w:r>
      <w:r>
        <w:rPr>
          <w:rFonts w:hint="eastAsia" w:ascii="仿宋_GB2312"/>
          <w:sz w:val="32"/>
          <w:szCs w:val="32"/>
        </w:rPr>
        <w:t>室的预算管理意识，严格按照预算编制的相关制度和要求进行预算编制；全面编制预算项目，优先保障固定性的、相对刚性的费用支出项目，</w:t>
      </w:r>
      <w:bookmarkStart w:id="0" w:name="_GoBack"/>
      <w:bookmarkEnd w:id="0"/>
      <w:r>
        <w:rPr>
          <w:rFonts w:hint="eastAsia" w:ascii="仿宋_GB2312"/>
          <w:sz w:val="32"/>
          <w:szCs w:val="32"/>
        </w:rPr>
        <w:t>尽量压缩变动性的、有控制空间的费用项目，进一步提高预算编制的科学性、严谨性和可控性。加强内部预算编制的审核和预算控制指标的下达。</w:t>
      </w:r>
      <w:r>
        <w:rPr>
          <w:rFonts w:hint="eastAsia" w:ascii="仿宋_GB2312"/>
          <w:sz w:val="32"/>
          <w:szCs w:val="32"/>
          <w:lang w:val="en-US" w:eastAsia="zh-CN"/>
        </w:rPr>
        <w:t>二是</w:t>
      </w:r>
      <w:r>
        <w:rPr>
          <w:rFonts w:hint="eastAsia" w:ascii="仿宋" w:hAnsi="仿宋" w:eastAsia="仿宋" w:cs="仿宋"/>
          <w:sz w:val="32"/>
          <w:szCs w:val="32"/>
        </w:rPr>
        <w:t>对相关人员加强培训，特别是针对《预算法》《行政事业单位会计制度》等学习培训，规范部门预算收支核算，切实提高部门预算收支管理水平。</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有关建议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sz w:val="32"/>
          <w:szCs w:val="32"/>
        </w:rPr>
      </w:pPr>
      <w:r>
        <w:rPr>
          <w:rFonts w:hint="eastAsia" w:ascii="仿宋_GB2312"/>
          <w:sz w:val="32"/>
          <w:szCs w:val="32"/>
          <w:lang w:val="en-US" w:eastAsia="zh-CN"/>
        </w:rPr>
        <w:t>一是以提升预算绩效管理水平为契机，逐步构建全过程预算绩效管理链条。开展事前绩效评估、绩效运行“双监控”和绩效自评价工作，及时总结问题、提炼经验，为下一步项目的改进和完善提供重要支撑。二是科学设置绩效目标。设置项目绩效目标时，要与预算资金支出内容、项目历史业绩水平数据和各类政策文件充分衔接，科学设置符合项目特性的绩效目标，细化分解为具体绩效指标，并通过清晰、可衡量的指标予以体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eastAsia" w:ascii="黑体" w:hAnsi="黑体" w:eastAsia="黑体" w:cs="黑体"/>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eastAsia" w:ascii="黑体" w:hAnsi="黑体" w:eastAsia="黑体" w:cs="黑体"/>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 xml:space="preserve">                           </w:t>
      </w:r>
    </w:p>
    <w:sectPr>
      <w:pgSz w:w="11906" w:h="16838"/>
      <w:pgMar w:top="1418" w:right="1797" w:bottom="1077" w:left="1797" w:header="851" w:footer="992" w:gutter="0"/>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34DBC5"/>
    <w:multiLevelType w:val="singleLevel"/>
    <w:tmpl w:val="1034DBC5"/>
    <w:lvl w:ilvl="0" w:tentative="0">
      <w:start w:val="1"/>
      <w:numFmt w:val="chineseCounting"/>
      <w:suff w:val="nothing"/>
      <w:lvlText w:val="%1、"/>
      <w:lvlJc w:val="left"/>
      <w:rPr>
        <w:rFonts w:hint="eastAsia"/>
      </w:rPr>
    </w:lvl>
  </w:abstractNum>
  <w:abstractNum w:abstractNumId="1">
    <w:nsid w:val="40CD58E5"/>
    <w:multiLevelType w:val="singleLevel"/>
    <w:tmpl w:val="40CD58E5"/>
    <w:lvl w:ilvl="0" w:tentative="0">
      <w:start w:val="1"/>
      <w:numFmt w:val="chineseCounting"/>
      <w:suff w:val="nothing"/>
      <w:lvlText w:val="（%1）"/>
      <w:lvlJc w:val="left"/>
      <w:pPr>
        <w:ind w:left="64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YTVjNGI0YmM5ZjM5ZjRmOTJiMTUwMjFlZjRhYjkifQ=="/>
  </w:docVars>
  <w:rsids>
    <w:rsidRoot w:val="00F57F82"/>
    <w:rsid w:val="000101E1"/>
    <w:rsid w:val="00040106"/>
    <w:rsid w:val="000568BA"/>
    <w:rsid w:val="00091202"/>
    <w:rsid w:val="000C7227"/>
    <w:rsid w:val="000D7703"/>
    <w:rsid w:val="000F6BDF"/>
    <w:rsid w:val="00103D16"/>
    <w:rsid w:val="0014265E"/>
    <w:rsid w:val="001865C9"/>
    <w:rsid w:val="001871AC"/>
    <w:rsid w:val="001A1133"/>
    <w:rsid w:val="001A3E44"/>
    <w:rsid w:val="001C6088"/>
    <w:rsid w:val="001F06B3"/>
    <w:rsid w:val="002013C2"/>
    <w:rsid w:val="00261E61"/>
    <w:rsid w:val="0026348F"/>
    <w:rsid w:val="00263BFC"/>
    <w:rsid w:val="00266466"/>
    <w:rsid w:val="00291940"/>
    <w:rsid w:val="002939A0"/>
    <w:rsid w:val="00293B12"/>
    <w:rsid w:val="002C4144"/>
    <w:rsid w:val="002D020A"/>
    <w:rsid w:val="002D1126"/>
    <w:rsid w:val="002E0E77"/>
    <w:rsid w:val="003131A0"/>
    <w:rsid w:val="003375EE"/>
    <w:rsid w:val="00357ADB"/>
    <w:rsid w:val="00386D93"/>
    <w:rsid w:val="0039357D"/>
    <w:rsid w:val="003A3A5F"/>
    <w:rsid w:val="003D3816"/>
    <w:rsid w:val="00403402"/>
    <w:rsid w:val="00404E64"/>
    <w:rsid w:val="00411EBD"/>
    <w:rsid w:val="004121A9"/>
    <w:rsid w:val="00467D72"/>
    <w:rsid w:val="005154E8"/>
    <w:rsid w:val="005B25F9"/>
    <w:rsid w:val="005C6046"/>
    <w:rsid w:val="00612C65"/>
    <w:rsid w:val="00643346"/>
    <w:rsid w:val="00660CA7"/>
    <w:rsid w:val="006930E3"/>
    <w:rsid w:val="0069333E"/>
    <w:rsid w:val="006B1055"/>
    <w:rsid w:val="006E4225"/>
    <w:rsid w:val="006E5955"/>
    <w:rsid w:val="00720128"/>
    <w:rsid w:val="0073678B"/>
    <w:rsid w:val="00781435"/>
    <w:rsid w:val="007C3FB8"/>
    <w:rsid w:val="007D2B88"/>
    <w:rsid w:val="007F1D75"/>
    <w:rsid w:val="0081746D"/>
    <w:rsid w:val="00817D75"/>
    <w:rsid w:val="008353BC"/>
    <w:rsid w:val="00847870"/>
    <w:rsid w:val="00863E10"/>
    <w:rsid w:val="0086729E"/>
    <w:rsid w:val="00873E40"/>
    <w:rsid w:val="008A6189"/>
    <w:rsid w:val="008D1192"/>
    <w:rsid w:val="00915E73"/>
    <w:rsid w:val="009423BB"/>
    <w:rsid w:val="0095655A"/>
    <w:rsid w:val="009863FE"/>
    <w:rsid w:val="009B6CFF"/>
    <w:rsid w:val="009C2225"/>
    <w:rsid w:val="009C6D1F"/>
    <w:rsid w:val="00A13338"/>
    <w:rsid w:val="00A710E6"/>
    <w:rsid w:val="00A7654D"/>
    <w:rsid w:val="00A82770"/>
    <w:rsid w:val="00A8522E"/>
    <w:rsid w:val="00A96290"/>
    <w:rsid w:val="00A97EB4"/>
    <w:rsid w:val="00AA1379"/>
    <w:rsid w:val="00AE3F98"/>
    <w:rsid w:val="00AF4D10"/>
    <w:rsid w:val="00B07A6C"/>
    <w:rsid w:val="00B32313"/>
    <w:rsid w:val="00B33813"/>
    <w:rsid w:val="00B3790C"/>
    <w:rsid w:val="00B509B5"/>
    <w:rsid w:val="00B51EAC"/>
    <w:rsid w:val="00B529C9"/>
    <w:rsid w:val="00B64F9E"/>
    <w:rsid w:val="00B740AB"/>
    <w:rsid w:val="00BB7F56"/>
    <w:rsid w:val="00BC40AF"/>
    <w:rsid w:val="00BD710F"/>
    <w:rsid w:val="00BF15EB"/>
    <w:rsid w:val="00C05752"/>
    <w:rsid w:val="00C44841"/>
    <w:rsid w:val="00C74617"/>
    <w:rsid w:val="00C954F9"/>
    <w:rsid w:val="00CA5025"/>
    <w:rsid w:val="00CD453E"/>
    <w:rsid w:val="00CE1619"/>
    <w:rsid w:val="00CF0910"/>
    <w:rsid w:val="00D433C7"/>
    <w:rsid w:val="00D936D3"/>
    <w:rsid w:val="00DA4305"/>
    <w:rsid w:val="00DA475D"/>
    <w:rsid w:val="00DA5A9F"/>
    <w:rsid w:val="00DB1114"/>
    <w:rsid w:val="00DD6D9F"/>
    <w:rsid w:val="00DD7197"/>
    <w:rsid w:val="00DF51B4"/>
    <w:rsid w:val="00DF524C"/>
    <w:rsid w:val="00E64C60"/>
    <w:rsid w:val="00E87F65"/>
    <w:rsid w:val="00E95F83"/>
    <w:rsid w:val="00EE6A65"/>
    <w:rsid w:val="00F0069D"/>
    <w:rsid w:val="00F00B4F"/>
    <w:rsid w:val="00F40D96"/>
    <w:rsid w:val="00F57F82"/>
    <w:rsid w:val="00F66667"/>
    <w:rsid w:val="00F77295"/>
    <w:rsid w:val="00F84331"/>
    <w:rsid w:val="00FA5D52"/>
    <w:rsid w:val="00FC3462"/>
    <w:rsid w:val="00FE5AC8"/>
    <w:rsid w:val="00FF6F75"/>
    <w:rsid w:val="00FF7954"/>
    <w:rsid w:val="01DC1004"/>
    <w:rsid w:val="0550155F"/>
    <w:rsid w:val="0E7B4B63"/>
    <w:rsid w:val="19E40780"/>
    <w:rsid w:val="1A3C6C4F"/>
    <w:rsid w:val="1C153C6D"/>
    <w:rsid w:val="1D8048F0"/>
    <w:rsid w:val="25F773C2"/>
    <w:rsid w:val="275D57F8"/>
    <w:rsid w:val="2C2935DB"/>
    <w:rsid w:val="32A447FC"/>
    <w:rsid w:val="332B6989"/>
    <w:rsid w:val="33B202C4"/>
    <w:rsid w:val="36466CA3"/>
    <w:rsid w:val="36CC0558"/>
    <w:rsid w:val="37275BD1"/>
    <w:rsid w:val="3E052DF3"/>
    <w:rsid w:val="42C1415E"/>
    <w:rsid w:val="484F2D8C"/>
    <w:rsid w:val="4A3809DD"/>
    <w:rsid w:val="4BA014AA"/>
    <w:rsid w:val="4D0168D0"/>
    <w:rsid w:val="51971756"/>
    <w:rsid w:val="54000745"/>
    <w:rsid w:val="594A216F"/>
    <w:rsid w:val="5A4010A3"/>
    <w:rsid w:val="5A78543A"/>
    <w:rsid w:val="60CE736C"/>
    <w:rsid w:val="64836108"/>
    <w:rsid w:val="6658701C"/>
    <w:rsid w:val="66D068D5"/>
    <w:rsid w:val="6A7E1356"/>
    <w:rsid w:val="766A1E35"/>
    <w:rsid w:val="79692482"/>
    <w:rsid w:val="79B97E09"/>
    <w:rsid w:val="7E9A1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kern w:val="0"/>
      <w:sz w:val="24"/>
      <w:lang w:val="en-US" w:eastAsia="zh-CN" w:bidi="ar"/>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link w:val="4"/>
    <w:qFormat/>
    <w:uiPriority w:val="0"/>
    <w:rPr>
      <w:rFonts w:eastAsia="仿宋_GB2312"/>
      <w:kern w:val="2"/>
      <w:sz w:val="18"/>
      <w:szCs w:val="18"/>
    </w:rPr>
  </w:style>
  <w:style w:type="character" w:customStyle="1" w:styleId="10">
    <w:name w:val="页脚 字符"/>
    <w:link w:val="3"/>
    <w:qFormat/>
    <w:uiPriority w:val="0"/>
    <w:rPr>
      <w:rFonts w:eastAsia="仿宋_GB2312"/>
      <w:kern w:val="2"/>
      <w:sz w:val="18"/>
      <w:szCs w:val="18"/>
    </w:rPr>
  </w:style>
  <w:style w:type="character" w:customStyle="1" w:styleId="11">
    <w:name w:val="批注框文本 字符"/>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3356</Words>
  <Characters>3553</Characters>
  <Lines>1</Lines>
  <Paragraphs>1</Paragraphs>
  <TotalTime>1</TotalTime>
  <ScaleCrop>false</ScaleCrop>
  <LinksUpToDate>false</LinksUpToDate>
  <CharactersWithSpaces>3649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2011-03-02T00:16:00Z</dcterms:created>
  <dc:creator>lhn</dc:creator>
  <cp:lastModifiedBy>闻风知露</cp:lastModifiedBy>
  <cp:lastPrinted>2022-06-02T02:46:00Z</cp:lastPrinted>
  <dcterms:modified xsi:type="dcterms:W3CDTF">2023-12-21T02:02:44Z</dcterms:modified>
  <dc:title>财政支出绩效评价报告</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8F62173764E14E9780685E9CA2CAACFE</vt:lpwstr>
  </property>
  <property fmtid="{D5CDD505-2E9C-101B-9397-08002B2CF9AE}" pid="4" name="commondata">
    <vt:lpwstr>eyJoZGlkIjoiYzk5NjVhZmIyZTk2OGE2YWNjNWUyNTFjNzkwMzYxYTIifQ==</vt:lpwstr>
  </property>
</Properties>
</file>