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燃气用户报装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一．</w:t>
      </w:r>
      <w:r>
        <w:rPr>
          <w:rFonts w:hint="eastAsia"/>
          <w:b/>
          <w:bCs/>
          <w:sz w:val="28"/>
          <w:szCs w:val="28"/>
          <w:lang w:val="en-US" w:eastAsia="zh-CN"/>
        </w:rPr>
        <w:t>基本信息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1基本信息</w:t>
      </w:r>
    </w:p>
    <w:tbl>
      <w:tblPr>
        <w:tblStyle w:val="4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715"/>
        <w:gridCol w:w="222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事项名称</w:t>
            </w:r>
          </w:p>
        </w:tc>
        <w:tc>
          <w:tcPr>
            <w:tcW w:w="2715" w:type="dxa"/>
            <w:tcBorders>
              <w:top w:val="single" w:color="E2E2E2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燃气用户报装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事项类型</w:t>
            </w:r>
          </w:p>
        </w:tc>
        <w:tc>
          <w:tcPr>
            <w:tcW w:w="2265" w:type="dxa"/>
            <w:tcBorders>
              <w:top w:val="single" w:color="E2E2E2" w:sz="8" w:space="0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实施主体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唐河华嘉盛燃气有限公司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办件类型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即办件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法定办理时限</w:t>
            </w:r>
          </w:p>
        </w:tc>
        <w:tc>
          <w:tcPr>
            <w:tcW w:w="27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"https://www.hnzwfw.gov.cn/portal/guide/javascript:;" \o "https://www.hnzwfw.gov.cn/portal/guide/javascript:;"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个工作日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承诺办理时限</w:t>
            </w:r>
          </w:p>
        </w:tc>
        <w:tc>
          <w:tcPr>
            <w:tcW w:w="226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"https://www.hnzwfw.gov.cn/portal/guide/javascript:;" \o "https://www.hnzwfw.gov.cn/portal/guide/javascript:;"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none"/>
              </w:rPr>
              <w:t xml:space="preserve">1个工作日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权力来源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同级授权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行使层级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是否涉及特殊环节</w:t>
            </w:r>
          </w:p>
        </w:tc>
        <w:tc>
          <w:tcPr>
            <w:tcW w:w="27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不涉及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是否涉及中介服务</w:t>
            </w:r>
          </w:p>
        </w:tc>
        <w:tc>
          <w:tcPr>
            <w:tcW w:w="226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不涉及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实施主体性质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法定机关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服务对象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自然人、企业法人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是否网办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办理形式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窗口办理、网上办理、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网上办理深度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互联网咨询、互联网收件、互联网预审、互联网受理、互联网办理、互联网办理结果信息反馈、互联网电子证照反馈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通办范围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数量限制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无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四办标志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马上办、一次办、就近办、网上办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最多到现场办事次数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0次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必须现场办理原因说明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是否支持物流快递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是否网上支付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行使内容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E2E2E2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县区范围内的房屋进行用户变更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权限划分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县区范围内</w:t>
            </w: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225" w:afterAutospacing="0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</w:rPr>
        <w:t>扩展信息</w:t>
      </w:r>
    </w:p>
    <w:tbl>
      <w:tblPr>
        <w:tblStyle w:val="4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715"/>
        <w:gridCol w:w="222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入驻网上办事大厅方式</w:t>
            </w:r>
          </w:p>
        </w:tc>
        <w:tc>
          <w:tcPr>
            <w:tcW w:w="2715" w:type="dxa"/>
            <w:tcBorders>
              <w:top w:val="single" w:color="E2E2E2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统一受理式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是否投资事项</w:t>
            </w:r>
          </w:p>
        </w:tc>
        <w:tc>
          <w:tcPr>
            <w:tcW w:w="2265" w:type="dxa"/>
            <w:tcBorders>
              <w:top w:val="single" w:color="E2E2E2" w:sz="8" w:space="0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是否支持预约办理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是否进驻政务实体大厅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个人主题分类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是否支持自助终端办理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面向自然人的事件分类(人生事件)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法人主题分类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面向法人的特定对象分类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中小企业、民营企业、私营企业、个体工商户、重点企业、高新技术企业、其他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面向自然人的特定人群分类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面向法人的经营活动分类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办理地址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凤山路与福州路交叉口东南角，福州路18号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唐河县政务服务网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地图坐标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PingFangSC-Medium" w:hAnsi="PingFangSC-Medium" w:eastAsia="PingFangSC-Medium" w:cs="PingFangSC-Medium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办理系统咨询电话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E2E2E2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0377-68991877</w:t>
            </w: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监督投诉电话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0377-68666639</w:t>
            </w: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225" w:afterAutospacing="0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</w:rPr>
        <w:t>编码信息</w:t>
      </w:r>
    </w:p>
    <w:tbl>
      <w:tblPr>
        <w:tblStyle w:val="4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715"/>
        <w:gridCol w:w="222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实施主体编码</w:t>
            </w:r>
          </w:p>
        </w:tc>
        <w:tc>
          <w:tcPr>
            <w:tcW w:w="2715" w:type="dxa"/>
            <w:tcBorders>
              <w:top w:val="single" w:color="E2E2E2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实施编码</w:t>
            </w:r>
          </w:p>
        </w:tc>
        <w:tc>
          <w:tcPr>
            <w:tcW w:w="2265" w:type="dxa"/>
            <w:tcBorders>
              <w:top w:val="single" w:color="E2E2E2" w:sz="8" w:space="0"/>
              <w:left w:val="nil"/>
              <w:bottom w:val="nil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地方实施编码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E2E2E2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业务办理项编码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E2E2E2" w:sz="8" w:space="0"/>
              <w:right w:val="single" w:color="E2E2E2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申请条件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有用气需求即可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设定依据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《城镇燃气管理条例》（国务院令第583号公布）第十七条：燃气经营者应当向燃气用户持续、稳定、安全供应符合国家质量标准的燃气,指导燃气用户安全用气、节约用气,并对燃气设施定期进行安全检查。燃气经营者应当公示业务流程、服务承诺、收费标准和服务热线等信息，并按照国家燃气服务标准提供服务。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《河南省城镇燃气管理办法》（省政府令158号）第十二条 省辖市、县(市)人民政府或者其授权的燃气主管部门应当按照有关法律、法规规定,通过市场竞争机制,以招标投标方式选择管道燃气投资企业或者经营企业,并签订特许经营协议。特许经营协议应当明确特许经营内容、区域、范围、有效期限及服务标准等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四．申请材料</w:t>
      </w:r>
    </w:p>
    <w:tbl>
      <w:tblPr>
        <w:tblW w:w="159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314"/>
        <w:gridCol w:w="1127"/>
        <w:gridCol w:w="1476"/>
        <w:gridCol w:w="1048"/>
        <w:gridCol w:w="917"/>
        <w:gridCol w:w="969"/>
        <w:gridCol w:w="1424"/>
        <w:gridCol w:w="1518"/>
        <w:gridCol w:w="1420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来源渠道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来源渠道说明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材料必要性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材料下载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材料类型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收取方式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填报须知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受理标准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中华人民共和国居民身份证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政府部门核发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公安机关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容缺后补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"https://uploadmatter.hnzwfw.gov.cn/fileserver/download.jsp?filePath=/group1/M00/02/FC/rBQCSmAFSXGAQrZZAAIqAGtOg2A821.doc" \o "https://uploadmatter.hnzwfw.gov.cn/fileserver/download.jsp?filePath=/group1/M00/02/FC/rBQCSmAFSXGAQrZZAAIqAGtOg2A821.doc"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none"/>
                <w:bdr w:val="none" w:color="auto" w:sz="0" w:space="0"/>
              </w:rPr>
              <w:t>模版见附件2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原件:0  复印件：0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收取纸质材料、上传电子文件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266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1、需在系统上传jpg格式图片；2、准备申报资料复印件是为了确定房屋归属3；户主本人身份证复印件，备注：委托他人办理应提供经办人身份证复印件。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266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材料真实有效，图样清晰可辨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266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中华人民共和国居民身份证条例第十四条公民在办理涉及政治、经济、社会生活等权益的事务时，可以出示居民身份证，证明其身份。有关单位不得扣留或者要求作为抵押。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营业执照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政府部门核发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工商行政管理局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容缺后补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"https://uploadmatter.hnzwfw.gov.cn/fileserver/download.jsp?filePath=/group1/M00/15/E0/rBQCQl9PUGqAEV91AByukk2l088129.pdf" \o "https://uploadmatter.hnzwfw.gov.cn/fileserver/download.jsp?filePath=/group1/M00/15/E0/rBQCQl9PUGqAEV91AByukk2l088129.pdf"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none"/>
                <w:bdr w:val="none" w:color="auto" w:sz="0" w:space="0"/>
              </w:rPr>
              <w:t>模版见附件4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原件:0  复印件：0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收取纸质材料、上传电子文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266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1、需在系统上传jpg格式图片；2、准备申报资料复印件是为了确定企业归属3、经营者本人营业证书复印件。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266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材料真实有效，图样清晰可辨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06266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《中华人民共和国企业法人登记管理条例》第三十条和《中华人民共和国企业法人登记管理条例施行细则》第六十三条的有关规定，对企业和经营单位未经核准登记擅自开业从事经营活动的，责令终止经营活动，没收非法所得。 处以非法所得额3倍以下的罚款，没有非法所得的，处以1万元以下罚款。 2、《中华人民共和国合伙企业登记管理办法》第二十六条规定：未经企业登记机关依法核准登记并领取营业执照，以合伙企业名义从事经营活动的，由企业登记机关责令停止经营活动，可以处以5000元以下罚款。如以合伙企业名义从事经营活动的，则适用本条例。 3、《个人独资企业登记管理办法》第三十五条规定：未经登记机关依法核准登记并领取营业执照，以个人独资名义从事经营活动的，由登记机关责令停止经营活动，处以3000元以下罚款。</w:t>
            </w: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b/>
          <w:bCs/>
          <w:sz w:val="44"/>
          <w:szCs w:val="44"/>
          <w:lang w:val="en-US" w:eastAsia="zh-CN"/>
        </w:rPr>
        <w:sectPr>
          <w:pgSz w:w="16838" w:h="11906" w:orient="landscape"/>
          <w:pgMar w:top="567" w:right="283" w:bottom="567" w:left="283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五．收费信息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不收费</w:t>
      </w:r>
    </w:p>
    <w:p>
      <w:pPr>
        <w:numPr>
          <w:numId w:val="0"/>
        </w:num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办理流程</w:t>
      </w:r>
    </w:p>
    <w:p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收件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办理结果：无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审查标准：无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受理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办理结果：材料齐全提交审核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审查标准</w:t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对申请材料进行审核，申请材料齐全、符合受理要求的，决定予以受理。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(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)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申请材料齐全符合要求，但需进一步核实的，应当决定予以受理，同时告知申请人需要核实的事项、理由及时间。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(3)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申请材料不齐全或者不符合法定形式的，应当当场告知申请人需要补正全部内容。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left"/>
        <w:textAlignment w:val="baseline"/>
        <w:rPr>
          <w:rFonts w:hint="eastAsia" w:cs="宋体"/>
          <w:b/>
          <w:bCs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审核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outlineLvl w:val="3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办理结果：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outlineLvl w:val="3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(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)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经现场勘查符合用气条件的告知用户并签订用气设计单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outlineLvl w:val="3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(2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)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经现场勘查</w:t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不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符合用户条件的告知用户并出具不符合用气通知单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outlineLvl w:val="3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审查标准</w:t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:</w:t>
      </w:r>
    </w:p>
    <w:p>
      <w:pPr>
        <w:rPr>
          <w:rFonts w:hint="default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提交材料是否齐全、是否符合要求，材料需要审核的，核实相关材料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决定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outlineLvl w:val="3"/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办理结果：</w:t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textAlignment w:val="baseline"/>
        <w:outlineLvl w:val="3"/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审查标准</w:t>
      </w:r>
      <w:r>
        <w:rPr>
          <w:rFonts w:hint="eastAsia" w:cs="宋体"/>
          <w:b w:val="0"/>
          <w:bCs w:val="0"/>
          <w:i w:val="0"/>
          <w:iCs w:val="0"/>
          <w:caps w:val="0"/>
          <w:color w:val="4A4A4A"/>
          <w:spacing w:val="0"/>
          <w:kern w:val="2"/>
          <w:sz w:val="28"/>
          <w:szCs w:val="28"/>
          <w:lang w:val="en-US" w:eastAsia="zh-CN" w:bidi="ar-SA"/>
        </w:rPr>
        <w:t>: 无</w:t>
      </w:r>
    </w:p>
    <w:p>
      <w:pPr>
        <w:numPr>
          <w:numId w:val="0"/>
        </w:num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流程图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4950460" cy="62503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789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numId w:val="0"/>
        </w:numPr>
        <w:jc w:val="both"/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A4A4A"/>
          <w:spacing w:val="0"/>
          <w:sz w:val="28"/>
          <w:szCs w:val="28"/>
          <w:lang w:val="en-US" w:eastAsia="zh-CN"/>
        </w:rPr>
        <w:t>审批结果</w:t>
      </w:r>
    </w:p>
    <w:tbl>
      <w:tblPr>
        <w:tblW w:w="83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75"/>
        <w:gridCol w:w="1452"/>
        <w:gridCol w:w="1308"/>
        <w:gridCol w:w="1080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9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序列</w:t>
            </w:r>
          </w:p>
        </w:tc>
        <w:tc>
          <w:tcPr>
            <w:tcW w:w="157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结果名称</w:t>
            </w:r>
          </w:p>
        </w:tc>
        <w:tc>
          <w:tcPr>
            <w:tcW w:w="1452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结果样本</w:t>
            </w:r>
          </w:p>
        </w:tc>
        <w:tc>
          <w:tcPr>
            <w:tcW w:w="1308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结果获取方式</w:t>
            </w:r>
          </w:p>
        </w:tc>
        <w:tc>
          <w:tcPr>
            <w:tcW w:w="108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结果类型</w:t>
            </w:r>
          </w:p>
        </w:tc>
        <w:tc>
          <w:tcPr>
            <w:tcW w:w="2412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领取说明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9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供气方案确认单</w:t>
            </w:r>
          </w:p>
        </w:tc>
        <w:tc>
          <w:tcPr>
            <w:tcW w:w="1452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2850A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模版见附件6</w:t>
            </w:r>
          </w:p>
        </w:tc>
        <w:tc>
          <w:tcPr>
            <w:tcW w:w="1308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窗口领取</w:t>
            </w:r>
          </w:p>
        </w:tc>
        <w:tc>
          <w:tcPr>
            <w:tcW w:w="1080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412" w:type="dxa"/>
            <w:tcBorders>
              <w:top w:val="single" w:color="E2E2E2" w:sz="8" w:space="0"/>
              <w:left w:val="single" w:color="E2E2E2" w:sz="8" w:space="0"/>
              <w:bottom w:val="single" w:color="E2E2E2" w:sz="8" w:space="0"/>
              <w:right w:val="single" w:color="E2E2E2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燃气公司工作人员主动电话联系客户</w:t>
            </w:r>
          </w:p>
        </w:tc>
      </w:tr>
    </w:tbl>
    <w:p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F4133"/>
    <w:multiLevelType w:val="singleLevel"/>
    <w:tmpl w:val="8A4F41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AD7080"/>
    <w:multiLevelType w:val="singleLevel"/>
    <w:tmpl w:val="FCAD708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63F51D"/>
    <w:multiLevelType w:val="singleLevel"/>
    <w:tmpl w:val="0963F51D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1BE55EFE"/>
    <w:multiLevelType w:val="singleLevel"/>
    <w:tmpl w:val="1BE55EFE"/>
    <w:lvl w:ilvl="0" w:tentative="0">
      <w:start w:val="6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229054EA"/>
    <w:multiLevelType w:val="singleLevel"/>
    <w:tmpl w:val="229054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IyODdlMDBlNDgzZjBjZTRjMjVhMTFjNjBjMWMifQ=="/>
  </w:docVars>
  <w:rsids>
    <w:rsidRoot w:val="00000000"/>
    <w:rsid w:val="21B96FAA"/>
    <w:rsid w:val="595123DB"/>
    <w:rsid w:val="7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PingFangSC-Medium" w:hAnsi="PingFangSC-Medium" w:eastAsia="PingFangSC-Medium" w:cs="PingFangSC-Medium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1911</Words>
  <Characters>1961</Characters>
  <Lines>0</Lines>
  <Paragraphs>0</Paragraphs>
  <TotalTime>0</TotalTime>
  <ScaleCrop>false</ScaleCrop>
  <LinksUpToDate>false</LinksUpToDate>
  <CharactersWithSpaces>1972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2023-08-19T01:39:45Z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6836A03741F746B2BE37176B910B0429_12</vt:lpwstr>
  </property>
</Properties>
</file>