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left="0" w:right="0" w:firstLine="0"/>
        <w:jc w:val="center"/>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国家税务总局关于进一步简化企业开办涉税事项办理程序压缩办理时间的通知</w:t>
      </w:r>
    </w:p>
    <w:p>
      <w:pPr>
        <w:jc w:val="center"/>
        <w:rPr>
          <w:rFonts w:hint="eastAsia" w:ascii="楷体" w:hAnsi="楷体" w:eastAsia="楷体" w:cs="楷体"/>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税总发〔2019〕126号</w:t>
      </w:r>
    </w:p>
    <w:p>
      <w:pPr>
        <w:jc w:val="center"/>
        <w:rPr>
          <w:rFonts w:ascii="微软雅黑" w:hAnsi="微软雅黑" w:eastAsia="微软雅黑" w:cs="微软雅黑"/>
          <w:i w:val="0"/>
          <w:iCs w:val="0"/>
          <w:caps w:val="0"/>
          <w:color w:val="FF0000"/>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国家税务总局各省、自治区、直辖市和计划单列市税务局，国家税务总局驻各地特派员办事处：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为深入贯彻党的十九届四中全会精神，落实《优化营商环境条例》有关要求，深化税收领域“放管服”改革，持续优化税收营商环境，现就进一步简化企业开办涉税事项办理程序、压缩办理时间有关问题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一、目标要求及工作原则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（一）目标要求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2020年6月底前，企业开办涉税事项办理全部实现一套资料、一窗受理、一次提交、一次办结。进一步压缩企业开办首次办税时申领增值税发票时间，有条件的地区可以压缩至1个工作日内。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（二）工作原则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便利高效。减事项、减表单、减资料、减流程、减操作，推动将企业开办事项由部门间“串联”办理转变为“并联”办理；运用信息化手段提升办理效率，方便纳税人办税。个体工商户、农民合作社参照适用。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分类办理。根据新办企业实际需求，分类办理企业开办涉税事项。新办企业需要申领发票的，可按照优化后程序办理，暂不申领发票的，企业在办理涉税事项时确认登记信息即可。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资料容缺。企业开办过程中资料不全，但不直接影响事项办理的，税务机关可为企业先行办理开办事项，纳税人后续补充报送。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风险可控。在优化企业开办流程、压缩办理时间的同时，通过对办税人员进行实名信息采集验证，对新办企业进行用票风险“体检”等方式开展事中事后监管，加强对虚假注册、虚开发票等违法行为的风险防控。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二、具体措施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规范企业开办涉税事项。新开办企业时，纳税人依申请办理的事项包括登记信息确认、发票票种核定、增值税一般纳税人登记、增值税专用发票最高开票限额审批、增值税税控系统专用设备初始发行（含税务UKey发放）、发票领用等6个事项；税务机关依职权办理的事项为主管税务机关及科所分配、税（费）种认定等2个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除上述事项之外，各地不得擅自增加其他事项作为企业开办事项。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（二）减表单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推行企业开办“一表集成”。企业开办首次申领发票涉及相关事项所需填写、确认的《增值税一般纳税人登记表》《纳税人领用发票票种核定表》《税务行政许可申请表》《增值税专用发票最高开票限额申请单》等集成至《新办纳税人涉税事项综合申请表》（详见附件1），由纳税人一次填报和确认，实现企业开办“一表集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（三）减资料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进一步减少报送资料。市场监管部门已经采集办税人员实名信息的纳税人，税务机关可通过信息共享获取实名信息的，无需重复采集。企业办税人员已实名的，可不再提交营业执照原件或复印件。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实行“容缺式”办理。企业通过优化后的程序现场办理开办涉税事项，若暂时无法提供企业印章,符合以下条件的，税务机关予以容缺办理：由其法定代表人办理时，已实名采集认证并承诺后续补齐的；由办税人员办理时，办税人员已实名采集认证，经法定代表人线上实名采集认证、授予办税人员办税权限的，或者提供法定代表人授权委托书的（详见附件2）。企业30日内未补充提供印章的，税务机关将其行为纳入信用记录，对其实施风险管理并严格办理发票领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（四）减流程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简并线下办理流程。金税三期系统新增“企业开办（优化版）”功能，将企业开办首次办税涉及的系统功能、流程进行整合，实现税务人员在一个模块操作完成各相关事项的操作。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优化网上办理体验。各地通过改造电子税务局等系统，将企业开办涉税事项实行一套资料、一次提交、一次采集、一次办结。在电子税务局中设置操作指引提示，为新办企业提供相应的提示引导服务。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（五）减操作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探索智能化办税。探索运用信息化的手段，辅助实现主管税务机关及科所分配、税（费）种认定，通过建立指标体系，实现发票用量的自动核准，减少纳税人、税务干部的人工操作步骤。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后续事项同步办理。“财务会计制度及核算软件备案报告”“存款账户账号报告”“银税三方（委托）划缴协议”等后续事项，企业可在电子税务局自行办理，或在办税服务厅再次办理涉税事项时办理。如企业在开办时申请一并办理的，税务机关可同时予以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三、工作要求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结合实际落实。各省税务机关要按照本通知要求，结合本地实际研究完善措施，确保简化企业开办涉税事项办理流程、压缩办理时间各项要求落到实处。要加强宣传辅导，做好企业开办涉税业务办理的提示提醒，并及时研究解决工作中遇到的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加强信息共享。各地税务机关要主动作为，进一步加强与市场监管部门信息共享和联合监管，提高信息共享频次，健全信息对账和异常信息现场处理机制，保证登记信息共享的及时性、准确性、完整性。要积极配合当地政府部门实现企业开办事项网上办理，根据职责分工做好衔接，确保企业开办涉税事项办理顺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强化技术支撑。各地税务机关做好本地电子税务局、自助办税终端、发票寄递平台、短信平台等信息系统的改造，抓好与金税三期系统、增值税发票管理系统、政府政务一体化平台的衔接、整合工作，实现全程线上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做到无缝衔接。企业开办事项提供线上申请线下办理的，应加强衔接，避免出现线上受理，线下不能及时处理的情形。各地税务机关根据本地实际情况，在风险可控基础上，尽可能实现增值税税控系统专用设备网上购买或税务UKey网上发放，并提供便利化初始发行方式，纳税人在线上提出申请后，主管税务机关应及时响应并通过在办税服务厅、自助办税终端发行，邮寄或安排税控服务单位上门安装等方式，实现从申请到领用的无缝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附件：1.</w:t>
      </w:r>
      <w:r>
        <w:rPr>
          <w:rFonts w:hint="eastAsia" w:ascii="仿宋" w:hAnsi="仿宋" w:eastAsia="仿宋" w:cs="仿宋"/>
          <w:i w:val="0"/>
          <w:iCs w:val="0"/>
          <w:caps w:val="0"/>
          <w:color w:val="auto"/>
          <w:spacing w:val="0"/>
          <w:sz w:val="32"/>
          <w:szCs w:val="32"/>
          <w:u w:val="none"/>
          <w:bdr w:val="none" w:color="auto" w:sz="0" w:space="0"/>
          <w:shd w:val="clear" w:fill="FFFFFF"/>
        </w:rPr>
        <w:fldChar w:fldCharType="begin"/>
      </w:r>
      <w:r>
        <w:rPr>
          <w:rFonts w:hint="eastAsia" w:ascii="仿宋" w:hAnsi="仿宋" w:eastAsia="仿宋" w:cs="仿宋"/>
          <w:i w:val="0"/>
          <w:iCs w:val="0"/>
          <w:caps w:val="0"/>
          <w:color w:val="auto"/>
          <w:spacing w:val="0"/>
          <w:sz w:val="32"/>
          <w:szCs w:val="32"/>
          <w:u w:val="none"/>
          <w:bdr w:val="none" w:color="auto" w:sz="0" w:space="0"/>
          <w:shd w:val="clear" w:fill="FFFFFF"/>
        </w:rPr>
        <w:instrText xml:space="preserve"> HYPERLINK "http://130.9.1.168/statute/kindeditor/files/20220408/20220408204054_763.doc" \t "http://130.9.1.168/statute/statute/regulations/_blank" </w:instrText>
      </w:r>
      <w:r>
        <w:rPr>
          <w:rFonts w:hint="eastAsia" w:ascii="仿宋" w:hAnsi="仿宋" w:eastAsia="仿宋" w:cs="仿宋"/>
          <w:i w:val="0"/>
          <w:iCs w:val="0"/>
          <w:caps w:val="0"/>
          <w:color w:val="auto"/>
          <w:spacing w:val="0"/>
          <w:sz w:val="32"/>
          <w:szCs w:val="32"/>
          <w:u w:val="none"/>
          <w:bdr w:val="none" w:color="auto" w:sz="0" w:space="0"/>
          <w:shd w:val="clear" w:fill="FFFFFF"/>
        </w:rPr>
        <w:fldChar w:fldCharType="separate"/>
      </w:r>
      <w:r>
        <w:rPr>
          <w:rStyle w:val="8"/>
          <w:rFonts w:hint="eastAsia" w:ascii="仿宋" w:hAnsi="仿宋" w:eastAsia="仿宋" w:cs="仿宋"/>
          <w:i w:val="0"/>
          <w:iCs w:val="0"/>
          <w:caps w:val="0"/>
          <w:color w:val="auto"/>
          <w:spacing w:val="0"/>
          <w:sz w:val="32"/>
          <w:szCs w:val="32"/>
          <w:u w:val="none"/>
          <w:bdr w:val="none" w:color="auto" w:sz="0" w:space="0"/>
          <w:shd w:val="clear" w:fill="FFFFFF"/>
        </w:rPr>
        <w:t>新办纳税人涉税事项综合申请表</w:t>
      </w:r>
      <w:r>
        <w:rPr>
          <w:rFonts w:hint="eastAsia" w:ascii="仿宋" w:hAnsi="仿宋" w:eastAsia="仿宋" w:cs="仿宋"/>
          <w:i w:val="0"/>
          <w:iCs w:val="0"/>
          <w:caps w:val="0"/>
          <w:color w:val="auto"/>
          <w:spacing w:val="0"/>
          <w:sz w:val="32"/>
          <w:szCs w:val="32"/>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      </w:t>
      </w:r>
      <w:r>
        <w:rPr>
          <w:rFonts w:hint="eastAsia" w:ascii="仿宋" w:hAnsi="仿宋" w:eastAsia="仿宋" w:cs="仿宋"/>
          <w:i w:val="0"/>
          <w:iCs w:val="0"/>
          <w:caps w:val="0"/>
          <w:color w:val="auto"/>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auto"/>
          <w:spacing w:val="0"/>
          <w:sz w:val="32"/>
          <w:szCs w:val="32"/>
          <w:bdr w:val="none" w:color="auto" w:sz="0" w:space="0"/>
          <w:shd w:val="clear" w:fill="FFFFFF"/>
        </w:rPr>
        <w:t>2.</w:t>
      </w:r>
      <w:r>
        <w:rPr>
          <w:rFonts w:hint="eastAsia" w:ascii="仿宋" w:hAnsi="仿宋" w:eastAsia="仿宋" w:cs="仿宋"/>
          <w:i w:val="0"/>
          <w:iCs w:val="0"/>
          <w:caps w:val="0"/>
          <w:color w:val="auto"/>
          <w:spacing w:val="0"/>
          <w:sz w:val="32"/>
          <w:szCs w:val="32"/>
          <w:u w:val="none"/>
          <w:bdr w:val="none" w:color="auto" w:sz="0" w:space="0"/>
          <w:shd w:val="clear" w:fill="FFFFFF"/>
        </w:rPr>
        <w:fldChar w:fldCharType="begin"/>
      </w:r>
      <w:r>
        <w:rPr>
          <w:rFonts w:hint="eastAsia" w:ascii="仿宋" w:hAnsi="仿宋" w:eastAsia="仿宋" w:cs="仿宋"/>
          <w:i w:val="0"/>
          <w:iCs w:val="0"/>
          <w:caps w:val="0"/>
          <w:color w:val="auto"/>
          <w:spacing w:val="0"/>
          <w:sz w:val="32"/>
          <w:szCs w:val="32"/>
          <w:u w:val="none"/>
          <w:bdr w:val="none" w:color="auto" w:sz="0" w:space="0"/>
          <w:shd w:val="clear" w:fill="FFFFFF"/>
        </w:rPr>
        <w:instrText xml:space="preserve"> HYPERLINK "http://130.9.1.168/statute/kindeditor/files/20220408/20220408204054_646.doc" \t "http://130.9.1.168/statute/statute/regulations/_blank" </w:instrText>
      </w:r>
      <w:r>
        <w:rPr>
          <w:rFonts w:hint="eastAsia" w:ascii="仿宋" w:hAnsi="仿宋" w:eastAsia="仿宋" w:cs="仿宋"/>
          <w:i w:val="0"/>
          <w:iCs w:val="0"/>
          <w:caps w:val="0"/>
          <w:color w:val="auto"/>
          <w:spacing w:val="0"/>
          <w:sz w:val="32"/>
          <w:szCs w:val="32"/>
          <w:u w:val="none"/>
          <w:bdr w:val="none" w:color="auto" w:sz="0" w:space="0"/>
          <w:shd w:val="clear" w:fill="FFFFFF"/>
        </w:rPr>
        <w:fldChar w:fldCharType="separate"/>
      </w:r>
      <w:r>
        <w:rPr>
          <w:rStyle w:val="8"/>
          <w:rFonts w:hint="eastAsia" w:ascii="仿宋" w:hAnsi="仿宋" w:eastAsia="仿宋" w:cs="仿宋"/>
          <w:i w:val="0"/>
          <w:iCs w:val="0"/>
          <w:caps w:val="0"/>
          <w:color w:val="auto"/>
          <w:spacing w:val="0"/>
          <w:sz w:val="32"/>
          <w:szCs w:val="32"/>
          <w:u w:val="none"/>
          <w:bdr w:val="none" w:color="auto" w:sz="0" w:space="0"/>
          <w:shd w:val="clear" w:fill="FFFFFF"/>
        </w:rPr>
        <w:t>授权委托书</w:t>
      </w:r>
      <w:r>
        <w:rPr>
          <w:rFonts w:hint="eastAsia" w:ascii="仿宋" w:hAnsi="仿宋" w:eastAsia="仿宋" w:cs="仿宋"/>
          <w:i w:val="0"/>
          <w:iCs w:val="0"/>
          <w:caps w:val="0"/>
          <w:color w:val="auto"/>
          <w:spacing w:val="0"/>
          <w:sz w:val="32"/>
          <w:szCs w:val="32"/>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both"/>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      </w:t>
      </w:r>
      <w:r>
        <w:rPr>
          <w:rFonts w:hint="eastAsia" w:ascii="仿宋" w:hAnsi="仿宋" w:eastAsia="仿宋" w:cs="仿宋"/>
          <w:i w:val="0"/>
          <w:iCs w:val="0"/>
          <w:caps w:val="0"/>
          <w:color w:val="auto"/>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auto"/>
          <w:spacing w:val="0"/>
          <w:sz w:val="32"/>
          <w:szCs w:val="32"/>
          <w:bdr w:val="none" w:color="auto" w:sz="0" w:space="0"/>
          <w:shd w:val="clear" w:fill="FFFFFF"/>
        </w:rPr>
        <w:t>3.</w:t>
      </w:r>
      <w:r>
        <w:rPr>
          <w:rFonts w:hint="eastAsia" w:ascii="仿宋" w:hAnsi="仿宋" w:eastAsia="仿宋" w:cs="仿宋"/>
          <w:i w:val="0"/>
          <w:iCs w:val="0"/>
          <w:caps w:val="0"/>
          <w:color w:val="auto"/>
          <w:spacing w:val="0"/>
          <w:sz w:val="32"/>
          <w:szCs w:val="32"/>
          <w:u w:val="none"/>
          <w:bdr w:val="none" w:color="auto" w:sz="0" w:space="0"/>
          <w:shd w:val="clear" w:fill="FFFFFF"/>
        </w:rPr>
        <w:fldChar w:fldCharType="begin"/>
      </w:r>
      <w:r>
        <w:rPr>
          <w:rFonts w:hint="eastAsia" w:ascii="仿宋" w:hAnsi="仿宋" w:eastAsia="仿宋" w:cs="仿宋"/>
          <w:i w:val="0"/>
          <w:iCs w:val="0"/>
          <w:caps w:val="0"/>
          <w:color w:val="auto"/>
          <w:spacing w:val="0"/>
          <w:sz w:val="32"/>
          <w:szCs w:val="32"/>
          <w:u w:val="none"/>
          <w:bdr w:val="none" w:color="auto" w:sz="0" w:space="0"/>
          <w:shd w:val="clear" w:fill="FFFFFF"/>
        </w:rPr>
        <w:instrText xml:space="preserve"> HYPERLINK "http://130.9.1.168/statute/kindeditor/files/20220408/20220408204054_751.doc" \t "http://130.9.1.168/statute/statute/regulations/_blank" </w:instrText>
      </w:r>
      <w:r>
        <w:rPr>
          <w:rFonts w:hint="eastAsia" w:ascii="仿宋" w:hAnsi="仿宋" w:eastAsia="仿宋" w:cs="仿宋"/>
          <w:i w:val="0"/>
          <w:iCs w:val="0"/>
          <w:caps w:val="0"/>
          <w:color w:val="auto"/>
          <w:spacing w:val="0"/>
          <w:sz w:val="32"/>
          <w:szCs w:val="32"/>
          <w:u w:val="none"/>
          <w:bdr w:val="none" w:color="auto" w:sz="0" w:space="0"/>
          <w:shd w:val="clear" w:fill="FFFFFF"/>
        </w:rPr>
        <w:fldChar w:fldCharType="separate"/>
      </w:r>
      <w:r>
        <w:rPr>
          <w:rStyle w:val="8"/>
          <w:rFonts w:hint="eastAsia" w:ascii="仿宋" w:hAnsi="仿宋" w:eastAsia="仿宋" w:cs="仿宋"/>
          <w:i w:val="0"/>
          <w:iCs w:val="0"/>
          <w:caps w:val="0"/>
          <w:color w:val="auto"/>
          <w:spacing w:val="0"/>
          <w:sz w:val="32"/>
          <w:szCs w:val="32"/>
          <w:u w:val="none"/>
          <w:bdr w:val="none" w:color="auto" w:sz="0" w:space="0"/>
          <w:shd w:val="clear" w:fill="FFFFFF"/>
        </w:rPr>
        <w:t>企业开办涉税事项办理参考流程</w:t>
      </w:r>
      <w:r>
        <w:rPr>
          <w:rFonts w:hint="eastAsia" w:ascii="仿宋" w:hAnsi="仿宋" w:eastAsia="仿宋" w:cs="仿宋"/>
          <w:i w:val="0"/>
          <w:iCs w:val="0"/>
          <w:caps w:val="0"/>
          <w:color w:val="auto"/>
          <w:spacing w:val="0"/>
          <w:sz w:val="32"/>
          <w:szCs w:val="32"/>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080" w:firstLineChars="19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国家税务总局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righ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2019年12月3日</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hAnsi="宋体" w:cs="宋体"/>
          <w:b/>
          <w:color w:val="auto"/>
          <w:sz w:val="36"/>
          <w:szCs w:val="36"/>
        </w:rPr>
      </w:pPr>
      <w:r>
        <w:rPr>
          <w:rFonts w:hint="eastAsia" w:hAnsi="宋体" w:cs="宋体"/>
          <w:b/>
          <w:color w:val="auto"/>
          <w:sz w:val="36"/>
          <w:szCs w:val="36"/>
          <w:lang w:val="en-US" w:eastAsia="zh-CN"/>
        </w:rPr>
        <w:t xml:space="preserve">     </w:t>
      </w:r>
      <w:r>
        <w:rPr>
          <w:rFonts w:hint="eastAsia" w:ascii="方正小标宋简体" w:hAnsi="方正小标宋简体" w:eastAsia="方正小标宋简体" w:cs="方正小标宋简体"/>
          <w:b w:val="0"/>
          <w:bCs/>
          <w:color w:val="auto"/>
          <w:sz w:val="36"/>
          <w:szCs w:val="36"/>
          <w:lang w:val="en-US" w:eastAsia="zh-CN"/>
        </w:rPr>
        <w:t>新办纳税人涉税事项</w:t>
      </w:r>
      <w:r>
        <w:rPr>
          <w:rFonts w:hint="eastAsia" w:ascii="方正小标宋简体" w:hAnsi="方正小标宋简体" w:eastAsia="方正小标宋简体" w:cs="方正小标宋简体"/>
          <w:b w:val="0"/>
          <w:bCs/>
          <w:color w:val="auto"/>
          <w:sz w:val="36"/>
          <w:szCs w:val="36"/>
          <w:lang w:eastAsia="zh-CN"/>
        </w:rPr>
        <w:t>综合</w:t>
      </w:r>
      <w:r>
        <w:rPr>
          <w:rFonts w:hint="eastAsia" w:ascii="方正小标宋简体" w:hAnsi="方正小标宋简体" w:eastAsia="方正小标宋简体" w:cs="方正小标宋简体"/>
          <w:b w:val="0"/>
          <w:bCs/>
          <w:color w:val="auto"/>
          <w:sz w:val="36"/>
          <w:szCs w:val="36"/>
          <w:lang w:val="en-US" w:eastAsia="zh-CN"/>
        </w:rPr>
        <w:t>申请</w:t>
      </w:r>
      <w:r>
        <w:rPr>
          <w:rFonts w:hint="eastAsia" w:ascii="方正小标宋简体" w:hAnsi="方正小标宋简体" w:eastAsia="方正小标宋简体" w:cs="方正小标宋简体"/>
          <w:b w:val="0"/>
          <w:bCs/>
          <w:color w:val="auto"/>
          <w:sz w:val="36"/>
          <w:szCs w:val="36"/>
        </w:rPr>
        <w:t>表</w:t>
      </w:r>
    </w:p>
    <w:tbl>
      <w:tblPr>
        <w:tblStyle w:val="6"/>
        <w:tblW w:w="0" w:type="auto"/>
        <w:tblInd w:w="0" w:type="dxa"/>
        <w:tblLayout w:type="fixed"/>
        <w:tblCellMar>
          <w:top w:w="0" w:type="dxa"/>
          <w:left w:w="0" w:type="dxa"/>
          <w:bottom w:w="0" w:type="dxa"/>
          <w:right w:w="0" w:type="dxa"/>
        </w:tblCellMar>
      </w:tblPr>
      <w:tblGrid>
        <w:gridCol w:w="1080"/>
        <w:gridCol w:w="1124"/>
        <w:gridCol w:w="425"/>
        <w:gridCol w:w="746"/>
        <w:gridCol w:w="1080"/>
        <w:gridCol w:w="1830"/>
        <w:gridCol w:w="1478"/>
        <w:gridCol w:w="850"/>
        <w:gridCol w:w="1242"/>
      </w:tblGrid>
      <w:tr>
        <w:tblPrEx>
          <w:tblCellMar>
            <w:top w:w="0" w:type="dxa"/>
            <w:left w:w="0" w:type="dxa"/>
            <w:bottom w:w="0" w:type="dxa"/>
            <w:right w:w="0" w:type="dxa"/>
          </w:tblCellMar>
        </w:tblPrEx>
        <w:trPr>
          <w:trHeight w:val="285" w:hRule="atLeast"/>
        </w:trPr>
        <w:tc>
          <w:tcPr>
            <w:tcW w:w="1080" w:type="dxa"/>
            <w:vMerge w:val="restart"/>
            <w:tcBorders>
              <w:top w:val="single" w:color="auto" w:sz="4" w:space="0"/>
              <w:left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基本信息</w:t>
            </w:r>
          </w:p>
        </w:tc>
        <w:tc>
          <w:tcPr>
            <w:tcW w:w="1549" w:type="dxa"/>
            <w:gridSpan w:val="2"/>
            <w:tcBorders>
              <w:top w:val="single" w:color="auto" w:sz="4" w:space="0"/>
              <w:left w:val="single" w:color="000000" w:sz="8" w:space="0"/>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纳税人名称</w:t>
            </w:r>
          </w:p>
        </w:tc>
        <w:tc>
          <w:tcPr>
            <w:tcW w:w="1826" w:type="dxa"/>
            <w:gridSpan w:val="2"/>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3570"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1080" w:type="dxa"/>
            <w:vMerge w:val="continue"/>
            <w:tcBorders>
              <w:left w:val="single" w:color="auto"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49" w:type="dxa"/>
            <w:gridSpan w:val="2"/>
            <w:tcBorders>
              <w:top w:val="single" w:color="000000" w:sz="8" w:space="0"/>
              <w:left w:val="single" w:color="000000" w:sz="8" w:space="0"/>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经办人</w:t>
            </w:r>
          </w:p>
        </w:tc>
        <w:tc>
          <w:tcPr>
            <w:tcW w:w="1826" w:type="dxa"/>
            <w:gridSpan w:val="2"/>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身份证件类型</w:t>
            </w:r>
          </w:p>
        </w:tc>
        <w:tc>
          <w:tcPr>
            <w:tcW w:w="3570"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1080" w:type="dxa"/>
            <w:vMerge w:val="continue"/>
            <w:tcBorders>
              <w:left w:val="single" w:color="auto" w:sz="4" w:space="0"/>
              <w:bottom w:val="single" w:color="auto"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49" w:type="dxa"/>
            <w:gridSpan w:val="2"/>
            <w:tcBorders>
              <w:top w:val="single" w:color="000000" w:sz="8" w:space="0"/>
              <w:left w:val="single" w:color="000000" w:sz="8"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证件号码</w:t>
            </w:r>
          </w:p>
        </w:tc>
        <w:tc>
          <w:tcPr>
            <w:tcW w:w="1826" w:type="dxa"/>
            <w:gridSpan w:val="2"/>
            <w:tcBorders>
              <w:top w:val="single" w:color="000000" w:sz="8" w:space="0"/>
              <w:left w:val="single" w:color="auto" w:sz="4" w:space="0"/>
              <w:bottom w:val="single" w:color="auto"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0" w:type="dxa"/>
            <w:tcBorders>
              <w:top w:val="single" w:color="000000" w:sz="8" w:space="0"/>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3570" w:type="dxa"/>
            <w:gridSpan w:val="3"/>
            <w:tcBorders>
              <w:top w:val="single" w:color="000000" w:sz="8" w:space="0"/>
              <w:left w:val="single" w:color="000000" w:sz="8" w:space="0"/>
              <w:bottom w:val="single" w:color="auto"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1080" w:type="dxa"/>
            <w:vMerge w:val="restart"/>
            <w:tcBorders>
              <w:top w:val="single" w:color="auto" w:sz="4" w:space="0"/>
              <w:left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增值税一般纳税人资格登记</w:t>
            </w:r>
          </w:p>
        </w:tc>
        <w:tc>
          <w:tcPr>
            <w:tcW w:w="8775" w:type="dxa"/>
            <w:gridSpan w:val="8"/>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是否登记为增值税一般纳税人：是□ ； 否□（无需填写以下一般纳税人资格登记信息）</w:t>
            </w:r>
          </w:p>
        </w:tc>
      </w:tr>
      <w:tr>
        <w:tblPrEx>
          <w:tblCellMar>
            <w:top w:w="0" w:type="dxa"/>
            <w:left w:w="0" w:type="dxa"/>
            <w:bottom w:w="0" w:type="dxa"/>
            <w:right w:w="0" w:type="dxa"/>
          </w:tblCellMar>
        </w:tblPrEx>
        <w:trPr>
          <w:trHeight w:val="454" w:hRule="exact"/>
        </w:trPr>
        <w:tc>
          <w:tcPr>
            <w:tcW w:w="1080" w:type="dxa"/>
            <w:vMerge w:val="continue"/>
            <w:tcBorders>
              <w:left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2295" w:type="dxa"/>
            <w:gridSpan w:val="3"/>
            <w:vMerge w:val="restart"/>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auto"/>
                <w:kern w:val="0"/>
                <w:sz w:val="22"/>
                <w:szCs w:val="22"/>
                <w:u w:val="none"/>
                <w:lang w:val="en-US" w:eastAsia="zh-CN" w:bidi="ar"/>
              </w:rPr>
              <w:t>纳税人类别：</w:t>
            </w:r>
          </w:p>
        </w:tc>
        <w:tc>
          <w:tcPr>
            <w:tcW w:w="6480" w:type="dxa"/>
            <w:gridSpan w:val="5"/>
            <w:tcBorders>
              <w:top w:val="single" w:color="auto" w:sz="4" w:space="0"/>
              <w:left w:val="nil"/>
              <w:bottom w:val="nil"/>
              <w:right w:val="single" w:color="000000" w:sz="8" w:space="0"/>
            </w:tcBorders>
            <w:noWrap w:val="0"/>
            <w:tcMar>
              <w:top w:w="15" w:type="dxa"/>
              <w:left w:w="15" w:type="dxa"/>
              <w:right w:w="15" w:type="dxa"/>
            </w:tcMar>
            <w:vAlign w:val="center"/>
          </w:tcPr>
          <w:p>
            <w:pPr>
              <w:keepNext w:val="0"/>
              <w:keepLines w:val="0"/>
              <w:widowControl w:val="0"/>
              <w:suppressLineNumbers w:val="0"/>
              <w:jc w:val="both"/>
              <w:textAlignment w:val="auto"/>
              <w:rPr>
                <w:rFonts w:hint="eastAsia" w:ascii="宋体" w:hAnsi="宋体" w:eastAsia="宋体" w:cs="宋体"/>
                <w:i w:val="0"/>
                <w:color w:val="000000"/>
                <w:sz w:val="22"/>
                <w:szCs w:val="22"/>
                <w:u w:val="none"/>
              </w:rPr>
            </w:pPr>
            <w:r>
              <w:rPr>
                <w:rFonts w:hint="eastAsia" w:ascii="宋体" w:hAnsi="宋体" w:eastAsia="宋体" w:cs="宋体"/>
                <w:i w:val="0"/>
                <w:color w:val="auto"/>
                <w:kern w:val="0"/>
                <w:sz w:val="22"/>
                <w:szCs w:val="22"/>
                <w:u w:val="none"/>
                <w:lang w:val="en-US" w:eastAsia="zh-CN" w:bidi="ar"/>
              </w:rPr>
              <w:t xml:space="preserve">企业□ 个体工商户□ 农民合作社□ 其他□  </w:t>
            </w:r>
          </w:p>
        </w:tc>
      </w:tr>
      <w:tr>
        <w:tblPrEx>
          <w:tblCellMar>
            <w:top w:w="0" w:type="dxa"/>
            <w:left w:w="0" w:type="dxa"/>
            <w:bottom w:w="0" w:type="dxa"/>
            <w:right w:w="0" w:type="dxa"/>
          </w:tblCellMar>
        </w:tblPrEx>
        <w:trPr>
          <w:trHeight w:val="546" w:hRule="exact"/>
        </w:trPr>
        <w:tc>
          <w:tcPr>
            <w:tcW w:w="1080" w:type="dxa"/>
            <w:vMerge w:val="continue"/>
            <w:tcBorders>
              <w:left w:val="single" w:color="auto" w:sz="4" w:space="0"/>
              <w:right w:val="single" w:color="000000" w:sz="8" w:space="0"/>
            </w:tcBorders>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p>
        </w:tc>
        <w:tc>
          <w:tcPr>
            <w:tcW w:w="2295" w:type="dxa"/>
            <w:gridSpan w:val="3"/>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480" w:type="dxa"/>
            <w:gridSpan w:val="5"/>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(请选择一个项目并在□内打“√”)</w:t>
            </w:r>
          </w:p>
        </w:tc>
      </w:tr>
      <w:tr>
        <w:tblPrEx>
          <w:tblCellMar>
            <w:top w:w="0" w:type="dxa"/>
            <w:left w:w="0" w:type="dxa"/>
            <w:bottom w:w="0" w:type="dxa"/>
            <w:right w:w="0" w:type="dxa"/>
          </w:tblCellMar>
        </w:tblPrEx>
        <w:trPr>
          <w:trHeight w:val="454" w:hRule="atLeast"/>
        </w:trPr>
        <w:tc>
          <w:tcPr>
            <w:tcW w:w="1080" w:type="dxa"/>
            <w:vMerge w:val="continue"/>
            <w:tcBorders>
              <w:left w:val="single" w:color="auto"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5" w:type="dxa"/>
            <w:gridSpan w:val="3"/>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主营业务类别：</w:t>
            </w:r>
          </w:p>
        </w:tc>
        <w:tc>
          <w:tcPr>
            <w:tcW w:w="6480" w:type="dxa"/>
            <w:gridSpan w:val="5"/>
            <w:tcBorders>
              <w:top w:val="nil"/>
              <w:left w:val="nil"/>
              <w:bottom w:val="nil"/>
              <w:right w:val="single" w:color="000000" w:sz="8"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工业 □   商业 □   服务业 □   其他□  </w:t>
            </w:r>
          </w:p>
        </w:tc>
      </w:tr>
      <w:tr>
        <w:tblPrEx>
          <w:tblCellMar>
            <w:top w:w="0" w:type="dxa"/>
            <w:left w:w="0" w:type="dxa"/>
            <w:bottom w:w="0" w:type="dxa"/>
            <w:right w:w="0" w:type="dxa"/>
          </w:tblCellMar>
        </w:tblPrEx>
        <w:trPr>
          <w:trHeight w:val="454" w:hRule="atLeast"/>
        </w:trPr>
        <w:tc>
          <w:tcPr>
            <w:tcW w:w="1080" w:type="dxa"/>
            <w:vMerge w:val="continue"/>
            <w:tcBorders>
              <w:left w:val="single" w:color="auto"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5" w:type="dxa"/>
            <w:gridSpan w:val="3"/>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480" w:type="dxa"/>
            <w:gridSpan w:val="5"/>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(请选择一个项目并在□内打“√”)</w:t>
            </w:r>
          </w:p>
        </w:tc>
      </w:tr>
      <w:tr>
        <w:tblPrEx>
          <w:tblCellMar>
            <w:top w:w="0" w:type="dxa"/>
            <w:left w:w="0" w:type="dxa"/>
            <w:bottom w:w="0" w:type="dxa"/>
            <w:right w:w="0" w:type="dxa"/>
          </w:tblCellMar>
        </w:tblPrEx>
        <w:trPr>
          <w:trHeight w:val="443" w:hRule="atLeast"/>
        </w:trPr>
        <w:tc>
          <w:tcPr>
            <w:tcW w:w="1080" w:type="dxa"/>
            <w:vMerge w:val="continue"/>
            <w:tcBorders>
              <w:left w:val="single" w:color="auto"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95" w:type="dxa"/>
            <w:gridSpan w:val="3"/>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会计核算健全：</w:t>
            </w:r>
          </w:p>
        </w:tc>
        <w:tc>
          <w:tcPr>
            <w:tcW w:w="6480" w:type="dxa"/>
            <w:gridSpan w:val="5"/>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(请选择一个项目并在□内打“√”)</w:t>
            </w:r>
          </w:p>
        </w:tc>
      </w:tr>
      <w:tr>
        <w:tblPrEx>
          <w:tblCellMar>
            <w:top w:w="0" w:type="dxa"/>
            <w:left w:w="0" w:type="dxa"/>
            <w:bottom w:w="0" w:type="dxa"/>
            <w:right w:w="0" w:type="dxa"/>
          </w:tblCellMar>
        </w:tblPrEx>
        <w:trPr>
          <w:trHeight w:val="300" w:hRule="atLeast"/>
        </w:trPr>
        <w:tc>
          <w:tcPr>
            <w:tcW w:w="1080" w:type="dxa"/>
            <w:vMerge w:val="continue"/>
            <w:tcBorders>
              <w:left w:val="single" w:color="auto"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05" w:type="dxa"/>
            <w:gridSpan w:val="5"/>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一般纳税人资格生效之日：</w:t>
            </w:r>
          </w:p>
        </w:tc>
        <w:tc>
          <w:tcPr>
            <w:tcW w:w="3570" w:type="dxa"/>
            <w:gridSpan w:val="3"/>
            <w:tcBorders>
              <w:top w:val="nil"/>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当月1日 □  次月1日 □         </w:t>
            </w:r>
          </w:p>
        </w:tc>
      </w:tr>
      <w:tr>
        <w:tblPrEx>
          <w:tblCellMar>
            <w:top w:w="0" w:type="dxa"/>
            <w:left w:w="0" w:type="dxa"/>
            <w:bottom w:w="0" w:type="dxa"/>
            <w:right w:w="0" w:type="dxa"/>
          </w:tblCellMar>
        </w:tblPrEx>
        <w:trPr>
          <w:trHeight w:val="300" w:hRule="atLeast"/>
        </w:trPr>
        <w:tc>
          <w:tcPr>
            <w:tcW w:w="1080" w:type="dxa"/>
            <w:vMerge w:val="continue"/>
            <w:tcBorders>
              <w:left w:val="single" w:color="auto"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05" w:type="dxa"/>
            <w:gridSpan w:val="5"/>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70" w:type="dxa"/>
            <w:gridSpan w:val="3"/>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(请选择一个项目并在□内打“√”)</w:t>
            </w:r>
          </w:p>
        </w:tc>
      </w:tr>
      <w:tr>
        <w:tblPrEx>
          <w:tblCellMar>
            <w:top w:w="0" w:type="dxa"/>
            <w:left w:w="0" w:type="dxa"/>
            <w:bottom w:w="0" w:type="dxa"/>
            <w:right w:w="0" w:type="dxa"/>
          </w:tblCellMar>
        </w:tblPrEx>
        <w:trPr>
          <w:trHeight w:val="300" w:hRule="atLeast"/>
        </w:trPr>
        <w:tc>
          <w:tcPr>
            <w:tcW w:w="1080" w:type="dxa"/>
            <w:vMerge w:val="restart"/>
            <w:tcBorders>
              <w:top w:val="nil"/>
              <w:left w:val="single" w:color="000000" w:sz="8" w:space="0"/>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首次办税申领发票</w:t>
            </w:r>
          </w:p>
          <w:p/>
          <w:p/>
          <w:p/>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1549" w:type="dxa"/>
            <w:gridSpan w:val="2"/>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发票种类名称</w:t>
            </w:r>
          </w:p>
        </w:tc>
        <w:tc>
          <w:tcPr>
            <w:tcW w:w="3656" w:type="dxa"/>
            <w:gridSpan w:val="3"/>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单份发票最高开票限额</w:t>
            </w:r>
          </w:p>
        </w:tc>
        <w:tc>
          <w:tcPr>
            <w:tcW w:w="2328" w:type="dxa"/>
            <w:gridSpan w:val="2"/>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每月最高领票数量</w:t>
            </w:r>
          </w:p>
        </w:tc>
        <w:tc>
          <w:tcPr>
            <w:tcW w:w="1242"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领票方式</w:t>
            </w:r>
          </w:p>
        </w:tc>
      </w:tr>
      <w:tr>
        <w:tblPrEx>
          <w:tblCellMar>
            <w:top w:w="0" w:type="dxa"/>
            <w:left w:w="0" w:type="dxa"/>
            <w:bottom w:w="0" w:type="dxa"/>
            <w:right w:w="0" w:type="dxa"/>
          </w:tblCellMar>
        </w:tblPrEx>
        <w:trPr>
          <w:trHeight w:val="300" w:hRule="atLeast"/>
        </w:trPr>
        <w:tc>
          <w:tcPr>
            <w:tcW w:w="1080" w:type="dxa"/>
            <w:vMerge w:val="continue"/>
            <w:tcBorders>
              <w:left w:val="single" w:color="000000" w:sz="8" w:space="0"/>
              <w:right w:val="single" w:color="auto" w:sz="4"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549" w:type="dxa"/>
            <w:gridSpan w:val="2"/>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656" w:type="dxa"/>
            <w:gridSpan w:val="3"/>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328" w:type="dxa"/>
            <w:gridSpan w:val="2"/>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242" w:type="dxa"/>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1080" w:type="dxa"/>
            <w:vMerge w:val="continue"/>
            <w:tcBorders>
              <w:left w:val="single" w:color="000000" w:sz="8" w:space="0"/>
              <w:right w:val="single" w:color="auto" w:sz="4"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549" w:type="dxa"/>
            <w:gridSpan w:val="2"/>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656" w:type="dxa"/>
            <w:gridSpan w:val="3"/>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328" w:type="dxa"/>
            <w:gridSpan w:val="2"/>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242" w:type="dxa"/>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1080" w:type="dxa"/>
            <w:vMerge w:val="continue"/>
            <w:tcBorders>
              <w:left w:val="single" w:color="000000" w:sz="8" w:space="0"/>
              <w:right w:val="single" w:color="auto" w:sz="4"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549" w:type="dxa"/>
            <w:gridSpan w:val="2"/>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656" w:type="dxa"/>
            <w:gridSpan w:val="3"/>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328" w:type="dxa"/>
            <w:gridSpan w:val="2"/>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242" w:type="dxa"/>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1080" w:type="dxa"/>
            <w:vMerge w:val="continue"/>
            <w:tcBorders>
              <w:left w:val="single" w:color="000000" w:sz="8" w:space="0"/>
              <w:right w:val="single" w:color="auto"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1124" w:type="dxa"/>
            <w:tcBorders>
              <w:top w:val="nil"/>
              <w:left w:val="nil"/>
              <w:bottom w:val="single" w:color="000000" w:sz="8" w:space="0"/>
              <w:right w:val="single" w:color="auto"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领票人</w:t>
            </w:r>
          </w:p>
        </w:tc>
        <w:tc>
          <w:tcPr>
            <w:tcW w:w="2251" w:type="dxa"/>
            <w:gridSpan w:val="3"/>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联系电话</w:t>
            </w:r>
          </w:p>
        </w:tc>
        <w:tc>
          <w:tcPr>
            <w:tcW w:w="3308" w:type="dxa"/>
            <w:gridSpan w:val="2"/>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身份证件类型</w:t>
            </w:r>
          </w:p>
        </w:tc>
        <w:tc>
          <w:tcPr>
            <w:tcW w:w="2092" w:type="dxa"/>
            <w:gridSpan w:val="2"/>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身份证件号码</w:t>
            </w:r>
          </w:p>
        </w:tc>
      </w:tr>
      <w:tr>
        <w:tblPrEx>
          <w:tblCellMar>
            <w:top w:w="0" w:type="dxa"/>
            <w:left w:w="0" w:type="dxa"/>
            <w:bottom w:w="0" w:type="dxa"/>
            <w:right w:w="0" w:type="dxa"/>
          </w:tblCellMar>
        </w:tblPrEx>
        <w:trPr>
          <w:trHeight w:val="300" w:hRule="atLeast"/>
        </w:trPr>
        <w:tc>
          <w:tcPr>
            <w:tcW w:w="1080" w:type="dxa"/>
            <w:vMerge w:val="continue"/>
            <w:tcBorders>
              <w:left w:val="single" w:color="000000" w:sz="8" w:space="0"/>
              <w:right w:val="single" w:color="auto" w:sz="4"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124" w:type="dxa"/>
            <w:tcBorders>
              <w:top w:val="nil"/>
              <w:left w:val="nil"/>
              <w:bottom w:val="single" w:color="000000" w:sz="8" w:space="0"/>
              <w:right w:val="single" w:color="auto" w:sz="4"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251" w:type="dxa"/>
            <w:gridSpan w:val="3"/>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308" w:type="dxa"/>
            <w:gridSpan w:val="2"/>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092" w:type="dxa"/>
            <w:gridSpan w:val="2"/>
            <w:tcBorders>
              <w:top w:val="nil"/>
              <w:left w:val="nil"/>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1080" w:type="dxa"/>
            <w:vMerge w:val="continue"/>
            <w:tcBorders>
              <w:left w:val="single" w:color="000000" w:sz="8" w:space="0"/>
              <w:right w:val="single" w:color="auto"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c>
          <w:tcPr>
            <w:tcW w:w="1124" w:type="dxa"/>
            <w:tcBorders>
              <w:top w:val="nil"/>
              <w:left w:val="nil"/>
              <w:bottom w:val="single" w:color="000000" w:sz="8" w:space="0"/>
              <w:right w:val="single" w:color="auto"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c>
          <w:tcPr>
            <w:tcW w:w="2251" w:type="dxa"/>
            <w:gridSpan w:val="3"/>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c>
          <w:tcPr>
            <w:tcW w:w="3308" w:type="dxa"/>
            <w:gridSpan w:val="2"/>
            <w:tcBorders>
              <w:top w:val="nil"/>
              <w:left w:val="nil"/>
              <w:bottom w:val="single" w:color="000000" w:sz="8" w:space="0"/>
              <w:right w:val="single" w:color="auto" w:sz="4"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092" w:type="dxa"/>
            <w:gridSpan w:val="2"/>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4" w:hRule="atLeast"/>
        </w:trPr>
        <w:tc>
          <w:tcPr>
            <w:tcW w:w="1080" w:type="dxa"/>
            <w:vMerge w:val="continue"/>
            <w:tcBorders>
              <w:left w:val="single" w:color="000000" w:sz="8" w:space="0"/>
              <w:right w:val="single" w:color="auto"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3375" w:type="dxa"/>
            <w:gridSpan w:val="4"/>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税务行政许可申请事项：</w:t>
            </w:r>
          </w:p>
        </w:tc>
        <w:tc>
          <w:tcPr>
            <w:tcW w:w="5400" w:type="dxa"/>
            <w:gridSpan w:val="4"/>
            <w:tcBorders>
              <w:top w:val="nil"/>
              <w:left w:val="nil"/>
              <w:bottom w:val="single" w:color="000000" w:sz="8" w:space="0"/>
              <w:right w:val="single" w:color="000000" w:sz="8" w:space="0"/>
            </w:tcBorders>
            <w:noWrap w:val="0"/>
            <w:tcMar>
              <w:top w:w="15" w:type="dxa"/>
              <w:left w:w="15" w:type="dxa"/>
              <w:right w:w="15" w:type="dxa"/>
            </w:tcMar>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增值税专用发票（增值税税控系统）最高开票限额审批</w:t>
            </w:r>
          </w:p>
        </w:tc>
      </w:tr>
      <w:tr>
        <w:tblPrEx>
          <w:tblCellMar>
            <w:top w:w="0" w:type="dxa"/>
            <w:left w:w="0" w:type="dxa"/>
            <w:bottom w:w="0" w:type="dxa"/>
            <w:right w:w="0" w:type="dxa"/>
          </w:tblCellMar>
        </w:tblPrEx>
        <w:trPr>
          <w:trHeight w:val="827" w:hRule="atLeast"/>
        </w:trPr>
        <w:tc>
          <w:tcPr>
            <w:tcW w:w="1080" w:type="dxa"/>
            <w:vMerge w:val="continue"/>
            <w:tcBorders>
              <w:left w:val="single" w:color="000000" w:sz="8" w:space="0"/>
              <w:bottom w:val="single" w:color="000000" w:sz="8" w:space="0"/>
              <w:right w:val="single" w:color="auto"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p>
        </w:tc>
        <w:tc>
          <w:tcPr>
            <w:tcW w:w="3375" w:type="dxa"/>
            <w:gridSpan w:val="4"/>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增值税专用发票（增值税税控系统）最高开票限额申请</w:t>
            </w:r>
          </w:p>
        </w:tc>
        <w:tc>
          <w:tcPr>
            <w:tcW w:w="5400" w:type="dxa"/>
            <w:gridSpan w:val="4"/>
            <w:tcBorders>
              <w:top w:val="nil"/>
              <w:left w:val="nil"/>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ind w:left="0" w:firstLine="0" w:firstLineChars="0"/>
              <w:jc w:val="both"/>
              <w:textAlignment w:val="top"/>
              <w:rPr>
                <w:rFonts w:hint="eastAsia" w:ascii="宋体" w:hAnsi="宋体" w:eastAsia="宋体" w:cs="宋体"/>
                <w:i w:val="0"/>
                <w:color w:val="000000"/>
                <w:kern w:val="0"/>
                <w:sz w:val="22"/>
                <w:szCs w:val="22"/>
                <w:u w:val="single"/>
                <w:lang w:val="en-US" w:eastAsia="zh-CN" w:bidi="ar"/>
              </w:rPr>
            </w:pPr>
          </w:p>
          <w:p>
            <w:pPr>
              <w:keepNext w:val="0"/>
              <w:keepLines w:val="0"/>
              <w:widowControl/>
              <w:suppressLineNumbers w:val="0"/>
              <w:ind w:firstLine="418" w:firstLineChars="190"/>
              <w:jc w:val="both"/>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一千元□   一万元□   十万元□ </w:t>
            </w:r>
          </w:p>
          <w:p>
            <w:r>
              <w:rPr>
                <w:rFonts w:hint="eastAsia" w:ascii="宋体" w:hAnsi="宋体" w:eastAsia="宋体" w:cs="宋体"/>
                <w:i w:val="0"/>
                <w:color w:val="000000"/>
                <w:kern w:val="0"/>
                <w:sz w:val="22"/>
                <w:szCs w:val="22"/>
                <w:u w:val="none"/>
                <w:lang w:val="en-US" w:eastAsia="zh-CN" w:bidi="ar"/>
              </w:rPr>
              <w:t xml:space="preserve">   (请选择一个项目并在□内打“√”)</w:t>
            </w:r>
          </w:p>
          <w:p>
            <w:pPr>
              <w:keepNext w:val="0"/>
              <w:keepLines w:val="0"/>
              <w:widowControl/>
              <w:suppressLineNumbers w:val="0"/>
              <w:jc w:val="both"/>
              <w:textAlignment w:val="top"/>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0" w:hRule="atLeast"/>
        </w:trPr>
        <w:tc>
          <w:tcPr>
            <w:tcW w:w="9855" w:type="dxa"/>
            <w:gridSpan w:val="9"/>
            <w:tcBorders>
              <w:top w:val="nil"/>
              <w:left w:val="single" w:color="000000" w:sz="8" w:space="0"/>
              <w:bottom w:val="nil"/>
              <w:right w:val="single" w:color="000000" w:sz="8" w:space="0"/>
            </w:tcBorders>
            <w:noWrap w:val="0"/>
            <w:tcMar>
              <w:top w:w="15" w:type="dxa"/>
              <w:left w:w="15" w:type="dxa"/>
              <w:right w:w="15" w:type="dxa"/>
            </w:tcMar>
            <w:vAlign w:val="top"/>
          </w:tcPr>
          <w:p>
            <w:pPr>
              <w:keepNext w:val="0"/>
              <w:keepLines w:val="0"/>
              <w:widowControl/>
              <w:suppressLineNumbers w:val="0"/>
              <w:ind w:firstLineChars="20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ind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auto"/>
                <w:kern w:val="0"/>
                <w:sz w:val="22"/>
                <w:szCs w:val="22"/>
                <w:u w:val="none"/>
                <w:lang w:val="en-US" w:eastAsia="zh-CN" w:bidi="ar"/>
              </w:rPr>
              <w:t>纳税人声明：能够提供准确税务资料，上述各项内容真实、可靠、完整。如有虚假，愿意承担相关法律责任。</w:t>
            </w:r>
          </w:p>
        </w:tc>
      </w:tr>
      <w:tr>
        <w:tblPrEx>
          <w:tblCellMar>
            <w:top w:w="0" w:type="dxa"/>
            <w:left w:w="0" w:type="dxa"/>
            <w:bottom w:w="0" w:type="dxa"/>
            <w:right w:w="0" w:type="dxa"/>
          </w:tblCellMar>
        </w:tblPrEx>
        <w:trPr>
          <w:trHeight w:val="270" w:hRule="atLeast"/>
        </w:trPr>
        <w:tc>
          <w:tcPr>
            <w:tcW w:w="9855" w:type="dxa"/>
            <w:gridSpan w:val="9"/>
            <w:tcBorders>
              <w:top w:val="nil"/>
              <w:left w:val="single" w:color="000000" w:sz="8" w:space="0"/>
              <w:bottom w:val="nil"/>
              <w:right w:val="single" w:color="000000" w:sz="8" w:space="0"/>
            </w:tcBorders>
            <w:noWrap w:val="0"/>
            <w:tcMar>
              <w:top w:w="15" w:type="dxa"/>
              <w:left w:w="15" w:type="dxa"/>
              <w:right w:w="15" w:type="dxa"/>
            </w:tcMar>
            <w:vAlign w:val="top"/>
          </w:tcPr>
          <w:p>
            <w:pPr>
              <w:keepNext w:val="0"/>
              <w:keepLines w:val="0"/>
              <w:widowControl/>
              <w:suppressLineNumbers w:val="0"/>
              <w:ind w:firstLine="2640" w:firstLineChars="120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ind w:firstLine="2640" w:firstLineChars="1200"/>
              <w:jc w:val="left"/>
              <w:textAlignment w:val="top"/>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  经办人：         代理人：         纳税人(印章)：</w:t>
            </w:r>
          </w:p>
        </w:tc>
      </w:tr>
      <w:tr>
        <w:tblPrEx>
          <w:tblCellMar>
            <w:top w:w="0" w:type="dxa"/>
            <w:left w:w="0" w:type="dxa"/>
            <w:bottom w:w="0" w:type="dxa"/>
            <w:right w:w="0" w:type="dxa"/>
          </w:tblCellMar>
        </w:tblPrEx>
        <w:trPr>
          <w:trHeight w:val="546" w:hRule="atLeast"/>
        </w:trPr>
        <w:tc>
          <w:tcPr>
            <w:tcW w:w="9855" w:type="dxa"/>
            <w:gridSpan w:val="9"/>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w:t>
            </w:r>
          </w:p>
        </w:tc>
      </w:tr>
    </w:tbl>
    <w:p>
      <w:pPr>
        <w:widowControl/>
        <w:spacing w:line="240" w:lineRule="auto"/>
        <w:ind w:firstLine="0" w:firstLineChars="0"/>
        <w:jc w:val="left"/>
        <w:textAlignment w:val="top"/>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eastAsia="zh-CN" w:bidi="ar"/>
        </w:rPr>
        <w:t>【填表说明】：</w:t>
      </w:r>
      <w:r>
        <w:rPr>
          <w:rFonts w:hint="eastAsia" w:ascii="宋体" w:hAnsi="宋体" w:eastAsia="宋体" w:cs="宋体"/>
          <w:color w:val="auto"/>
          <w:kern w:val="0"/>
          <w:sz w:val="22"/>
          <w:szCs w:val="22"/>
          <w:lang w:val="en-US" w:eastAsia="zh-CN" w:bidi="ar"/>
        </w:rPr>
        <w:t>1.本表适用于新办企业，新办个体工商户、农民合作社可参照适用；</w:t>
      </w:r>
    </w:p>
    <w:p>
      <w:pPr>
        <w:widowControl/>
        <w:spacing w:line="240" w:lineRule="auto"/>
        <w:ind w:firstLine="1540" w:firstLineChars="700"/>
        <w:jc w:val="left"/>
        <w:textAlignment w:val="top"/>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lang w:bidi="ar"/>
        </w:rPr>
        <w:t>表单一式一份，由税务机关留存</w:t>
      </w:r>
      <w:r>
        <w:rPr>
          <w:rFonts w:hint="eastAsia" w:ascii="宋体" w:hAnsi="宋体" w:eastAsia="宋体" w:cs="宋体"/>
          <w:color w:val="auto"/>
          <w:kern w:val="0"/>
          <w:sz w:val="22"/>
          <w:szCs w:val="22"/>
          <w:lang w:eastAsia="zh-CN" w:bidi="ar"/>
        </w:rPr>
        <w:t>。</w:t>
      </w:r>
    </w:p>
    <w:p>
      <w:pPr>
        <w:ind w:left="0" w:leftChars="0" w:firstLine="0" w:firstLineChars="0"/>
        <w:rPr>
          <w:rFonts w:hint="eastAsia" w:ascii="仿宋_GB2312" w:eastAsia="仿宋_GB2312"/>
          <w:sz w:val="32"/>
          <w:szCs w:val="32"/>
          <w:lang w:val="en-US" w:eastAsia="zh-CN"/>
        </w:rPr>
      </w:pPr>
    </w:p>
    <w:p>
      <w:pPr>
        <w:jc w:val="center"/>
        <w:rPr>
          <w:rFonts w:hint="eastAsia" w:ascii="仿宋" w:hAnsi="仿宋" w:eastAsia="仿宋" w:cs="仿宋"/>
          <w:i w:val="0"/>
          <w:iCs w:val="0"/>
          <w:caps w:val="0"/>
          <w:color w:val="FF0000"/>
          <w:spacing w:val="0"/>
          <w:sz w:val="32"/>
          <w:szCs w:val="32"/>
          <w:shd w:val="clear" w:fill="FFFFFF"/>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rPr>
          <w:rFonts w:hint="eastAsia" w:ascii="方正小标宋简体" w:hAnsi="Times New Roman" w:eastAsia="方正小标宋简体"/>
          <w:sz w:val="36"/>
          <w:szCs w:val="36"/>
        </w:rPr>
      </w:pPr>
      <w:r>
        <w:rPr>
          <w:rFonts w:hint="eastAsia" w:ascii="黑体" w:hAnsi="黑体" w:eastAsia="黑体" w:cs="黑体"/>
          <w:sz w:val="36"/>
          <w:szCs w:val="36"/>
          <w:lang w:val="en-US" w:eastAsia="zh-CN"/>
        </w:rPr>
        <w:t xml:space="preserve">                </w:t>
      </w:r>
      <w:r>
        <w:rPr>
          <w:rFonts w:hint="eastAsia" w:ascii="方正小标宋简体" w:hAnsi="Times New Roman" w:eastAsia="方正小标宋简体"/>
          <w:sz w:val="36"/>
          <w:szCs w:val="36"/>
        </w:rPr>
        <w:t>授 权 委 托 书</w:t>
      </w:r>
    </w:p>
    <w:p>
      <w:pPr>
        <w:pStyle w:val="3"/>
        <w:spacing w:line="580" w:lineRule="exact"/>
        <w:jc w:val="center"/>
        <w:rPr>
          <w:rFonts w:hint="eastAsia" w:ascii="仿宋_GB2312" w:hAnsi="Times New Roman" w:eastAsia="仿宋_GB2312"/>
          <w:sz w:val="32"/>
          <w:szCs w:val="32"/>
        </w:rPr>
      </w:pPr>
      <w:r>
        <w:rPr>
          <w:rFonts w:hint="eastAsia" w:ascii="仿宋_GB2312" w:hAnsi="Times New Roman" w:eastAsia="仿宋_GB2312"/>
          <w:sz w:val="32"/>
          <w:szCs w:val="32"/>
        </w:rPr>
        <w:t>（参考格式）</w:t>
      </w:r>
    </w:p>
    <w:p>
      <w:pPr>
        <w:pStyle w:val="3"/>
        <w:spacing w:line="580" w:lineRule="exact"/>
        <w:jc w:val="center"/>
        <w:rPr>
          <w:rFonts w:hint="eastAsia" w:ascii="方正小标宋_GBK" w:hAnsi="Times New Roman" w:eastAsia="方正小标宋_GBK"/>
          <w:sz w:val="44"/>
          <w:szCs w:val="44"/>
        </w:rPr>
      </w:pPr>
    </w:p>
    <w:p>
      <w:pPr>
        <w:pStyle w:val="3"/>
        <w:spacing w:line="620" w:lineRule="exact"/>
        <w:rPr>
          <w:rFonts w:hint="eastAsia" w:ascii="仿宋_GB2312" w:hAnsi="Times New Roman" w:eastAsia="仿宋_GB2312"/>
          <w:sz w:val="32"/>
          <w:szCs w:val="32"/>
        </w:rPr>
      </w:pPr>
      <w:r>
        <w:rPr>
          <w:rFonts w:hint="eastAsia" w:ascii="仿宋_GB2312" w:eastAsia="仿宋_GB2312"/>
          <w:sz w:val="32"/>
          <w:szCs w:val="32"/>
          <w:u w:val="none"/>
          <w:lang w:eastAsia="zh-CN"/>
        </w:rPr>
        <w:t>国家税务总局</w:t>
      </w:r>
      <w:r>
        <w:rPr>
          <w:rFonts w:hint="eastAsia" w:ascii="仿宋_GB2312" w:eastAsia="仿宋_GB2312"/>
          <w:sz w:val="32"/>
          <w:szCs w:val="32"/>
          <w:u w:val="single"/>
        </w:rPr>
        <w:t xml:space="preserve">           </w:t>
      </w:r>
      <w:r>
        <w:rPr>
          <w:rFonts w:hint="eastAsia" w:ascii="仿宋_GB2312" w:eastAsia="仿宋_GB2312"/>
          <w:sz w:val="32"/>
          <w:szCs w:val="32"/>
        </w:rPr>
        <w:t>税务局：</w:t>
      </w:r>
    </w:p>
    <w:p>
      <w:pPr>
        <w:spacing w:line="620" w:lineRule="exact"/>
        <w:ind w:firstLine="640" w:firstLineChars="200"/>
        <w:jc w:val="both"/>
        <w:rPr>
          <w:rFonts w:hint="eastAsia" w:eastAsia="仿宋_GB2312"/>
          <w:b w:val="0"/>
          <w:bCs w:val="0"/>
          <w:sz w:val="32"/>
          <w:szCs w:val="32"/>
          <w:lang w:eastAsia="zh-CN"/>
        </w:rPr>
      </w:pPr>
      <w:r>
        <w:rPr>
          <w:rFonts w:hint="eastAsia" w:eastAsia="仿宋_GB2312"/>
          <w:b w:val="0"/>
          <w:bCs w:val="0"/>
          <w:sz w:val="32"/>
          <w:szCs w:val="32"/>
        </w:rPr>
        <w:t>兹授权</w:t>
      </w:r>
      <w:r>
        <w:rPr>
          <w:rFonts w:eastAsia="仿宋_GB2312"/>
          <w:b w:val="0"/>
          <w:bCs w:val="0"/>
          <w:sz w:val="32"/>
          <w:szCs w:val="32"/>
        </w:rPr>
        <w:t>_________（</w:t>
      </w:r>
      <w:r>
        <w:rPr>
          <w:rFonts w:hint="eastAsia" w:ascii="楷体_GB2312" w:eastAsia="楷体_GB2312"/>
          <w:b w:val="0"/>
          <w:bCs w:val="0"/>
          <w:sz w:val="32"/>
          <w:szCs w:val="32"/>
        </w:rPr>
        <w:t>身份证件类型：</w:t>
      </w:r>
      <w:r>
        <w:rPr>
          <w:rFonts w:hint="eastAsia" w:eastAsia="仿宋_GB2312"/>
          <w:b w:val="0"/>
          <w:bCs w:val="0"/>
          <w:sz w:val="32"/>
          <w:szCs w:val="32"/>
          <w:u w:val="single"/>
          <w:lang w:eastAsia="zh-CN"/>
        </w:rPr>
        <w:t xml:space="preserve"> </w:t>
      </w:r>
      <w:r>
        <w:rPr>
          <w:rFonts w:hint="eastAsia" w:eastAsia="仿宋_GB2312"/>
          <w:b w:val="0"/>
          <w:bCs w:val="0"/>
          <w:sz w:val="32"/>
          <w:szCs w:val="32"/>
          <w:u w:val="single"/>
          <w:lang w:val="en-US" w:eastAsia="zh-CN"/>
        </w:rPr>
        <w:t xml:space="preserve">                </w:t>
      </w:r>
      <w:r>
        <w:rPr>
          <w:rFonts w:hint="eastAsia" w:ascii="楷体_GB2312" w:eastAsia="楷体_GB2312"/>
          <w:b w:val="0"/>
          <w:bCs w:val="0"/>
          <w:sz w:val="32"/>
          <w:szCs w:val="32"/>
        </w:rPr>
        <w:t>、证件</w:t>
      </w:r>
      <w:r>
        <w:rPr>
          <w:rFonts w:ascii="楷体_GB2312" w:eastAsia="楷体_GB2312"/>
          <w:b w:val="0"/>
          <w:bCs w:val="0"/>
          <w:sz w:val="32"/>
          <w:szCs w:val="32"/>
        </w:rPr>
        <w:t>号码</w:t>
      </w:r>
      <w:r>
        <w:rPr>
          <w:rFonts w:hint="eastAsia" w:ascii="楷体_GB2312" w:eastAsia="楷体_GB2312"/>
          <w:b w:val="0"/>
          <w:bCs w:val="0"/>
          <w:sz w:val="32"/>
          <w:szCs w:val="32"/>
        </w:rPr>
        <w:t>：</w:t>
      </w:r>
      <w:r>
        <w:rPr>
          <w:rFonts w:eastAsia="仿宋_GB2312"/>
          <w:b w:val="0"/>
          <w:bCs w:val="0"/>
          <w:sz w:val="32"/>
          <w:szCs w:val="32"/>
        </w:rPr>
        <w:t>________________）</w:t>
      </w:r>
      <w:r>
        <w:rPr>
          <w:rFonts w:hint="eastAsia" w:eastAsia="仿宋_GB2312"/>
          <w:b w:val="0"/>
          <w:bCs w:val="0"/>
          <w:sz w:val="32"/>
          <w:szCs w:val="32"/>
        </w:rPr>
        <w:t>为我单位</w:t>
      </w:r>
      <w:r>
        <w:rPr>
          <w:rFonts w:hint="eastAsia" w:eastAsia="仿宋_GB2312"/>
          <w:b w:val="0"/>
          <w:bCs w:val="0"/>
          <w:sz w:val="32"/>
          <w:szCs w:val="32"/>
          <w:u w:val="single"/>
          <w:lang w:val="en-US" w:eastAsia="zh-CN"/>
        </w:rPr>
        <w:t xml:space="preserve">              </w:t>
      </w:r>
      <w:r>
        <w:rPr>
          <w:rFonts w:hint="eastAsia" w:ascii="楷体_GB2312" w:eastAsia="楷体_GB2312"/>
          <w:b w:val="0"/>
          <w:bCs w:val="0"/>
          <w:sz w:val="32"/>
          <w:szCs w:val="32"/>
        </w:rPr>
        <w:t>（</w:t>
      </w:r>
      <w:r>
        <w:rPr>
          <w:rFonts w:hint="eastAsia" w:ascii="楷体_GB2312" w:eastAsia="楷体_GB2312" w:cs="Times New Roman"/>
          <w:b w:val="0"/>
          <w:bCs w:val="0"/>
          <w:sz w:val="32"/>
          <w:szCs w:val="32"/>
        </w:rPr>
        <w:t>统一社会信用代码：</w:t>
      </w:r>
      <w:r>
        <w:rPr>
          <w:rFonts w:eastAsia="仿宋_GB2312"/>
          <w:b w:val="0"/>
          <w:bCs w:val="0"/>
          <w:sz w:val="32"/>
          <w:szCs w:val="32"/>
        </w:rPr>
        <w:t>____________________</w:t>
      </w:r>
      <w:r>
        <w:rPr>
          <w:rFonts w:hint="eastAsia" w:eastAsia="仿宋_GB2312"/>
          <w:b w:val="0"/>
          <w:bCs w:val="0"/>
          <w:sz w:val="32"/>
          <w:szCs w:val="32"/>
        </w:rPr>
        <w:t>）办税人员</w:t>
      </w:r>
      <w:r>
        <w:rPr>
          <w:rFonts w:hint="eastAsia" w:eastAsia="仿宋_GB2312"/>
          <w:b w:val="0"/>
          <w:bCs w:val="0"/>
          <w:sz w:val="32"/>
          <w:szCs w:val="32"/>
          <w:lang w:eastAsia="zh-CN"/>
        </w:rPr>
        <w:t>。</w:t>
      </w:r>
      <w:r>
        <w:rPr>
          <w:rFonts w:hint="eastAsia" w:eastAsia="仿宋_GB2312"/>
          <w:color w:val="auto"/>
          <w:sz w:val="32"/>
          <w:szCs w:val="32"/>
          <w:highlight w:val="none"/>
          <w:lang w:eastAsia="zh-CN"/>
        </w:rPr>
        <w:t>由于尚未取得单位印章，申请</w:t>
      </w:r>
      <w:r>
        <w:rPr>
          <w:rFonts w:hint="eastAsia" w:eastAsia="仿宋_GB2312"/>
          <w:b w:val="0"/>
          <w:bCs w:val="0"/>
          <w:color w:val="auto"/>
          <w:sz w:val="32"/>
          <w:szCs w:val="32"/>
          <w:highlight w:val="none"/>
        </w:rPr>
        <w:t>委托其到税务机关</w:t>
      </w:r>
      <w:r>
        <w:rPr>
          <w:rFonts w:hint="eastAsia" w:eastAsia="仿宋_GB2312"/>
          <w:color w:val="auto"/>
          <w:sz w:val="32"/>
          <w:szCs w:val="32"/>
          <w:highlight w:val="none"/>
          <w:lang w:eastAsia="zh-CN"/>
        </w:rPr>
        <w:t>容缺</w:t>
      </w:r>
      <w:r>
        <w:rPr>
          <w:rFonts w:hint="eastAsia" w:eastAsia="仿宋_GB2312"/>
          <w:b w:val="0"/>
          <w:bCs w:val="0"/>
          <w:sz w:val="32"/>
          <w:szCs w:val="32"/>
          <w:highlight w:val="none"/>
        </w:rPr>
        <w:t>办</w:t>
      </w:r>
      <w:r>
        <w:rPr>
          <w:rFonts w:hint="eastAsia" w:eastAsia="仿宋_GB2312"/>
          <w:b w:val="0"/>
          <w:bCs w:val="0"/>
          <w:sz w:val="32"/>
          <w:szCs w:val="32"/>
        </w:rPr>
        <w:t>理</w:t>
      </w:r>
      <w:r>
        <w:rPr>
          <w:rFonts w:eastAsia="仿宋_GB2312"/>
          <w:b w:val="0"/>
          <w:bCs w:val="0"/>
          <w:sz w:val="32"/>
          <w:szCs w:val="32"/>
        </w:rPr>
        <w:t>_____________________</w:t>
      </w:r>
      <w:r>
        <w:rPr>
          <w:rFonts w:hint="eastAsia" w:eastAsia="仿宋_GB2312"/>
          <w:b w:val="0"/>
          <w:bCs w:val="0"/>
          <w:sz w:val="32"/>
          <w:szCs w:val="32"/>
        </w:rPr>
        <w:t>涉税事项</w:t>
      </w:r>
      <w:r>
        <w:rPr>
          <w:rFonts w:hint="eastAsia" w:eastAsia="仿宋_GB2312"/>
          <w:b w:val="0"/>
          <w:bCs w:val="0"/>
          <w:sz w:val="32"/>
          <w:szCs w:val="32"/>
          <w:lang w:eastAsia="zh-CN"/>
        </w:rPr>
        <w:t>，并承诺30日内补盖印章。若逾期仍未补齐，本人及本单位愿意按照税收法律法规、相关制度规定接受处理。</w:t>
      </w:r>
    </w:p>
    <w:p>
      <w:pPr>
        <w:spacing w:line="620" w:lineRule="exact"/>
        <w:ind w:firstLine="640" w:firstLineChars="200"/>
        <w:rPr>
          <w:rFonts w:hint="eastAsia" w:eastAsia="仿宋_GB2312"/>
          <w:sz w:val="32"/>
          <w:szCs w:val="32"/>
        </w:rPr>
      </w:pPr>
      <w:r>
        <w:rPr>
          <w:rFonts w:hint="eastAsia" w:eastAsia="仿宋_GB2312"/>
          <w:sz w:val="32"/>
          <w:szCs w:val="32"/>
        </w:rPr>
        <w:t>特此授权。</w:t>
      </w:r>
    </w:p>
    <w:p>
      <w:pPr>
        <w:spacing w:line="580" w:lineRule="exact"/>
        <w:rPr>
          <w:rFonts w:hint="eastAsia" w:eastAsia="仿宋_GB2312"/>
          <w:sz w:val="32"/>
          <w:szCs w:val="32"/>
        </w:rPr>
      </w:pPr>
    </w:p>
    <w:p>
      <w:pPr>
        <w:spacing w:line="580" w:lineRule="exact"/>
        <w:rPr>
          <w:rFonts w:hint="eastAsia" w:eastAsia="仿宋_GB2312"/>
          <w:sz w:val="28"/>
          <w:szCs w:val="28"/>
        </w:rPr>
      </w:pPr>
      <w:r>
        <w:rPr>
          <w:rFonts w:hint="eastAsia" w:ascii="仿宋_GB2312" w:eastAsia="仿宋_GB2312"/>
          <w:sz w:val="28"/>
          <w:szCs w:val="28"/>
        </w:rPr>
        <w:t>法定代表人（负责人、业主）签名</w:t>
      </w:r>
      <w:r>
        <w:rPr>
          <w:rFonts w:hint="eastAsia" w:eastAsia="仿宋_GB2312"/>
          <w:sz w:val="28"/>
          <w:szCs w:val="28"/>
        </w:rPr>
        <w:t>：          联系方式：</w:t>
      </w:r>
    </w:p>
    <w:p>
      <w:pPr>
        <w:spacing w:line="580" w:lineRule="exact"/>
        <w:ind w:left="3779" w:leftChars="1" w:hanging="3777" w:hangingChars="1349"/>
        <w:jc w:val="left"/>
        <w:rPr>
          <w:rFonts w:hint="eastAsia" w:eastAsia="仿宋_GB2312"/>
          <w:sz w:val="28"/>
          <w:szCs w:val="28"/>
        </w:rPr>
      </w:pPr>
      <w:r>
        <w:rPr>
          <w:rFonts w:hint="eastAsia" w:eastAsia="仿宋_GB2312"/>
          <w:sz w:val="28"/>
          <w:szCs w:val="28"/>
          <w:lang w:eastAsia="zh-CN"/>
        </w:rPr>
        <w:t>（身份证复印件附后）</w:t>
      </w:r>
    </w:p>
    <w:p>
      <w:pPr>
        <w:spacing w:line="580" w:lineRule="exact"/>
        <w:ind w:left="3779" w:leftChars="1" w:hanging="3777" w:hangingChars="1349"/>
        <w:jc w:val="left"/>
        <w:rPr>
          <w:rFonts w:hint="eastAsia" w:eastAsia="仿宋_GB2312"/>
          <w:sz w:val="28"/>
          <w:szCs w:val="28"/>
        </w:rPr>
      </w:pPr>
    </w:p>
    <w:p>
      <w:pPr>
        <w:spacing w:line="580" w:lineRule="exact"/>
        <w:ind w:left="3779" w:leftChars="1" w:hanging="3777" w:hangingChars="1349"/>
        <w:jc w:val="left"/>
        <w:rPr>
          <w:rFonts w:hint="eastAsia" w:eastAsia="仿宋_GB2312"/>
          <w:color w:val="000000"/>
          <w:sz w:val="32"/>
          <w:szCs w:val="32"/>
        </w:rPr>
      </w:pPr>
      <w:r>
        <w:rPr>
          <w:rFonts w:hint="eastAsia" w:eastAsia="仿宋_GB2312"/>
          <w:sz w:val="28"/>
          <w:szCs w:val="28"/>
        </w:rPr>
        <w:t>受托</w:t>
      </w:r>
      <w:r>
        <w:rPr>
          <w:rFonts w:eastAsia="仿宋_GB2312"/>
          <w:sz w:val="28"/>
          <w:szCs w:val="28"/>
        </w:rPr>
        <w:t>人签</w:t>
      </w:r>
      <w:r>
        <w:rPr>
          <w:rFonts w:hint="eastAsia" w:eastAsia="仿宋_GB2312"/>
          <w:sz w:val="28"/>
          <w:szCs w:val="28"/>
        </w:rPr>
        <w:t>名</w:t>
      </w:r>
      <w:r>
        <w:rPr>
          <w:rFonts w:eastAsia="仿宋_GB2312"/>
          <w:sz w:val="28"/>
          <w:szCs w:val="28"/>
        </w:rPr>
        <w:t xml:space="preserve">：    </w:t>
      </w:r>
      <w:r>
        <w:rPr>
          <w:rFonts w:hint="eastAsia" w:eastAsia="仿宋_GB2312"/>
          <w:sz w:val="28"/>
          <w:szCs w:val="28"/>
        </w:rPr>
        <w:t xml:space="preserve">                          联系方式：</w:t>
      </w:r>
      <w:r>
        <w:rPr>
          <w:rFonts w:eastAsia="仿宋_GB2312"/>
          <w:sz w:val="28"/>
          <w:szCs w:val="28"/>
        </w:rPr>
        <w:t xml:space="preserve">  </w:t>
      </w:r>
      <w:r>
        <w:rPr>
          <w:rFonts w:eastAsia="仿宋_GB2312"/>
          <w:sz w:val="32"/>
          <w:szCs w:val="32"/>
        </w:rPr>
        <w:t xml:space="preserve">   </w:t>
      </w:r>
      <w:r>
        <w:rPr>
          <w:rFonts w:eastAsia="仿宋_GB2312"/>
          <w:color w:val="000000"/>
          <w:sz w:val="32"/>
          <w:szCs w:val="32"/>
        </w:rPr>
        <w:t xml:space="preserve">  </w:t>
      </w:r>
      <w:r>
        <w:rPr>
          <w:rFonts w:hint="eastAsia" w:eastAsia="仿宋_GB2312"/>
          <w:color w:val="000000"/>
          <w:sz w:val="32"/>
          <w:szCs w:val="32"/>
        </w:rPr>
        <w:t xml:space="preserve"> </w:t>
      </w:r>
    </w:p>
    <w:p>
      <w:pPr>
        <w:spacing w:line="580" w:lineRule="exact"/>
        <w:ind w:left="5438" w:leftChars="304" w:hanging="4800" w:hangingChars="1500"/>
        <w:rPr>
          <w:rFonts w:hint="eastAsia" w:ascii="黑体" w:hAnsi="黑体" w:eastAsia="黑体" w:cs="黑体"/>
          <w:sz w:val="32"/>
          <w:szCs w:val="32"/>
          <w:lang w:eastAsia="zh-CN"/>
        </w:rPr>
      </w:pP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年    月    日  </w:t>
      </w:r>
    </w:p>
    <w:p>
      <w:pPr>
        <w:rPr>
          <w:rFonts w:hint="eastAsia" w:ascii="黑体" w:hAnsi="黑体" w:eastAsia="黑体" w:cs="黑体"/>
          <w:sz w:val="32"/>
          <w:szCs w:val="32"/>
          <w:lang w:eastAsia="zh-CN"/>
        </w:rPr>
      </w:pPr>
    </w:p>
    <w:p>
      <w:pPr>
        <w:ind w:left="0" w:leftChars="0" w:firstLine="419" w:firstLineChars="131"/>
        <w:rPr>
          <w:rFonts w:hint="eastAsia" w:ascii="仿宋_GB2312" w:eastAsia="仿宋_GB2312"/>
          <w:sz w:val="32"/>
          <w:szCs w:val="32"/>
          <w:lang w:val="en-US" w:eastAsia="zh-CN"/>
        </w:rPr>
      </w:pPr>
    </w:p>
    <w:p>
      <w:pPr>
        <w:jc w:val="center"/>
        <w:rPr>
          <w:rFonts w:hint="eastAsia" w:ascii="仿宋" w:hAnsi="仿宋" w:eastAsia="仿宋" w:cs="仿宋"/>
          <w:i w:val="0"/>
          <w:iCs w:val="0"/>
          <w:caps w:val="0"/>
          <w:color w:val="FF0000"/>
          <w:spacing w:val="0"/>
          <w:sz w:val="32"/>
          <w:szCs w:val="32"/>
          <w:shd w:val="clear" w:fill="FFFFFF"/>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ind w:left="0" w:leftChars="0" w:firstLine="0" w:firstLineChars="0"/>
        <w:rPr>
          <w:rFonts w:hint="eastAsia" w:ascii="仿宋_GB2312" w:eastAsia="仿宋_GB2312"/>
          <w:sz w:val="32"/>
          <w:szCs w:val="32"/>
          <w:lang w:val="en-US" w:eastAsia="zh-CN"/>
        </w:rPr>
      </w:pPr>
      <w:r>
        <w:rPr>
          <w:rFonts w:hint="eastAsia" w:eastAsia="宋体"/>
          <w:lang w:eastAsia="zh-CN"/>
        </w:rPr>
        <w:drawing>
          <wp:inline distT="0" distB="0" distL="114300" distR="114300">
            <wp:extent cx="6202045" cy="8046085"/>
            <wp:effectExtent l="0" t="0" r="8255" b="12065"/>
            <wp:docPr id="4" name="图片 1" descr="企业开办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企业开办流程"/>
                    <pic:cNvPicPr>
                      <a:picLocks noChangeAspect="1"/>
                    </pic:cNvPicPr>
                  </pic:nvPicPr>
                  <pic:blipFill>
                    <a:blip r:embed="rId4"/>
                    <a:stretch>
                      <a:fillRect/>
                    </a:stretch>
                  </pic:blipFill>
                  <pic:spPr>
                    <a:xfrm>
                      <a:off x="0" y="0"/>
                      <a:ext cx="6202045" cy="8046085"/>
                    </a:xfrm>
                    <a:prstGeom prst="rect">
                      <a:avLst/>
                    </a:prstGeom>
                    <a:noFill/>
                    <a:ln>
                      <a:noFill/>
                    </a:ln>
                  </pic:spPr>
                </pic:pic>
              </a:graphicData>
            </a:graphic>
          </wp:inline>
        </w:drawing>
      </w:r>
    </w:p>
    <w:p>
      <w:pPr>
        <w:jc w:val="center"/>
        <w:rPr>
          <w:rFonts w:hint="eastAsia" w:ascii="仿宋" w:hAnsi="仿宋" w:eastAsia="仿宋" w:cs="仿宋"/>
          <w:i w:val="0"/>
          <w:iCs w:val="0"/>
          <w:caps w:val="0"/>
          <w:color w:val="FF0000"/>
          <w:spacing w:val="0"/>
          <w:sz w:val="32"/>
          <w:szCs w:val="3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等线">
    <w:altName w:val="仿宋"/>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F43F2"/>
    <w:rsid w:val="5CDC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pPr>
      <w:widowControl w:val="0"/>
      <w:overflowPunct/>
      <w:autoSpaceDE/>
      <w:autoSpaceDN/>
      <w:adjustRightInd/>
      <w:textAlignment w:val="auto"/>
    </w:pPr>
    <w:rPr>
      <w:rFonts w:ascii="宋体" w:hAnsi="Courier New"/>
      <w:sz w:val="20"/>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2023-06-20T02:52:00Z</dcterms:created>
  <dc:creator>Administrator.ZGC-20130610YXB</dc:creator>
  <cp:lastModifiedBy>公文管理</cp:lastModifiedBy>
  <dcterms:modified xsi:type="dcterms:W3CDTF">2023-06-20T03:07:48Z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