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hAnsi="华文细黑" w:eastAsia="仿宋_GB2312"/>
          <w:b/>
          <w:color w:val="000000"/>
          <w:sz w:val="36"/>
          <w:szCs w:val="36"/>
        </w:rPr>
      </w:pPr>
      <w:r>
        <w:rPr>
          <w:rFonts w:hint="eastAsia" w:ascii="仿宋_GB2312" w:hAnsi="华文细黑" w:eastAsia="仿宋_GB2312"/>
          <w:b/>
          <w:color w:val="000000"/>
          <w:sz w:val="36"/>
          <w:szCs w:val="36"/>
        </w:rPr>
        <w:t>202</w:t>
      </w:r>
      <w:r>
        <w:rPr>
          <w:rFonts w:hint="eastAsia" w:ascii="仿宋_GB2312" w:hAnsi="华文细黑" w:eastAsia="仿宋_GB2312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仿宋_GB2312" w:hAnsi="华文细黑" w:eastAsia="仿宋_GB2312"/>
          <w:b/>
          <w:color w:val="000000"/>
          <w:sz w:val="36"/>
          <w:szCs w:val="36"/>
        </w:rPr>
        <w:t>年度唐河县文化广电和旅游局</w:t>
      </w:r>
    </w:p>
    <w:p>
      <w:pPr>
        <w:pStyle w:val="4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hAnsi="华文细黑" w:eastAsia="仿宋_GB2312"/>
          <w:b/>
          <w:color w:val="000000"/>
          <w:sz w:val="36"/>
          <w:szCs w:val="36"/>
        </w:rPr>
      </w:pPr>
      <w:r>
        <w:rPr>
          <w:rFonts w:hint="eastAsia" w:ascii="仿宋_GB2312" w:hAnsi="华文细黑" w:eastAsia="仿宋_GB2312"/>
          <w:b/>
          <w:color w:val="000000"/>
          <w:sz w:val="36"/>
          <w:szCs w:val="36"/>
        </w:rPr>
        <w:t>部门预算公开说明</w:t>
      </w:r>
      <w:bookmarkStart w:id="0" w:name="_GoBack"/>
      <w:bookmarkEnd w:id="0"/>
    </w:p>
    <w:p>
      <w:pPr>
        <w:pStyle w:val="8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目   录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第一部分 唐河县文化广电和旅游局概况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 单位职能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（二）单位构成</w:t>
      </w:r>
    </w:p>
    <w:p>
      <w:pPr>
        <w:spacing w:line="600" w:lineRule="exact"/>
        <w:ind w:firstLine="643" w:firstLineChars="200"/>
        <w:rPr>
          <w:rFonts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第二部分 2022年度部门预算情况说明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第三部分</w:t>
      </w:r>
      <w:r>
        <w:rPr>
          <w:rFonts w:ascii="黑体" w:eastAsia="黑体" w:cs="黑体"/>
          <w:spacing w:val="-32"/>
          <w:sz w:val="32"/>
          <w:szCs w:val="32"/>
        </w:rPr>
        <w:t xml:space="preserve"> </w:t>
      </w:r>
      <w:r>
        <w:rPr>
          <w:rFonts w:hint="eastAsia" w:ascii="黑体" w:eastAsia="黑体" w:cs="黑体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附件：</w:t>
      </w:r>
      <w:r>
        <w:rPr>
          <w:rFonts w:ascii="黑体" w:eastAsia="黑体" w:cs="黑体"/>
          <w:spacing w:val="-3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唐河县公共资源交易中心</w:t>
      </w:r>
      <w:r>
        <w:rPr>
          <w:rFonts w:hint="eastAsia" w:ascii="黑体" w:eastAsia="黑体" w:cs="黑体"/>
          <w:sz w:val="32"/>
          <w:szCs w:val="32"/>
        </w:rPr>
        <w:t>2022年部门预算表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部门收支预算总表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部门收入预算总表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财政拨款预算收支情况表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支出经济分类汇总表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七、政府性基金支出情况表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八、项目支出预算表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九、</w:t>
      </w:r>
      <w:r>
        <w:rPr>
          <w:rFonts w:hint="eastAsia" w:ascii="仿宋_GB2312" w:eastAsia="仿宋_GB2312"/>
          <w:sz w:val="32"/>
          <w:szCs w:val="32"/>
        </w:rPr>
        <w:t>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十、</w:t>
      </w:r>
      <w:r>
        <w:rPr>
          <w:rFonts w:hint="eastAsia" w:ascii="仿宋_GB2312" w:eastAsia="仿宋_GB2312"/>
          <w:sz w:val="32"/>
          <w:szCs w:val="32"/>
        </w:rPr>
        <w:t>政府购买服务预算表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唐河县文化广电和旅游局概况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left="420" w:leftChars="200"/>
        <w:jc w:val="both"/>
        <w:rPr>
          <w:rFonts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一、单位职能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唐河县文化广电和旅游局是行政机关，是负责唐河县图书馆、群众文化、博物馆等群众文化传播的业务工作。单位的主要职责是：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1、指导全县文化广播电视网络宣传与创作，把握正确的舆论导向和创作导向。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2、指导、管理全县社会文化事业，组织全县性重大文化、广播电影电视活动；负责全县非物质文化遗产保护和优秀民族文化，传承普及工作。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3、指导、监督、管理全县文化市场综合执法活动。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二、单位构成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唐河县文化广电和旅游局于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1980年8月挂牌成立，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唐河县文化广电和旅游局行政编制10人，事业编制68人，自收自支12人。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实有在职工作人员73人。机关内设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有办公室、社会文化艺术股、文化市场管理股、宣传管理股、文物管理股、文化产业管理股。</w:t>
      </w:r>
    </w:p>
    <w:p>
      <w:pPr>
        <w:ind w:firstLine="640" w:firstLineChars="200"/>
        <w:rPr>
          <w:rFonts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纳入本部门2022年度部门预算编制范围的单位共6个，其中二级单位5个，具体是：</w:t>
      </w:r>
    </w:p>
    <w:p>
      <w:pPr>
        <w:widowControl/>
        <w:ind w:firstLine="640" w:firstLineChars="200"/>
        <w:jc w:val="left"/>
        <w:rPr>
          <w:rFonts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1.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唐河县文化广电新闻出版局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本级</w:t>
      </w:r>
    </w:p>
    <w:p>
      <w:pPr>
        <w:widowControl/>
        <w:ind w:firstLine="640" w:firstLineChars="200"/>
        <w:jc w:val="lef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2.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唐河县图书馆</w:t>
      </w:r>
    </w:p>
    <w:p>
      <w:pPr>
        <w:widowControl/>
        <w:ind w:firstLine="640" w:firstLineChars="200"/>
        <w:jc w:val="lef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3.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唐河县文化馆</w:t>
      </w:r>
    </w:p>
    <w:p>
      <w:pPr>
        <w:widowControl/>
        <w:ind w:firstLine="640" w:firstLineChars="200"/>
        <w:jc w:val="lef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4.唐河县博物馆</w:t>
      </w:r>
    </w:p>
    <w:p>
      <w:pPr>
        <w:widowControl/>
        <w:ind w:firstLine="640" w:firstLineChars="200"/>
        <w:jc w:val="lef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5.唐河县大会堂</w:t>
      </w:r>
    </w:p>
    <w:p>
      <w:pPr>
        <w:widowControl/>
        <w:ind w:firstLine="640" w:firstLineChars="20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  <w:sectPr>
          <w:pgSz w:w="11906" w:h="16838"/>
          <w:pgMar w:top="1440" w:right="1800" w:bottom="1440" w:left="1800" w:header="720" w:footer="72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6.唐河县戏曲艺术中心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第二部分 2022年度部门预算情况说明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一、收入支出总体情况说明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2022年度部门预算总收入971万元，总支出971万元， 2021年度部门预算总收入1655.47万元，总支出1655.47万元，与去年相比部门预算分别减少684.47万元。预算减少的主要原因是：我局项目资金减少。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二、收入总体情况说明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2022年度部门预算总收入971万元，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2021年收入合计1655.47万元，其中：一般公共预算财政拨款收入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971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万元，比去年减少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684.47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减少的主要原因是：我局项目资金减少。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三、支出总体情况说明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2022年度部门预算总支971万元，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2021年支出合计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1655.47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万元，其中：基本支出794万元，项目支出177万元。2021年支出合计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1655.47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万元，支出较去年比去年减少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684.47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减少的主要原因是：我局项目资金减少。</w:t>
      </w:r>
    </w:p>
    <w:p>
      <w:pPr>
        <w:spacing w:line="600" w:lineRule="exact"/>
        <w:ind w:firstLine="640" w:firstLineChars="200"/>
        <w:rPr>
          <w:rFonts w:ascii="新宋体" w:hAnsi="新宋体" w:eastAsia="新宋体" w:cs="新宋体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四、</w:t>
      </w:r>
      <w:r>
        <w:rPr>
          <w:rFonts w:hint="eastAsia" w:ascii="新宋体" w:hAnsi="新宋体" w:eastAsia="新宋体" w:cs="新宋体"/>
          <w:sz w:val="32"/>
          <w:szCs w:val="32"/>
          <w:shd w:val="clear" w:color="auto" w:fill="FFFFFF"/>
        </w:rPr>
        <w:t>财政拨款收支情况说明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  <w:shd w:val="clear" w:color="auto" w:fill="FFFFFF"/>
        </w:rPr>
        <w:t>2022年收入合计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971</w:t>
      </w:r>
      <w:r>
        <w:rPr>
          <w:rFonts w:hint="eastAsia" w:ascii="新宋体" w:hAnsi="新宋体" w:eastAsia="新宋体" w:cs="新宋体"/>
          <w:sz w:val="32"/>
          <w:szCs w:val="32"/>
          <w:shd w:val="clear" w:color="auto" w:fill="FFFFFF"/>
        </w:rPr>
        <w:t>万元，财政拨款收入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971</w:t>
      </w:r>
      <w:r>
        <w:rPr>
          <w:rFonts w:hint="eastAsia" w:ascii="新宋体" w:hAnsi="新宋体" w:eastAsia="新宋体" w:cs="新宋体"/>
          <w:sz w:val="32"/>
          <w:szCs w:val="32"/>
          <w:shd w:val="clear" w:color="auto" w:fill="FFFFFF"/>
        </w:rPr>
        <w:t>万元，与2021年财政拨款收入相比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比去年减少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684.47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减少的主要原因是：我局项目资金减少。</w:t>
      </w:r>
      <w:r>
        <w:rPr>
          <w:rFonts w:hint="eastAsia" w:ascii="新宋体" w:hAnsi="新宋体" w:eastAsia="新宋体" w:cs="新宋体"/>
          <w:sz w:val="32"/>
          <w:szCs w:val="32"/>
          <w:shd w:val="clear" w:color="auto" w:fill="FFFFFF"/>
        </w:rPr>
        <w:t>2022 年支出合计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971</w:t>
      </w:r>
      <w:r>
        <w:rPr>
          <w:rFonts w:hint="eastAsia" w:ascii="新宋体" w:hAnsi="新宋体" w:eastAsia="新宋体" w:cs="新宋体"/>
          <w:sz w:val="32"/>
          <w:szCs w:val="32"/>
          <w:shd w:val="clear" w:color="auto" w:fill="FFFFFF"/>
        </w:rPr>
        <w:t>万元，其中：</w:t>
      </w:r>
      <w:r>
        <w:rPr>
          <w:rFonts w:hint="eastAsia" w:ascii="新宋体" w:hAnsi="新宋体" w:eastAsia="新宋体" w:cs="新宋体"/>
          <w:sz w:val="32"/>
          <w:szCs w:val="32"/>
        </w:rPr>
        <w:t>工资福利支出708万元，商品服务支出42万元，其他对家庭及个人的补助支出44万元，项目支出177万元。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五、一般公共预算支出预算情况说明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2022年支出合计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971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万元。其中：一般公共预算基本支出794万元；一般公共预算项目支出177万元; 政府性基金支出 0 万元。支出较去年比去年减少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684.47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减少的主要原因是：我局项目资金减少。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六、一般公共预算基本支出预算情况说明</w:t>
      </w:r>
    </w:p>
    <w:p>
      <w:pPr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2022年一般公共预算基本支出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794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万元，其中：人员经费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</w:rPr>
        <w:t>752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 其他对个人和家庭的补助支出；</w:t>
      </w:r>
    </w:p>
    <w:p>
      <w:pPr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公用经费42万元，主要包括：办公费、印刷费、咨询费、手续费、水费、电费、邮电费、取暖费、物业管理费、差旅费、因公出国（境）费、维 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七、政府性基金预算支出情况说明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我单位无政府性基金预算支出。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八、“三公”经费支出情况说明</w:t>
      </w:r>
    </w:p>
    <w:p>
      <w:pPr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2022年“三公”经费预算为5.8万元，与去年相比减少。主要原因是节俭开支。</w:t>
      </w:r>
    </w:p>
    <w:p>
      <w:pPr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具体支出情况如下：</w:t>
      </w:r>
    </w:p>
    <w:p>
      <w:pPr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（一）因公出国（境）费 0 万元，主要用于单位工作人员公务出国（境）的住宿费、旅费、伙食补助费、杂费、培训费等支出。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（二）公务用车运行及运行费3万元，主要用于开展工作所需公务用车的燃料费、维修费、过路过桥费、保险费等支出。</w:t>
      </w:r>
    </w:p>
    <w:p>
      <w:pPr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（三）公务接待费2.8万元，主要用于按规定开支的各类公务接待支出，与去年相比减少。主要原因是节俭开支。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九、其他重要事项目的情况说明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（一）2022年无政府采购收支预算；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（二）无国有资产占用情况；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2021年期末，共有车辆 0辆，其中：一般公务用 车0 辆。单价 50 万元以上通用设备 0 台，单位价值 100 万 元以上专用设备 0 台。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（三）无专项转移支付资金；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（四）无开展预算绩效管理工作；</w:t>
      </w:r>
    </w:p>
    <w:p>
      <w:pPr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（五）机关运行经费支出情况,2022年机关运行经费支出预算42万元，主要用于机构正常运转及正常履职需要；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（六）无国有资本经营预算。</w:t>
      </w:r>
    </w:p>
    <w:p>
      <w:pPr>
        <w:spacing w:line="600" w:lineRule="exact"/>
        <w:ind w:firstLine="640" w:firstLineChars="200"/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left="420" w:leftChars="200"/>
        <w:jc w:val="center"/>
        <w:rPr>
          <w:rFonts w:asciiTheme="minorEastAsia" w:hAnsiTheme="minorEastAsia" w:eastAsiaTheme="minorEastAsia" w:cstheme="minorEastAsia"/>
          <w:b/>
          <w:bCs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第三部分   名词解释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left="420" w:left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</w:p>
    <w:p>
      <w:pPr>
        <w:pStyle w:val="8"/>
        <w:spacing w:line="6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一、财政拨款收入：是指县级财政当年拨付的资金。</w:t>
      </w:r>
    </w:p>
    <w:p>
      <w:pPr>
        <w:pStyle w:val="8"/>
        <w:spacing w:line="6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二、事业收入：是指事业单位开展专业活动及辅助活动所取得的收入。</w:t>
      </w:r>
    </w:p>
    <w:p>
      <w:pPr>
        <w:pStyle w:val="8"/>
        <w:spacing w:line="6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三、其他收入：是指部门取得的除“财政拨款”、“事业收入”、“事业单位经营收入”等以外的收入。</w:t>
      </w:r>
    </w:p>
    <w:p>
      <w:pPr>
        <w:pStyle w:val="8"/>
        <w:spacing w:line="6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pStyle w:val="8"/>
        <w:spacing w:line="6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五、基本支出：是指为保障机构正常运转、完成日常工作任务所必需的开支，其内容包括人员经费和日常公用经费两部分。</w:t>
      </w:r>
    </w:p>
    <w:p>
      <w:pPr>
        <w:pStyle w:val="8"/>
        <w:spacing w:line="6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六、项目支出：是指在基本支出之外，为完成特定的行政工作任务或事业发展目标所发生的支出。</w:t>
      </w:r>
    </w:p>
    <w:p>
      <w:pPr>
        <w:pStyle w:val="8"/>
        <w:spacing w:line="6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公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pStyle w:val="8"/>
        <w:spacing w:line="6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pStyle w:val="8"/>
        <w:spacing w:line="560" w:lineRule="exact"/>
        <w:rPr>
          <w:rFonts w:eastAsia="仿宋_GB2312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  </w:t>
      </w:r>
    </w:p>
    <w:p>
      <w:pPr>
        <w:ind w:firstLine="4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附加：唐河县文化广电和旅游局2022年部门预算公开报表</w:t>
      </w:r>
    </w:p>
    <w:p>
      <w:pPr>
        <w:ind w:firstLine="420"/>
        <w:rPr>
          <w:sz w:val="32"/>
          <w:szCs w:val="32"/>
        </w:rPr>
      </w:pPr>
    </w:p>
    <w:p>
      <w:pPr>
        <w:pStyle w:val="1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090" w:right="1071" w:bottom="779" w:left="162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- 8 -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26198"/>
    <w:multiLevelType w:val="singleLevel"/>
    <w:tmpl w:val="E492619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FhMmExY2E4ZDU2ZDA1YzRjZmE3MTc2NDcxZGRhYzIifQ=="/>
  </w:docVars>
  <w:rsids>
    <w:rsidRoot w:val="18815F9E"/>
    <w:rsid w:val="00057D28"/>
    <w:rsid w:val="000B1587"/>
    <w:rsid w:val="001C26B9"/>
    <w:rsid w:val="00265909"/>
    <w:rsid w:val="00341DDA"/>
    <w:rsid w:val="003B24F8"/>
    <w:rsid w:val="003D13B9"/>
    <w:rsid w:val="00461C97"/>
    <w:rsid w:val="004656C7"/>
    <w:rsid w:val="00496021"/>
    <w:rsid w:val="004B447D"/>
    <w:rsid w:val="004C698B"/>
    <w:rsid w:val="006E1889"/>
    <w:rsid w:val="007C21D8"/>
    <w:rsid w:val="00887790"/>
    <w:rsid w:val="008B7896"/>
    <w:rsid w:val="00921263"/>
    <w:rsid w:val="009A6F40"/>
    <w:rsid w:val="00A060D1"/>
    <w:rsid w:val="00AC39A8"/>
    <w:rsid w:val="00B91B1C"/>
    <w:rsid w:val="00D77EA3"/>
    <w:rsid w:val="00DF561F"/>
    <w:rsid w:val="00F8746E"/>
    <w:rsid w:val="02160D29"/>
    <w:rsid w:val="02CE60B7"/>
    <w:rsid w:val="03BA70EC"/>
    <w:rsid w:val="05B06105"/>
    <w:rsid w:val="05C148AE"/>
    <w:rsid w:val="061D6631"/>
    <w:rsid w:val="0692240D"/>
    <w:rsid w:val="074A3396"/>
    <w:rsid w:val="0859627A"/>
    <w:rsid w:val="0F7D6207"/>
    <w:rsid w:val="1121658F"/>
    <w:rsid w:val="114E6DE7"/>
    <w:rsid w:val="155D3B43"/>
    <w:rsid w:val="15A41060"/>
    <w:rsid w:val="17C50B02"/>
    <w:rsid w:val="18661879"/>
    <w:rsid w:val="18815F9E"/>
    <w:rsid w:val="18F24437"/>
    <w:rsid w:val="19A57062"/>
    <w:rsid w:val="1A2A4BF4"/>
    <w:rsid w:val="1AD96410"/>
    <w:rsid w:val="1BE66F56"/>
    <w:rsid w:val="1DD54F83"/>
    <w:rsid w:val="21D0159B"/>
    <w:rsid w:val="232F24A4"/>
    <w:rsid w:val="23A4296D"/>
    <w:rsid w:val="245F20B6"/>
    <w:rsid w:val="254D2802"/>
    <w:rsid w:val="25F35697"/>
    <w:rsid w:val="287E1FD2"/>
    <w:rsid w:val="28D841DB"/>
    <w:rsid w:val="29296891"/>
    <w:rsid w:val="2A0D7990"/>
    <w:rsid w:val="2A561F91"/>
    <w:rsid w:val="2D2962E3"/>
    <w:rsid w:val="2D8518E5"/>
    <w:rsid w:val="2D92292F"/>
    <w:rsid w:val="2DC43EAE"/>
    <w:rsid w:val="2E4A5EDA"/>
    <w:rsid w:val="2E9D7176"/>
    <w:rsid w:val="2FD453F9"/>
    <w:rsid w:val="307D6A60"/>
    <w:rsid w:val="30D13EDD"/>
    <w:rsid w:val="36543CC5"/>
    <w:rsid w:val="36D42D92"/>
    <w:rsid w:val="376C6672"/>
    <w:rsid w:val="383B0FA1"/>
    <w:rsid w:val="38A42BF1"/>
    <w:rsid w:val="3A8C0669"/>
    <w:rsid w:val="3B195D57"/>
    <w:rsid w:val="3B9D2BB3"/>
    <w:rsid w:val="3BD24DC4"/>
    <w:rsid w:val="3C6B71CC"/>
    <w:rsid w:val="3DA61AAC"/>
    <w:rsid w:val="3FB82812"/>
    <w:rsid w:val="4065274D"/>
    <w:rsid w:val="419F6AFF"/>
    <w:rsid w:val="443A67BA"/>
    <w:rsid w:val="44BC601F"/>
    <w:rsid w:val="45E74C52"/>
    <w:rsid w:val="48392E22"/>
    <w:rsid w:val="483E289C"/>
    <w:rsid w:val="493A108C"/>
    <w:rsid w:val="49585A52"/>
    <w:rsid w:val="4B135B5E"/>
    <w:rsid w:val="4BE1255A"/>
    <w:rsid w:val="4E5776F7"/>
    <w:rsid w:val="4EE910A8"/>
    <w:rsid w:val="50D6511B"/>
    <w:rsid w:val="54843798"/>
    <w:rsid w:val="565624B1"/>
    <w:rsid w:val="56C56DB8"/>
    <w:rsid w:val="57861BB8"/>
    <w:rsid w:val="58B16EC2"/>
    <w:rsid w:val="58D910C4"/>
    <w:rsid w:val="5D6207D8"/>
    <w:rsid w:val="5DD342E6"/>
    <w:rsid w:val="5E027394"/>
    <w:rsid w:val="614D7274"/>
    <w:rsid w:val="636079D9"/>
    <w:rsid w:val="64540496"/>
    <w:rsid w:val="646F0A8E"/>
    <w:rsid w:val="68610023"/>
    <w:rsid w:val="690D218B"/>
    <w:rsid w:val="698F2120"/>
    <w:rsid w:val="6B35174F"/>
    <w:rsid w:val="6B9F31A3"/>
    <w:rsid w:val="6DFB018D"/>
    <w:rsid w:val="6DFF2B8E"/>
    <w:rsid w:val="6EAA1BF0"/>
    <w:rsid w:val="6EFA21FE"/>
    <w:rsid w:val="6F7210CA"/>
    <w:rsid w:val="70F47AED"/>
    <w:rsid w:val="736E56BB"/>
    <w:rsid w:val="745E47A7"/>
    <w:rsid w:val="78152AA9"/>
    <w:rsid w:val="78EF74CD"/>
    <w:rsid w:val="78F001B5"/>
    <w:rsid w:val="7BAF48F6"/>
    <w:rsid w:val="7C695055"/>
    <w:rsid w:val="7D526D4C"/>
    <w:rsid w:val="7E4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无间隔2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2581</Words>
  <Characters>2761</Characters>
  <Lines>20</Lines>
  <Paragraphs>5</Paragraphs>
  <TotalTime>82</TotalTime>
  <ScaleCrop>false</ScaleCrop>
  <LinksUpToDate>false</LinksUpToDate>
  <CharactersWithSpaces>2797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2022-05-30T08:19:00Z</dcterms:created>
  <dc:creator>Administrator</dc:creator>
  <cp:lastModifiedBy>信仰</cp:lastModifiedBy>
  <dcterms:modified xsi:type="dcterms:W3CDTF">2023-06-12T01:46:26Z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17DF2C7C8EB746C4BF332FA45E6D9229_12</vt:lpwstr>
  </property>
</Properties>
</file>