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cs="楷体"/>
          <w:sz w:val="32"/>
          <w:szCs w:val="32"/>
          <w:lang w:val="en-US" w:eastAsia="zh-CN"/>
        </w:rPr>
      </w:pPr>
      <w:r>
        <w:rPr>
          <w:rFonts w:hint="eastAsia" w:asciiTheme="majorEastAsia" w:hAnsiTheme="majorEastAsia" w:eastAsiaTheme="majorEastAsia" w:cstheme="majorEastAsia"/>
          <w:sz w:val="44"/>
          <w:szCs w:val="44"/>
          <w:lang w:val="en-US" w:eastAsia="zh-CN"/>
        </w:rPr>
        <w:t>唐河县卫生健康委员会行政权力</w:t>
      </w:r>
      <w:bookmarkStart w:id="0" w:name="_GoBack"/>
      <w:bookmarkEnd w:id="0"/>
      <w:r>
        <w:rPr>
          <w:rFonts w:hint="eastAsia" w:asciiTheme="majorEastAsia" w:hAnsiTheme="majorEastAsia" w:eastAsiaTheme="majorEastAsia" w:cstheme="majorEastAsia"/>
          <w:sz w:val="44"/>
          <w:szCs w:val="44"/>
          <w:lang w:val="en-US" w:eastAsia="zh-CN"/>
        </w:rPr>
        <w:t>中介服务事项清单</w:t>
      </w:r>
    </w:p>
    <w:tbl>
      <w:tblPr>
        <w:tblStyle w:val="3"/>
        <w:tblpPr w:leftFromText="180" w:rightFromText="180" w:vertAnchor="text" w:horzAnchor="page" w:tblpX="1452" w:tblpY="81"/>
        <w:tblOverlap w:val="never"/>
        <w:tblW w:w="13836" w:type="dxa"/>
        <w:tblInd w:w="0" w:type="dxa"/>
        <w:tblBorders>
          <w:top w:val="single" w:color="0A0A0A" w:sz="6" w:space="0"/>
          <w:left w:val="single" w:color="0A0A0A" w:sz="6" w:space="0"/>
          <w:bottom w:val="single" w:color="0A0A0A" w:sz="6" w:space="0"/>
          <w:right w:val="single" w:color="0A0A0A" w:sz="6" w:space="0"/>
          <w:insideH w:val="outset" w:color="000000" w:sz="6" w:space="0"/>
          <w:insideV w:val="outset" w:color="000000" w:sz="6" w:space="0"/>
        </w:tblBorders>
        <w:shd w:val="clear" w:color="auto" w:fill="FFFFFF"/>
        <w:tblLayout w:type="autofit"/>
        <w:tblCellMar>
          <w:top w:w="0" w:type="dxa"/>
          <w:left w:w="0" w:type="dxa"/>
          <w:bottom w:w="0" w:type="dxa"/>
          <w:right w:w="0" w:type="dxa"/>
        </w:tblCellMar>
      </w:tblPr>
      <w:tblGrid>
        <w:gridCol w:w="949"/>
        <w:gridCol w:w="2128"/>
        <w:gridCol w:w="2084"/>
        <w:gridCol w:w="1455"/>
        <w:gridCol w:w="2842"/>
        <w:gridCol w:w="1712"/>
        <w:gridCol w:w="2666"/>
      </w:tblGrid>
      <w:tr>
        <w:tblPrEx>
          <w:tblBorders>
            <w:top w:val="single" w:color="0A0A0A" w:sz="6" w:space="0"/>
            <w:left w:val="single" w:color="0A0A0A" w:sz="6" w:space="0"/>
            <w:bottom w:val="single" w:color="0A0A0A" w:sz="6" w:space="0"/>
            <w:right w:val="single" w:color="0A0A0A"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1002" w:hRule="atLeast"/>
        </w:trPr>
        <w:tc>
          <w:tcPr>
            <w:tcW w:w="949"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right="0" w:firstLine="0"/>
              <w:jc w:val="center"/>
              <w:textAlignment w:val="auto"/>
              <w:rPr>
                <w:rFonts w:hint="eastAsia" w:ascii="宋体" w:hAnsi="宋体" w:eastAsia="宋体" w:cs="宋体"/>
                <w:caps w:val="0"/>
                <w:color w:val="000000"/>
                <w:spacing w:val="0"/>
                <w:sz w:val="24"/>
                <w:szCs w:val="24"/>
                <w:u w:val="none"/>
              </w:rPr>
            </w:pPr>
            <w:r>
              <w:rPr>
                <w:rStyle w:val="5"/>
                <w:rFonts w:hint="eastAsia" w:ascii="宋体" w:hAnsi="宋体" w:eastAsia="宋体" w:cs="宋体"/>
                <w:caps w:val="0"/>
                <w:color w:val="000000"/>
                <w:spacing w:val="0"/>
                <w:kern w:val="0"/>
                <w:sz w:val="20"/>
                <w:szCs w:val="20"/>
                <w:u w:val="none"/>
                <w:lang w:val="en-US" w:eastAsia="zh-CN" w:bidi="ar"/>
              </w:rPr>
              <w:t>序号</w:t>
            </w:r>
          </w:p>
        </w:tc>
        <w:tc>
          <w:tcPr>
            <w:tcW w:w="2128"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Style w:val="5"/>
                <w:rFonts w:hint="eastAsia" w:ascii="微软雅黑" w:hAnsi="微软雅黑" w:eastAsia="微软雅黑" w:cs="微软雅黑"/>
                <w:caps w:val="0"/>
                <w:color w:val="000000"/>
                <w:spacing w:val="0"/>
                <w:sz w:val="20"/>
                <w:szCs w:val="20"/>
                <w:u w:val="none"/>
                <w:lang w:eastAsia="zh-CN"/>
              </w:rPr>
            </w:pPr>
            <w:r>
              <w:rPr>
                <w:rStyle w:val="5"/>
                <w:rFonts w:hint="eastAsia" w:ascii="微软雅黑" w:hAnsi="微软雅黑" w:eastAsia="微软雅黑" w:cs="微软雅黑"/>
                <w:caps w:val="0"/>
                <w:color w:val="000000"/>
                <w:spacing w:val="0"/>
                <w:sz w:val="20"/>
                <w:szCs w:val="20"/>
                <w:u w:val="none"/>
              </w:rPr>
              <w:t>中介服务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ascii="微软雅黑" w:hAnsi="微软雅黑" w:eastAsia="微软雅黑" w:cs="微软雅黑"/>
                <w:u w:val="none"/>
              </w:rPr>
            </w:pPr>
            <w:r>
              <w:rPr>
                <w:rStyle w:val="5"/>
                <w:rFonts w:hint="eastAsia" w:ascii="微软雅黑" w:hAnsi="微软雅黑" w:eastAsia="微软雅黑" w:cs="微软雅黑"/>
                <w:caps w:val="0"/>
                <w:color w:val="000000"/>
                <w:spacing w:val="0"/>
                <w:sz w:val="20"/>
                <w:szCs w:val="20"/>
                <w:u w:val="none"/>
              </w:rPr>
              <w:t>事项名称</w:t>
            </w:r>
          </w:p>
        </w:tc>
        <w:tc>
          <w:tcPr>
            <w:tcW w:w="2084"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Style w:val="5"/>
                <w:rFonts w:hint="eastAsia" w:ascii="微软雅黑" w:hAnsi="微软雅黑" w:eastAsia="微软雅黑" w:cs="微软雅黑"/>
                <w:caps w:val="0"/>
                <w:color w:val="000000"/>
                <w:spacing w:val="0"/>
                <w:sz w:val="20"/>
                <w:szCs w:val="20"/>
                <w:u w:val="none"/>
                <w:lang w:eastAsia="zh-CN"/>
              </w:rPr>
            </w:pPr>
            <w:r>
              <w:rPr>
                <w:rStyle w:val="5"/>
                <w:rFonts w:hint="eastAsia" w:ascii="微软雅黑" w:hAnsi="微软雅黑" w:eastAsia="微软雅黑" w:cs="微软雅黑"/>
                <w:caps w:val="0"/>
                <w:color w:val="000000"/>
                <w:spacing w:val="0"/>
                <w:sz w:val="20"/>
                <w:szCs w:val="20"/>
                <w:u w:val="none"/>
              </w:rPr>
              <w:t>涉及的审批事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微软雅黑" w:hAnsi="微软雅黑" w:eastAsia="微软雅黑" w:cs="微软雅黑"/>
                <w:kern w:val="0"/>
                <w:sz w:val="24"/>
                <w:szCs w:val="24"/>
                <w:u w:val="none"/>
                <w:lang w:val="en-US" w:eastAsia="zh-CN" w:bidi="ar"/>
              </w:rPr>
            </w:pPr>
            <w:r>
              <w:rPr>
                <w:rStyle w:val="5"/>
                <w:rFonts w:hint="eastAsia" w:ascii="微软雅黑" w:hAnsi="微软雅黑" w:eastAsia="微软雅黑" w:cs="微软雅黑"/>
                <w:caps w:val="0"/>
                <w:color w:val="000000"/>
                <w:spacing w:val="0"/>
                <w:sz w:val="20"/>
                <w:szCs w:val="20"/>
                <w:u w:val="none"/>
              </w:rPr>
              <w:t>项项目名称</w:t>
            </w:r>
          </w:p>
        </w:tc>
        <w:tc>
          <w:tcPr>
            <w:tcW w:w="1455"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微软雅黑" w:hAnsi="微软雅黑" w:eastAsia="微软雅黑" w:cs="微软雅黑"/>
                <w:kern w:val="0"/>
                <w:sz w:val="24"/>
                <w:szCs w:val="24"/>
                <w:u w:val="none"/>
                <w:lang w:val="en-US" w:eastAsia="zh-CN" w:bidi="ar"/>
              </w:rPr>
            </w:pPr>
            <w:r>
              <w:rPr>
                <w:rStyle w:val="5"/>
                <w:rFonts w:hint="eastAsia" w:ascii="微软雅黑" w:hAnsi="微软雅黑" w:eastAsia="微软雅黑" w:cs="微软雅黑"/>
                <w:caps w:val="0"/>
                <w:color w:val="000000"/>
                <w:spacing w:val="0"/>
                <w:sz w:val="20"/>
                <w:szCs w:val="20"/>
                <w:u w:val="none"/>
                <w:lang w:eastAsia="zh-CN"/>
              </w:rPr>
              <w:t>行业主管</w:t>
            </w:r>
            <w:r>
              <w:rPr>
                <w:rStyle w:val="5"/>
                <w:rFonts w:hint="eastAsia" w:ascii="微软雅黑" w:hAnsi="微软雅黑" w:eastAsia="微软雅黑" w:cs="微软雅黑"/>
                <w:caps w:val="0"/>
                <w:color w:val="000000"/>
                <w:spacing w:val="0"/>
                <w:sz w:val="20"/>
                <w:szCs w:val="20"/>
                <w:u w:val="none"/>
              </w:rPr>
              <w:t>部门</w:t>
            </w:r>
          </w:p>
        </w:tc>
        <w:tc>
          <w:tcPr>
            <w:tcW w:w="2842"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Style w:val="5"/>
                <w:rFonts w:hint="eastAsia" w:ascii="微软雅黑" w:hAnsi="微软雅黑" w:eastAsia="微软雅黑" w:cs="微软雅黑"/>
                <w:caps w:val="0"/>
                <w:color w:val="000000"/>
                <w:spacing w:val="0"/>
                <w:sz w:val="20"/>
                <w:szCs w:val="20"/>
                <w:u w:val="none"/>
                <w:lang w:eastAsia="zh-CN"/>
              </w:rPr>
            </w:pPr>
            <w:r>
              <w:rPr>
                <w:rStyle w:val="5"/>
                <w:rFonts w:hint="eastAsia" w:ascii="微软雅黑" w:hAnsi="微软雅黑" w:eastAsia="微软雅黑" w:cs="微软雅黑"/>
                <w:caps w:val="0"/>
                <w:color w:val="000000"/>
                <w:spacing w:val="0"/>
                <w:sz w:val="20"/>
                <w:szCs w:val="20"/>
                <w:u w:val="none"/>
              </w:rPr>
              <w:t>中介服务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微软雅黑" w:hAnsi="微软雅黑" w:eastAsia="微软雅黑" w:cs="微软雅黑"/>
                <w:kern w:val="0"/>
                <w:sz w:val="24"/>
                <w:szCs w:val="24"/>
                <w:u w:val="none"/>
                <w:lang w:val="en-US" w:eastAsia="zh-CN" w:bidi="ar"/>
              </w:rPr>
            </w:pPr>
            <w:r>
              <w:rPr>
                <w:rStyle w:val="5"/>
                <w:rFonts w:hint="eastAsia" w:ascii="微软雅黑" w:hAnsi="微软雅黑" w:eastAsia="微软雅黑" w:cs="微软雅黑"/>
                <w:caps w:val="0"/>
                <w:color w:val="000000"/>
                <w:spacing w:val="0"/>
                <w:sz w:val="20"/>
                <w:szCs w:val="20"/>
                <w:u w:val="none"/>
              </w:rPr>
              <w:t>设定依据</w:t>
            </w:r>
          </w:p>
        </w:tc>
        <w:tc>
          <w:tcPr>
            <w:tcW w:w="1712"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Style w:val="5"/>
                <w:rFonts w:hint="eastAsia" w:ascii="微软雅黑" w:hAnsi="微软雅黑" w:eastAsia="微软雅黑" w:cs="微软雅黑"/>
                <w:caps w:val="0"/>
                <w:color w:val="000000"/>
                <w:spacing w:val="0"/>
                <w:sz w:val="20"/>
                <w:szCs w:val="20"/>
                <w:u w:val="none"/>
                <w:lang w:eastAsia="zh-CN"/>
              </w:rPr>
            </w:pPr>
            <w:r>
              <w:rPr>
                <w:rStyle w:val="5"/>
                <w:rFonts w:hint="eastAsia" w:ascii="微软雅黑" w:hAnsi="微软雅黑" w:eastAsia="微软雅黑" w:cs="微软雅黑"/>
                <w:caps w:val="0"/>
                <w:color w:val="000000"/>
                <w:spacing w:val="0"/>
                <w:sz w:val="20"/>
                <w:szCs w:val="20"/>
                <w:u w:val="none"/>
              </w:rPr>
              <w:t>中介服务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微软雅黑" w:hAnsi="微软雅黑" w:eastAsia="微软雅黑" w:cs="微软雅黑"/>
                <w:kern w:val="0"/>
                <w:sz w:val="24"/>
                <w:szCs w:val="24"/>
                <w:u w:val="none"/>
                <w:lang w:val="en-US" w:eastAsia="zh-CN" w:bidi="ar"/>
              </w:rPr>
            </w:pPr>
            <w:r>
              <w:rPr>
                <w:rStyle w:val="5"/>
                <w:rFonts w:hint="eastAsia" w:ascii="微软雅黑" w:hAnsi="微软雅黑" w:eastAsia="微软雅黑" w:cs="微软雅黑"/>
                <w:caps w:val="0"/>
                <w:color w:val="000000"/>
                <w:spacing w:val="0"/>
                <w:sz w:val="20"/>
                <w:szCs w:val="20"/>
                <w:u w:val="none"/>
              </w:rPr>
              <w:t>实施机构</w:t>
            </w:r>
          </w:p>
        </w:tc>
        <w:tc>
          <w:tcPr>
            <w:tcW w:w="2666"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Style w:val="5"/>
                <w:rFonts w:hint="eastAsia" w:ascii="微软雅黑" w:hAnsi="微软雅黑" w:eastAsia="微软雅黑" w:cs="微软雅黑"/>
                <w:caps w:val="0"/>
                <w:color w:val="000000"/>
                <w:spacing w:val="0"/>
                <w:sz w:val="20"/>
                <w:szCs w:val="20"/>
                <w:u w:val="none"/>
                <w:lang w:eastAsia="zh-CN"/>
              </w:rPr>
            </w:pPr>
            <w:r>
              <w:rPr>
                <w:rStyle w:val="5"/>
                <w:rFonts w:hint="eastAsia" w:ascii="微软雅黑" w:hAnsi="微软雅黑" w:eastAsia="微软雅黑" w:cs="微软雅黑"/>
                <w:caps w:val="0"/>
                <w:color w:val="000000"/>
                <w:spacing w:val="0"/>
                <w:sz w:val="20"/>
                <w:szCs w:val="20"/>
                <w:u w:val="none"/>
                <w:lang w:eastAsia="zh-CN"/>
              </w:rPr>
              <w:t>处理决定</w:t>
            </w:r>
          </w:p>
        </w:tc>
      </w:tr>
      <w:tr>
        <w:tblPrEx>
          <w:tblBorders>
            <w:top w:val="single" w:color="0A0A0A" w:sz="6" w:space="0"/>
            <w:left w:val="single" w:color="0A0A0A" w:sz="6" w:space="0"/>
            <w:bottom w:val="single" w:color="0A0A0A" w:sz="6" w:space="0"/>
            <w:right w:val="single" w:color="0A0A0A"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90" w:hRule="atLeast"/>
        </w:trPr>
        <w:tc>
          <w:tcPr>
            <w:tcW w:w="949"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default"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1</w:t>
            </w:r>
          </w:p>
        </w:tc>
        <w:tc>
          <w:tcPr>
            <w:tcW w:w="2128"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医疗机构建设项目放射性职业病危害预评价报告编制</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p>
        </w:tc>
        <w:tc>
          <w:tcPr>
            <w:tcW w:w="2084"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 xml:space="preserve">医疗机构建设项目放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 xml:space="preserve">射性职业病危害预评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价报告审核</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p>
        </w:tc>
        <w:tc>
          <w:tcPr>
            <w:tcW w:w="1455"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default"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卫健委</w:t>
            </w:r>
          </w:p>
        </w:tc>
        <w:tc>
          <w:tcPr>
            <w:tcW w:w="2842"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《中华人民共和国职业病防治法》（2001年10月27 日主席令第六十号，2018年12月29日予以修改）《 放射诊疗管理规定》（2006年1月24日卫生部令第 46号，2016年1月19日予以修改）</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p>
        </w:tc>
        <w:tc>
          <w:tcPr>
            <w:tcW w:w="1712"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取得乙级评价资质的放射卫生技术服务机构</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p>
        </w:tc>
        <w:tc>
          <w:tcPr>
            <w:tcW w:w="2666"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ascii="宋体" w:hAnsi="宋体" w:eastAsia="宋体" w:cs="宋体"/>
                <w:i w:val="0"/>
                <w:iCs w:val="0"/>
                <w:caps w:val="0"/>
                <w:color w:val="000000"/>
                <w:spacing w:val="0"/>
                <w:sz w:val="20"/>
                <w:szCs w:val="20"/>
                <w:shd w:val="clear" w:fill="FFFFFF"/>
              </w:rPr>
            </w:pPr>
          </w:p>
        </w:tc>
      </w:tr>
      <w:tr>
        <w:tblPrEx>
          <w:tblBorders>
            <w:top w:val="single" w:color="0A0A0A" w:sz="6" w:space="0"/>
            <w:left w:val="single" w:color="0A0A0A" w:sz="6" w:space="0"/>
            <w:bottom w:val="single" w:color="0A0A0A" w:sz="6" w:space="0"/>
            <w:right w:val="single" w:color="0A0A0A"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336" w:hRule="atLeast"/>
        </w:trPr>
        <w:tc>
          <w:tcPr>
            <w:tcW w:w="949"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default"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2</w:t>
            </w:r>
          </w:p>
        </w:tc>
        <w:tc>
          <w:tcPr>
            <w:tcW w:w="2128"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医疗机构建设项目放射性 职业病危害控制效果评价报告</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p>
        </w:tc>
        <w:tc>
          <w:tcPr>
            <w:tcW w:w="2084"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 xml:space="preserve">医疗机构放射性职业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 xml:space="preserve">病危害建设项目竣工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 xml:space="preserve">验收（放射治疗、核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 xml:space="preserve">医学除外）、放射源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 xml:space="preserve">诊疗技术和医用辐射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 xml:space="preserve">机构变更（放射治疗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、核医学除外）</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p>
        </w:tc>
        <w:tc>
          <w:tcPr>
            <w:tcW w:w="1455"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卫健委</w:t>
            </w:r>
          </w:p>
        </w:tc>
        <w:tc>
          <w:tcPr>
            <w:tcW w:w="2842"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《中华人民共和国职业病防治法》（2001年10月27 日主席令第六十号，2018年12月29日予以修改）《 放射诊疗管理规定》（2006年1月24日卫生部令第 46号，2016年1月19日予以修改）</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p>
        </w:tc>
        <w:tc>
          <w:tcPr>
            <w:tcW w:w="1712"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取得乙级评价资质的放射卫生技术服务机构</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p>
        </w:tc>
        <w:tc>
          <w:tcPr>
            <w:tcW w:w="2666"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ascii="宋体" w:hAnsi="宋体" w:eastAsia="宋体" w:cs="宋体"/>
                <w:i w:val="0"/>
                <w:iCs w:val="0"/>
                <w:caps w:val="0"/>
                <w:color w:val="000000"/>
                <w:spacing w:val="0"/>
                <w:sz w:val="20"/>
                <w:szCs w:val="20"/>
                <w:shd w:val="clear" w:fill="FFFFFF"/>
              </w:rPr>
            </w:pPr>
          </w:p>
        </w:tc>
      </w:tr>
      <w:tr>
        <w:tblPrEx>
          <w:tblBorders>
            <w:top w:val="single" w:color="0A0A0A" w:sz="6" w:space="0"/>
            <w:left w:val="single" w:color="0A0A0A" w:sz="6" w:space="0"/>
            <w:bottom w:val="single" w:color="0A0A0A" w:sz="6" w:space="0"/>
            <w:right w:val="single" w:color="0A0A0A"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351" w:hRule="atLeast"/>
        </w:trPr>
        <w:tc>
          <w:tcPr>
            <w:tcW w:w="949"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default"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3</w:t>
            </w:r>
          </w:p>
        </w:tc>
        <w:tc>
          <w:tcPr>
            <w:tcW w:w="2128"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本年度放射诊疗设备放射防护性能检测报告</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p>
        </w:tc>
        <w:tc>
          <w:tcPr>
            <w:tcW w:w="2084"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 xml:space="preserve">放射源诊疗技术和医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 xml:space="preserve">用辐射机构许可、校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 xml:space="preserve">验（放射治疗、核医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学除外）</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p>
        </w:tc>
        <w:tc>
          <w:tcPr>
            <w:tcW w:w="1455"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卫健委</w:t>
            </w:r>
          </w:p>
        </w:tc>
        <w:tc>
          <w:tcPr>
            <w:tcW w:w="2842"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中华人民共和国职业病防治法》（2016年7月2日第十二届全国人民代表大会常务委员会第二十一次会议修改）《放射性同位素与射线装置安全和防护条例》（国务院令第449号）《放射诊疗管理规定》（国家卫生和计划生育委员会令2016第8号修改）</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p>
        </w:tc>
        <w:tc>
          <w:tcPr>
            <w:tcW w:w="1712"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取得乙级评价资质的放射卫生技术服务机构</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p>
        </w:tc>
        <w:tc>
          <w:tcPr>
            <w:tcW w:w="2666"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ascii="宋体" w:hAnsi="宋体" w:eastAsia="宋体" w:cs="宋体"/>
                <w:i w:val="0"/>
                <w:iCs w:val="0"/>
                <w:caps w:val="0"/>
                <w:color w:val="000000"/>
                <w:spacing w:val="0"/>
                <w:sz w:val="20"/>
                <w:szCs w:val="20"/>
                <w:shd w:val="clear" w:fill="FFFFFF"/>
              </w:rPr>
            </w:pPr>
          </w:p>
        </w:tc>
      </w:tr>
      <w:tr>
        <w:tblPrEx>
          <w:tblBorders>
            <w:top w:val="single" w:color="0A0A0A" w:sz="6" w:space="0"/>
            <w:left w:val="single" w:color="0A0A0A" w:sz="6" w:space="0"/>
            <w:bottom w:val="single" w:color="0A0A0A" w:sz="6" w:space="0"/>
            <w:right w:val="single" w:color="0A0A0A"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351" w:hRule="atLeast"/>
        </w:trPr>
        <w:tc>
          <w:tcPr>
            <w:tcW w:w="949"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default"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4</w:t>
            </w:r>
          </w:p>
        </w:tc>
        <w:tc>
          <w:tcPr>
            <w:tcW w:w="2128"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放射工作人员职业健康检查报告</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p>
        </w:tc>
        <w:tc>
          <w:tcPr>
            <w:tcW w:w="2084"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 xml:space="preserve">放射源诊疗技术和医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 xml:space="preserve">用辐射机构许可、校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 xml:space="preserve">验（放射治疗、核医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学除外）</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p>
        </w:tc>
        <w:tc>
          <w:tcPr>
            <w:tcW w:w="1455"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卫健委</w:t>
            </w:r>
          </w:p>
        </w:tc>
        <w:tc>
          <w:tcPr>
            <w:tcW w:w="2842"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中华人民共和国职业病防治法》（2016年7月2日第十二届全国人民代表大会常务委员会第二十一次会议修改）第八十七条；《放射性同位素与射线装置安全和防护条例》（国务院令第449号）第七条；《放射诊疗管理规定》（国家卫生和计划生育委员会令2016第8号修改）第十三条、第十七条</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p>
        </w:tc>
        <w:tc>
          <w:tcPr>
            <w:tcW w:w="1712"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河南省职业病防治所</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p>
        </w:tc>
        <w:tc>
          <w:tcPr>
            <w:tcW w:w="2666"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ascii="宋体" w:hAnsi="宋体" w:eastAsia="宋体" w:cs="宋体"/>
                <w:i w:val="0"/>
                <w:iCs w:val="0"/>
                <w:caps w:val="0"/>
                <w:color w:val="000000"/>
                <w:spacing w:val="0"/>
                <w:sz w:val="20"/>
                <w:szCs w:val="20"/>
                <w:shd w:val="clear" w:fill="FFFFFF"/>
              </w:rPr>
            </w:pPr>
          </w:p>
        </w:tc>
      </w:tr>
      <w:tr>
        <w:tblPrEx>
          <w:tblBorders>
            <w:top w:val="single" w:color="0A0A0A" w:sz="6" w:space="0"/>
            <w:left w:val="single" w:color="0A0A0A" w:sz="6" w:space="0"/>
            <w:bottom w:val="single" w:color="0A0A0A" w:sz="6" w:space="0"/>
            <w:right w:val="single" w:color="0A0A0A"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351" w:hRule="atLeast"/>
        </w:trPr>
        <w:tc>
          <w:tcPr>
            <w:tcW w:w="949"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default"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5</w:t>
            </w:r>
          </w:p>
        </w:tc>
        <w:tc>
          <w:tcPr>
            <w:tcW w:w="2128"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放射工作人员个人剂量检测报告</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p>
        </w:tc>
        <w:tc>
          <w:tcPr>
            <w:tcW w:w="2084"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 xml:space="preserve">放射源诊疗技术和医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 xml:space="preserve">用辐射机构许可、校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 xml:space="preserve">验（放射治疗、核医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学除外）</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p>
        </w:tc>
        <w:tc>
          <w:tcPr>
            <w:tcW w:w="1455"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卫健委</w:t>
            </w:r>
          </w:p>
        </w:tc>
        <w:tc>
          <w:tcPr>
            <w:tcW w:w="2842"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《中华人民共和国传染病防治法》第二十九条；《生活饮用水卫生监督管理办法》（建设部、卫生部令1996年第53号）第十一条</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p>
        </w:tc>
        <w:tc>
          <w:tcPr>
            <w:tcW w:w="1712"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取得乙级评价资质的放射卫生技术服务机构</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p>
        </w:tc>
        <w:tc>
          <w:tcPr>
            <w:tcW w:w="2666"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ascii="宋体" w:hAnsi="宋体" w:eastAsia="宋体" w:cs="宋体"/>
                <w:i w:val="0"/>
                <w:iCs w:val="0"/>
                <w:caps w:val="0"/>
                <w:color w:val="000000"/>
                <w:spacing w:val="0"/>
                <w:sz w:val="20"/>
                <w:szCs w:val="20"/>
                <w:shd w:val="clear" w:fill="FFFFFF"/>
              </w:rPr>
            </w:pPr>
          </w:p>
        </w:tc>
      </w:tr>
      <w:tr>
        <w:tblPrEx>
          <w:tblBorders>
            <w:top w:val="single" w:color="0A0A0A" w:sz="6" w:space="0"/>
            <w:left w:val="single" w:color="0A0A0A" w:sz="6" w:space="0"/>
            <w:bottom w:val="single" w:color="0A0A0A" w:sz="6" w:space="0"/>
            <w:right w:val="single" w:color="0A0A0A"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1465" w:hRule="atLeast"/>
        </w:trPr>
        <w:tc>
          <w:tcPr>
            <w:tcW w:w="949"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default"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6</w:t>
            </w:r>
          </w:p>
        </w:tc>
        <w:tc>
          <w:tcPr>
            <w:tcW w:w="2128"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 xml:space="preserve">直接从事供、管水的人员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健康佐证材料</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p>
        </w:tc>
        <w:tc>
          <w:tcPr>
            <w:tcW w:w="2084"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 xml:space="preserve">饮用水供水单位卫生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许可（许可；延续）</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p>
        </w:tc>
        <w:tc>
          <w:tcPr>
            <w:tcW w:w="1455"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卫健委</w:t>
            </w:r>
          </w:p>
        </w:tc>
        <w:tc>
          <w:tcPr>
            <w:tcW w:w="2842"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《中华人民共和国传染病防治法》第二十九条；《生活饮用水卫生监督管理办法》（建设部、卫生部令第53号）第六条</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p>
        </w:tc>
        <w:tc>
          <w:tcPr>
            <w:tcW w:w="1712"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取得CMA认证的第三方检测服务机构</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p>
        </w:tc>
        <w:tc>
          <w:tcPr>
            <w:tcW w:w="2666"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ascii="宋体" w:hAnsi="宋体" w:eastAsia="宋体" w:cs="宋体"/>
                <w:i w:val="0"/>
                <w:iCs w:val="0"/>
                <w:caps w:val="0"/>
                <w:color w:val="000000"/>
                <w:spacing w:val="0"/>
                <w:sz w:val="20"/>
                <w:szCs w:val="20"/>
                <w:shd w:val="clear" w:fill="FFFFFF"/>
              </w:rPr>
            </w:pPr>
          </w:p>
        </w:tc>
      </w:tr>
      <w:tr>
        <w:tblPrEx>
          <w:tblBorders>
            <w:top w:val="single" w:color="0A0A0A" w:sz="6" w:space="0"/>
            <w:left w:val="single" w:color="0A0A0A" w:sz="6" w:space="0"/>
            <w:bottom w:val="single" w:color="0A0A0A" w:sz="6" w:space="0"/>
            <w:right w:val="single" w:color="0A0A0A"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1360" w:hRule="atLeast"/>
        </w:trPr>
        <w:tc>
          <w:tcPr>
            <w:tcW w:w="949"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default"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7</w:t>
            </w:r>
          </w:p>
        </w:tc>
        <w:tc>
          <w:tcPr>
            <w:tcW w:w="2128"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3个月内出厂水、管网末梢水合格监测报告</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p>
        </w:tc>
        <w:tc>
          <w:tcPr>
            <w:tcW w:w="2084"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 xml:space="preserve">饮用水供水单位卫生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许可（许可、延续）</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p>
        </w:tc>
        <w:tc>
          <w:tcPr>
            <w:tcW w:w="1455"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卫健委</w:t>
            </w:r>
          </w:p>
        </w:tc>
        <w:tc>
          <w:tcPr>
            <w:tcW w:w="2842"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《中华人民共和国传染病防治法》第二十九条；《生活饮用水卫生监督管理办法》（建设部、卫生部令第53号）第六条</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p>
        </w:tc>
        <w:tc>
          <w:tcPr>
            <w:tcW w:w="1712"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取得CMA认证的第三方检测服务机构</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p>
        </w:tc>
        <w:tc>
          <w:tcPr>
            <w:tcW w:w="2666"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ascii="宋体" w:hAnsi="宋体" w:eastAsia="宋体" w:cs="宋体"/>
                <w:i w:val="0"/>
                <w:iCs w:val="0"/>
                <w:caps w:val="0"/>
                <w:color w:val="000000"/>
                <w:spacing w:val="0"/>
                <w:sz w:val="20"/>
                <w:szCs w:val="20"/>
                <w:shd w:val="clear" w:fill="FFFFFF"/>
              </w:rPr>
            </w:pPr>
          </w:p>
        </w:tc>
      </w:tr>
      <w:tr>
        <w:tblPrEx>
          <w:tblBorders>
            <w:top w:val="single" w:color="0A0A0A" w:sz="6" w:space="0"/>
            <w:left w:val="single" w:color="0A0A0A" w:sz="6" w:space="0"/>
            <w:bottom w:val="single" w:color="0A0A0A" w:sz="6" w:space="0"/>
            <w:right w:val="single" w:color="0A0A0A"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351" w:hRule="atLeast"/>
        </w:trPr>
        <w:tc>
          <w:tcPr>
            <w:tcW w:w="949"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default"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8</w:t>
            </w:r>
          </w:p>
        </w:tc>
        <w:tc>
          <w:tcPr>
            <w:tcW w:w="2128"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公共场所卫生检测或评价报告</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p>
        </w:tc>
        <w:tc>
          <w:tcPr>
            <w:tcW w:w="2084"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 xml:space="preserve">公共场所卫生许可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 xml:space="preserve">（许可、延续、变更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项目）</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p>
        </w:tc>
        <w:tc>
          <w:tcPr>
            <w:tcW w:w="1455"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卫健委</w:t>
            </w:r>
          </w:p>
        </w:tc>
        <w:tc>
          <w:tcPr>
            <w:tcW w:w="2842"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公共场所卫生管理条例》（国发〔1987〕24号）第四条《公共场所卫生管理条例实施细则》（2011年3月10日卫生部令第80号）第二十二条《国务院关于第六批取消和调整行政审批项目的决定》（国发〔2012〕52号）下放管理层级的行政审批项目第 49项。《国务院关于整合调整餐饮服务场所的公共场所卫生许可证和食品经营许可证的决定》（国发[2016]12号）</w:t>
            </w:r>
          </w:p>
        </w:tc>
        <w:tc>
          <w:tcPr>
            <w:tcW w:w="1712"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r>
              <w:rPr>
                <w:rFonts w:hint="eastAsia" w:ascii="宋体" w:hAnsi="宋体" w:eastAsia="宋体" w:cs="宋体"/>
                <w:i w:val="0"/>
                <w:iCs w:val="0"/>
                <w:caps w:val="0"/>
                <w:color w:val="000000"/>
                <w:spacing w:val="0"/>
                <w:sz w:val="20"/>
                <w:szCs w:val="20"/>
                <w:shd w:val="clear" w:fill="FFFFFF"/>
                <w:lang w:val="en-US" w:eastAsia="zh-CN"/>
              </w:rPr>
              <w:t>获得公共场所卫生技术服务资质的机构</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20"/>
                <w:szCs w:val="20"/>
                <w:shd w:val="clear" w:fill="FFFFFF"/>
                <w:lang w:val="en-US" w:eastAsia="zh-CN"/>
              </w:rPr>
            </w:pPr>
          </w:p>
        </w:tc>
        <w:tc>
          <w:tcPr>
            <w:tcW w:w="2666" w:type="dxa"/>
            <w:tcBorders>
              <w:top w:val="outset" w:color="000000" w:sz="6" w:space="0"/>
              <w:left w:val="outset" w:color="000000" w:sz="6" w:space="0"/>
              <w:bottom w:val="outset" w:color="000000" w:sz="6" w:space="0"/>
              <w:right w:val="outset" w:color="000000" w:sz="6" w:space="0"/>
            </w:tcBorders>
            <w:shd w:val="clear" w:color="auto" w:fill="FFFFFF"/>
            <w:tcMar>
              <w:top w:w="0"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ascii="宋体" w:hAnsi="宋体" w:eastAsia="宋体" w:cs="宋体"/>
                <w:i w:val="0"/>
                <w:iCs w:val="0"/>
                <w:caps w:val="0"/>
                <w:color w:val="000000"/>
                <w:spacing w:val="0"/>
                <w:sz w:val="20"/>
                <w:szCs w:val="20"/>
                <w:shd w:val="clear" w:fill="FFFFFF"/>
              </w:rPr>
            </w:pPr>
          </w:p>
        </w:tc>
      </w:tr>
    </w:tbl>
    <w:p>
      <w:pPr>
        <w:rPr>
          <w:rFonts w:hint="default" w:ascii="黑体" w:hAnsi="黑体" w:eastAsia="黑体" w:cs="黑体"/>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zZmJhMmIyZjBjYjkzNGU5NGM2NTRhNzcwZDI1NjcifQ=="/>
  </w:docVars>
  <w:rsids>
    <w:rsidRoot w:val="0F194B79"/>
    <w:rsid w:val="0CB24197"/>
    <w:rsid w:val="0F194B79"/>
    <w:rsid w:val="111E4A06"/>
    <w:rsid w:val="4CF76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1333</Words>
  <Characters>1425</Characters>
  <Lines>0</Lines>
  <Paragraphs>0</Paragraphs>
  <TotalTime>16</TotalTime>
  <ScaleCrop>false</ScaleCrop>
  <LinksUpToDate>false</LinksUpToDate>
  <CharactersWithSpaces>1468</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2021-07-28T09:30:00Z</dcterms:created>
  <dc:creator>Administrator</dc:creator>
  <cp:lastModifiedBy>HP</cp:lastModifiedBy>
  <cp:lastPrinted>2021-08-02T09:43:00Z</cp:lastPrinted>
  <dcterms:modified xsi:type="dcterms:W3CDTF">2023-02-12T02:22:40Z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9A7FF672BBC349419FA9A72CE2370F50</vt:lpwstr>
  </property>
</Properties>
</file>